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E742E4" w14:textId="77777777" w:rsidR="00F92E3C" w:rsidRPr="00C7248F" w:rsidRDefault="00F92E3C" w:rsidP="00F92E3C">
      <w:pPr>
        <w:jc w:val="center"/>
        <w:rPr>
          <w:rFonts w:ascii="GHEA Grapalat" w:hAnsi="GHEA Grapalat"/>
          <w:b/>
          <w:sz w:val="22"/>
          <w:szCs w:val="22"/>
          <w:lang w:val="en-US"/>
        </w:rPr>
      </w:pPr>
      <w:r w:rsidRPr="00C7248F">
        <w:rPr>
          <w:rFonts w:ascii="GHEA Grapalat" w:hAnsi="GHEA Grapalat"/>
          <w:b/>
          <w:sz w:val="22"/>
          <w:szCs w:val="22"/>
          <w:lang w:val="en-US"/>
        </w:rPr>
        <w:t>ԱՄՓՈՓԱԹԵՐԹ</w:t>
      </w:r>
    </w:p>
    <w:p w14:paraId="7FFE03FC" w14:textId="77777777" w:rsidR="00F92E3C" w:rsidRPr="00C7248F" w:rsidRDefault="00F92E3C" w:rsidP="00F92E3C">
      <w:pPr>
        <w:ind w:firstLine="375"/>
        <w:jc w:val="center"/>
        <w:rPr>
          <w:rFonts w:ascii="GHEA Grapalat" w:hAnsi="GHEA Grapalat"/>
          <w:sz w:val="22"/>
          <w:szCs w:val="22"/>
          <w:lang w:val="en-US"/>
        </w:rPr>
      </w:pPr>
      <w:r w:rsidRPr="00C7248F">
        <w:rPr>
          <w:rFonts w:ascii="Calibri" w:hAnsi="Calibri" w:cs="Calibri"/>
          <w:sz w:val="22"/>
          <w:szCs w:val="22"/>
          <w:lang w:val="en-US"/>
        </w:rPr>
        <w:t> </w:t>
      </w:r>
    </w:p>
    <w:p w14:paraId="4EEBCE9C" w14:textId="77777777" w:rsidR="00F92E3C" w:rsidRPr="00C7248F" w:rsidRDefault="00DF0E74" w:rsidP="00F92E3C">
      <w:pPr>
        <w:ind w:firstLine="708"/>
        <w:jc w:val="center"/>
        <w:rPr>
          <w:rFonts w:ascii="GHEA Grapalat" w:hAnsi="GHEA Grapalat"/>
          <w:sz w:val="22"/>
          <w:szCs w:val="22"/>
          <w:lang w:val="en-US"/>
        </w:rPr>
      </w:pPr>
      <w:r w:rsidRPr="00C7248F">
        <w:rPr>
          <w:rFonts w:ascii="GHEA Grapalat" w:hAnsi="GHEA Grapalat" w:cs="Sylfaen"/>
          <w:sz w:val="22"/>
          <w:szCs w:val="22"/>
          <w:lang w:val="hy-AM"/>
        </w:rPr>
        <w:t>««</w:t>
      </w:r>
      <w:r w:rsidRPr="00C7248F">
        <w:rPr>
          <w:rFonts w:ascii="GHEA Grapalat" w:hAnsi="GHEA Grapalat"/>
          <w:sz w:val="22"/>
          <w:szCs w:val="22"/>
          <w:lang w:val="hy-AM"/>
        </w:rPr>
        <w:t xml:space="preserve">Բարձրավոլտ էլեկտրացանցեր» փակ բաժնետիրական ընկերության «Լիճք» </w:t>
      </w:r>
      <w:bookmarkStart w:id="0" w:name="_Hlk43463044"/>
      <w:r w:rsidRPr="00C7248F">
        <w:rPr>
          <w:rFonts w:ascii="GHEA Grapalat" w:hAnsi="GHEA Grapalat"/>
          <w:sz w:val="22"/>
          <w:szCs w:val="22"/>
          <w:lang w:val="hy-AM"/>
        </w:rPr>
        <w:t xml:space="preserve">220/110/35 կՎ </w:t>
      </w:r>
      <w:bookmarkEnd w:id="0"/>
      <w:r w:rsidRPr="00C7248F">
        <w:rPr>
          <w:rFonts w:ascii="GHEA Grapalat" w:hAnsi="GHEA Grapalat"/>
          <w:sz w:val="22"/>
          <w:szCs w:val="22"/>
          <w:lang w:val="hy-AM"/>
        </w:rPr>
        <w:t>ենթակայանի վերակառուցման աշխատանքներն իրականացնելու համար մեկ անձից գնման ընթացակարգով գնման գործընթաց իրականացնելու մասին ՀՀ կառավարության որոշման նախագծի</w:t>
      </w:r>
      <w:r w:rsidRPr="00C7248F">
        <w:rPr>
          <w:rFonts w:ascii="GHEA Grapalat" w:hAnsi="GHEA Grapalat"/>
          <w:sz w:val="22"/>
          <w:szCs w:val="22"/>
          <w:lang w:val="en-US"/>
        </w:rPr>
        <w:t xml:space="preserve"> </w:t>
      </w:r>
      <w:proofErr w:type="spellStart"/>
      <w:r w:rsidR="00F92E3C" w:rsidRPr="00C7248F">
        <w:rPr>
          <w:rFonts w:ascii="GHEA Grapalat" w:hAnsi="GHEA Grapalat"/>
          <w:sz w:val="22"/>
          <w:szCs w:val="22"/>
          <w:lang w:val="en-US"/>
        </w:rPr>
        <w:t>վերաբերյալ</w:t>
      </w:r>
      <w:proofErr w:type="spellEnd"/>
      <w:r w:rsidR="004C63A5" w:rsidRPr="00C7248F">
        <w:rPr>
          <w:rFonts w:ascii="GHEA Grapalat" w:hAnsi="GHEA Grapalat"/>
          <w:sz w:val="22"/>
          <w:szCs w:val="22"/>
          <w:lang w:val="en-US"/>
        </w:rPr>
        <w:t xml:space="preserve"> </w:t>
      </w:r>
      <w:proofErr w:type="spellStart"/>
      <w:r w:rsidR="00F92E3C" w:rsidRPr="00C7248F">
        <w:rPr>
          <w:rFonts w:ascii="GHEA Grapalat" w:hAnsi="GHEA Grapalat"/>
          <w:sz w:val="22"/>
          <w:szCs w:val="22"/>
          <w:lang w:val="en-US"/>
        </w:rPr>
        <w:t>ստացված</w:t>
      </w:r>
      <w:proofErr w:type="spellEnd"/>
      <w:r w:rsidR="004C63A5" w:rsidRPr="00C7248F">
        <w:rPr>
          <w:rFonts w:ascii="GHEA Grapalat" w:hAnsi="GHEA Grapalat"/>
          <w:sz w:val="22"/>
          <w:szCs w:val="22"/>
          <w:lang w:val="en-US"/>
        </w:rPr>
        <w:t xml:space="preserve"> </w:t>
      </w:r>
      <w:proofErr w:type="spellStart"/>
      <w:r w:rsidR="00F92E3C" w:rsidRPr="00C7248F">
        <w:rPr>
          <w:rFonts w:ascii="GHEA Grapalat" w:hAnsi="GHEA Grapalat"/>
          <w:sz w:val="22"/>
          <w:szCs w:val="22"/>
          <w:lang w:val="en-US"/>
        </w:rPr>
        <w:t>դիտողությունների</w:t>
      </w:r>
      <w:proofErr w:type="spellEnd"/>
      <w:r w:rsidR="00F92E3C" w:rsidRPr="00C7248F">
        <w:rPr>
          <w:rFonts w:ascii="GHEA Grapalat" w:hAnsi="GHEA Grapalat"/>
          <w:sz w:val="22"/>
          <w:szCs w:val="22"/>
          <w:lang w:val="en-US"/>
        </w:rPr>
        <w:t xml:space="preserve"> և </w:t>
      </w:r>
      <w:proofErr w:type="spellStart"/>
      <w:r w:rsidR="00F92E3C" w:rsidRPr="00C7248F">
        <w:rPr>
          <w:rFonts w:ascii="GHEA Grapalat" w:hAnsi="GHEA Grapalat"/>
          <w:sz w:val="22"/>
          <w:szCs w:val="22"/>
          <w:lang w:val="en-US"/>
        </w:rPr>
        <w:t>առաջարկությունների</w:t>
      </w:r>
      <w:proofErr w:type="spellEnd"/>
    </w:p>
    <w:p w14:paraId="47621E73" w14:textId="77777777" w:rsidR="00F92E3C" w:rsidRPr="00C7248F" w:rsidRDefault="00F92E3C" w:rsidP="00F92E3C">
      <w:pPr>
        <w:rPr>
          <w:rFonts w:ascii="GHEA Grapalat" w:hAnsi="GHEA Grapalat"/>
          <w:sz w:val="22"/>
          <w:szCs w:val="22"/>
          <w:lang w:val="af-ZA"/>
        </w:rPr>
      </w:pPr>
    </w:p>
    <w:tbl>
      <w:tblPr>
        <w:tblW w:w="152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187"/>
        <w:gridCol w:w="5971"/>
        <w:gridCol w:w="1765"/>
        <w:gridCol w:w="4950"/>
      </w:tblGrid>
      <w:tr w:rsidR="00F92E3C" w:rsidRPr="00C7248F" w14:paraId="36F691A4" w14:textId="77777777" w:rsidTr="005F6D8D">
        <w:tc>
          <w:tcPr>
            <w:tcW w:w="426" w:type="dxa"/>
            <w:vAlign w:val="center"/>
          </w:tcPr>
          <w:p w14:paraId="1A36EB36" w14:textId="77777777" w:rsidR="00F92E3C" w:rsidRPr="00C7248F" w:rsidRDefault="00F92E3C" w:rsidP="008E1143">
            <w:pPr>
              <w:pStyle w:val="BodyText"/>
              <w:tabs>
                <w:tab w:val="left" w:pos="720"/>
              </w:tabs>
              <w:spacing w:after="0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>հ/հ</w:t>
            </w:r>
          </w:p>
        </w:tc>
        <w:tc>
          <w:tcPr>
            <w:tcW w:w="2187" w:type="dxa"/>
            <w:tcBorders>
              <w:bottom w:val="single" w:sz="4" w:space="0" w:color="auto"/>
            </w:tcBorders>
          </w:tcPr>
          <w:p w14:paraId="47EA2A64" w14:textId="77777777" w:rsidR="00F92E3C" w:rsidRPr="00C7248F" w:rsidRDefault="00F92E3C" w:rsidP="008E1143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C7248F">
              <w:rPr>
                <w:rFonts w:ascii="GHEA Grapalat" w:hAnsi="GHEA Grapalat" w:cs="Sylfaen"/>
                <w:sz w:val="22"/>
                <w:szCs w:val="22"/>
              </w:rPr>
              <w:t>Առարկության</w:t>
            </w:r>
            <w:r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, </w:t>
            </w:r>
            <w:r w:rsidRPr="00C7248F">
              <w:rPr>
                <w:rFonts w:ascii="GHEA Grapalat" w:hAnsi="GHEA Grapalat" w:cs="Sylfaen"/>
                <w:sz w:val="22"/>
                <w:szCs w:val="22"/>
              </w:rPr>
              <w:t>առաջարկության</w:t>
            </w:r>
            <w:r w:rsidR="004C63A5"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C7248F">
              <w:rPr>
                <w:rFonts w:ascii="GHEA Grapalat" w:hAnsi="GHEA Grapalat" w:cs="Sylfaen"/>
                <w:sz w:val="22"/>
                <w:szCs w:val="22"/>
              </w:rPr>
              <w:t>հեղինակը</w:t>
            </w:r>
            <w:r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, </w:t>
            </w:r>
            <w:r w:rsidRPr="00C7248F">
              <w:rPr>
                <w:rFonts w:ascii="GHEA Grapalat" w:hAnsi="GHEA Grapalat" w:cs="Sylfaen"/>
                <w:sz w:val="22"/>
                <w:szCs w:val="22"/>
              </w:rPr>
              <w:t>գրության</w:t>
            </w:r>
            <w:r w:rsidR="004C63A5"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C7248F">
              <w:rPr>
                <w:rFonts w:ascii="GHEA Grapalat" w:hAnsi="GHEA Grapalat" w:cs="Sylfaen"/>
                <w:sz w:val="22"/>
                <w:szCs w:val="22"/>
              </w:rPr>
              <w:t>ստացման</w:t>
            </w:r>
            <w:r w:rsidR="004C63A5"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C7248F">
              <w:rPr>
                <w:rFonts w:ascii="GHEA Grapalat" w:hAnsi="GHEA Grapalat" w:cs="Sylfaen"/>
                <w:sz w:val="22"/>
                <w:szCs w:val="22"/>
              </w:rPr>
              <w:t>ամսաթիվը</w:t>
            </w:r>
            <w:r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, </w:t>
            </w:r>
            <w:r w:rsidRPr="00C7248F">
              <w:rPr>
                <w:rFonts w:ascii="GHEA Grapalat" w:hAnsi="GHEA Grapalat" w:cs="Sylfaen"/>
                <w:sz w:val="22"/>
                <w:szCs w:val="22"/>
              </w:rPr>
              <w:t>գրության</w:t>
            </w:r>
            <w:r w:rsidR="004C63A5"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C7248F">
              <w:rPr>
                <w:rFonts w:ascii="GHEA Grapalat" w:hAnsi="GHEA Grapalat" w:cs="Sylfaen"/>
                <w:sz w:val="22"/>
                <w:szCs w:val="22"/>
              </w:rPr>
              <w:t>համարը</w:t>
            </w:r>
          </w:p>
        </w:tc>
        <w:tc>
          <w:tcPr>
            <w:tcW w:w="5971" w:type="dxa"/>
            <w:vAlign w:val="center"/>
          </w:tcPr>
          <w:p w14:paraId="7D692BDF" w14:textId="77777777" w:rsidR="00F92E3C" w:rsidRPr="00C7248F" w:rsidRDefault="00F92E3C" w:rsidP="008E1143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>Դիտողության</w:t>
            </w:r>
            <w:proofErr w:type="spellEnd"/>
            <w:r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>առաջարկության</w:t>
            </w:r>
            <w:proofErr w:type="spellEnd"/>
            <w:r w:rsidR="004C63A5"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>բովանդակությունը</w:t>
            </w:r>
            <w:proofErr w:type="spellEnd"/>
          </w:p>
        </w:tc>
        <w:tc>
          <w:tcPr>
            <w:tcW w:w="1765" w:type="dxa"/>
            <w:vAlign w:val="center"/>
          </w:tcPr>
          <w:p w14:paraId="46C4F948" w14:textId="77777777" w:rsidR="00F92E3C" w:rsidRPr="00C7248F" w:rsidRDefault="00F92E3C" w:rsidP="008E1143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>Եզրակացություն</w:t>
            </w:r>
            <w:proofErr w:type="spellEnd"/>
          </w:p>
        </w:tc>
        <w:tc>
          <w:tcPr>
            <w:tcW w:w="4950" w:type="dxa"/>
            <w:vAlign w:val="center"/>
          </w:tcPr>
          <w:p w14:paraId="0D9C0EF5" w14:textId="77777777" w:rsidR="00F92E3C" w:rsidRPr="00C7248F" w:rsidRDefault="00F92E3C" w:rsidP="008E1143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>Կատարված</w:t>
            </w:r>
            <w:proofErr w:type="spellEnd"/>
            <w:r w:rsidR="004C63A5"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>փոփոխությունները</w:t>
            </w:r>
            <w:proofErr w:type="spellEnd"/>
          </w:p>
        </w:tc>
      </w:tr>
      <w:tr w:rsidR="00F92E3C" w:rsidRPr="00C7248F" w14:paraId="78BF45B6" w14:textId="77777777" w:rsidTr="005F6D8D">
        <w:tc>
          <w:tcPr>
            <w:tcW w:w="426" w:type="dxa"/>
            <w:vAlign w:val="center"/>
          </w:tcPr>
          <w:p w14:paraId="2C3E02BE" w14:textId="77777777" w:rsidR="00F92E3C" w:rsidRPr="00C7248F" w:rsidRDefault="00F92E3C" w:rsidP="00F92E3C">
            <w:pPr>
              <w:pStyle w:val="BodyText"/>
              <w:tabs>
                <w:tab w:val="left" w:pos="720"/>
              </w:tabs>
              <w:spacing w:after="0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>1.</w:t>
            </w:r>
          </w:p>
        </w:tc>
        <w:tc>
          <w:tcPr>
            <w:tcW w:w="2187" w:type="dxa"/>
            <w:tcBorders>
              <w:bottom w:val="single" w:sz="4" w:space="0" w:color="auto"/>
            </w:tcBorders>
          </w:tcPr>
          <w:p w14:paraId="61FBF568" w14:textId="77777777" w:rsidR="00F92E3C" w:rsidRPr="00C7248F" w:rsidRDefault="00DF0E74" w:rsidP="00F92E3C">
            <w:pPr>
              <w:tabs>
                <w:tab w:val="left" w:pos="9923"/>
                <w:tab w:val="left" w:pos="11160"/>
              </w:tabs>
              <w:ind w:firstLine="57"/>
              <w:rPr>
                <w:rFonts w:ascii="GHEA Grapalat" w:hAnsi="GHEA Grapalat" w:cs="Sylfaen"/>
                <w:sz w:val="22"/>
                <w:szCs w:val="22"/>
                <w:highlight w:val="yellow"/>
                <w:lang w:val="en-US"/>
              </w:rPr>
            </w:pPr>
            <w:r w:rsidRPr="00C7248F">
              <w:rPr>
                <w:rFonts w:ascii="GHEA Grapalat" w:hAnsi="GHEA Grapalat"/>
                <w:sz w:val="22"/>
                <w:szCs w:val="22"/>
                <w:lang w:val="en-US"/>
              </w:rPr>
              <w:t xml:space="preserve">ՀՀ </w:t>
            </w:r>
            <w:proofErr w:type="spellStart"/>
            <w:r w:rsidRPr="00C7248F">
              <w:rPr>
                <w:rFonts w:ascii="GHEA Grapalat" w:hAnsi="GHEA Grapalat"/>
                <w:sz w:val="22"/>
                <w:szCs w:val="22"/>
                <w:lang w:val="en-US"/>
              </w:rPr>
              <w:t>ֆինանսների</w:t>
            </w:r>
            <w:proofErr w:type="spellEnd"/>
            <w:r w:rsidRPr="00C7248F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7248F">
              <w:rPr>
                <w:rFonts w:ascii="GHEA Grapalat" w:hAnsi="GHEA Grapalat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</w:tc>
        <w:tc>
          <w:tcPr>
            <w:tcW w:w="5971" w:type="dxa"/>
            <w:vAlign w:val="center"/>
          </w:tcPr>
          <w:p w14:paraId="1899E3D0" w14:textId="60F7441A" w:rsidR="00181DC9" w:rsidRPr="00C7248F" w:rsidRDefault="00181DC9" w:rsidP="00181DC9">
            <w:pPr>
              <w:pStyle w:val="mechtex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C7248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Բարձրավոլտ էլեկտրացանցեր» փակ բաժնետիրական ընկերության «Լիճք» 220/110/35 կվ ենթակայանի վերակառուցման աշխատանքներն իրականացնելու համար մեկ անձից գնման ընթացակարգով գնման գործընթաց իրականացնելու մասին ՀՀ կառավարության որոշման նախագծի վերաբերյալ հայտնում ենք հետևյալը.</w:t>
            </w:r>
          </w:p>
          <w:p w14:paraId="1A029470" w14:textId="196A02E9" w:rsidR="00DF0E74" w:rsidRPr="00C7248F" w:rsidRDefault="00181DC9" w:rsidP="00DF0E74">
            <w:pPr>
              <w:pStyle w:val="mechtex"/>
              <w:tabs>
                <w:tab w:val="left" w:pos="993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C7248F">
              <w:rPr>
                <w:rFonts w:ascii="GHEA Grapalat" w:hAnsi="GHEA Grapalat" w:cs="Sylfaen"/>
                <w:lang w:val="af-ZA"/>
              </w:rPr>
              <w:t>ն</w:t>
            </w:r>
            <w:r w:rsidR="00DF0E74" w:rsidRPr="00C7248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ախագծի ընդունումը հիմնավորող փաստաթղթերի համաձայն գնման ընթացակարգը էլեկտրոնային գնումների համակարգի միջոցով չիրականացնելը պայմանավորված է այն հանգամանքով, որ հայտեր ներկայացնելու հնարավորություն կարող են ստանալ այնպիսի կապալառուներ </w:t>
            </w:r>
            <w:r w:rsidR="00DF0E74" w:rsidRPr="00C7248F">
              <w:rPr>
                <w:rFonts w:ascii="GHEA Grapalat" w:hAnsi="GHEA Grapalat" w:cs="Sylfaen"/>
                <w:lang w:val="hy-AM"/>
              </w:rPr>
              <w:t>(հիմնականում չինական ընկերություններ)</w:t>
            </w:r>
            <w:r w:rsidR="00DF0E74" w:rsidRPr="00C7248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, որոնց կողմից իրականացվող պայմանագրերը մնացել են անավարտ կամ իրականացվել են նախատեսված ժամկետների էական խախտումներով: </w:t>
            </w:r>
          </w:p>
          <w:p w14:paraId="7005579D" w14:textId="42AFAD20" w:rsidR="00DF0E74" w:rsidRPr="00C7248F" w:rsidRDefault="00181DC9" w:rsidP="00DF0E7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25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ru-RU"/>
              </w:rPr>
            </w:pPr>
            <w:r w:rsidRPr="00C7248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ru-RU"/>
              </w:rPr>
              <w:t xml:space="preserve">Գտնում ենք, որ </w:t>
            </w:r>
            <w:r w:rsidR="00DF0E74" w:rsidRPr="00C7248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ru-RU"/>
              </w:rPr>
              <w:t xml:space="preserve">նման հիմնավորումը չի կարող հիմք հանդիսանալ գնման ընթացակարգը հիշյալ համակարգի միջոցով չկազմակերպելու համար, նկատի ունենալով, որ ցանկացած պայմանագրի կատարման պարագայում պատվիրատուն երաշխավորված չէ </w:t>
            </w:r>
            <w:r w:rsidR="00DF0E74" w:rsidRPr="00C7248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ru-RU"/>
              </w:rPr>
              <w:lastRenderedPageBreak/>
              <w:t>կապալառուների կողմից պայմանագրերի պատշաճ չկատարման ռիսկերից:</w:t>
            </w:r>
          </w:p>
          <w:p w14:paraId="17FF1474" w14:textId="77777777" w:rsidR="00DF0E74" w:rsidRPr="00C7248F" w:rsidRDefault="00DF0E74" w:rsidP="00181DC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ru-RU"/>
              </w:rPr>
            </w:pPr>
            <w:r w:rsidRPr="00C7248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ru-RU"/>
              </w:rPr>
              <w:t xml:space="preserve">Միաժամանակ </w:t>
            </w:r>
            <w:r w:rsidRPr="00C7248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>«</w:t>
            </w:r>
            <w:r w:rsidRPr="00C7248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ru-RU"/>
              </w:rPr>
              <w:t>Գնումների մասին</w:t>
            </w:r>
            <w:r w:rsidRPr="00C7248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>»</w:t>
            </w:r>
            <w:r w:rsidRPr="00C7248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ru-RU"/>
              </w:rPr>
              <w:t xml:space="preserve"> ՀՀ օրենքի 7-րդ հոդվածի համաձայն ցանկացած անձ, անկախ նրա օտարերկրյա ֆիզիկական անձ, կազմակերպություն կամ քաղաքացիություն չունեցող անձ լինելու հանգամանքից, ունի գնման գործընթացին մասնակցելու հավասար իրավունք: Գնումների գործընթացին որևէ երկրի ռեզիդենտ հանդիսացող անձի (անձանց) մասնակցությունը կարող է սահմանափակվել միայն Հայաստանի Հանրապետության կառավարության որոշմամբ, եթե դա անհրաժեշտ է Հայաստանի Հանրապետության ազգային անվտանգության և պաշտպանության ապահովման համար:</w:t>
            </w:r>
          </w:p>
          <w:p w14:paraId="2FC067B4" w14:textId="77777777" w:rsidR="00DF0E74" w:rsidRPr="00C7248F" w:rsidRDefault="00DF0E74" w:rsidP="00DF0E7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ru-RU"/>
              </w:rPr>
            </w:pPr>
            <w:r w:rsidRPr="00C7248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ru-RU"/>
              </w:rPr>
              <w:t xml:space="preserve">Հետևաբար, այս պարագայում կարծում ենք, որ բերված հիմնավորման դեպքում խնդրի լուծումը պետք է դիտարկել նշված նորմով սահմանված կարգավորումների ենթատեքստում, ընթացակարգի կազմակերպումն իրականացնելով էլեկտրոնային համակարգի միջոցով՝ գնման մրցակցային եղանակով: </w:t>
            </w:r>
          </w:p>
          <w:p w14:paraId="03573BC3" w14:textId="7533F664" w:rsidR="00DF0E74" w:rsidRPr="00C7248F" w:rsidRDefault="00DF0E74" w:rsidP="00181DC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7248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ru-RU"/>
              </w:rPr>
              <w:t>Անհրաժեշտ է հաշվի առնել նաև այն հանգամանքը, որ կապալառուի կողմից պայմանագրի չկատարման կամ պատշաճ չկատարման դեպքում հիշյալ ռիսկերը նվազեցնելու համար օրենսդրությունը, պայմանագրի (կանխավճարի) և որակավորման ապահովումների միջոցով, պատվիրատուին տալիս է իրավիճակից բխող գործողությունների իրականացման գործիքակազմ, ինչը սակայն ներկայացված նախագծով առաջարկվում է չկիրառել: Հետևաբար, հիմնավոր</w:t>
            </w:r>
            <w:r w:rsidRPr="00C7248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ru-RU"/>
              </w:rPr>
              <w:t>ման</w:t>
            </w:r>
            <w:r w:rsidRPr="00C7248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ru-RU"/>
              </w:rPr>
              <w:t xml:space="preserve"> անհրաժեշտություն ունի </w:t>
            </w:r>
            <w:r w:rsidRPr="00C7248F">
              <w:rPr>
                <w:rFonts w:ascii="GHEA Grapalat" w:hAnsi="GHEA Grapalat"/>
                <w:sz w:val="22"/>
                <w:szCs w:val="22"/>
                <w:lang w:val="hy-AM"/>
              </w:rPr>
              <w:t xml:space="preserve">այն հանգամանքը, թե ինչպես է պատվիրատուն ապահովելու պայմանագրի (կանխավճարի) և որակավորման ապահովման պայմանները չկիրառման դեպքում առաջանալիք </w:t>
            </w:r>
            <w:r w:rsidRPr="00C7248F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հնարավոր ռիսկերի նվազեցումը, հաշվի առնելով նաև</w:t>
            </w:r>
            <w:r w:rsidRPr="00C7248F">
              <w:rPr>
                <w:rFonts w:ascii="GHEA Grapalat" w:hAnsi="GHEA Grapalat"/>
                <w:sz w:val="22"/>
                <w:szCs w:val="22"/>
                <w:lang w:val="af-ZA"/>
              </w:rPr>
              <w:t>,</w:t>
            </w:r>
            <w:r w:rsidR="00181DC9" w:rsidRPr="00C7248F">
              <w:rPr>
                <w:rFonts w:ascii="GHEA Grapalat" w:hAnsi="GHEA Grapalat"/>
                <w:sz w:val="22"/>
                <w:szCs w:val="22"/>
                <w:lang w:val="hy-AM"/>
              </w:rPr>
              <w:t xml:space="preserve"> որ առաջարկվող </w:t>
            </w:r>
            <w:r w:rsidRPr="00C7248F">
              <w:rPr>
                <w:rFonts w:ascii="GHEA Grapalat" w:hAnsi="GHEA Grapalat"/>
                <w:sz w:val="22"/>
                <w:szCs w:val="22"/>
                <w:lang w:val="hy-AM"/>
              </w:rPr>
              <w:t>բացառությունները կիրառելու դեպքում կանխավաճարի մար</w:t>
            </w:r>
            <w:r w:rsidR="00181DC9" w:rsidRPr="00C7248F">
              <w:rPr>
                <w:rFonts w:ascii="GHEA Grapalat" w:hAnsi="GHEA Grapalat"/>
                <w:sz w:val="22"/>
                <w:szCs w:val="22"/>
                <w:lang w:val="hy-AM"/>
              </w:rPr>
              <w:t xml:space="preserve">ումը նախատեսվում է իրականացնել </w:t>
            </w:r>
            <w:r w:rsidRPr="00C7248F">
              <w:rPr>
                <w:rFonts w:ascii="GHEA Grapalat" w:hAnsi="GHEA Grapalat"/>
                <w:sz w:val="22"/>
                <w:szCs w:val="22"/>
                <w:lang w:val="hy-AM"/>
              </w:rPr>
              <w:t xml:space="preserve">արձանագրությունների հիման վրա կատարվող վճարումներից նվազեցումներ (պահումներ) կատարելու ձևով: </w:t>
            </w:r>
          </w:p>
          <w:p w14:paraId="3C3751CF" w14:textId="2972E5FB" w:rsidR="00F92E3C" w:rsidRPr="00C7248F" w:rsidRDefault="00DF0E74" w:rsidP="007A050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708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7248F">
              <w:rPr>
                <w:rFonts w:ascii="GHEA Grapalat" w:hAnsi="GHEA Grapalat"/>
                <w:sz w:val="22"/>
                <w:szCs w:val="22"/>
                <w:lang w:val="hy-AM"/>
              </w:rPr>
              <w:t>Առաջարկում ենք քննարկել նաև պայմանագրի ժամկետի երկարաձգման համար նախատեսված սահմանափակման նկատմամբ բացառությունը չկիրառելու հարցը, անհրաժեշտության դեպքում դրան անդրադառնալով այն դեպքում, երբ աշխատանքների փաստացի կատարման ընթացքում ի հայտ կգան նախատեսված ժամկետներից ավելի երկարաձգելու օբյեկտիվ պատճառներ:</w:t>
            </w:r>
          </w:p>
        </w:tc>
        <w:tc>
          <w:tcPr>
            <w:tcW w:w="1765" w:type="dxa"/>
          </w:tcPr>
          <w:p w14:paraId="314A3410" w14:textId="713BA9C2" w:rsidR="00F92E3C" w:rsidRPr="00C7248F" w:rsidRDefault="00201643" w:rsidP="00F92E3C">
            <w:pPr>
              <w:tabs>
                <w:tab w:val="left" w:pos="9923"/>
                <w:tab w:val="left" w:pos="11160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7248F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Պարզաբանում</w:t>
            </w:r>
          </w:p>
        </w:tc>
        <w:tc>
          <w:tcPr>
            <w:tcW w:w="4950" w:type="dxa"/>
          </w:tcPr>
          <w:p w14:paraId="066A03C6" w14:textId="77777777" w:rsidR="00201643" w:rsidRPr="00C7248F" w:rsidRDefault="00201643" w:rsidP="00201643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7248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>Բարձրավոլտ էլեկտրացանցեր» փակ բաժնետիրական ընկերության «Լիճք» 220/110/35 կվ ենթակայանի վերակառուցման աշխատանքներն իրականացնելու համար մեկ անձից գնման ընթացակարգով գնման գործընթաց իրականացնելու մասին ՀՀ կառավարության որոշման</w:t>
            </w:r>
            <w:r w:rsidRPr="00C7248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</w:t>
            </w:r>
            <w:r w:rsidRPr="00C7248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>ախագծի</w:t>
            </w:r>
            <w:r w:rsidRPr="00C7248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(այսուհետ՝ Նախագիծ)</w:t>
            </w:r>
            <w:r w:rsidRPr="00C7248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ընդունումը հիմնավորող փաստաթղթերի համաձայն գնման ընթացակարգը էլեկտրոնային գնումների համակարգի միջոցով չիրականացնելը պայմանավորված է</w:t>
            </w:r>
            <w:r w:rsidRPr="00C7248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ոչ միայն </w:t>
            </w:r>
            <w:r w:rsidRPr="00C7248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այն հանգամանքով, որ հայտեր ներկայացնելու հնարավորություն կարող են ստանալ այնպիսի կապալառուներ </w:t>
            </w:r>
            <w:r w:rsidRPr="00C7248F">
              <w:rPr>
                <w:rFonts w:ascii="GHEA Grapalat" w:hAnsi="GHEA Grapalat" w:cs="Sylfaen"/>
                <w:sz w:val="22"/>
                <w:szCs w:val="22"/>
                <w:lang w:val="hy-AM"/>
              </w:rPr>
              <w:t>(հիմնականում չինական ընկերություններ)</w:t>
            </w:r>
            <w:r w:rsidRPr="00C7248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>, որոնց կողմից իրականացվող պայմանագրերը մնացել են անավարտ կամ իրականացվել են նախատեսված ժամկետների էական խախտումներով, այլ</w:t>
            </w:r>
            <w:r w:rsidRPr="00C7248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և այն, որ </w:t>
            </w:r>
            <w:r w:rsidRPr="00C7248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էլեկտրոնային գնումների համակարգի միջոցով հրավերը հրապարակելու դեպքում օրենսդրությամբ հայտերի ներկայացման ժամկետ է սահմանվում 2-5 աշխատանքային օր, ինչն </w:t>
            </w:r>
            <w:r w:rsidRPr="00C7248F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իրատեսական չէ նման ծավալի աշխատանքների իրականացման համար համապատասխան գնային առաջարկ ներկայացնելու համար: Որպես օրինակ՝ Ընկերության կողմից միջազգային կազմակերպությունների ֆինանսավորմամբ իրականացվող մյուս ենթակայանների վերակառուցման ծրագրերում հայտերի ներկայացման համար նվազագույն ժամկետ սահմանվում է 60 օրացուցային օր: Հաշվի առնելով այս հանգամանքը, «Բարձրավոլտ էլեկտրացանցեր» փակ բաժնետիրական ընկերությունը (այսուհետ՝ Ընկերություն) 2020թ. մայիսի 14-ին գնային առաջարկների ներկայացման հարցումներ է ուղարկել նախկինում Ընկերության այլ ենթակայանների վերակառուցման աշխատանքներում ներգրավված կապալառուներ ABB, General Electric, Siemens AG, Kaskad-Energo LLC ընկերություններին, որոնց կողմից, ըստ Ընկերության գնահատականի, նախկինում կատարվել են պատշաճ որակի աշխատանքներ, և որոնք ունեն 220 կՎ ենթակայանի ամբողջական վերակառուցման աշխատանքերի իրականացման համապատասխան փորձառություն և կարողություններ: Նշված Ընկերությունների կողմից գնային առաջարկներ ներկայացնելու ժամկետ սահմանվել է 30 օրացույցային օր:</w:t>
            </w:r>
          </w:p>
          <w:p w14:paraId="2C1F7FEC" w14:textId="77777777" w:rsidR="00201643" w:rsidRPr="00C7248F" w:rsidRDefault="00201643" w:rsidP="00201643">
            <w:pPr>
              <w:ind w:firstLine="72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7248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 պատասխան այն դիրքորոշմանը, որ կապալառուի կողմից պայմանագրի չկատարման կամ պատշաճ չկատարման դեպքում հիշյալ ռիսկերը նվազեցնելու համար օրենսդրությունը, պայմանագրի (կանխավճարի) և որակավորման ապահովումների միջոցով, պատվիրատուին տալիս է իրավիճակից բխող գործողությունների իրականացման </w:t>
            </w:r>
            <w:r w:rsidRPr="00C7248F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գործիքակազմ, ինչը սակայն ներկայացված նախագծով առաջարկվում է չկիրառել, նշենք, որ Նախագծով առաջարկվում չկիրառել միայն ՀՀ կառավարության 2017 թվականի մայիսի 4-ի «Գնումների գործընթացի կազմակերպման կարգը հաստատելու և ՀՀ կառավարության 2011 թվականի փետրվարի 10-ի N 168-Ն որոշումն ուժը կորցրած ճանաչելու մասին» 526-Ն որոշմամբ հաստատված գնումների գործընթացի կազմակերպման կարգի </w:t>
            </w:r>
            <w:r w:rsidRPr="00C7248F">
              <w:rPr>
                <w:rFonts w:ascii="GHEA Grapalat" w:hAnsi="GHEA Grapalat"/>
                <w:sz w:val="22"/>
                <w:szCs w:val="22"/>
                <w:lang w:val="hy-AM"/>
              </w:rPr>
              <w:t>114-րդ կետի 2-րդ ենթակետի 2-րդ նա</w:t>
            </w:r>
            <w:r w:rsidRPr="00C7248F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խա</w:t>
            </w:r>
            <w:r w:rsidRPr="00C7248F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դա</w:t>
            </w:r>
            <w:r w:rsidRPr="00C7248F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սու</w:t>
            </w:r>
            <w:r w:rsidRPr="00C7248F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 xml:space="preserve">թյան պահանջը, այն է՝ «Ընդ որում մինչև կանխավճարի ամբողջական մարումը, պայմանագրի կողմին վճարումներ չեն կատարվում»: Այս դեպքում առաջարկվում է </w:t>
            </w:r>
            <w:r w:rsidRPr="00C7248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կանխավճարի նվազեցումներն իրականացնել հաշիվ-ապրանքագրերով վճարման ներկայացված գումարներին համամասնորեն, իսկ </w:t>
            </w:r>
            <w:r w:rsidRPr="00C7248F">
              <w:rPr>
                <w:rFonts w:ascii="GHEA Grapalat" w:hAnsi="GHEA Grapalat"/>
                <w:sz w:val="22"/>
                <w:szCs w:val="22"/>
                <w:lang w:val="hy-AM"/>
              </w:rPr>
              <w:t xml:space="preserve">որպես ապահովման միջոց կիրառվելու է կապալառուի կողմից ներկայացված կանխավճարի բանկային երաշխիքը: Միաժամանակ նշենք, որ այս բացառության կիրառման դեպքում կապալառուն համաձայնել է շուրջ 1,1 մլն ԱՄՆ դոլարով նվազեցնել ներկայացված գնային առաջարկը: Ի հավելումն նշենք նաև, որ Կապալառուն ներկայացնելու է </w:t>
            </w:r>
            <w:r w:rsidRPr="00C7248F">
              <w:rPr>
                <w:rFonts w:ascii="GHEA Grapalat" w:hAnsi="GHEA Grapalat" w:cs="GHEA Grapalat"/>
                <w:sz w:val="22"/>
                <w:szCs w:val="22"/>
                <w:lang w:val="hy-AM"/>
              </w:rPr>
              <w:t>պայմանագրի ընդհանուր գնի հարյուր տոկոսի չափով բանկային երաշխիք՝ որպես պայմանագրի որակավորման ապահովում, և պայմանագրի ընդհանուր գնի տասը տոկոսի չափով բանկային երաշխիք՝ որպես պայմանագրի կատարման ապահովում</w:t>
            </w:r>
          </w:p>
          <w:p w14:paraId="4F7B5507" w14:textId="77777777" w:rsidR="00201643" w:rsidRPr="00C7248F" w:rsidRDefault="00201643" w:rsidP="00201643">
            <w:pPr>
              <w:ind w:firstLine="72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7248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Հաշվի առնելով որ պայմանագրի ժամկետի երկարաձգում կարող է կիրառվել միայն ոչ կապալառուի մեղքով ի հայտ եկած հանգամանքներում, ինչպիսին է Նախագծի հիմնավորմամբ բերված օրինակը, այն է՝ </w:t>
            </w:r>
            <w:r w:rsidRPr="00C7248F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Ենթակայանի վերակառուցման աշխատանքները նախատեսվում է իրականացնել Ենթակայանի ոչ թե ամբողջական, այլ մասնակի անջատումների միջոցով, որոնք պայմանավորված են էլեկտրաէներգետիկական համակարգի ռեժիմներով, ուստի հնարավոր է ոչ կապալառուի մեղքով առաջանան վերակառուցման աշխատանքների նախատեսված ժամանակացույցից շեղումներ, որն էլ իր հերթին կհանգեցնի պայմանագրով նախատեսված աշխատանքների իրականացման ժամկետների փոփոխման, ինչպես նաև այն, որ նման նախադեպեր </w:t>
            </w:r>
            <w:bookmarkStart w:id="1" w:name="_GoBack"/>
            <w:bookmarkEnd w:id="1"/>
            <w:r w:rsidRPr="00C7248F">
              <w:rPr>
                <w:rFonts w:ascii="GHEA Grapalat" w:hAnsi="GHEA Grapalat" w:cs="Sylfaen"/>
                <w:sz w:val="22"/>
                <w:szCs w:val="22"/>
                <w:lang w:val="hy-AM"/>
              </w:rPr>
              <w:t>արդեն իսկ առկա են «Բարձրավոլտ էլեկտրացանցեր» փակ բաժնետիրական ընկերության կողմից միջազգային պայմանագրերի շրջանակներում իրականացվող նմանատիպ այլ ենթակայանների վերակառուցման ծրագրերում, որոնց վրա չեն տարածվում ՀՀ օրենսդրության կարգավորումները, Նախագծով առաջարկվում է անհրաժետության դեպքում պայմանագրի ժամկետի երկարաձգման համար ՀՀ օրենսդրությամբ նախատեսված սահմանափակման նկատմամբ բացառություն կիրառելու համաձայնություն տալ այս փուլում:</w:t>
            </w:r>
          </w:p>
          <w:p w14:paraId="06BC16B1" w14:textId="77777777" w:rsidR="00F92E3C" w:rsidRPr="00C7248F" w:rsidRDefault="00F92E3C" w:rsidP="00F92E3C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F92E3C" w:rsidRPr="00C7248F" w14:paraId="16582D94" w14:textId="77777777" w:rsidTr="005F6D8D">
        <w:tc>
          <w:tcPr>
            <w:tcW w:w="426" w:type="dxa"/>
          </w:tcPr>
          <w:p w14:paraId="5CE246E9" w14:textId="77777777" w:rsidR="00F92E3C" w:rsidRPr="00C7248F" w:rsidRDefault="00DF0E74" w:rsidP="00F92E3C">
            <w:pPr>
              <w:pStyle w:val="BodyText"/>
              <w:tabs>
                <w:tab w:val="left" w:pos="720"/>
              </w:tabs>
              <w:spacing w:after="0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lastRenderedPageBreak/>
              <w:t>2.</w:t>
            </w:r>
          </w:p>
        </w:tc>
        <w:tc>
          <w:tcPr>
            <w:tcW w:w="2187" w:type="dxa"/>
            <w:tcBorders>
              <w:bottom w:val="single" w:sz="4" w:space="0" w:color="auto"/>
            </w:tcBorders>
          </w:tcPr>
          <w:p w14:paraId="6FC732C8" w14:textId="77777777" w:rsidR="00F92E3C" w:rsidRPr="00C7248F" w:rsidRDefault="00DF0E74" w:rsidP="00DF0E74">
            <w:pPr>
              <w:tabs>
                <w:tab w:val="left" w:pos="9923"/>
                <w:tab w:val="left" w:pos="11160"/>
              </w:tabs>
              <w:ind w:right="-241" w:firstLine="57"/>
              <w:rPr>
                <w:rFonts w:ascii="GHEA Grapalat" w:hAnsi="GHEA Grapalat" w:cs="Sylfaen"/>
                <w:sz w:val="22"/>
                <w:szCs w:val="22"/>
                <w:highlight w:val="yellow"/>
                <w:lang w:val="en-US"/>
              </w:rPr>
            </w:pPr>
            <w:r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ՀՀ </w:t>
            </w:r>
            <w:proofErr w:type="spellStart"/>
            <w:r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>արդարադատության</w:t>
            </w:r>
            <w:proofErr w:type="spellEnd"/>
            <w:r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</w:tc>
        <w:tc>
          <w:tcPr>
            <w:tcW w:w="5971" w:type="dxa"/>
          </w:tcPr>
          <w:p w14:paraId="791E63F1" w14:textId="10F6D080" w:rsidR="00F92E3C" w:rsidRPr="00C7248F" w:rsidRDefault="007A0501" w:rsidP="00007829">
            <w:pPr>
              <w:ind w:left="91" w:right="232"/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C7248F">
              <w:rPr>
                <w:rFonts w:ascii="GHEA Grapalat" w:hAnsi="GHEA Grapalat"/>
                <w:sz w:val="22"/>
                <w:szCs w:val="22"/>
                <w:lang w:val="hy-AM" w:eastAsia="en-US"/>
              </w:rPr>
              <w:t>«</w:t>
            </w:r>
            <w:r w:rsidR="00181DC9" w:rsidRPr="00C7248F">
              <w:rPr>
                <w:rFonts w:ascii="GHEA Grapalat" w:hAnsi="GHEA Grapalat"/>
                <w:sz w:val="22"/>
                <w:szCs w:val="22"/>
                <w:lang w:val="hy-AM" w:eastAsia="en-US"/>
              </w:rPr>
              <w:t>«Բարձրավոլտ էկելտրացանցեր» փակ բաժնետիրական ընկերության «Լիճք» 220/110/35 կՎ ենթակայանի վերակառուցման աշխատանքներն իրականացնելու համար մեկ անձից գնման ընթացակարգով գնման գործընթաց իրականացնելու մասին» Հայաստանի Հանրապետության կառավարության որոշման նախագծի վերաբերյալ դիտողությ</w:t>
            </w:r>
            <w:r w:rsidR="00007829" w:rsidRPr="00C7248F">
              <w:rPr>
                <w:rFonts w:ascii="GHEA Grapalat" w:hAnsi="GHEA Grapalat"/>
                <w:sz w:val="22"/>
                <w:szCs w:val="22"/>
                <w:lang w:val="hy-AM" w:eastAsia="en-US"/>
              </w:rPr>
              <w:t>ուններ և առաջարկություններ չկան:</w:t>
            </w:r>
          </w:p>
        </w:tc>
        <w:tc>
          <w:tcPr>
            <w:tcW w:w="1765" w:type="dxa"/>
          </w:tcPr>
          <w:p w14:paraId="1DED1894" w14:textId="77777777" w:rsidR="00525D32" w:rsidRPr="00C7248F" w:rsidRDefault="00525D32" w:rsidP="00A0654F">
            <w:pPr>
              <w:tabs>
                <w:tab w:val="left" w:pos="9923"/>
                <w:tab w:val="left" w:pos="11160"/>
              </w:tabs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4950" w:type="dxa"/>
          </w:tcPr>
          <w:p w14:paraId="2BD49B57" w14:textId="77777777" w:rsidR="00DE491E" w:rsidRPr="00C7248F" w:rsidRDefault="00DE491E" w:rsidP="00915660">
            <w:pPr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</w:tbl>
    <w:p w14:paraId="4FD9397E" w14:textId="77777777" w:rsidR="00F92E3C" w:rsidRPr="00C7248F" w:rsidRDefault="00F92E3C" w:rsidP="00F92E3C">
      <w:pPr>
        <w:spacing w:line="276" w:lineRule="auto"/>
        <w:jc w:val="right"/>
        <w:rPr>
          <w:rFonts w:ascii="GHEA Grapalat" w:hAnsi="GHEA Grapalat"/>
          <w:sz w:val="22"/>
          <w:szCs w:val="22"/>
          <w:lang w:val="af-ZA"/>
        </w:rPr>
      </w:pPr>
    </w:p>
    <w:p w14:paraId="5B7F6F7D" w14:textId="77777777" w:rsidR="00A747B8" w:rsidRPr="00C7248F" w:rsidRDefault="00A747B8">
      <w:pPr>
        <w:rPr>
          <w:rFonts w:ascii="GHEA Grapalat" w:hAnsi="GHEA Grapalat"/>
          <w:sz w:val="22"/>
          <w:szCs w:val="22"/>
          <w:lang w:val="af-ZA"/>
        </w:rPr>
      </w:pPr>
    </w:p>
    <w:sectPr w:rsidR="00A747B8" w:rsidRPr="00C7248F" w:rsidSect="00825E63">
      <w:pgSz w:w="15840" w:h="12240" w:orient="landscape"/>
      <w:pgMar w:top="426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altName w:val="Times New Roman"/>
    <w:panose1 w:val="00000000000000000000"/>
    <w:charset w:val="4D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Batang">
    <w:altName w:val="바탕"/>
    <w:panose1 w:val="00000000000000000000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72F9A"/>
    <w:multiLevelType w:val="hybridMultilevel"/>
    <w:tmpl w:val="C722EA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933808"/>
    <w:multiLevelType w:val="hybridMultilevel"/>
    <w:tmpl w:val="D32483EA"/>
    <w:lvl w:ilvl="0" w:tplc="886295D6">
      <w:start w:val="1"/>
      <w:numFmt w:val="decimal"/>
      <w:lvlText w:val="%1)"/>
      <w:lvlJc w:val="left"/>
      <w:pPr>
        <w:ind w:left="1789" w:hanging="108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454369B"/>
    <w:multiLevelType w:val="hybridMultilevel"/>
    <w:tmpl w:val="3B9894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7137DA"/>
    <w:multiLevelType w:val="hybridMultilevel"/>
    <w:tmpl w:val="B0568834"/>
    <w:lvl w:ilvl="0" w:tplc="CCDA72A0">
      <w:start w:val="1"/>
      <w:numFmt w:val="decimal"/>
      <w:pStyle w:val="namakihasceater"/>
      <w:lvlText w:val="%1."/>
      <w:lvlJc w:val="left"/>
      <w:pPr>
        <w:ind w:left="6172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6892" w:hanging="360"/>
      </w:pPr>
    </w:lvl>
    <w:lvl w:ilvl="2" w:tplc="0409001B" w:tentative="1">
      <w:start w:val="1"/>
      <w:numFmt w:val="lowerRoman"/>
      <w:lvlText w:val="%3."/>
      <w:lvlJc w:val="right"/>
      <w:pPr>
        <w:ind w:left="7612" w:hanging="180"/>
      </w:pPr>
    </w:lvl>
    <w:lvl w:ilvl="3" w:tplc="0409000F" w:tentative="1">
      <w:start w:val="1"/>
      <w:numFmt w:val="decimal"/>
      <w:lvlText w:val="%4."/>
      <w:lvlJc w:val="left"/>
      <w:pPr>
        <w:ind w:left="8332" w:hanging="360"/>
      </w:pPr>
    </w:lvl>
    <w:lvl w:ilvl="4" w:tplc="04090019" w:tentative="1">
      <w:start w:val="1"/>
      <w:numFmt w:val="lowerLetter"/>
      <w:lvlText w:val="%5."/>
      <w:lvlJc w:val="left"/>
      <w:pPr>
        <w:ind w:left="9052" w:hanging="360"/>
      </w:pPr>
    </w:lvl>
    <w:lvl w:ilvl="5" w:tplc="0409001B" w:tentative="1">
      <w:start w:val="1"/>
      <w:numFmt w:val="lowerRoman"/>
      <w:lvlText w:val="%6."/>
      <w:lvlJc w:val="right"/>
      <w:pPr>
        <w:ind w:left="9772" w:hanging="180"/>
      </w:pPr>
    </w:lvl>
    <w:lvl w:ilvl="6" w:tplc="0409000F" w:tentative="1">
      <w:start w:val="1"/>
      <w:numFmt w:val="decimal"/>
      <w:lvlText w:val="%7."/>
      <w:lvlJc w:val="left"/>
      <w:pPr>
        <w:ind w:left="10492" w:hanging="360"/>
      </w:pPr>
    </w:lvl>
    <w:lvl w:ilvl="7" w:tplc="04090019" w:tentative="1">
      <w:start w:val="1"/>
      <w:numFmt w:val="lowerLetter"/>
      <w:lvlText w:val="%8."/>
      <w:lvlJc w:val="left"/>
      <w:pPr>
        <w:ind w:left="11212" w:hanging="360"/>
      </w:pPr>
    </w:lvl>
    <w:lvl w:ilvl="8" w:tplc="0409001B" w:tentative="1">
      <w:start w:val="1"/>
      <w:numFmt w:val="lowerRoman"/>
      <w:lvlText w:val="%9."/>
      <w:lvlJc w:val="right"/>
      <w:pPr>
        <w:ind w:left="11932" w:hanging="180"/>
      </w:pPr>
    </w:lvl>
  </w:abstractNum>
  <w:abstractNum w:abstractNumId="4">
    <w:nsid w:val="754F26BC"/>
    <w:multiLevelType w:val="hybridMultilevel"/>
    <w:tmpl w:val="5E1E3D9C"/>
    <w:lvl w:ilvl="0" w:tplc="04090001">
      <w:start w:val="1"/>
      <w:numFmt w:val="bullet"/>
      <w:lvlText w:val=""/>
      <w:lvlJc w:val="left"/>
      <w:pPr>
        <w:ind w:left="7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5">
    <w:nsid w:val="780521FD"/>
    <w:multiLevelType w:val="hybridMultilevel"/>
    <w:tmpl w:val="5E9CE1A2"/>
    <w:lvl w:ilvl="0" w:tplc="B07ACA86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3D8"/>
    <w:rsid w:val="00005E7D"/>
    <w:rsid w:val="000060A9"/>
    <w:rsid w:val="00007829"/>
    <w:rsid w:val="000259DF"/>
    <w:rsid w:val="00037A51"/>
    <w:rsid w:val="00040B3A"/>
    <w:rsid w:val="000434FA"/>
    <w:rsid w:val="00051315"/>
    <w:rsid w:val="00061786"/>
    <w:rsid w:val="00062B1B"/>
    <w:rsid w:val="00082B88"/>
    <w:rsid w:val="000A0259"/>
    <w:rsid w:val="000A7B3F"/>
    <w:rsid w:val="000B4F8F"/>
    <w:rsid w:val="000C5385"/>
    <w:rsid w:val="000C6D3C"/>
    <w:rsid w:val="000D20DE"/>
    <w:rsid w:val="000D555B"/>
    <w:rsid w:val="000F15F9"/>
    <w:rsid w:val="000F6702"/>
    <w:rsid w:val="001039F8"/>
    <w:rsid w:val="00104A52"/>
    <w:rsid w:val="00106A42"/>
    <w:rsid w:val="001116EB"/>
    <w:rsid w:val="0012216A"/>
    <w:rsid w:val="00125C25"/>
    <w:rsid w:val="00144BB8"/>
    <w:rsid w:val="001459A3"/>
    <w:rsid w:val="00146BD9"/>
    <w:rsid w:val="00147C3B"/>
    <w:rsid w:val="00147DE2"/>
    <w:rsid w:val="00155EDA"/>
    <w:rsid w:val="00157C78"/>
    <w:rsid w:val="00161FE5"/>
    <w:rsid w:val="0016666A"/>
    <w:rsid w:val="00166CB1"/>
    <w:rsid w:val="0017059D"/>
    <w:rsid w:val="00170D0A"/>
    <w:rsid w:val="00174EB7"/>
    <w:rsid w:val="00175373"/>
    <w:rsid w:val="00177700"/>
    <w:rsid w:val="00181DC9"/>
    <w:rsid w:val="001A31C9"/>
    <w:rsid w:val="001A517F"/>
    <w:rsid w:val="001B05FD"/>
    <w:rsid w:val="001B2741"/>
    <w:rsid w:val="001B687F"/>
    <w:rsid w:val="001D145A"/>
    <w:rsid w:val="001D5C36"/>
    <w:rsid w:val="001E52CE"/>
    <w:rsid w:val="00201643"/>
    <w:rsid w:val="00203713"/>
    <w:rsid w:val="00211271"/>
    <w:rsid w:val="002175E3"/>
    <w:rsid w:val="00240735"/>
    <w:rsid w:val="0026072F"/>
    <w:rsid w:val="002704C6"/>
    <w:rsid w:val="002778AE"/>
    <w:rsid w:val="00284F79"/>
    <w:rsid w:val="0029587D"/>
    <w:rsid w:val="002C20AD"/>
    <w:rsid w:val="002C5E9A"/>
    <w:rsid w:val="002F1AD6"/>
    <w:rsid w:val="002F3DF0"/>
    <w:rsid w:val="00307E9F"/>
    <w:rsid w:val="00313C39"/>
    <w:rsid w:val="003248B9"/>
    <w:rsid w:val="003315EF"/>
    <w:rsid w:val="003413A4"/>
    <w:rsid w:val="0035342F"/>
    <w:rsid w:val="00357AE1"/>
    <w:rsid w:val="003657B5"/>
    <w:rsid w:val="00384A17"/>
    <w:rsid w:val="003B50B8"/>
    <w:rsid w:val="003B60C9"/>
    <w:rsid w:val="003C42C2"/>
    <w:rsid w:val="003C7DE7"/>
    <w:rsid w:val="003D5D3C"/>
    <w:rsid w:val="00402DF3"/>
    <w:rsid w:val="0042032C"/>
    <w:rsid w:val="004305CD"/>
    <w:rsid w:val="00430800"/>
    <w:rsid w:val="00456F69"/>
    <w:rsid w:val="0049245F"/>
    <w:rsid w:val="0049534E"/>
    <w:rsid w:val="004A4733"/>
    <w:rsid w:val="004A7299"/>
    <w:rsid w:val="004B2743"/>
    <w:rsid w:val="004B31FC"/>
    <w:rsid w:val="004C63A5"/>
    <w:rsid w:val="004D7F89"/>
    <w:rsid w:val="004E3B05"/>
    <w:rsid w:val="004F5E70"/>
    <w:rsid w:val="005039A3"/>
    <w:rsid w:val="00507AFB"/>
    <w:rsid w:val="00525D32"/>
    <w:rsid w:val="00532E58"/>
    <w:rsid w:val="0056721B"/>
    <w:rsid w:val="005835A6"/>
    <w:rsid w:val="005853EE"/>
    <w:rsid w:val="005D3ACF"/>
    <w:rsid w:val="005F2F05"/>
    <w:rsid w:val="005F6D8D"/>
    <w:rsid w:val="005F6E79"/>
    <w:rsid w:val="0060384A"/>
    <w:rsid w:val="00631777"/>
    <w:rsid w:val="006414F9"/>
    <w:rsid w:val="006430AC"/>
    <w:rsid w:val="00643498"/>
    <w:rsid w:val="00647130"/>
    <w:rsid w:val="006475B9"/>
    <w:rsid w:val="00682595"/>
    <w:rsid w:val="00687BFA"/>
    <w:rsid w:val="006B618D"/>
    <w:rsid w:val="006C02FF"/>
    <w:rsid w:val="006C234A"/>
    <w:rsid w:val="0070424E"/>
    <w:rsid w:val="007216BA"/>
    <w:rsid w:val="0072341D"/>
    <w:rsid w:val="00725F14"/>
    <w:rsid w:val="007340D9"/>
    <w:rsid w:val="00735DE7"/>
    <w:rsid w:val="00752323"/>
    <w:rsid w:val="00762723"/>
    <w:rsid w:val="007632D2"/>
    <w:rsid w:val="00786D90"/>
    <w:rsid w:val="007966B4"/>
    <w:rsid w:val="007A0501"/>
    <w:rsid w:val="007B19F5"/>
    <w:rsid w:val="007B5836"/>
    <w:rsid w:val="007B5A85"/>
    <w:rsid w:val="007C5C63"/>
    <w:rsid w:val="007E351A"/>
    <w:rsid w:val="007E4B18"/>
    <w:rsid w:val="007F0AD0"/>
    <w:rsid w:val="00806F03"/>
    <w:rsid w:val="00811694"/>
    <w:rsid w:val="008201BD"/>
    <w:rsid w:val="008304B3"/>
    <w:rsid w:val="00842C0D"/>
    <w:rsid w:val="00864439"/>
    <w:rsid w:val="00865196"/>
    <w:rsid w:val="00865570"/>
    <w:rsid w:val="00885C97"/>
    <w:rsid w:val="00887450"/>
    <w:rsid w:val="00892ADA"/>
    <w:rsid w:val="008A73DC"/>
    <w:rsid w:val="008B55CD"/>
    <w:rsid w:val="008C3E20"/>
    <w:rsid w:val="008E5563"/>
    <w:rsid w:val="008F24E4"/>
    <w:rsid w:val="008F365A"/>
    <w:rsid w:val="00905160"/>
    <w:rsid w:val="00915660"/>
    <w:rsid w:val="00920BC2"/>
    <w:rsid w:val="00955105"/>
    <w:rsid w:val="0096009B"/>
    <w:rsid w:val="0096048C"/>
    <w:rsid w:val="00962D72"/>
    <w:rsid w:val="00967F12"/>
    <w:rsid w:val="0098040D"/>
    <w:rsid w:val="009820FA"/>
    <w:rsid w:val="00992D07"/>
    <w:rsid w:val="00993437"/>
    <w:rsid w:val="009A0FFD"/>
    <w:rsid w:val="009A378A"/>
    <w:rsid w:val="009B15B3"/>
    <w:rsid w:val="009D0EFA"/>
    <w:rsid w:val="009D73D3"/>
    <w:rsid w:val="009D7992"/>
    <w:rsid w:val="009E49BE"/>
    <w:rsid w:val="009F0944"/>
    <w:rsid w:val="009F43A5"/>
    <w:rsid w:val="009F69A5"/>
    <w:rsid w:val="009F737C"/>
    <w:rsid w:val="00A03106"/>
    <w:rsid w:val="00A04FFD"/>
    <w:rsid w:val="00A0654F"/>
    <w:rsid w:val="00A234AD"/>
    <w:rsid w:val="00A31635"/>
    <w:rsid w:val="00A4486E"/>
    <w:rsid w:val="00A54F9B"/>
    <w:rsid w:val="00A57C6A"/>
    <w:rsid w:val="00A747B8"/>
    <w:rsid w:val="00A77DF9"/>
    <w:rsid w:val="00A9621A"/>
    <w:rsid w:val="00AB54CC"/>
    <w:rsid w:val="00AC2F97"/>
    <w:rsid w:val="00AD28A3"/>
    <w:rsid w:val="00AF1937"/>
    <w:rsid w:val="00AF1DFE"/>
    <w:rsid w:val="00AF2657"/>
    <w:rsid w:val="00B01211"/>
    <w:rsid w:val="00B10481"/>
    <w:rsid w:val="00B13190"/>
    <w:rsid w:val="00B1449E"/>
    <w:rsid w:val="00B34F97"/>
    <w:rsid w:val="00B37E26"/>
    <w:rsid w:val="00B442D1"/>
    <w:rsid w:val="00B505A2"/>
    <w:rsid w:val="00B51115"/>
    <w:rsid w:val="00B535F2"/>
    <w:rsid w:val="00B55CA4"/>
    <w:rsid w:val="00B60FA7"/>
    <w:rsid w:val="00B625C5"/>
    <w:rsid w:val="00B6522F"/>
    <w:rsid w:val="00B77F43"/>
    <w:rsid w:val="00B90492"/>
    <w:rsid w:val="00B97713"/>
    <w:rsid w:val="00BA63D8"/>
    <w:rsid w:val="00BA756A"/>
    <w:rsid w:val="00BC0300"/>
    <w:rsid w:val="00BC3615"/>
    <w:rsid w:val="00BC540F"/>
    <w:rsid w:val="00BD33AD"/>
    <w:rsid w:val="00BF5F12"/>
    <w:rsid w:val="00C11F8D"/>
    <w:rsid w:val="00C406BC"/>
    <w:rsid w:val="00C430EB"/>
    <w:rsid w:val="00C56FF0"/>
    <w:rsid w:val="00C612F6"/>
    <w:rsid w:val="00C67A46"/>
    <w:rsid w:val="00C7248F"/>
    <w:rsid w:val="00C74EA5"/>
    <w:rsid w:val="00C904A0"/>
    <w:rsid w:val="00C91BE0"/>
    <w:rsid w:val="00CE3A2B"/>
    <w:rsid w:val="00CE7BBA"/>
    <w:rsid w:val="00CF348A"/>
    <w:rsid w:val="00D00863"/>
    <w:rsid w:val="00D03663"/>
    <w:rsid w:val="00D05763"/>
    <w:rsid w:val="00D07447"/>
    <w:rsid w:val="00D17C89"/>
    <w:rsid w:val="00D347A8"/>
    <w:rsid w:val="00D40E66"/>
    <w:rsid w:val="00D432EE"/>
    <w:rsid w:val="00D44572"/>
    <w:rsid w:val="00D73197"/>
    <w:rsid w:val="00D7728A"/>
    <w:rsid w:val="00D814BF"/>
    <w:rsid w:val="00D841AF"/>
    <w:rsid w:val="00D85C24"/>
    <w:rsid w:val="00D92EB2"/>
    <w:rsid w:val="00DA4423"/>
    <w:rsid w:val="00DB15E7"/>
    <w:rsid w:val="00DB4485"/>
    <w:rsid w:val="00DB4792"/>
    <w:rsid w:val="00DD53AB"/>
    <w:rsid w:val="00DE355F"/>
    <w:rsid w:val="00DE491E"/>
    <w:rsid w:val="00DE78C6"/>
    <w:rsid w:val="00DF0D3F"/>
    <w:rsid w:val="00DF0E74"/>
    <w:rsid w:val="00DF1E2E"/>
    <w:rsid w:val="00DF2DA8"/>
    <w:rsid w:val="00DF50D8"/>
    <w:rsid w:val="00E10F2A"/>
    <w:rsid w:val="00E233E7"/>
    <w:rsid w:val="00E3525B"/>
    <w:rsid w:val="00E35D45"/>
    <w:rsid w:val="00E40ACC"/>
    <w:rsid w:val="00E502F5"/>
    <w:rsid w:val="00E50CAA"/>
    <w:rsid w:val="00E538CE"/>
    <w:rsid w:val="00E55AD0"/>
    <w:rsid w:val="00E55EF7"/>
    <w:rsid w:val="00E72728"/>
    <w:rsid w:val="00E808FE"/>
    <w:rsid w:val="00E840BF"/>
    <w:rsid w:val="00E901B1"/>
    <w:rsid w:val="00E93C42"/>
    <w:rsid w:val="00E97733"/>
    <w:rsid w:val="00EB59D9"/>
    <w:rsid w:val="00EC7DEB"/>
    <w:rsid w:val="00ED3AED"/>
    <w:rsid w:val="00EF4119"/>
    <w:rsid w:val="00EF6953"/>
    <w:rsid w:val="00EF7394"/>
    <w:rsid w:val="00F07B04"/>
    <w:rsid w:val="00F10976"/>
    <w:rsid w:val="00F14FD6"/>
    <w:rsid w:val="00F15946"/>
    <w:rsid w:val="00F24635"/>
    <w:rsid w:val="00F46840"/>
    <w:rsid w:val="00F56257"/>
    <w:rsid w:val="00F7332C"/>
    <w:rsid w:val="00F83756"/>
    <w:rsid w:val="00F92424"/>
    <w:rsid w:val="00F92E3C"/>
    <w:rsid w:val="00FC0BE4"/>
    <w:rsid w:val="00FD7ED0"/>
    <w:rsid w:val="00FE4B2B"/>
    <w:rsid w:val="00FE5BD5"/>
    <w:rsid w:val="00FF3B0C"/>
    <w:rsid w:val="00FF52AE"/>
    <w:rsid w:val="00FF6C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30AAC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92E3C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F92E3C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Dot pt,F5 List Paragraph,List Paragraph1,List Paragraph Char Char Char,Indicator Text,Colorful List - Accent 11,Numbered Para 1,Bullet Points,List Paragraph2,MAIN CONTENT,Normal numbered,No Spacing1,Issue Action POC,EX Bullet,List1,lp1,Ha"/>
    <w:basedOn w:val="Normal"/>
    <w:link w:val="ListParagraphChar"/>
    <w:uiPriority w:val="34"/>
    <w:qFormat/>
    <w:rsid w:val="00F92E3C"/>
    <w:pPr>
      <w:ind w:left="720"/>
      <w:contextualSpacing/>
    </w:pPr>
  </w:style>
  <w:style w:type="character" w:customStyle="1" w:styleId="ListParagraphChar">
    <w:name w:val="List Paragraph Char"/>
    <w:aliases w:val="Dot pt Char,F5 List Paragraph Char,List Paragraph1 Char,List Paragraph Char Char Char Char,Indicator Text Char,Colorful List - Accent 11 Char,Numbered Para 1 Char,Bullet Points Char,List Paragraph2 Char,MAIN CONTENT Char,List1 Char"/>
    <w:link w:val="ListParagraph"/>
    <w:uiPriority w:val="34"/>
    <w:qFormat/>
    <w:locked/>
    <w:rsid w:val="00F92E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akihasceater">
    <w:name w:val="namaki hasceater"/>
    <w:autoRedefine/>
    <w:rsid w:val="00F92E3C"/>
    <w:pPr>
      <w:numPr>
        <w:numId w:val="2"/>
      </w:numPr>
      <w:tabs>
        <w:tab w:val="left" w:pos="-14"/>
        <w:tab w:val="left" w:pos="346"/>
      </w:tabs>
      <w:spacing w:after="0" w:line="240" w:lineRule="auto"/>
      <w:ind w:left="-14" w:firstLine="0"/>
      <w:jc w:val="both"/>
    </w:pPr>
    <w:rPr>
      <w:rFonts w:ascii="GHEA Grapalat" w:eastAsia="Times New Roman" w:hAnsi="GHEA Grapalat" w:cs="Times New Roman"/>
      <w:spacing w:val="-4"/>
      <w:sz w:val="20"/>
      <w:szCs w:val="20"/>
      <w:lang w:val="hy-AM"/>
    </w:rPr>
  </w:style>
  <w:style w:type="paragraph" w:styleId="NormalWeb">
    <w:name w:val="Normal (Web)"/>
    <w:basedOn w:val="Normal"/>
    <w:uiPriority w:val="99"/>
    <w:unhideWhenUsed/>
    <w:rsid w:val="00F92E3C"/>
    <w:pPr>
      <w:spacing w:before="100" w:beforeAutospacing="1" w:after="100" w:afterAutospacing="1"/>
    </w:pPr>
    <w:rPr>
      <w:lang w:val="en-US" w:eastAsia="en-US"/>
    </w:rPr>
  </w:style>
  <w:style w:type="character" w:styleId="Emphasis">
    <w:name w:val="Emphasis"/>
    <w:basedOn w:val="DefaultParagraphFont"/>
    <w:uiPriority w:val="20"/>
    <w:qFormat/>
    <w:rsid w:val="00525D32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25D32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A31635"/>
  </w:style>
  <w:style w:type="paragraph" w:styleId="BalloonText">
    <w:name w:val="Balloon Text"/>
    <w:basedOn w:val="Normal"/>
    <w:link w:val="BalloonTextChar"/>
    <w:uiPriority w:val="99"/>
    <w:semiHidden/>
    <w:unhideWhenUsed/>
    <w:rsid w:val="00962D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D7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mechtex">
    <w:name w:val="mechtex"/>
    <w:basedOn w:val="Normal"/>
    <w:link w:val="mechtexChar"/>
    <w:rsid w:val="00DF0E74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DF0E74"/>
    <w:rPr>
      <w:rFonts w:ascii="Arial Armenian" w:eastAsia="Times New Roman" w:hAnsi="Arial Armenian" w:cs="Times New Roman"/>
      <w:lang w:val="en-US" w:eastAsia="ru-RU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92E3C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F92E3C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Dot pt,F5 List Paragraph,List Paragraph1,List Paragraph Char Char Char,Indicator Text,Colorful List - Accent 11,Numbered Para 1,Bullet Points,List Paragraph2,MAIN CONTENT,Normal numbered,No Spacing1,Issue Action POC,EX Bullet,List1,lp1,Ha"/>
    <w:basedOn w:val="Normal"/>
    <w:link w:val="ListParagraphChar"/>
    <w:uiPriority w:val="34"/>
    <w:qFormat/>
    <w:rsid w:val="00F92E3C"/>
    <w:pPr>
      <w:ind w:left="720"/>
      <w:contextualSpacing/>
    </w:pPr>
  </w:style>
  <w:style w:type="character" w:customStyle="1" w:styleId="ListParagraphChar">
    <w:name w:val="List Paragraph Char"/>
    <w:aliases w:val="Dot pt Char,F5 List Paragraph Char,List Paragraph1 Char,List Paragraph Char Char Char Char,Indicator Text Char,Colorful List - Accent 11 Char,Numbered Para 1 Char,Bullet Points Char,List Paragraph2 Char,MAIN CONTENT Char,List1 Char"/>
    <w:link w:val="ListParagraph"/>
    <w:uiPriority w:val="34"/>
    <w:qFormat/>
    <w:locked/>
    <w:rsid w:val="00F92E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akihasceater">
    <w:name w:val="namaki hasceater"/>
    <w:autoRedefine/>
    <w:rsid w:val="00F92E3C"/>
    <w:pPr>
      <w:numPr>
        <w:numId w:val="2"/>
      </w:numPr>
      <w:tabs>
        <w:tab w:val="left" w:pos="-14"/>
        <w:tab w:val="left" w:pos="346"/>
      </w:tabs>
      <w:spacing w:after="0" w:line="240" w:lineRule="auto"/>
      <w:ind w:left="-14" w:firstLine="0"/>
      <w:jc w:val="both"/>
    </w:pPr>
    <w:rPr>
      <w:rFonts w:ascii="GHEA Grapalat" w:eastAsia="Times New Roman" w:hAnsi="GHEA Grapalat" w:cs="Times New Roman"/>
      <w:spacing w:val="-4"/>
      <w:sz w:val="20"/>
      <w:szCs w:val="20"/>
      <w:lang w:val="hy-AM"/>
    </w:rPr>
  </w:style>
  <w:style w:type="paragraph" w:styleId="NormalWeb">
    <w:name w:val="Normal (Web)"/>
    <w:basedOn w:val="Normal"/>
    <w:uiPriority w:val="99"/>
    <w:unhideWhenUsed/>
    <w:rsid w:val="00F92E3C"/>
    <w:pPr>
      <w:spacing w:before="100" w:beforeAutospacing="1" w:after="100" w:afterAutospacing="1"/>
    </w:pPr>
    <w:rPr>
      <w:lang w:val="en-US" w:eastAsia="en-US"/>
    </w:rPr>
  </w:style>
  <w:style w:type="character" w:styleId="Emphasis">
    <w:name w:val="Emphasis"/>
    <w:basedOn w:val="DefaultParagraphFont"/>
    <w:uiPriority w:val="20"/>
    <w:qFormat/>
    <w:rsid w:val="00525D32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25D32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A31635"/>
  </w:style>
  <w:style w:type="paragraph" w:styleId="BalloonText">
    <w:name w:val="Balloon Text"/>
    <w:basedOn w:val="Normal"/>
    <w:link w:val="BalloonTextChar"/>
    <w:uiPriority w:val="99"/>
    <w:semiHidden/>
    <w:unhideWhenUsed/>
    <w:rsid w:val="00962D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D7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mechtex">
    <w:name w:val="mechtex"/>
    <w:basedOn w:val="Normal"/>
    <w:link w:val="mechtexChar"/>
    <w:rsid w:val="00DF0E74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DF0E74"/>
    <w:rPr>
      <w:rFonts w:ascii="Arial Armenian" w:eastAsia="Times New Roman" w:hAnsi="Arial Armenian" w:cs="Times New Rom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7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1180</Words>
  <Characters>6732</Characters>
  <Application>Microsoft Macintosh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Hovhanessyan Avetikh Hovhanessyan Avetikh</cp:lastModifiedBy>
  <cp:revision>2</cp:revision>
  <cp:lastPrinted>2020-07-06T06:08:00Z</cp:lastPrinted>
  <dcterms:created xsi:type="dcterms:W3CDTF">2020-07-06T06:48:00Z</dcterms:created>
  <dcterms:modified xsi:type="dcterms:W3CDTF">2020-07-06T06:48:00Z</dcterms:modified>
</cp:coreProperties>
</file>