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9CF" w:rsidRPr="00EE6221" w:rsidRDefault="002C19CC" w:rsidP="009114C3">
      <w:pPr>
        <w:pStyle w:val="headingtitleStyle"/>
        <w:rPr>
          <w:color w:val="auto"/>
          <w:sz w:val="24"/>
          <w:szCs w:val="24"/>
        </w:rPr>
      </w:pPr>
      <w:bookmarkStart w:id="0" w:name="_Toc1"/>
      <w:r w:rsidRPr="00EE6221">
        <w:rPr>
          <w:color w:val="auto"/>
          <w:sz w:val="24"/>
          <w:szCs w:val="24"/>
        </w:rPr>
        <w:t>Ամփոփաթերթ</w:t>
      </w:r>
      <w:bookmarkEnd w:id="0"/>
    </w:p>
    <w:p w:rsidR="009629CF" w:rsidRPr="00EE6221" w:rsidRDefault="002C19CC" w:rsidP="009114C3">
      <w:pPr>
        <w:pStyle w:val="headingtitleStyle"/>
        <w:rPr>
          <w:color w:val="auto"/>
          <w:sz w:val="24"/>
          <w:szCs w:val="24"/>
        </w:rPr>
      </w:pPr>
      <w:bookmarkStart w:id="1" w:name="_Toc2"/>
      <w:r w:rsidRPr="00EE6221">
        <w:rPr>
          <w:color w:val="auto"/>
          <w:sz w:val="24"/>
          <w:szCs w:val="24"/>
        </w:rPr>
        <w:t>Հայաստանի Հանրապետության քրեական դատավարության օրենսգրքի նախագծի վերաբերյալ</w:t>
      </w:r>
      <w:bookmarkEnd w:id="1"/>
    </w:p>
    <w:p w:rsidR="009629CF" w:rsidRPr="00EE6221" w:rsidRDefault="009629CF" w:rsidP="002B3679">
      <w:pPr>
        <w:jc w:val="both"/>
        <w:rPr>
          <w:rFonts w:ascii="GHEA Grapalat" w:hAnsi="GHEA Grapalat"/>
          <w:sz w:val="24"/>
          <w:szCs w:val="24"/>
        </w:rPr>
      </w:pPr>
    </w:p>
    <w:p w:rsidR="009629CF" w:rsidRPr="00EE6221" w:rsidRDefault="009629CF" w:rsidP="002B3679">
      <w:pPr>
        <w:jc w:val="both"/>
        <w:rPr>
          <w:rFonts w:ascii="GHEA Grapalat" w:hAnsi="GHEA Grapalat"/>
          <w:sz w:val="24"/>
          <w:szCs w:val="24"/>
        </w:rPr>
      </w:pPr>
    </w:p>
    <w:tbl>
      <w:tblPr>
        <w:tblW w:w="15593" w:type="dxa"/>
        <w:tblInd w:w="-557" w:type="dxa"/>
        <w:tblLayout w:type="fixed"/>
        <w:tblCellMar>
          <w:left w:w="10" w:type="dxa"/>
          <w:right w:w="10" w:type="dxa"/>
        </w:tblCellMar>
        <w:tblLook w:val="0000"/>
      </w:tblPr>
      <w:tblGrid>
        <w:gridCol w:w="283"/>
        <w:gridCol w:w="1437"/>
        <w:gridCol w:w="8370"/>
        <w:gridCol w:w="1872"/>
        <w:gridCol w:w="3631"/>
      </w:tblGrid>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Առարկության, առաջարկության հեղինակը, ստացման ամսաթիվը</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Առարկության, առաջարկության բովանդակությունը</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Եզրակացություն</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Կատարված փոփոխությունը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vAlign w:val="center"/>
          </w:tcPr>
          <w:p w:rsidR="009629CF" w:rsidRPr="00EE6221" w:rsidRDefault="009629CF" w:rsidP="002B3679">
            <w:pPr>
              <w:jc w:val="both"/>
              <w:rPr>
                <w:rFonts w:ascii="GHEA Grapalat" w:hAnsi="GHEA Grapalat"/>
                <w:sz w:val="24"/>
                <w:szCs w:val="24"/>
              </w:rPr>
            </w:pPr>
          </w:p>
        </w:tc>
        <w:tc>
          <w:tcPr>
            <w:tcW w:w="1437" w:type="dxa"/>
            <w:tcBorders>
              <w:top w:val="single" w:sz="1" w:space="0" w:color="000000"/>
              <w:left w:val="single" w:sz="1" w:space="0" w:color="000000"/>
              <w:bottom w:val="single" w:sz="1" w:space="0" w:color="000000"/>
              <w:right w:val="single" w:sz="1" w:space="0" w:color="000000"/>
            </w:tcBorders>
            <w:vAlign w:val="center"/>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1</w:t>
            </w:r>
          </w:p>
        </w:tc>
        <w:tc>
          <w:tcPr>
            <w:tcW w:w="8370" w:type="dxa"/>
            <w:tcBorders>
              <w:top w:val="single" w:sz="1" w:space="0" w:color="000000"/>
              <w:left w:val="single" w:sz="1" w:space="0" w:color="000000"/>
              <w:bottom w:val="single" w:sz="1" w:space="0" w:color="000000"/>
              <w:right w:val="single" w:sz="1" w:space="0" w:color="000000"/>
            </w:tcBorders>
            <w:vAlign w:val="center"/>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2</w:t>
            </w:r>
          </w:p>
        </w:tc>
        <w:tc>
          <w:tcPr>
            <w:tcW w:w="1872" w:type="dxa"/>
            <w:tcBorders>
              <w:top w:val="single" w:sz="1" w:space="0" w:color="000000"/>
              <w:left w:val="single" w:sz="1" w:space="0" w:color="000000"/>
              <w:bottom w:val="single" w:sz="1" w:space="0" w:color="000000"/>
              <w:right w:val="single" w:sz="1" w:space="0" w:color="000000"/>
            </w:tcBorders>
            <w:vAlign w:val="center"/>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3</w:t>
            </w:r>
          </w:p>
        </w:tc>
        <w:tc>
          <w:tcPr>
            <w:tcW w:w="3631" w:type="dxa"/>
            <w:tcBorders>
              <w:top w:val="single" w:sz="1" w:space="0" w:color="000000"/>
              <w:left w:val="single" w:sz="1" w:space="0" w:color="000000"/>
              <w:bottom w:val="single" w:sz="1" w:space="0" w:color="000000"/>
              <w:right w:val="single" w:sz="1" w:space="0" w:color="000000"/>
            </w:tcBorders>
            <w:vAlign w:val="center"/>
          </w:tcPr>
          <w:p w:rsidR="009629CF" w:rsidRPr="00EE6221" w:rsidRDefault="002C19CC" w:rsidP="007043A4">
            <w:pPr>
              <w:jc w:val="center"/>
              <w:rPr>
                <w:rFonts w:ascii="GHEA Grapalat" w:hAnsi="GHEA Grapalat"/>
                <w:sz w:val="24"/>
                <w:szCs w:val="24"/>
              </w:rPr>
            </w:pPr>
            <w:r w:rsidRPr="00EE6221">
              <w:rPr>
                <w:rFonts w:ascii="GHEA Grapalat" w:eastAsia="GHEA Grapalat" w:hAnsi="GHEA Grapalat" w:cs="GHEA Grapalat"/>
                <w:sz w:val="24"/>
                <w:szCs w:val="24"/>
              </w:rPr>
              <w:t>4</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1</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28.11.2019 </w:t>
            </w:r>
            <w:r w:rsidRPr="00EE6221">
              <w:rPr>
                <w:rFonts w:ascii="GHEA Grapalat" w:eastAsia="GHEA Grapalat" w:hAnsi="GHEA Grapalat" w:cs="GHEA Grapalat"/>
                <w:sz w:val="24"/>
                <w:szCs w:val="24"/>
              </w:rPr>
              <w:lastRenderedPageBreak/>
              <w:t>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7043A4">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Նախագծի 454՝ «Մասնավոր մեղադրանքով նախնական դատալսումները» եւ 455՝ «Մասնավոր մեղադրանքով հիմնական դատալսումները» վերտառությամբ հոդվածներում հստակեցված չէ, թե արդյոք հաշտության համաձայնությունների պահանջները, որոնք կիրառվում են հանրային մեղադրանքի գործերով, կիրառելի են նաեւ մասնավոր մեղադրանքով դատալսումներում հաշտության համաձայնություններ կայացնելիս, թե՝ ոչ։ Հարկ է նկատել, որ նույնիսկ Նախագծում տեղ գտած «օրենքին հակասող համաձայնությունը» չի հաստատվում դատարանի կողմից ձեւակերպումը բավարար չէ, որպեսզի երաշխավորվի Եվրոպական կոնվենցիայի 6-րդ </w:t>
            </w:r>
            <w:r w:rsidRPr="00EE6221">
              <w:rPr>
                <w:rFonts w:ascii="GHEA Grapalat" w:eastAsia="GHEA Grapalat" w:hAnsi="GHEA Grapalat" w:cs="GHEA Grapalat"/>
                <w:sz w:val="24"/>
                <w:szCs w:val="24"/>
              </w:rPr>
              <w:lastRenderedPageBreak/>
              <w:t>հոդվածով ամրագրված իրավունքն ու համապատասխանի դրան։ Հետեւաբար, անհրաժեշտ է սույն դրույթում պատշաճ երաշխիքներ ներառել՝ ապահովելու, որ ցանկացած հաշտություն ձեռք է բերվում իսկապես կամավոր կերպով, եւ երկու կողմերն էլ լիարժեքորեն տեղեկացված են գործի փաստերին եւ իրավական հետեւանքներին։ Համանման դիրքորոշում է արտահայտել նաեւ Եվրոպական դատարանն իր մի շարք որոշումներում (տես օրինակ՝ «Natsvlishvili and Togonidze v. Georgia» դատական ակտը https://hudoc.echr.coe.int/eng#{%22itemid%22:[%22001-142672%22]})</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043A4" w:rsidP="007043A4">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7043A4" w:rsidP="00125B18">
            <w:pPr>
              <w:jc w:val="both"/>
              <w:rPr>
                <w:rFonts w:ascii="GHEA Grapalat" w:hAnsi="GHEA Grapalat"/>
                <w:sz w:val="24"/>
                <w:szCs w:val="24"/>
              </w:rPr>
            </w:pPr>
            <w:r w:rsidRPr="00EE6221">
              <w:rPr>
                <w:rFonts w:ascii="GHEA Grapalat" w:hAnsi="GHEA Grapalat"/>
                <w:sz w:val="24"/>
                <w:szCs w:val="24"/>
              </w:rPr>
              <w:t>Նախագծի 454</w:t>
            </w:r>
            <w:r w:rsidR="00612797" w:rsidRPr="00EE6221">
              <w:rPr>
                <w:rFonts w:ascii="GHEA Grapalat" w:hAnsi="GHEA Grapalat"/>
                <w:sz w:val="24"/>
                <w:szCs w:val="24"/>
              </w:rPr>
              <w:t>-րդ</w:t>
            </w:r>
            <w:r w:rsidRPr="00EE6221">
              <w:rPr>
                <w:rFonts w:ascii="GHEA Grapalat" w:hAnsi="GHEA Grapalat"/>
                <w:sz w:val="24"/>
                <w:szCs w:val="24"/>
              </w:rPr>
              <w:t xml:space="preserve"> հոդվածի 3-րդ մասում և 455</w:t>
            </w:r>
            <w:r w:rsidR="00612797" w:rsidRPr="00EE6221">
              <w:rPr>
                <w:rFonts w:ascii="GHEA Grapalat" w:hAnsi="GHEA Grapalat"/>
                <w:sz w:val="24"/>
                <w:szCs w:val="24"/>
              </w:rPr>
              <w:t>-րդ</w:t>
            </w:r>
            <w:r w:rsidRPr="00EE6221">
              <w:rPr>
                <w:rFonts w:ascii="GHEA Grapalat" w:hAnsi="GHEA Grapalat"/>
                <w:sz w:val="24"/>
                <w:szCs w:val="24"/>
              </w:rPr>
              <w:t xml:space="preserve"> հոդվածի 4-րդ մասում արդեն իսկ ամրագրված են բավարար երաշխիքներ</w:t>
            </w:r>
            <w:r w:rsidR="00125B18" w:rsidRPr="00EE6221">
              <w:rPr>
                <w:rFonts w:ascii="GHEA Grapalat" w:hAnsi="GHEA Grapalat"/>
                <w:sz w:val="24"/>
                <w:szCs w:val="24"/>
                <w:lang w:val="hy-AM"/>
              </w:rPr>
              <w:t xml:space="preserve">: Առաջարկությամբ չի հիմնավորվում, թե լրացուցիչ ինչ երաշխիքներ են անհրաժեշտ սահմանել խնդրո </w:t>
            </w:r>
            <w:r w:rsidR="00125B18" w:rsidRPr="00EE6221">
              <w:rPr>
                <w:rFonts w:ascii="GHEA Grapalat" w:hAnsi="GHEA Grapalat"/>
                <w:sz w:val="24"/>
                <w:szCs w:val="24"/>
                <w:lang w:val="hy-AM"/>
              </w:rPr>
              <w:lastRenderedPageBreak/>
              <w:t>առարկա հոդվածներում: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09477C">
            <w:pPr>
              <w:jc w:val="both"/>
              <w:rPr>
                <w:rFonts w:ascii="GHEA Grapalat" w:hAnsi="GHEA Grapalat"/>
                <w:sz w:val="24"/>
                <w:szCs w:val="24"/>
              </w:rPr>
            </w:pPr>
            <w:r w:rsidRPr="00EE6221">
              <w:rPr>
                <w:rFonts w:ascii="GHEA Grapalat" w:eastAsia="GHEA Grapalat" w:hAnsi="GHEA Grapalat" w:cs="GHEA Grapalat"/>
                <w:sz w:val="24"/>
                <w:szCs w:val="24"/>
              </w:rPr>
              <w:t>Նախագծի 237՝ «Անձնական խուզարկությունը» եւ 238՝ «Խուզարկության արձանագրությունը» վերտառությամբ հոդ</w:t>
            </w:r>
            <w:r w:rsidR="0009477C" w:rsidRPr="00EE6221">
              <w:rPr>
                <w:rFonts w:ascii="GHEA Grapalat" w:eastAsia="GHEA Grapalat" w:hAnsi="GHEA Grapalat" w:cs="GHEA Grapalat"/>
                <w:sz w:val="24"/>
                <w:szCs w:val="24"/>
              </w:rPr>
              <w:t>վ</w:t>
            </w:r>
            <w:r w:rsidRPr="00EE6221">
              <w:rPr>
                <w:rFonts w:ascii="GHEA Grapalat" w:eastAsia="GHEA Grapalat" w:hAnsi="GHEA Grapalat" w:cs="GHEA Grapalat"/>
                <w:sz w:val="24"/>
                <w:szCs w:val="24"/>
              </w:rPr>
              <w:t xml:space="preserve">ածներում նկարագրված գործողությունները պետք է իրականացվեն երաշխավորելով, որ խուզարկությունը որեւէ կերպ չի նվաստացնում կամ ստորացնում տվյալ անձին՝ Եվրոպական կոնվենցիայի 3-րդ հոդվածով նախատեսված արգելքին համապատասխան։ Այդ նպատակով՝ անհրաժեշտ է, որպեսզի ոչ միայն ամրագրվեն խուզարկության հստակ հիմքերը, ինչպես նաեւ այն, որ խուզարկությունը չպետք է իրականացվի հակառակ սեռի անձանց ներկայությամբ եւ տեղի ունենան միայն այն անձանց ներկայությամբ, ովքեր օրենքով պարտավոր են ներկա գտնվել, այլեւ պետք է նախատեսվի, որ մարմնի խոռոչների զննման ընթացքում պահպանվեն հիգիենայի կանոնները, եւ այն իրականացվի այնպես, որպեսզի չհանգեցնի տվյալ անձի լիովին մերկացմանը (տես ավելին՝ § 233, https://rm.coe.int/16806ef4c5)։ Հաշվի առնելով վերոգրյալը՝ առաջարկում </w:t>
            </w:r>
            <w:r w:rsidRPr="00EE6221">
              <w:rPr>
                <w:rFonts w:ascii="GHEA Grapalat" w:eastAsia="GHEA Grapalat" w:hAnsi="GHEA Grapalat" w:cs="GHEA Grapalat"/>
                <w:sz w:val="24"/>
                <w:szCs w:val="24"/>
              </w:rPr>
              <w:lastRenderedPageBreak/>
              <w:t>ենք կատարել համապատասխան փոփոխություններ։</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043A4" w:rsidP="007043A4">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7043A4" w:rsidP="002B3679">
            <w:pPr>
              <w:jc w:val="both"/>
              <w:rPr>
                <w:rFonts w:ascii="GHEA Grapalat" w:hAnsi="GHEA Grapalat"/>
                <w:sz w:val="24"/>
                <w:szCs w:val="24"/>
              </w:rPr>
            </w:pPr>
            <w:r w:rsidRPr="00EE6221">
              <w:rPr>
                <w:rFonts w:ascii="GHEA Grapalat" w:hAnsi="GHEA Grapalat"/>
                <w:sz w:val="24"/>
                <w:szCs w:val="24"/>
              </w:rPr>
              <w:t>Անհրաժեշտ կարգավորումներն առկա են Նախագծի 18</w:t>
            </w:r>
            <w:r w:rsidR="00612797" w:rsidRPr="00EE6221">
              <w:rPr>
                <w:rFonts w:ascii="GHEA Grapalat" w:hAnsi="GHEA Grapalat"/>
                <w:sz w:val="24"/>
                <w:szCs w:val="24"/>
              </w:rPr>
              <w:t>-րդ</w:t>
            </w:r>
            <w:r w:rsidRPr="00EE6221">
              <w:rPr>
                <w:rFonts w:ascii="GHEA Grapalat" w:hAnsi="GHEA Grapalat"/>
                <w:sz w:val="24"/>
                <w:szCs w:val="24"/>
              </w:rPr>
              <w:t xml:space="preserve"> և </w:t>
            </w:r>
            <w:r w:rsidR="00B40CA9" w:rsidRPr="00EE6221">
              <w:rPr>
                <w:rFonts w:ascii="GHEA Grapalat" w:hAnsi="GHEA Grapalat"/>
                <w:sz w:val="24"/>
                <w:szCs w:val="24"/>
              </w:rPr>
              <w:t>211</w:t>
            </w:r>
            <w:r w:rsidR="00612797" w:rsidRPr="00EE6221">
              <w:rPr>
                <w:rFonts w:ascii="GHEA Grapalat" w:hAnsi="GHEA Grapalat"/>
                <w:sz w:val="24"/>
                <w:szCs w:val="24"/>
              </w:rPr>
              <w:t>-րդ</w:t>
            </w:r>
            <w:r w:rsidR="00B40CA9" w:rsidRPr="00EE6221">
              <w:rPr>
                <w:rFonts w:ascii="GHEA Grapalat" w:hAnsi="GHEA Grapalat"/>
                <w:sz w:val="24"/>
                <w:szCs w:val="24"/>
              </w:rPr>
              <w:t xml:space="preserve"> հոդվածներում: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3</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224-րդ հոդվածով նախատեսված է առերեսման անցկացման կարգը։ Կարեւորելով քրեական գործի շրջանակներում յուրաքանչյուրի՝ իր դեմ ցուցմունք տված անձի հետ առերեսվելու իրավունքը, այնուամենայնիվ պետք է նկատի ունենալ, որ հաշվի առնելով որոշ քրեական գործերի առանձնահատկությունները, առերեսման անցկացման վերաբերյալ ընդհանուր կարգավորումները կիրառելի չեն բոլոր դեպքերում։ Մասնավորապես՝ հաշվի առնելով ընտանեկան բռնության վերաբերյալ քննվող գործերի, ինչպես նաեւ սեռական բռնության գործերով առանձնահատկություններն ու բռնության ենթարկված անձի կրկնակի զոհականացման ենթարկվելու անթույլատրելիությունը՝ անընդունելի է բռնություն գործադրող անձի եւ բռնության ենթարկված անձի (ինչպես չափահաս, այնպես էլ անչափահաս անձի պարագայում) նույն սենյակում առերեսման պարտադիր անցկացումը (տես օրինակ «Y. v. Slovenia» դատական գործը, </w:t>
            </w:r>
            <w:hyperlink r:id="rId8" w:history="1">
              <w:r w:rsidR="00B40CA9" w:rsidRPr="00EE6221">
                <w:rPr>
                  <w:rStyle w:val="Hyperlink"/>
                  <w:rFonts w:ascii="GHEA Grapalat" w:eastAsia="GHEA Grapalat" w:hAnsi="GHEA Grapalat" w:cs="GHEA Grapalat"/>
                  <w:color w:val="auto"/>
                  <w:sz w:val="24"/>
                  <w:szCs w:val="24"/>
                </w:rPr>
                <w:t>https://hudoc</w:t>
              </w:r>
            </w:hyperlink>
            <w:r w:rsidRPr="00EE6221">
              <w:rPr>
                <w:rFonts w:ascii="GHEA Grapalat" w:eastAsia="GHEA Grapalat" w:hAnsi="GHEA Grapalat" w:cs="GHEA Grapalat"/>
                <w:sz w:val="24"/>
                <w:szCs w:val="24"/>
              </w:rPr>
              <w:t>.echr.coe.int/eng#{%22itemid%22:[%22001-154728%22]})։ Հաշվի առնելով վերոգրյալը՝ առաջարկում ենք Նախագծով ամրագրված առերեսման անցկացման կարգում կատարել համապատասխան փոփոխություններ եւ հատուկ կարգավորումներ նախատեսել ընտանեկան բռնության, ինչպես նաեւ սեռական բռնության գործերով քննության դեպքերով։</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B40CA9" w:rsidP="00B40CA9">
            <w:pPr>
              <w:jc w:val="center"/>
              <w:rPr>
                <w:rFonts w:ascii="GHEA Grapalat" w:hAnsi="GHEA Grapalat"/>
                <w:sz w:val="24"/>
                <w:szCs w:val="24"/>
              </w:rPr>
            </w:pPr>
            <w:r w:rsidRPr="00EE6221">
              <w:rPr>
                <w:rFonts w:ascii="GHEA Grapalat" w:hAnsi="GHEA Grapalat"/>
                <w:sz w:val="24"/>
                <w:szCs w:val="24"/>
              </w:rPr>
              <w:t>Ընդունվել է ի գիտություն</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9629CF" w:rsidP="002B3679">
            <w:pPr>
              <w:jc w:val="both"/>
              <w:rPr>
                <w:rFonts w:ascii="GHEA Grapalat" w:hAnsi="GHEA Grapalat"/>
                <w:sz w:val="24"/>
                <w:szCs w:val="24"/>
              </w:rPr>
            </w:pP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4</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«Ընդդեմ կանանց նկատմամբ </w:t>
            </w:r>
            <w:r w:rsidRPr="00EE6221">
              <w:rPr>
                <w:rFonts w:ascii="GHEA Grapalat" w:eastAsia="GHEA Grapalat" w:hAnsi="GHEA Grapalat" w:cs="GHEA Grapalat"/>
                <w:sz w:val="24"/>
                <w:szCs w:val="24"/>
              </w:rPr>
              <w:lastRenderedPageBreak/>
              <w:t>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Խտրական ձեւակերպոըմներից զերծ մնալու նպատակով՝ առաջարկում ենք Նախագծի 213 եւ 217 հոդվածներից հանել տեղ գտած «տառապող» բառը՝ այն փոխարինելով պարզապես Նախագծի տեքստում օգտագործվող </w:t>
            </w:r>
            <w:r w:rsidRPr="00EE6221">
              <w:rPr>
                <w:rFonts w:ascii="GHEA Grapalat" w:eastAsia="GHEA Grapalat" w:hAnsi="GHEA Grapalat" w:cs="GHEA Grapalat"/>
                <w:sz w:val="24"/>
                <w:szCs w:val="24"/>
              </w:rPr>
              <w:lastRenderedPageBreak/>
              <w:t>«ծանր հիվանդություն ունեցող անձ» կամ «ծանր հիվանդությամբ ապրող անձ» արտահայտություններով։</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B40CA9" w:rsidP="00B40CA9">
            <w:pPr>
              <w:jc w:val="center"/>
              <w:rPr>
                <w:rFonts w:ascii="GHEA Grapalat" w:hAnsi="GHEA Grapalat"/>
                <w:sz w:val="24"/>
                <w:szCs w:val="24"/>
              </w:rPr>
            </w:pPr>
            <w:r w:rsidRPr="00EE6221">
              <w:rPr>
                <w:rFonts w:ascii="GHEA Grapalat" w:hAnsi="GHEA Grapalat"/>
                <w:sz w:val="24"/>
                <w:szCs w:val="24"/>
              </w:rPr>
              <w:lastRenderedPageBreak/>
              <w:t>Ընդունվել է</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F075F2" w:rsidP="00171574">
            <w:pPr>
              <w:rPr>
                <w:rFonts w:ascii="GHEA Grapalat" w:hAnsi="GHEA Grapalat"/>
                <w:sz w:val="24"/>
                <w:szCs w:val="24"/>
              </w:rPr>
            </w:pPr>
            <w:r w:rsidRPr="00EE6221">
              <w:rPr>
                <w:rFonts w:ascii="GHEA Grapalat" w:hAnsi="GHEA Grapalat"/>
                <w:sz w:val="24"/>
                <w:szCs w:val="24"/>
              </w:rPr>
              <w:t xml:space="preserve">Նախագծում կատարվել է համապատասխան </w:t>
            </w:r>
            <w:r w:rsidRPr="00EE6221">
              <w:rPr>
                <w:rFonts w:ascii="GHEA Grapalat" w:hAnsi="GHEA Grapalat"/>
                <w:sz w:val="24"/>
                <w:szCs w:val="24"/>
              </w:rPr>
              <w:lastRenderedPageBreak/>
              <w:t>փոփոխություն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5</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Նախագծի 210-րդ հոդվածի 5-րդ մասի համաձայն՝ նախատեսվում է, որ առնվազն երկու ընթերակա պետք է մասնակցեն որոշակի քննչական, մասնավորապես՝ ցուցմունքը տեղում ստուգելու, զննման, արտաշիրիմման, քննման, փորձարարության, ճանաչման, խուզարկության եւ առգրավման գործողություններում։ Հարկ է նկատել, որ եվրոպական մայրցամաքային քրեական դատավարության օրենսգրքերում նրանց ներգրավվման մասին դրույթն այլեւս հաճախ չի հանդիպում, եւ փոխարինվել է ձեռնարկված բոլոր գործողությունների պարտադիր ձայնագրմամբ։ Այդուհանդերձ նրանց ներգրավումը քննչական գործողություններին կարող է բավարար երաշխիք լինել այն դեպքերում, երբ մեղադրյալը տվյալ պահին պաշտպան չունի, սակայն առավել գոհացուցիչ երաշխիք կլինի քննչական գործողությունների ձայնագրումը պարտադիր դարձնել բոլոր դեպքերում, այլ ոչ միայն այն դեպքում, երբ ընթերականեր չկան, ինչպես նախատեսվում է 210-րդ հոդվածի 7-րդ մասում (տես ավելին՝ § 207, https://rm.coe.int/16806ef4c5)։ Հաշվի առնելով վերոգրյալը՝ առաջարկում ենք Նախագծում կատարել համապատասխան փոփոխություն։</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347B8" w:rsidP="007347B8">
            <w:pPr>
              <w:jc w:val="center"/>
              <w:rPr>
                <w:rFonts w:ascii="GHEA Grapalat" w:hAnsi="GHEA Grapalat"/>
                <w:sz w:val="24"/>
                <w:szCs w:val="24"/>
              </w:rPr>
            </w:pPr>
            <w:r w:rsidRPr="00EE6221">
              <w:rPr>
                <w:rFonts w:ascii="GHEA Grapalat" w:hAnsi="GHEA Grapalat"/>
                <w:sz w:val="24"/>
                <w:szCs w:val="24"/>
              </w:rPr>
              <w:t>Ընդունվել է</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F075F2" w:rsidP="00171574">
            <w:pPr>
              <w:jc w:val="both"/>
              <w:rPr>
                <w:rFonts w:ascii="GHEA Grapalat" w:hAnsi="GHEA Grapalat"/>
                <w:sz w:val="24"/>
                <w:szCs w:val="24"/>
              </w:rPr>
            </w:pPr>
            <w:r w:rsidRPr="00EE6221">
              <w:rPr>
                <w:rFonts w:ascii="GHEA Grapalat" w:hAnsi="GHEA Grapalat"/>
                <w:sz w:val="24"/>
                <w:szCs w:val="24"/>
              </w:rPr>
              <w:t>Նախագծում կատարվել է համապատասխան փոփոխություն: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6</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«Ընդդեմ </w:t>
            </w:r>
            <w:r w:rsidRPr="00EE6221">
              <w:rPr>
                <w:rFonts w:ascii="GHEA Grapalat" w:eastAsia="GHEA Grapalat" w:hAnsi="GHEA Grapalat" w:cs="GHEA Grapalat"/>
                <w:sz w:val="24"/>
                <w:szCs w:val="24"/>
              </w:rPr>
              <w:lastRenderedPageBreak/>
              <w:t>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7347B8">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Նախագծի 123-րդ հոդվածի 2-րդ մասի 2)-րդ կետի համաձայն՝ տնային </w:t>
            </w:r>
            <w:r w:rsidRPr="00EE6221">
              <w:rPr>
                <w:rFonts w:ascii="GHEA Grapalat" w:eastAsia="GHEA Grapalat" w:hAnsi="GHEA Grapalat" w:cs="GHEA Grapalat"/>
                <w:sz w:val="24"/>
                <w:szCs w:val="24"/>
              </w:rPr>
              <w:lastRenderedPageBreak/>
              <w:t>կալանքի պարագայում դատարանի որոշմամբ մեղադրայլին կարող է արգելվել շփում ունենալ որոշակի անձանց հետ կամ իր բնակության վայրում հյուրընկալել այլ անձանց: Հարկ է նկատել, որ մեղադրյալին իր բնակության վայրում այլ անձանց հյուրընկալելն արգելելու իրավասությունը պետք է իրականացվի՝ հաշվի առնելով այնտեղ ապրող այլ անձանց՝ Եվրոպական կոնվենցիայի 8-րդ հոդվածով նախատեսված անձնական եւ ընտանեկան կյանքի հարգանքի իրավունքը։ Հաշվի առնելով վերոգրյալը՝ առաջարկում ենք համապատասխան հստակեցումներ կատարել Նախագծում։</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347B8" w:rsidP="007347B8">
            <w:pPr>
              <w:jc w:val="center"/>
              <w:rPr>
                <w:rFonts w:ascii="GHEA Grapalat" w:hAnsi="GHEA Grapalat"/>
                <w:sz w:val="24"/>
                <w:szCs w:val="24"/>
              </w:rPr>
            </w:pPr>
            <w:r w:rsidRPr="00EE6221">
              <w:rPr>
                <w:rFonts w:ascii="GHEA Grapalat" w:hAnsi="GHEA Grapalat"/>
                <w:sz w:val="24"/>
                <w:szCs w:val="24"/>
              </w:rPr>
              <w:lastRenderedPageBreak/>
              <w:t xml:space="preserve">Ընդունվել է ի </w:t>
            </w:r>
            <w:r w:rsidRPr="00EE6221">
              <w:rPr>
                <w:rFonts w:ascii="GHEA Grapalat" w:hAnsi="GHEA Grapalat"/>
                <w:sz w:val="24"/>
                <w:szCs w:val="24"/>
              </w:rPr>
              <w:lastRenderedPageBreak/>
              <w:t>գիտություն</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9629CF" w:rsidP="002B3679">
            <w:pPr>
              <w:jc w:val="both"/>
              <w:rPr>
                <w:rFonts w:ascii="GHEA Grapalat" w:hAnsi="GHEA Grapalat"/>
                <w:sz w:val="24"/>
                <w:szCs w:val="24"/>
              </w:rPr>
            </w:pP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7</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DC2B70">
            <w:pPr>
              <w:jc w:val="both"/>
              <w:rPr>
                <w:rFonts w:ascii="GHEA Grapalat" w:hAnsi="GHEA Grapalat"/>
                <w:sz w:val="24"/>
                <w:szCs w:val="24"/>
              </w:rPr>
            </w:pPr>
            <w:r w:rsidRPr="00EE6221">
              <w:rPr>
                <w:rFonts w:ascii="GHEA Grapalat" w:eastAsia="GHEA Grapalat" w:hAnsi="GHEA Grapalat" w:cs="GHEA Grapalat"/>
                <w:sz w:val="24"/>
                <w:szCs w:val="24"/>
              </w:rPr>
              <w:t>Նա</w:t>
            </w:r>
            <w:r w:rsidR="00DC2B70" w:rsidRPr="00EE6221">
              <w:rPr>
                <w:rFonts w:ascii="GHEA Grapalat" w:eastAsia="GHEA Grapalat" w:hAnsi="GHEA Grapalat" w:cs="GHEA Grapalat"/>
                <w:sz w:val="24"/>
                <w:szCs w:val="24"/>
                <w:lang w:val="hy-AM"/>
              </w:rPr>
              <w:t>խ</w:t>
            </w:r>
            <w:r w:rsidRPr="00EE6221">
              <w:rPr>
                <w:rFonts w:ascii="GHEA Grapalat" w:eastAsia="GHEA Grapalat" w:hAnsi="GHEA Grapalat" w:cs="GHEA Grapalat"/>
                <w:sz w:val="24"/>
                <w:szCs w:val="24"/>
              </w:rPr>
              <w:t xml:space="preserve">ագծի 116-րդ հոդվածով ամրագրված խափանման միջոցների կիրառման 3 հիմքերից միայն առաջին երկուսը՝ փախուստը կանխելն ու հանցանքի կատարումը կանխելն են ճանաչվել Մարդու իրավունքների եվրոպական դատարանի (Եվրոպական դատարան) կողմից՝ «Մարդու իրավունքների եւ հիմնարար ազատությունների պաշտպանության մասին» եվրոպական կոնվենցիայի (Եվրոպական կոնվենցիա) 5-րդ հոդվածին համապատասխան։ 116-րդ հոդվածի 2-րդ մասի 3)-րդ կետով ամրագրված մեկ այլ՝ «մեղադրյալի կողմից իր վրա օրենքով կամ դատարանի որոշմամբ դրված պարտականությունների կատարումն ապահովելը» հիմքը բավականին տարբեր է Եվրոպական դատարանի կողմից ճանաչված հիմքից, այն է՝ արդարադատության ընթացքը խոչընդոտելու պոտենցիալ ռիսկից։ Հաշվի առնելով վերոգրյալն ու հիմնվելով նաեւ Եվրոպայի խորհրդի Մարդու իրավունքների եւ իրավունքի գերակայության գլխավոր տնօրինության արտահայտած դիրքորոշման վրա՝ առաջարկում ենք </w:t>
            </w:r>
            <w:r w:rsidRPr="00EE6221">
              <w:rPr>
                <w:rFonts w:ascii="GHEA Grapalat" w:eastAsia="GHEA Grapalat" w:hAnsi="GHEA Grapalat" w:cs="GHEA Grapalat"/>
                <w:sz w:val="24"/>
                <w:szCs w:val="24"/>
              </w:rPr>
              <w:lastRenderedPageBreak/>
              <w:t>Նախագծի նշված հոդվածը համապատասխանեցնել Եվրոպական կոնվենցիայի կարգավորումներին։</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347B8" w:rsidP="007347B8">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7347B8" w:rsidP="00612797">
            <w:pPr>
              <w:jc w:val="both"/>
              <w:rPr>
                <w:rFonts w:ascii="GHEA Grapalat" w:hAnsi="GHEA Grapalat"/>
                <w:sz w:val="24"/>
                <w:szCs w:val="24"/>
              </w:rPr>
            </w:pPr>
            <w:r w:rsidRPr="00EE6221">
              <w:rPr>
                <w:rFonts w:ascii="GHEA Grapalat" w:hAnsi="GHEA Grapalat"/>
                <w:sz w:val="24"/>
                <w:szCs w:val="24"/>
              </w:rPr>
              <w:t>Քննարկվող հոդվածի բովանդակությունը լիովին համապատասխանում է ՀՀ Սահմանադրության 27</w:t>
            </w:r>
            <w:r w:rsidR="00612797" w:rsidRPr="00EE6221">
              <w:rPr>
                <w:rFonts w:ascii="GHEA Grapalat" w:hAnsi="GHEA Grapalat"/>
                <w:sz w:val="24"/>
                <w:szCs w:val="24"/>
              </w:rPr>
              <w:t>-րդ</w:t>
            </w:r>
            <w:r w:rsidRPr="00EE6221">
              <w:rPr>
                <w:rFonts w:ascii="GHEA Grapalat" w:hAnsi="GHEA Grapalat"/>
                <w:sz w:val="24"/>
                <w:szCs w:val="24"/>
              </w:rPr>
              <w:t xml:space="preserve"> հոդվածի և </w:t>
            </w:r>
            <w:r w:rsidR="00612797" w:rsidRPr="00EE6221">
              <w:rPr>
                <w:rFonts w:ascii="GHEA Grapalat" w:hAnsi="GHEA Grapalat"/>
                <w:sz w:val="24"/>
                <w:szCs w:val="24"/>
              </w:rPr>
              <w:t xml:space="preserve">Մարդու իրավունքների եվրոպական կոնվենցիայի </w:t>
            </w:r>
            <w:r w:rsidRPr="00EE6221">
              <w:rPr>
                <w:rFonts w:ascii="GHEA Grapalat" w:hAnsi="GHEA Grapalat"/>
                <w:sz w:val="24"/>
                <w:szCs w:val="24"/>
              </w:rPr>
              <w:t>5</w:t>
            </w:r>
            <w:r w:rsidR="00612797" w:rsidRPr="00EE6221">
              <w:rPr>
                <w:rFonts w:ascii="GHEA Grapalat" w:hAnsi="GHEA Grapalat"/>
                <w:sz w:val="24"/>
                <w:szCs w:val="24"/>
              </w:rPr>
              <w:t>-րդ</w:t>
            </w:r>
            <w:r w:rsidRPr="00EE6221">
              <w:rPr>
                <w:rFonts w:ascii="GHEA Grapalat" w:hAnsi="GHEA Grapalat"/>
                <w:sz w:val="24"/>
                <w:szCs w:val="24"/>
              </w:rPr>
              <w:t xml:space="preserve"> հոդվածի պահանջներին: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8</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«Ընդդեմ կանանց նկատմամբ բռնության կոալիցիա»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23:36:28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BA7BE2">
            <w:pPr>
              <w:jc w:val="both"/>
              <w:rPr>
                <w:rFonts w:ascii="GHEA Grapalat" w:hAnsi="GHEA Grapalat"/>
                <w:sz w:val="24"/>
                <w:szCs w:val="24"/>
              </w:rPr>
            </w:pPr>
            <w:r w:rsidRPr="00EE6221">
              <w:rPr>
                <w:rFonts w:ascii="GHEA Grapalat" w:eastAsia="GHEA Grapalat" w:hAnsi="GHEA Grapalat" w:cs="GHEA Grapalat"/>
                <w:sz w:val="24"/>
                <w:szCs w:val="24"/>
              </w:rPr>
              <w:t>Նախագծի 109-րդ հոդվածով ամրագրված են ձերբակալման հիմքերը, որոնք համապատասխանում են «հիմնավոր կասկածի» չափանիշին, սակայն հարկ է ընդգծել, որ հիմնավոր կասկած չի կարող ծագել «հանցանքը կատարելուց անմիջապես հետո» անձի բռնվելու հիմքով, քանի որ դա նրան ընդամենն առնչում է հանցագործության վայրի հետ, սակայն անպայմանորեն չի հանգեցնում նրա ներգրավվածությանը հանցագործության կատարման մեջ։ Այդ ներգրավվածությունը կարող է ապահովվել «բացահայտ հետքերով», որոնց մասին առանձին նշվում է հոդվածի 1-ին մասի 3)-րդ կետում։ Հետեւաբար, 109-րդ հոդվածի 1-ին մասի 1)-ին կետում կարիք չկա պահպանել «հանցանքը կատարելուց անմիջապես հետո» ձեւակերպումը։ Համանման կարծիք է արտահայտել նաեւ Եվրոպայի խորհրդի Մարդու իրավունքների եւ իրավունքի գերակայության գլխավոր տնօրինությունը ՀՀ քրեական դատավարության օրենսգրքի նախագծի վերաբերյալ (տես ավելին՝ § 15, https://rm.coe.int/16806ef4c5)։</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347B8" w:rsidP="007347B8">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7347B8" w:rsidP="004B3948">
            <w:pPr>
              <w:jc w:val="both"/>
              <w:rPr>
                <w:rFonts w:ascii="GHEA Grapalat" w:hAnsi="GHEA Grapalat"/>
                <w:sz w:val="24"/>
                <w:szCs w:val="24"/>
              </w:rPr>
            </w:pPr>
            <w:r w:rsidRPr="00EE6221">
              <w:rPr>
                <w:rFonts w:ascii="GHEA Grapalat" w:hAnsi="GHEA Grapalat"/>
                <w:sz w:val="24"/>
                <w:szCs w:val="24"/>
              </w:rPr>
              <w:t>Քննարկվող կարգավորումը վերաբերում է այն  անձին ազատությունից զրկելուն, որը ձերբակալվել է իրեն վերագրվող հանցանքը կատարելուց անմիջապես հետո</w:t>
            </w:r>
            <w:r w:rsidR="004B3948" w:rsidRPr="00EE6221">
              <w:rPr>
                <w:rFonts w:ascii="GHEA Grapalat" w:hAnsi="GHEA Grapalat"/>
                <w:sz w:val="24"/>
                <w:szCs w:val="24"/>
              </w:rPr>
              <w:t>: Բացի այդ, նշված ձևակերպումը համահունչ է նաև ՀՀ Սահմանադրության մեջ առկա կարգավորումներին, օրինակ՝ 96</w:t>
            </w:r>
            <w:r w:rsidR="0015410F" w:rsidRPr="00EE6221">
              <w:rPr>
                <w:rFonts w:ascii="GHEA Grapalat" w:hAnsi="GHEA Grapalat"/>
                <w:sz w:val="24"/>
                <w:szCs w:val="24"/>
              </w:rPr>
              <w:t>-րդ</w:t>
            </w:r>
            <w:r w:rsidR="004B3948" w:rsidRPr="00EE6221">
              <w:rPr>
                <w:rFonts w:ascii="GHEA Grapalat" w:hAnsi="GHEA Grapalat"/>
                <w:sz w:val="24"/>
                <w:szCs w:val="24"/>
              </w:rPr>
              <w:t xml:space="preserve"> հոդվածի 2-րդ մաս կամ 164</w:t>
            </w:r>
            <w:r w:rsidR="0015410F" w:rsidRPr="00EE6221">
              <w:rPr>
                <w:rFonts w:ascii="GHEA Grapalat" w:hAnsi="GHEA Grapalat"/>
                <w:sz w:val="24"/>
                <w:szCs w:val="24"/>
              </w:rPr>
              <w:t>-րդ</w:t>
            </w:r>
            <w:r w:rsidR="004B3948" w:rsidRPr="00EE6221">
              <w:rPr>
                <w:rFonts w:ascii="GHEA Grapalat" w:hAnsi="GHEA Grapalat"/>
                <w:sz w:val="24"/>
                <w:szCs w:val="24"/>
              </w:rPr>
              <w:t xml:space="preserve"> հոդվածի 4-րդ մաս:</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9</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Անահիտ Սարգսյան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23:29:56</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BA7BE2">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00BA7BE2" w:rsidRPr="00EE6221">
              <w:rPr>
                <w:rFonts w:ascii="GHEA Grapalat" w:eastAsia="GHEA Grapalat" w:hAnsi="GHEA Grapalat" w:cs="GHEA Grapalat"/>
                <w:sz w:val="24"/>
                <w:szCs w:val="24"/>
                <w:lang w:val="hy-AM"/>
              </w:rPr>
              <w:t xml:space="preserve"> </w:t>
            </w:r>
            <w:r w:rsidRPr="00EE6221">
              <w:rPr>
                <w:rFonts w:ascii="GHEA Grapalat" w:eastAsia="GHEA Grapalat" w:hAnsi="GHEA Grapalat" w:cs="GHEA Grapalat"/>
                <w:sz w:val="24"/>
                <w:szCs w:val="24"/>
              </w:rPr>
              <w:t xml:space="preserve">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w:t>
            </w:r>
            <w:r w:rsidRPr="00EE6221">
              <w:rPr>
                <w:rFonts w:ascii="GHEA Grapalat" w:eastAsia="GHEA Grapalat" w:hAnsi="GHEA Grapalat" w:cs="GHEA Grapalat"/>
                <w:sz w:val="24"/>
                <w:szCs w:val="24"/>
              </w:rPr>
              <w:lastRenderedPageBreak/>
              <w:t>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4B3948" w:rsidP="004B3948">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4B3948" w:rsidP="002B3679">
            <w:pPr>
              <w:jc w:val="both"/>
              <w:rPr>
                <w:rFonts w:ascii="GHEA Grapalat" w:hAnsi="GHEA Grapalat"/>
                <w:sz w:val="24"/>
                <w:szCs w:val="24"/>
              </w:rPr>
            </w:pPr>
            <w:r w:rsidRPr="00EE6221">
              <w:rPr>
                <w:rFonts w:ascii="GHEA Grapalat" w:hAnsi="GHEA Grapalat"/>
                <w:sz w:val="24"/>
                <w:szCs w:val="24"/>
              </w:rPr>
              <w:t>Առաջարկությունը իրավական որևէ փաստարկով հիմնավորված չէ:</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10</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Հասմիկ Հակոբյան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23:28:27</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4B3948" w:rsidP="004B3948">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273B54" w:rsidP="002B3679">
            <w:pPr>
              <w:jc w:val="both"/>
              <w:rPr>
                <w:rFonts w:ascii="GHEA Grapalat" w:hAnsi="GHEA Grapalat"/>
                <w:sz w:val="24"/>
                <w:szCs w:val="24"/>
              </w:rPr>
            </w:pPr>
            <w:r w:rsidRPr="00EE6221">
              <w:rPr>
                <w:rFonts w:ascii="GHEA Grapalat" w:hAnsi="GHEA Grapalat"/>
                <w:sz w:val="24"/>
                <w:szCs w:val="24"/>
              </w:rPr>
              <w:t xml:space="preserve">  Տե՛ս նախորդ կետը</w:t>
            </w:r>
            <w:r w:rsidR="004B3948" w:rsidRPr="00EE6221">
              <w:rPr>
                <w:rFonts w:ascii="GHEA Grapalat" w:hAnsi="GHEA Grapalat"/>
                <w:sz w:val="24"/>
                <w:szCs w:val="24"/>
              </w:rPr>
              <w:t>:</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11</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Իզաբելլա Ղազարյան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28.11.2019 23:24:07</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w:t>
            </w:r>
            <w:r w:rsidRPr="00EE6221">
              <w:rPr>
                <w:rFonts w:ascii="GHEA Grapalat" w:eastAsia="GHEA Grapalat" w:hAnsi="GHEA Grapalat" w:cs="GHEA Grapalat"/>
                <w:sz w:val="24"/>
                <w:szCs w:val="24"/>
              </w:rPr>
              <w:lastRenderedPageBreak/>
              <w:t>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4B3948" w:rsidP="004B3948">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273B54" w:rsidP="00273B54">
            <w:pPr>
              <w:jc w:val="both"/>
              <w:rPr>
                <w:rFonts w:ascii="GHEA Grapalat" w:hAnsi="GHEA Grapalat"/>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12</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Հոդված 303.  Հոդվածը սահմանում է մինչդատական ակտի վիճարկման վարույթի իրականացումը, սակայն չի նախատեսում այդ վարույթի իրականացման առավելագույն և սեղմ որևէ ժամկետ: Գտնում ենք, որ նշված վարույթը պետք է իրականացվի չափազանց սեղմ ժամկետներում, քանի որ այն դեպքերի մեծամասնությունում կապված է անձանց և հատկապես դատավարության մասնավոր մասնակիցների իրավունքների, այդ թվում՝ հիմնական իրավունքների իրացման սահմանափակումների կամ նույնչափ հրատապ միջամտություն պահանջող այնպիսի հարցերի հետ, ինչպիսիք են օրինակ քրեական հետապնդում իրականացնելուց ենթադրաբար ապօրինի հրաժարվելը կամ քրեական հետապնդման դադարեցումը: Ներկայում նշված հարցերով գործնականում ընդհուպ մինչև մեկ տարի տևող քննությունները դեպքերի մեծամասնությունում պարզապես իմաստազրկում են գործերով հետագա քննությունը նույնիսկ </w:t>
            </w:r>
            <w:r w:rsidRPr="00EE6221">
              <w:rPr>
                <w:rFonts w:ascii="GHEA Grapalat" w:eastAsia="GHEA Grapalat" w:hAnsi="GHEA Grapalat" w:cs="GHEA Grapalat"/>
                <w:sz w:val="24"/>
                <w:szCs w:val="24"/>
              </w:rPr>
              <w:lastRenderedPageBreak/>
              <w:t>այն դեպքում երբ դատարանը բավարարում է դիմողի բողոքը, նման նախաքննությունն այլևս դառնում է անարդյունավետ և ժամանակավրեպ: Առաջարկվում է նախատեսել, որ մինչդատական ակտերի վիճարկման վարույթների քննությունն առաջին ատյանի դատարանում չի կարող տևել մեկ ամսից ավել:</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4B3948" w:rsidP="004B3948">
            <w:pPr>
              <w:jc w:val="center"/>
              <w:rPr>
                <w:rFonts w:ascii="GHEA Grapalat" w:hAnsi="GHEA Grapalat"/>
                <w:sz w:val="24"/>
                <w:szCs w:val="24"/>
              </w:rPr>
            </w:pPr>
            <w:r w:rsidRPr="00EE6221">
              <w:rPr>
                <w:rFonts w:ascii="GHEA Grapalat" w:hAnsi="GHEA Grapalat"/>
                <w:sz w:val="24"/>
                <w:szCs w:val="24"/>
              </w:rPr>
              <w:lastRenderedPageBreak/>
              <w:t>Ընդունվել է</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4B56FA" w:rsidP="00171574">
            <w:pPr>
              <w:jc w:val="both"/>
              <w:rPr>
                <w:rFonts w:ascii="GHEA Grapalat" w:hAnsi="GHEA Grapalat"/>
                <w:sz w:val="24"/>
                <w:szCs w:val="24"/>
              </w:rPr>
            </w:pPr>
            <w:r w:rsidRPr="00EE6221">
              <w:rPr>
                <w:rFonts w:ascii="GHEA Grapalat" w:hAnsi="GHEA Grapalat"/>
                <w:sz w:val="24"/>
                <w:szCs w:val="24"/>
              </w:rPr>
              <w:t>Նախագծում կատարվել է համապատասխան փոփոխություն: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13</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CD750E">
            <w:pPr>
              <w:jc w:val="both"/>
              <w:rPr>
                <w:rFonts w:ascii="GHEA Grapalat" w:hAnsi="GHEA Grapalat"/>
                <w:sz w:val="24"/>
                <w:szCs w:val="24"/>
              </w:rPr>
            </w:pPr>
            <w:r w:rsidRPr="00EE6221">
              <w:rPr>
                <w:rFonts w:ascii="GHEA Grapalat" w:eastAsia="GHEA Grapalat" w:hAnsi="GHEA Grapalat" w:cs="GHEA Grapalat"/>
                <w:sz w:val="24"/>
                <w:szCs w:val="24"/>
              </w:rPr>
              <w:t>Հոդված 299 Հոդվածը, որպես դատական բողոքարկման ենթակա մինչդատական ակտեր է նախատեսում խափանման միջոց կիրառելու մասին որոշումը /1-ին մաս, 6-րդ կետ/, սակայն չի նախատեսում խափանման մի</w:t>
            </w:r>
            <w:r w:rsidR="00CD750E" w:rsidRPr="00EE6221">
              <w:rPr>
                <w:rFonts w:ascii="GHEA Grapalat" w:eastAsia="GHEA Grapalat" w:hAnsi="GHEA Grapalat" w:cs="GHEA Grapalat"/>
                <w:sz w:val="24"/>
                <w:szCs w:val="24"/>
                <w:lang w:val="hy-AM"/>
              </w:rPr>
              <w:t>ջ</w:t>
            </w:r>
            <w:r w:rsidRPr="00EE6221">
              <w:rPr>
                <w:rFonts w:ascii="GHEA Grapalat" w:eastAsia="GHEA Grapalat" w:hAnsi="GHEA Grapalat" w:cs="GHEA Grapalat"/>
                <w:sz w:val="24"/>
                <w:szCs w:val="24"/>
              </w:rPr>
              <w:t xml:space="preserve">ոցը վերացնելու կամ ավելի մեղմ խափանման միջոցով փոխարինելու միջնորդությունները մերժելու մասին որոշումները, այնինչ այդ որոշումները նույն կերպ սահմանափակում են մեղադրյալի իրավունքները: Իհարկե այս որոշումների բողոքարկելիությունը հնարավոր է բխեցնել 299-րդ հոդվածի 2-րդ մասից՝ որպես բողոքարկողին իրավաչափ շահերն արդյունավետ պաշտպանելու իրական հնարավորությունից  ակնհայտորեն զրկող ակտեր, սակայն գործնականում դատարանների կողմից նման որոշումները բովանդակային քննության չեն առնվում հենց այն պատճառաբանությամբ, որ դրանք մինչդատական վարույթի նկատմամբ դատական վերահսկողության առարկա չեն: Առաջարկվում է հոդվածով նախատեսել, որպես դատական բողոքարկման ենթակա ակտեր նաև խափանման միձոցը վերացնելու կամ ավելի մեղմ խափանման միջոցով փոխարինելու միջնորդությունները մերժելու մասին որոշումները, բացառությամբ կալանքը վերացնելու կամ փոխարինելու միջնորդությունների, որոնց մասով նախագիծը սահմանել է առանձին </w:t>
            </w:r>
            <w:r w:rsidRPr="00EE6221">
              <w:rPr>
                <w:rFonts w:ascii="GHEA Grapalat" w:eastAsia="GHEA Grapalat" w:hAnsi="GHEA Grapalat" w:cs="GHEA Grapalat"/>
                <w:sz w:val="24"/>
                <w:szCs w:val="24"/>
              </w:rPr>
              <w:lastRenderedPageBreak/>
              <w:t>դատավարական ընթացակարգ, դատական երաշխիք:</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4B3948" w:rsidP="004B3948">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670AAD" w:rsidP="002B3679">
            <w:pPr>
              <w:jc w:val="both"/>
              <w:rPr>
                <w:rFonts w:ascii="GHEA Grapalat" w:hAnsi="GHEA Grapalat"/>
                <w:sz w:val="24"/>
                <w:szCs w:val="24"/>
              </w:rPr>
            </w:pPr>
            <w:r w:rsidRPr="00EE6221">
              <w:rPr>
                <w:rFonts w:ascii="GHEA Grapalat" w:hAnsi="GHEA Grapalat"/>
                <w:sz w:val="24"/>
                <w:szCs w:val="24"/>
              </w:rPr>
              <w:t>Առաջարկվող լրացումն ըստ էության իր լուծումն արդեն ստացել է Նախագծի 299</w:t>
            </w:r>
            <w:r w:rsidR="004B56FA" w:rsidRPr="00EE6221">
              <w:rPr>
                <w:rFonts w:ascii="GHEA Grapalat" w:hAnsi="GHEA Grapalat"/>
                <w:sz w:val="24"/>
                <w:szCs w:val="24"/>
              </w:rPr>
              <w:t>-րդ</w:t>
            </w:r>
            <w:r w:rsidRPr="00EE6221">
              <w:rPr>
                <w:rFonts w:ascii="GHEA Grapalat" w:hAnsi="GHEA Grapalat"/>
                <w:sz w:val="24"/>
                <w:szCs w:val="24"/>
              </w:rPr>
              <w:t xml:space="preserve"> հոդվածի 2-րդ  մասում: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14</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Հոդված 289 Հոդվածի համաձայն՝ կալանքը վերացնելու կամ կալանքի փոխարեն այլընտրանքային խափանման միջոց կիրառելու մասին միջնորդություն ներկայացնելու իրավունք ունեն կալանավորված մեղադրյալը, նրա պաշտպանը կամ օրինական ներկայացուցիչը: Փաստացի հոդվածը նման միջնորդությամբ հանդես գալու հնարավորություն չի տալիս այն մեղադրյալին, ում նկատմամբ կալանքը կիրառվել է իր բացակայությամբ և նա փաստացի կալանքի տակ չի գտնվում: Նման կարգավորումը որևէ կերպ չարդարացված խտրականություն է դնում միևնույն դատավարական կարգավիճակում գտնվող անձանց միջև և կալանքի իրավաչափության վիճարկման միևնույն նոր հանգամանքների առկայության պայմաններում զրկում են այդ հնարավորությունից փաստացի կալանքի տակ չգտնվողին: Առաջարկվում է որպես կալանքը վերացնելու կամ դրա փոխարեն այլընտրանքային միջոց կիրառելու միջնորդություն ներկայացնելու իրավունք ունեցող անձ սահմանել մեղադրյալին /անկախ փաստացի կալանավորված լինելու հանգամանքից/:</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670AAD" w:rsidP="00670AAD">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670AAD" w:rsidP="002B3679">
            <w:pPr>
              <w:jc w:val="both"/>
              <w:rPr>
                <w:rFonts w:ascii="GHEA Grapalat" w:hAnsi="GHEA Grapalat"/>
                <w:sz w:val="24"/>
                <w:szCs w:val="24"/>
              </w:rPr>
            </w:pPr>
            <w:r w:rsidRPr="00EE6221">
              <w:rPr>
                <w:rFonts w:ascii="GHEA Grapalat" w:hAnsi="GHEA Grapalat"/>
                <w:sz w:val="24"/>
                <w:szCs w:val="24"/>
              </w:rPr>
              <w:t>Քննարկվող կարգավորումը վերաբերում է արդեն փաստացի կիրառված կալանքի վիճարկմանը: Իսկ առաջարկության մեջ նշված անձը զրկված չէ իր իրավունքները դատական կարգով պաշտպանելու հնարավորությունից, օրինակ՝ կալանքի որոշումը վերաքննիչ դատարան բողոքարկելու միջոցով:</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15</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Իրավունքի զարգացման և պաշտպանության </w:t>
            </w:r>
            <w:r w:rsidRPr="00EE6221">
              <w:rPr>
                <w:rFonts w:ascii="GHEA Grapalat" w:eastAsia="GHEA Grapalat" w:hAnsi="GHEA Grapalat" w:cs="GHEA Grapalat"/>
                <w:sz w:val="24"/>
                <w:szCs w:val="24"/>
              </w:rPr>
              <w:lastRenderedPageBreak/>
              <w:t>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Հոդված 186 Գտնում ենք, որ 186 հոդվածի 3-րդ մասը պետք է լրացվի և նախատեսի, որ սահմանված արգելքները չեն տարածվում նաև այն դեպքերի վրա, երբ տվյալները հրապարակվում են նշված քրեական գործին առնչվող դատական նիստի, այդ թվում՝ դռնբաց դատական նիստի շրջանակում, օգտագործվում են նշված քրեական գործով կամ դրանից անջատված քրեական գործով միջնորդությունների, դիմումների, </w:t>
            </w:r>
            <w:r w:rsidRPr="00EE6221">
              <w:rPr>
                <w:rFonts w:ascii="GHEA Grapalat" w:eastAsia="GHEA Grapalat" w:hAnsi="GHEA Grapalat" w:cs="GHEA Grapalat"/>
                <w:sz w:val="24"/>
                <w:szCs w:val="24"/>
              </w:rPr>
              <w:lastRenderedPageBreak/>
              <w:t>բողոքների և այլ դատավարական փաստաթղթերի բովանդակության մեջ, ինչպես նաև մարդու իրավունքների պաշտպանության ներպետական կամ միջազգային կառույցներին և դատական ատյաններին ուղղված փաստաթղթերում: Նշված կարգավորման անհրաժեշտության մասին է խոսում նաև այն, որ նման կարգավորումները արդեն իսկ տեղ են գտել նաև նման դատավարական օրենսդրություն և նախաքննության կառուցակարգ ունեցող օտարերկրյա օրենսդրություններում, օրինակ Ռուսաստանի Դաշնության քրեական դատավարության օրենսգրքում /հոդված 161/:</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670AAD" w:rsidP="00670AAD">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1D3DE4" w:rsidRPr="00EE6221" w:rsidRDefault="00670AAD" w:rsidP="001D3DE4">
            <w:pPr>
              <w:jc w:val="both"/>
              <w:rPr>
                <w:rFonts w:ascii="GHEA Grapalat" w:hAnsi="GHEA Grapalat"/>
                <w:sz w:val="24"/>
                <w:szCs w:val="24"/>
              </w:rPr>
            </w:pPr>
            <w:r w:rsidRPr="00EE6221">
              <w:rPr>
                <w:rFonts w:ascii="GHEA Grapalat" w:hAnsi="GHEA Grapalat"/>
                <w:sz w:val="24"/>
                <w:szCs w:val="24"/>
              </w:rPr>
              <w:t>Քննարկվող հոդվածը մինչդատական վարույթի ընդհանուր պայման է, հետևաբար,</w:t>
            </w:r>
            <w:r w:rsidR="001D3DE4" w:rsidRPr="00EE6221">
              <w:rPr>
                <w:rFonts w:ascii="GHEA Grapalat" w:hAnsi="GHEA Grapalat"/>
                <w:sz w:val="24"/>
                <w:szCs w:val="24"/>
              </w:rPr>
              <w:t xml:space="preserve"> ունի սահմանափակ կիրառություն: Ինչ վերաբերում է այդ </w:t>
            </w:r>
            <w:r w:rsidR="001D3DE4" w:rsidRPr="00EE6221">
              <w:rPr>
                <w:rFonts w:ascii="GHEA Grapalat" w:hAnsi="GHEA Grapalat"/>
                <w:sz w:val="24"/>
                <w:szCs w:val="24"/>
              </w:rPr>
              <w:lastRenderedPageBreak/>
              <w:t>տվյալներն իրավական այլ ընթացակարգերում օգտագործելուն, ապա դրա հնարավորությունը կամ թույլատրելիությունն ուղղակիորեն բխում է 186</w:t>
            </w:r>
            <w:r w:rsidR="0015410F" w:rsidRPr="00EE6221">
              <w:rPr>
                <w:rFonts w:ascii="GHEA Grapalat" w:hAnsi="GHEA Grapalat"/>
                <w:sz w:val="24"/>
                <w:szCs w:val="24"/>
              </w:rPr>
              <w:t>-րդ</w:t>
            </w:r>
            <w:r w:rsidR="001D3DE4" w:rsidRPr="00EE6221">
              <w:rPr>
                <w:rFonts w:ascii="GHEA Grapalat" w:hAnsi="GHEA Grapalat"/>
                <w:sz w:val="24"/>
                <w:szCs w:val="24"/>
              </w:rPr>
              <w:t xml:space="preserve"> հոդվածի 2-րդ մասով նախատեսված հիմքերի բովանդակությունից:</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16</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Հոդված 169 Հոդվածի 5-րդ մասի համաձայն. Վարույթի այն մասնավոր մասնակիցները, որոնց ծանոթացման համար ներկայացվում կամ այլ կերպ հաղորդվում են պետական գաղտնիք պարունակող տեղեկություններ, պետք է նախապես ստորագրություն տան այդպիսի տվյալների չհրապարակման մասին: Ստորագրություն տալուց հրաժարվելու դեպքում պետական գաղտնիք պարունակող տեղեկություններ չեն տրամադրվում: Գտնում ենք, որ վերջին դրույթը չի բխում արդար դատաքննության, մրցակցության, հավասարության սկզբունքներից, դրանք կխաթարվեն, եթե դատավարության կողմերը հավասարապես հասանելիություն չունենան նման գաղտնիք պարունակող և գործի համար էական նշանակություն  ունեցող ապացույցին, դրա բովանդակությանը: Պետական գաղտնիք կազմող տեղեկությունները հրապարակելու համար սահմանված է քրեական պատասխանատվությունն՝ առանց որևէ նախապայմանի, նույնիսկ՝ այդ պատասխանատվության մասին զգուշացված լինելու </w:t>
            </w:r>
            <w:r w:rsidRPr="00EE6221">
              <w:rPr>
                <w:rFonts w:ascii="GHEA Grapalat" w:eastAsia="GHEA Grapalat" w:hAnsi="GHEA Grapalat" w:cs="GHEA Grapalat"/>
                <w:sz w:val="24"/>
                <w:szCs w:val="24"/>
              </w:rPr>
              <w:lastRenderedPageBreak/>
              <w:t>հանգամանքից և առավելևս՝ անկախ որևէ իրավական նշանակություն և արժեք չունեցող և հետևանք չառաջացնող պարտավորագիր ստորագրելու հանգամանքից: Ուստի գտնում ենք, որ միայն վարույթ իրականացնող մարմնի կողմից բանավոր նախազգու</w:t>
            </w:r>
            <w:r w:rsidR="00B33B3C" w:rsidRPr="00EE6221">
              <w:rPr>
                <w:rFonts w:ascii="GHEA Grapalat" w:eastAsia="GHEA Grapalat" w:hAnsi="GHEA Grapalat" w:cs="GHEA Grapalat"/>
                <w:sz w:val="24"/>
                <w:szCs w:val="24"/>
                <w:lang w:val="hy-AM"/>
              </w:rPr>
              <w:t>շ</w:t>
            </w:r>
            <w:r w:rsidRPr="00EE6221">
              <w:rPr>
                <w:rFonts w:ascii="GHEA Grapalat" w:eastAsia="GHEA Grapalat" w:hAnsi="GHEA Grapalat" w:cs="GHEA Grapalat"/>
                <w:sz w:val="24"/>
                <w:szCs w:val="24"/>
              </w:rPr>
              <w:t>ացումը, որը, ինչպես և մյուս տվյալները օրենքի ուժով ամրագրվում է, բավարար է դատավարության մասնավոր մասնակցին նշված տեղեկատվությունը հասանելի դարձնելու համար:</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330B98" w:rsidP="00330B98">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4B4DA9" w:rsidP="004B4DA9">
            <w:pPr>
              <w:jc w:val="both"/>
              <w:rPr>
                <w:rFonts w:ascii="GHEA Grapalat" w:hAnsi="GHEA Grapalat"/>
                <w:sz w:val="24"/>
                <w:szCs w:val="24"/>
              </w:rPr>
            </w:pPr>
            <w:r w:rsidRPr="00EE6221">
              <w:rPr>
                <w:rFonts w:ascii="GHEA Grapalat" w:hAnsi="GHEA Grapalat"/>
                <w:sz w:val="24"/>
                <w:szCs w:val="24"/>
                <w:lang w:val="hy-AM"/>
              </w:rPr>
              <w:t xml:space="preserve">Համանման կարգավորումներ առկա են նաև </w:t>
            </w:r>
            <w:r w:rsidR="001800A5" w:rsidRPr="00EE6221">
              <w:rPr>
                <w:rFonts w:ascii="GHEA Grapalat" w:hAnsi="GHEA Grapalat"/>
                <w:sz w:val="24"/>
                <w:szCs w:val="24"/>
              </w:rPr>
              <w:t xml:space="preserve">գործող </w:t>
            </w:r>
            <w:r w:rsidRPr="00EE6221">
              <w:rPr>
                <w:rFonts w:ascii="GHEA Grapalat" w:hAnsi="GHEA Grapalat"/>
                <w:sz w:val="24"/>
                <w:szCs w:val="24"/>
                <w:lang w:val="hy-AM"/>
              </w:rPr>
              <w:t xml:space="preserve">ՀՀ </w:t>
            </w:r>
            <w:r w:rsidR="001800A5" w:rsidRPr="00EE6221">
              <w:rPr>
                <w:rFonts w:ascii="GHEA Grapalat" w:hAnsi="GHEA Grapalat"/>
                <w:sz w:val="24"/>
                <w:szCs w:val="24"/>
              </w:rPr>
              <w:t>քրեական օրենսգրքի 306</w:t>
            </w:r>
            <w:r w:rsidR="004B56FA" w:rsidRPr="00EE6221">
              <w:rPr>
                <w:rFonts w:ascii="GHEA Grapalat" w:hAnsi="GHEA Grapalat"/>
                <w:sz w:val="24"/>
                <w:szCs w:val="24"/>
              </w:rPr>
              <w:t>-րդ</w:t>
            </w:r>
            <w:r w:rsidR="001800A5" w:rsidRPr="00EE6221">
              <w:rPr>
                <w:rFonts w:ascii="GHEA Grapalat" w:hAnsi="GHEA Grapalat"/>
                <w:sz w:val="24"/>
                <w:szCs w:val="24"/>
              </w:rPr>
              <w:t xml:space="preserve"> հոդված</w:t>
            </w:r>
            <w:r w:rsidRPr="00EE6221">
              <w:rPr>
                <w:rFonts w:ascii="GHEA Grapalat" w:hAnsi="GHEA Grapalat"/>
                <w:sz w:val="24"/>
                <w:szCs w:val="24"/>
                <w:lang w:val="hy-AM"/>
              </w:rPr>
              <w:t>ում և դրա վերաբերյալ գործնական խնդիրներ դեռևս չեն առաջացել</w:t>
            </w:r>
            <w:r w:rsidR="0076591D" w:rsidRPr="00EE6221">
              <w:rPr>
                <w:rFonts w:ascii="GHEA Grapalat" w:hAnsi="GHEA Grapalat"/>
                <w:sz w:val="24"/>
                <w:szCs w:val="24"/>
              </w:rPr>
              <w:t>:</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17</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Հոդված 116 Որպես խափանման միջոց կիրառելու հիմք է նախատեսվել մեղադրյալի կողմից իր վրա օրենսգրքով կամ դատարանի որոշմամբ դրված պարտականությունների կատարումն ապահովելը:  Նախ հարկ է նշել, որ նման լայն ձևակերպումը ակնհայտորեն չի համապատասխանում Սահմանադրությամբ ամրագրված օրենքի որոշակիության սկզբունքին, բացի այդ դրանից բխում է, որ մեղադրյալի նկատմամբ խափանման միջոց կարող է կիրառվել ընդհուպ բժշկական հետազոտություն անցնելուց կամ լուսանկարվելուց հրաժարվելու համար, քանի որ նման պարտականություններ նրա վրա դրված են նախագծի 43-րդ հոդվածի 2-րդ մասով, ինչն ուղղակի ոչ իրավաչափ է: Բացի դրանից, ինչն ամենաէականն է՝ ստացվում է, որ անազատության հետ կապված խափանման միջոցները, այդ թվում՝ կալանքը, ինչպես և մյուս խափանման միջոցները, նախագծի համաձայն կարող են կիրառվել Մարդու իրավունքների և հիմնարար ազատությունների պաշտպանության մասին եվրոպական կոնվենցիայի 5-րդ հոդվածով չսահմանված հիմքերով, ինչն ուղղակի է հակասում նշված միջազգային պայմանագրին: Առաջարկում ենք 116-րդ հոդվածի 2-րդ մասի </w:t>
            </w:r>
            <w:r w:rsidRPr="00EE6221">
              <w:rPr>
                <w:rFonts w:ascii="GHEA Grapalat" w:eastAsia="GHEA Grapalat" w:hAnsi="GHEA Grapalat" w:cs="GHEA Grapalat"/>
                <w:sz w:val="24"/>
                <w:szCs w:val="24"/>
              </w:rPr>
              <w:lastRenderedPageBreak/>
              <w:t>3-րդ կետով նախատեսված հիմքը նեղացնել՝ այն փոխարինել քննությանը չխոչընդոտելու պարտականության ապահովման հիմքով:</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76591D" w:rsidP="0076591D">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76591D" w:rsidP="004B4DA9">
            <w:pPr>
              <w:jc w:val="both"/>
              <w:rPr>
                <w:rFonts w:ascii="GHEA Grapalat" w:hAnsi="GHEA Grapalat"/>
                <w:sz w:val="24"/>
                <w:szCs w:val="24"/>
              </w:rPr>
            </w:pPr>
            <w:r w:rsidRPr="00EE6221">
              <w:rPr>
                <w:rFonts w:ascii="GHEA Grapalat" w:hAnsi="GHEA Grapalat"/>
                <w:sz w:val="24"/>
                <w:szCs w:val="24"/>
              </w:rPr>
              <w:t>Քննարկվող հոդվածը համապատասխանում է ՀՀ Սահմանադրության 27</w:t>
            </w:r>
            <w:r w:rsidR="004B4DA9" w:rsidRPr="00EE6221">
              <w:rPr>
                <w:rFonts w:ascii="GHEA Grapalat" w:hAnsi="GHEA Grapalat"/>
                <w:sz w:val="24"/>
                <w:szCs w:val="24"/>
                <w:lang w:val="hy-AM"/>
              </w:rPr>
              <w:t>-րդ</w:t>
            </w:r>
            <w:r w:rsidRPr="00EE6221">
              <w:rPr>
                <w:rFonts w:ascii="GHEA Grapalat" w:hAnsi="GHEA Grapalat"/>
                <w:sz w:val="24"/>
                <w:szCs w:val="24"/>
              </w:rPr>
              <w:t xml:space="preserve"> հոդվածի 1-ին մասի 2-3</w:t>
            </w:r>
            <w:r w:rsidR="004B4DA9" w:rsidRPr="00EE6221">
              <w:rPr>
                <w:rFonts w:ascii="GHEA Grapalat" w:hAnsi="GHEA Grapalat"/>
                <w:sz w:val="24"/>
                <w:szCs w:val="24"/>
                <w:lang w:val="hy-AM"/>
              </w:rPr>
              <w:t>-րդ</w:t>
            </w:r>
            <w:r w:rsidRPr="00EE6221">
              <w:rPr>
                <w:rFonts w:ascii="GHEA Grapalat" w:hAnsi="GHEA Grapalat"/>
                <w:sz w:val="24"/>
                <w:szCs w:val="24"/>
              </w:rPr>
              <w:t xml:space="preserve"> կետերով և </w:t>
            </w:r>
            <w:r w:rsidR="00D66268" w:rsidRPr="00EE6221">
              <w:rPr>
                <w:rFonts w:ascii="GHEA Grapalat" w:hAnsi="GHEA Grapalat"/>
                <w:sz w:val="24"/>
                <w:szCs w:val="24"/>
              </w:rPr>
              <w:t xml:space="preserve">Մարդու իրավունքների եվրոպական կոնվենցիայի </w:t>
            </w:r>
            <w:r w:rsidRPr="00EE6221">
              <w:rPr>
                <w:rFonts w:ascii="GHEA Grapalat" w:hAnsi="GHEA Grapalat"/>
                <w:sz w:val="24"/>
                <w:szCs w:val="24"/>
              </w:rPr>
              <w:t xml:space="preserve">  5</w:t>
            </w:r>
            <w:r w:rsidR="00D66268" w:rsidRPr="00EE6221">
              <w:rPr>
                <w:rFonts w:ascii="GHEA Grapalat" w:hAnsi="GHEA Grapalat"/>
                <w:sz w:val="24"/>
                <w:szCs w:val="24"/>
              </w:rPr>
              <w:t xml:space="preserve">-րդ </w:t>
            </w:r>
            <w:r w:rsidRPr="00EE6221">
              <w:rPr>
                <w:rFonts w:ascii="GHEA Grapalat" w:hAnsi="GHEA Grapalat"/>
                <w:sz w:val="24"/>
                <w:szCs w:val="24"/>
              </w:rPr>
              <w:t xml:space="preserve"> հոդվածի 1-ին մասի</w:t>
            </w:r>
            <w:r w:rsidR="004B4DA9" w:rsidRPr="00EE6221">
              <w:rPr>
                <w:rFonts w:ascii="GHEA Grapalat" w:hAnsi="GHEA Grapalat"/>
                <w:sz w:val="24"/>
                <w:szCs w:val="24"/>
                <w:lang w:val="hy-AM"/>
              </w:rPr>
              <w:t xml:space="preserve"> «</w:t>
            </w:r>
            <w:r w:rsidR="00FD2269" w:rsidRPr="00EE6221">
              <w:rPr>
                <w:rFonts w:ascii="GHEA Grapalat" w:hAnsi="GHEA Grapalat"/>
                <w:sz w:val="24"/>
                <w:szCs w:val="24"/>
              </w:rPr>
              <w:t>բ</w:t>
            </w:r>
            <w:r w:rsidR="004B4DA9" w:rsidRPr="00EE6221">
              <w:rPr>
                <w:rFonts w:ascii="GHEA Grapalat" w:hAnsi="GHEA Grapalat"/>
                <w:sz w:val="24"/>
                <w:szCs w:val="24"/>
                <w:lang w:val="hy-AM"/>
              </w:rPr>
              <w:t>»</w:t>
            </w:r>
            <w:r w:rsidR="00FD2269" w:rsidRPr="00EE6221">
              <w:rPr>
                <w:rFonts w:ascii="GHEA Grapalat" w:hAnsi="GHEA Grapalat"/>
                <w:sz w:val="24"/>
                <w:szCs w:val="24"/>
              </w:rPr>
              <w:t xml:space="preserve"> կետի</w:t>
            </w:r>
            <w:r w:rsidRPr="00EE6221">
              <w:rPr>
                <w:rFonts w:ascii="GHEA Grapalat" w:hAnsi="GHEA Grapalat"/>
                <w:sz w:val="24"/>
                <w:szCs w:val="24"/>
              </w:rPr>
              <w:t xml:space="preserve"> պահանջներին: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18</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Հոդված 49  Մեղադրյալի պաշտպանը օժտվում է նրա մասնակցությամբ կատարվող ցանկացած ապացուցողական կամ այլ վարութային գործողությանը մասնակցելու իրավունքով: Կրկին գտնում ենք, եր ՛՛մասնակցության՛՛ իրական արդյունավետությունն ապահովելու համար կոնկրետ առերես հարցաքննության մասով օրենքը պետք է հստակորեն նախատեսի նաև պաշտպանի՝ առերես հարցաքննության ժամանակ առերես հարցաքննվող անձին հարցեր ուղղելու իրավունքը:</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D2269" w:rsidP="00FD2269">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FD2269" w:rsidP="002B3679">
            <w:pPr>
              <w:jc w:val="both"/>
              <w:rPr>
                <w:rFonts w:ascii="GHEA Grapalat" w:hAnsi="GHEA Grapalat"/>
                <w:sz w:val="24"/>
                <w:szCs w:val="24"/>
              </w:rPr>
            </w:pPr>
            <w:r w:rsidRPr="00EE6221">
              <w:rPr>
                <w:rFonts w:ascii="GHEA Grapalat" w:hAnsi="GHEA Grapalat"/>
                <w:sz w:val="24"/>
                <w:szCs w:val="24"/>
              </w:rPr>
              <w:t>Առաջարկվող կարգավորումն արդեն առկա է Նախագծի 224</w:t>
            </w:r>
            <w:r w:rsidR="00D66268" w:rsidRPr="00EE6221">
              <w:rPr>
                <w:rFonts w:ascii="GHEA Grapalat" w:hAnsi="GHEA Grapalat"/>
                <w:sz w:val="24"/>
                <w:szCs w:val="24"/>
              </w:rPr>
              <w:t>-րդ</w:t>
            </w:r>
            <w:r w:rsidRPr="00EE6221">
              <w:rPr>
                <w:rFonts w:ascii="GHEA Grapalat" w:hAnsi="GHEA Grapalat"/>
                <w:sz w:val="24"/>
                <w:szCs w:val="24"/>
              </w:rPr>
              <w:t xml:space="preserve"> հոդվածի 3-րդ մասում և 221</w:t>
            </w:r>
            <w:r w:rsidR="00D66268" w:rsidRPr="00EE6221">
              <w:rPr>
                <w:rFonts w:ascii="GHEA Grapalat" w:hAnsi="GHEA Grapalat"/>
                <w:sz w:val="24"/>
                <w:szCs w:val="24"/>
              </w:rPr>
              <w:t>-րդ</w:t>
            </w:r>
            <w:r w:rsidRPr="00EE6221">
              <w:rPr>
                <w:rFonts w:ascii="GHEA Grapalat" w:hAnsi="GHEA Grapalat"/>
                <w:sz w:val="24"/>
                <w:szCs w:val="24"/>
              </w:rPr>
              <w:t xml:space="preserve"> հոդվածի 5-րդ մասում: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19</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Հոդված 44 Մեղադրյալի օրինական ներկայացուցիչը օժտվում է նրա հարցաքննությանը կամ նրա մասնակցությամբ կատարվող գործողություններին մասնակցելու իրավունքով, սակայն այդ ՛՛մասնակցության՛՛ իրական արդյունավետությունն ապահովելու համար կոնկրետ առերես հարցաքննության մասով օրենքը պետք է հստակորեն նախատեսի նաև օրինական ներկայացուցչի՝ առերես հարցաքննության ժամանակ առերես հարցաքննվող անձին հարցեր ուղղելու իրավունքը:</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D2269" w:rsidP="00FD2269">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FD2269" w:rsidP="00FD2269">
            <w:pPr>
              <w:jc w:val="both"/>
              <w:rPr>
                <w:rFonts w:ascii="GHEA Grapalat" w:hAnsi="GHEA Grapalat"/>
                <w:sz w:val="24"/>
                <w:szCs w:val="24"/>
              </w:rPr>
            </w:pPr>
            <w:r w:rsidRPr="00EE6221">
              <w:rPr>
                <w:rFonts w:ascii="GHEA Grapalat" w:hAnsi="GHEA Grapalat"/>
                <w:sz w:val="24"/>
                <w:szCs w:val="24"/>
              </w:rPr>
              <w:t>Առաջարկվող կարգավորումն արդեն առկա է Նախագծի 224</w:t>
            </w:r>
            <w:r w:rsidR="00D66268" w:rsidRPr="00EE6221">
              <w:rPr>
                <w:rFonts w:ascii="GHEA Grapalat" w:hAnsi="GHEA Grapalat"/>
                <w:sz w:val="24"/>
                <w:szCs w:val="24"/>
              </w:rPr>
              <w:t>-րդ</w:t>
            </w:r>
            <w:r w:rsidRPr="00EE6221">
              <w:rPr>
                <w:rFonts w:ascii="GHEA Grapalat" w:hAnsi="GHEA Grapalat"/>
                <w:sz w:val="24"/>
                <w:szCs w:val="24"/>
              </w:rPr>
              <w:t xml:space="preserve"> հոդվածի 3-րդ մասում և 212</w:t>
            </w:r>
            <w:r w:rsidR="00D66268" w:rsidRPr="00EE6221">
              <w:rPr>
                <w:rFonts w:ascii="GHEA Grapalat" w:hAnsi="GHEA Grapalat"/>
                <w:sz w:val="24"/>
                <w:szCs w:val="24"/>
              </w:rPr>
              <w:t>-րդ</w:t>
            </w:r>
            <w:r w:rsidRPr="00EE6221">
              <w:rPr>
                <w:rFonts w:ascii="GHEA Grapalat" w:hAnsi="GHEA Grapalat"/>
                <w:sz w:val="24"/>
                <w:szCs w:val="24"/>
              </w:rPr>
              <w:t xml:space="preserve"> հոդվածի 2-րդ մասում: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20</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Իրավունքի զարգացման և </w:t>
            </w:r>
            <w:r w:rsidRPr="00EE6221">
              <w:rPr>
                <w:rFonts w:ascii="GHEA Grapalat" w:eastAsia="GHEA Grapalat" w:hAnsi="GHEA Grapalat" w:cs="GHEA Grapalat"/>
                <w:sz w:val="24"/>
                <w:szCs w:val="24"/>
              </w:rPr>
              <w:lastRenderedPageBreak/>
              <w:t>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Հոդված 28 Վարույթի հրապարակայնության սահմանափակումը պետք է արդարացված լինի եզակի և խիստ որոշակի հիմքերով: ՛՛Արդարադատության շահ՛՛ հասկացությունը չափազանց անորոշ և լայն է </w:t>
            </w:r>
            <w:r w:rsidRPr="00EE6221">
              <w:rPr>
                <w:rFonts w:ascii="GHEA Grapalat" w:eastAsia="GHEA Grapalat" w:hAnsi="GHEA Grapalat" w:cs="GHEA Grapalat"/>
                <w:sz w:val="24"/>
                <w:szCs w:val="24"/>
              </w:rPr>
              <w:lastRenderedPageBreak/>
              <w:t>այս առումով և կամայական մոտեցման լայն հնարավորություն է ստեղծում, ուստի գտնում ենք, որ նշված հիմքը պետք է մասնավորեցնել և փոխարենը նախատեսել վարույթին ներգրավված անձի կամ նրա մերձավորի անվտանգության ապահովումը, որպես արդարադատության շահից բխող վարույթի հրապարակայնությունը սահմանափակելու հիմք՝ համահունչ նախագծի 267-րդ հոդվածի: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D2269" w:rsidP="00FD2269">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FD2269" w:rsidP="003D2C77">
            <w:pPr>
              <w:jc w:val="both"/>
              <w:rPr>
                <w:rFonts w:ascii="GHEA Grapalat" w:hAnsi="GHEA Grapalat"/>
                <w:sz w:val="24"/>
                <w:szCs w:val="24"/>
              </w:rPr>
            </w:pPr>
            <w:r w:rsidRPr="00EE6221">
              <w:rPr>
                <w:rFonts w:ascii="GHEA Grapalat" w:hAnsi="GHEA Grapalat"/>
                <w:sz w:val="24"/>
                <w:szCs w:val="24"/>
              </w:rPr>
              <w:t xml:space="preserve">Քննարկվող հոդվածում առկա ձևակերպումն ունի ընդհանրական բնույթ, քանի որ </w:t>
            </w:r>
            <w:r w:rsidRPr="00EE6221">
              <w:rPr>
                <w:rFonts w:ascii="GHEA Grapalat" w:hAnsi="GHEA Grapalat"/>
                <w:sz w:val="24"/>
                <w:szCs w:val="24"/>
              </w:rPr>
              <w:lastRenderedPageBreak/>
              <w:t xml:space="preserve">համապատասխան հարաբերությունը կարգավորում է վարույթի </w:t>
            </w:r>
            <w:r w:rsidR="003D2C77" w:rsidRPr="00EE6221">
              <w:rPr>
                <w:rFonts w:ascii="GHEA Grapalat" w:hAnsi="GHEA Grapalat"/>
                <w:sz w:val="24"/>
                <w:szCs w:val="24"/>
              </w:rPr>
              <w:t>սկզբունքի մակարդակով: Ավելի մանրամասն կարգավորումներն առկա են Նախագծի այլ, մասնավորապես՝ 267</w:t>
            </w:r>
            <w:r w:rsidR="00D66268" w:rsidRPr="00EE6221">
              <w:rPr>
                <w:rFonts w:ascii="GHEA Grapalat" w:hAnsi="GHEA Grapalat"/>
                <w:sz w:val="24"/>
                <w:szCs w:val="24"/>
              </w:rPr>
              <w:t>-րդ</w:t>
            </w:r>
            <w:r w:rsidR="003D2C77" w:rsidRPr="00EE6221">
              <w:rPr>
                <w:rFonts w:ascii="GHEA Grapalat" w:hAnsi="GHEA Grapalat"/>
                <w:sz w:val="24"/>
                <w:szCs w:val="24"/>
              </w:rPr>
              <w:t xml:space="preserve"> հոդվածում:</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21</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Հոդված 10 Չի կարգավորում երկու գործը մեկ վարույթում միացնելն այն դեպքում երբ դրանք քննվում են նույն ատյանի դատարանում/դատարաններում, սակայն տարբեր դատավորների վարույթներում:  Առաջարկվում է նման լիազորությամբ օժտել դատարանի նախագահին՝ դատավորներից մեկի դիմումի հիման վրա:</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3D2C77" w:rsidP="003D2C77">
            <w:pPr>
              <w:jc w:val="center"/>
              <w:rPr>
                <w:rFonts w:ascii="GHEA Grapalat" w:hAnsi="GHEA Grapalat"/>
                <w:sz w:val="24"/>
                <w:szCs w:val="24"/>
              </w:rPr>
            </w:pPr>
            <w:r w:rsidRPr="00EE6221">
              <w:rPr>
                <w:rFonts w:ascii="GHEA Grapalat" w:hAnsi="GHEA Grapalat"/>
                <w:sz w:val="24"/>
                <w:szCs w:val="24"/>
              </w:rPr>
              <w:t>Ընդունվել է</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171574">
            <w:pPr>
              <w:jc w:val="both"/>
              <w:rPr>
                <w:rFonts w:ascii="GHEA Grapalat" w:hAnsi="GHEA Grapalat"/>
                <w:sz w:val="24"/>
                <w:szCs w:val="24"/>
              </w:rPr>
            </w:pPr>
            <w:r w:rsidRPr="00EE6221">
              <w:rPr>
                <w:rFonts w:ascii="GHEA Grapalat" w:hAnsi="GHEA Grapalat"/>
                <w:sz w:val="24"/>
                <w:szCs w:val="24"/>
              </w:rPr>
              <w:t>Նախագծում կատարվել է համապատասխան փոփոխություն:</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22</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Իրավունքի զարգացման և պաշտպանության հիմնադրամ</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28.11.2019 23:05:51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Հոդված 8 Բոլոր վարութային գործողությունների ընթացքի ու արդյունքների և ընդունվող բոլոր դատավարական ակտերի ամրագրումը կատարվում է համակարգչային եղանակով, իսկ դրա անհնարինության դեպքում` ձեռագիր պատրաստված արձանագրությամբ, որը կազմվում է վարութային գործողության ընթացքում կամ դրա ավարտից անմիջապեu հետո: Դատական վարույթում ամրագրումը կարող է կատարվել նաև </w:t>
            </w:r>
            <w:r w:rsidRPr="00EE6221">
              <w:rPr>
                <w:rFonts w:ascii="GHEA Grapalat" w:eastAsia="GHEA Grapalat" w:hAnsi="GHEA Grapalat" w:cs="GHEA Grapalat"/>
                <w:sz w:val="24"/>
                <w:szCs w:val="24"/>
              </w:rPr>
              <w:lastRenderedPageBreak/>
              <w:t xml:space="preserve">ձայնագրման եղանակով:  Առաջարկ՝ Գործի նախաքննության ընթացքում վարութային գործողությունների ամրագրումը պետք է իրականացվի տեսաձայնագրառման /եթե իրականացվում է քննչական մարմնում/ կամ ձայնագրառման /եթե իրականացվում է արտագնա/միջոցով, իսկ արդյունքները կարող են ամրագրվել նաև գրավոր՝ համակարգչային եղանակով: Առաջարկը հիմնված է այն պարզ իրողության վրա, որ այն դեպքում երբ, դիցուք հարցաքննության կամ որևէ այլ գործողության արձանագրումն իրականացվում է գրավոր /համակարգչային կամ ձեռագիր/ եղանակով դրա արդյունավետությունը թե որակական, թե ժամանակային /մի քանի անգամ/ առումով էականորեն ընկնում է: Մասնավորապես որակական առումով գործողությունների, հատկապես՝ հարցաքննության կամ առերես հարցաքննության, արդյունավետությունն  ընկնում է հաշվի առնելով այն, որ հարցաքննվող կամ առերեսվող անձինք որոշակի ժամանակ են ունենում իրենց պատասխանները կառուցելու համար, ինչպես նաև չի արձանագրվում նրանց ոչ վերբալ վարքագիծը՝ ժեստերն ու միմիկան, մարմնի շարժումները և այլն, որոնք նվազ կարևորություն չունեն արդյունքում ստեղծված ապացույցի հետագայում գնահատման համար: Միևնույն ժամանակ գործողությունների տեսաձայնագրային կամ ձայնագրային  ամրագրումը գործուն երաշխիք կհանդիսանան վարույթի մասնավոր մասնակիցների և վկաների նկատմամբ ճնշում գործադրելուց զերծ մնալու առումով: Քննչական մարմնի տեղակայման վայրից դուրս կատարվող գործողությունների՝ տեսաձայնագրային կամ ձայնագրային եղանակով ամրագրման լիազորությունը հնարավորություն կընձեռի քննիչին կամ նրա </w:t>
            </w:r>
            <w:r w:rsidRPr="00EE6221">
              <w:rPr>
                <w:rFonts w:ascii="GHEA Grapalat" w:eastAsia="GHEA Grapalat" w:hAnsi="GHEA Grapalat" w:cs="GHEA Grapalat"/>
                <w:sz w:val="24"/>
                <w:szCs w:val="24"/>
              </w:rPr>
              <w:lastRenderedPageBreak/>
              <w:t>հանձնարարությամբ հետաքննիչին անհետաձգելի գործողությունները, այդ թվում՝ հարցաքննությունները արդյունավետորեն կատարել օրենքով թույլատրելի ցանկացած վայրում, այդ թվում՝ հարցաքննվողի տանը, աշխատավայրում և այլն, կբարձրացնի դեպքի վայրի կամ իրեղեն ապացույցների զննման արդյունավետությունը և այլն: Ինչ վերաբերում է նշված առաջարկը կյանքի կոչելու համար քննչական մարմինների՝ տեխնիկական միջոցներով վերազինման համար կամ հարցաքննությունների սենյակների կահավորման համար անհրաժեշտ ֆինանսական միջոցներին, ապա, գտնում ենք, նշված հարցը լուծելի է նույնիսկ առանց լրացուցիչ բյուջետային ներդրումների՝ միայն հաշվի առնելով այն, թե վարութային գործողությունների նման ամրագրման ընթացակարգը ներդնելու դեպքում որքան մարդկային ռեսուրս կարող է խնայվել, քանի որ մարդկային ռեսուրսի խնայումն իր հերթին հնարավորություն կստեղծի կրճատել քննչական մարմինների անձնակազմի թիվը՝ միաժամանակ բարձրացնելով նաև նրա որակական հատկանիշները:</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3D2C77" w:rsidP="00D66268">
            <w:pPr>
              <w:rPr>
                <w:rFonts w:ascii="GHEA Grapalat" w:hAnsi="GHEA Grapalat"/>
                <w:sz w:val="24"/>
                <w:szCs w:val="24"/>
              </w:rPr>
            </w:pPr>
            <w:r w:rsidRPr="00EE6221">
              <w:rPr>
                <w:rFonts w:ascii="GHEA Grapalat" w:hAnsi="GHEA Grapalat"/>
                <w:sz w:val="24"/>
                <w:szCs w:val="24"/>
              </w:rPr>
              <w:lastRenderedPageBreak/>
              <w:t>Ընդունվել է ի գիտություն</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9629CF" w:rsidP="002B3679">
            <w:pPr>
              <w:jc w:val="both"/>
              <w:rPr>
                <w:rFonts w:ascii="GHEA Grapalat" w:hAnsi="GHEA Grapalat"/>
                <w:sz w:val="24"/>
                <w:szCs w:val="24"/>
              </w:rPr>
            </w:pP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23</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Վարդուհի Մարգարյան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18:22:07</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w:t>
            </w:r>
            <w:r w:rsidRPr="00EE6221">
              <w:rPr>
                <w:rFonts w:ascii="GHEA Grapalat" w:eastAsia="GHEA Grapalat" w:hAnsi="GHEA Grapalat" w:cs="GHEA Grapalat"/>
                <w:sz w:val="24"/>
                <w:szCs w:val="24"/>
              </w:rPr>
              <w:lastRenderedPageBreak/>
              <w:t>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24</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Մերի Ղալաչյան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17:36:20</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25</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Anahit Poghosyan</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28.11.2019 </w:t>
            </w:r>
            <w:r w:rsidRPr="00EE6221">
              <w:rPr>
                <w:rFonts w:ascii="GHEA Grapalat" w:eastAsia="GHEA Grapalat" w:hAnsi="GHEA Grapalat" w:cs="GHEA Grapalat"/>
                <w:sz w:val="24"/>
                <w:szCs w:val="24"/>
              </w:rPr>
              <w:lastRenderedPageBreak/>
              <w:t>12:54:52</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w:t>
            </w:r>
            <w:r w:rsidRPr="00EE6221">
              <w:rPr>
                <w:rFonts w:ascii="GHEA Grapalat" w:eastAsia="GHEA Grapalat" w:hAnsi="GHEA Grapalat" w:cs="GHEA Grapalat"/>
                <w:sz w:val="24"/>
                <w:szCs w:val="24"/>
              </w:rPr>
              <w:lastRenderedPageBreak/>
              <w:t>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b/>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26</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Amalya Stepanyan</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12:54:21</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27</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Vladimir Ayvazyan</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12:51:43</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171574">
            <w:pPr>
              <w:jc w:val="both"/>
              <w:rPr>
                <w:rFonts w:ascii="GHEA Grapalat" w:hAnsi="GHEA Grapalat"/>
                <w:sz w:val="24"/>
                <w:szCs w:val="24"/>
              </w:rPr>
            </w:pPr>
            <w:r w:rsidRPr="00EE6221">
              <w:rPr>
                <w:rFonts w:ascii="GHEA Grapalat" w:hAnsi="GHEA Grapalat"/>
                <w:sz w:val="24"/>
                <w:szCs w:val="24"/>
              </w:rPr>
              <w:t>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Vladimir Ayvazyan</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28.11.2019 12:51:30</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w:t>
            </w:r>
            <w:r w:rsidRPr="00EE6221">
              <w:rPr>
                <w:rFonts w:ascii="GHEA Grapalat" w:eastAsia="GHEA Grapalat" w:hAnsi="GHEA Grapalat" w:cs="GHEA Grapalat"/>
                <w:sz w:val="24"/>
                <w:szCs w:val="24"/>
              </w:rPr>
              <w:lastRenderedPageBreak/>
              <w:t>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29</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Իզաբելլա Լևոնյան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27.11.2019 23:21:49</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30</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Անժելիկա Այվազյան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27.11.2019 00:59:03</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w:t>
            </w:r>
            <w:r w:rsidRPr="00EE6221">
              <w:rPr>
                <w:rFonts w:ascii="GHEA Grapalat" w:eastAsia="GHEA Grapalat" w:hAnsi="GHEA Grapalat" w:cs="GHEA Grapalat"/>
                <w:sz w:val="24"/>
                <w:szCs w:val="24"/>
              </w:rPr>
              <w:lastRenderedPageBreak/>
              <w:t>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31</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Tigran Dovlatian</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27.11.2019 00:52:08</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32</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Սոսե Խաչիբաբյան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26.11.2019 17:40:52</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w:t>
            </w:r>
            <w:r w:rsidRPr="00EE6221">
              <w:rPr>
                <w:rFonts w:ascii="GHEA Grapalat" w:eastAsia="GHEA Grapalat" w:hAnsi="GHEA Grapalat" w:cs="GHEA Grapalat"/>
                <w:sz w:val="24"/>
                <w:szCs w:val="24"/>
              </w:rPr>
              <w:lastRenderedPageBreak/>
              <w:t>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33</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«Հոգեբանների հայկական գիտական միավորում» ՀԿ</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26.11.2019 00:45:09</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 xml:space="preserve">Նախագծի 57-րդ հոդվածի 3-րդ մասն առաջարկում ենք լրացնել նոր՝ 6-րդ կետով. «6) </w:t>
            </w:r>
            <w:proofErr w:type="gramStart"/>
            <w:r w:rsidRPr="00EE6221">
              <w:rPr>
                <w:rFonts w:ascii="GHEA Grapalat" w:eastAsia="GHEA Grapalat" w:hAnsi="GHEA Grapalat" w:cs="GHEA Grapalat"/>
                <w:sz w:val="24"/>
                <w:szCs w:val="24"/>
              </w:rPr>
              <w:t>հոգեբանական</w:t>
            </w:r>
            <w:proofErr w:type="gramEnd"/>
            <w:r w:rsidRPr="00EE6221">
              <w:rPr>
                <w:rFonts w:ascii="GHEA Grapalat" w:eastAsia="GHEA Grapalat" w:hAnsi="GHEA Grapalat" w:cs="GHEA Grapalat"/>
                <w:sz w:val="24"/>
                <w:szCs w:val="24"/>
              </w:rPr>
              <w:t xml:space="preserve"> խորհրդատվություն և հոգեթերապիա իրականացնող մասնագետը (հոգեբան, հոգեբան-խորհրդատու, կլինիկական հոգեբան, հոգեթերապևտ)՝ իր մասնագիտական պարտականությունները կատարելու կապակցությամբ իրեն հայտնի դարձած հանգամանքների մասին:»:  Դիմելով հոգեբանական խորհրդատվություն կամ հոգեթերապևտիկ ծառայություններ տրամադրող մասնագետի՝ անձն ակնկալում է ստանալ պրոֆեսիոնալ հոգեբանական աջակցություն, որի գլխավոր էթիկական պահանջներից է անձնական ինֆորմացիայի գաղտնապահության (կոնֆիդենցիալության) նորմը։ Առաջարկվող լրացումն այդ մասնագետին անկաշկանդ գործելու հնարավորություն կտա, նաև կնպաստի, որ անձինք վերոնշյալ մասնագետին դիմեն առանց մտավախությունների:</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FB4E13" w:rsidP="00FB4E1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9629CF" w:rsidRPr="00EE6221" w:rsidRDefault="00E44BCA" w:rsidP="002B3679">
            <w:pPr>
              <w:jc w:val="both"/>
              <w:rPr>
                <w:rFonts w:ascii="GHEA Grapalat" w:hAnsi="GHEA Grapalat"/>
                <w:sz w:val="24"/>
                <w:szCs w:val="24"/>
              </w:rPr>
            </w:pPr>
            <w:r w:rsidRPr="00EE6221">
              <w:rPr>
                <w:rFonts w:ascii="GHEA Grapalat" w:hAnsi="GHEA Grapalat"/>
                <w:sz w:val="24"/>
                <w:szCs w:val="24"/>
              </w:rPr>
              <w:t xml:space="preserve">    Տե՛ս 9-րդ կետը:</w:t>
            </w:r>
          </w:p>
        </w:tc>
      </w:tr>
      <w:tr w:rsidR="009629CF" w:rsidRPr="00EE6221" w:rsidTr="002B75A5">
        <w:tc>
          <w:tcPr>
            <w:tcW w:w="283"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lastRenderedPageBreak/>
              <w:t>34</w:t>
            </w:r>
          </w:p>
        </w:tc>
        <w:tc>
          <w:tcPr>
            <w:tcW w:w="1437"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Վարազդատ Հայրապետյան</w:t>
            </w:r>
          </w:p>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18.11.2019 10:59:54</w:t>
            </w:r>
          </w:p>
        </w:tc>
        <w:tc>
          <w:tcPr>
            <w:tcW w:w="8370" w:type="dxa"/>
            <w:tcBorders>
              <w:top w:val="single" w:sz="1" w:space="0" w:color="000000"/>
              <w:left w:val="single" w:sz="1" w:space="0" w:color="000000"/>
              <w:bottom w:val="single" w:sz="1" w:space="0" w:color="000000"/>
              <w:right w:val="single" w:sz="1" w:space="0" w:color="000000"/>
            </w:tcBorders>
          </w:tcPr>
          <w:p w:rsidR="009629CF" w:rsidRPr="00EE6221" w:rsidRDefault="002C19CC" w:rsidP="002B3679">
            <w:pPr>
              <w:jc w:val="both"/>
              <w:rPr>
                <w:rFonts w:ascii="GHEA Grapalat" w:hAnsi="GHEA Grapalat"/>
                <w:sz w:val="24"/>
                <w:szCs w:val="24"/>
              </w:rPr>
            </w:pPr>
            <w:r w:rsidRPr="00EE6221">
              <w:rPr>
                <w:rFonts w:ascii="GHEA Grapalat" w:eastAsia="GHEA Grapalat" w:hAnsi="GHEA Grapalat" w:cs="GHEA Grapalat"/>
                <w:sz w:val="24"/>
                <w:szCs w:val="24"/>
              </w:rPr>
              <w:t>ՀՀ հարկային օրենսգրքի համաձայն հարկային հսկողության եղանակներից է «Օպերատիվ-հետախուզական գործունեության մասին» ՀՀ օրենքով սահմանված կարգով հարկային մարմինների կողմից իրականացվող օպերատիվ-հետախուզական միջոցառումները: Առաջարկում եմ Նախագծի 42-րդ հոդվածի 1-ին մասում ավելացնել հետևյալ կետը՝ «իրականացնում է օպերատիվ-հետախուզական միջոցառումներ՝ ՀՀ հարկային օրենսգրքի և հարկային մարմնին հսկողության լիազորություններ վերապահող այլ իրավական ակտերի պահանջների խախտումների նախազգուշացման, կանխման, խափանման և բացահայտման նպատակով»:</w:t>
            </w:r>
          </w:p>
        </w:tc>
        <w:tc>
          <w:tcPr>
            <w:tcW w:w="1872" w:type="dxa"/>
            <w:tcBorders>
              <w:top w:val="single" w:sz="1" w:space="0" w:color="000000"/>
              <w:left w:val="single" w:sz="1" w:space="0" w:color="000000"/>
              <w:bottom w:val="single" w:sz="1" w:space="0" w:color="000000"/>
              <w:right w:val="single" w:sz="1" w:space="0" w:color="000000"/>
            </w:tcBorders>
          </w:tcPr>
          <w:p w:rsidR="009629CF" w:rsidRPr="00EE6221" w:rsidRDefault="00B378A3" w:rsidP="00B378A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B378A3" w:rsidRPr="00EE6221" w:rsidRDefault="00B378A3" w:rsidP="002B3679">
            <w:pPr>
              <w:jc w:val="both"/>
              <w:rPr>
                <w:rFonts w:ascii="GHEA Grapalat" w:hAnsi="GHEA Grapalat"/>
                <w:sz w:val="24"/>
                <w:szCs w:val="24"/>
              </w:rPr>
            </w:pPr>
            <w:r w:rsidRPr="00EE6221">
              <w:rPr>
                <w:rFonts w:ascii="GHEA Grapalat" w:hAnsi="GHEA Grapalat"/>
                <w:sz w:val="24"/>
                <w:szCs w:val="24"/>
              </w:rPr>
              <w:t>Առաջարկությունը դուրս է Նախագծի կարգավորման առարկայի շրջանակներից:</w:t>
            </w:r>
          </w:p>
        </w:tc>
      </w:tr>
      <w:tr w:rsidR="001E5CD1" w:rsidRPr="00EE6221" w:rsidTr="002B75A5">
        <w:tc>
          <w:tcPr>
            <w:tcW w:w="283" w:type="dxa"/>
            <w:tcBorders>
              <w:top w:val="single" w:sz="1" w:space="0" w:color="000000"/>
              <w:left w:val="single" w:sz="1" w:space="0" w:color="000000"/>
              <w:bottom w:val="single" w:sz="1" w:space="0" w:color="000000"/>
              <w:right w:val="single" w:sz="1" w:space="0" w:color="000000"/>
            </w:tcBorders>
          </w:tcPr>
          <w:p w:rsidR="001E5CD1" w:rsidRPr="00EE6221" w:rsidRDefault="002B3679" w:rsidP="002B3679">
            <w:pPr>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35</w:t>
            </w:r>
          </w:p>
        </w:tc>
        <w:tc>
          <w:tcPr>
            <w:tcW w:w="1437" w:type="dxa"/>
            <w:tcBorders>
              <w:top w:val="single" w:sz="1" w:space="0" w:color="000000"/>
              <w:left w:val="single" w:sz="1" w:space="0" w:color="000000"/>
              <w:bottom w:val="single" w:sz="1" w:space="0" w:color="000000"/>
              <w:right w:val="single" w:sz="1" w:space="0" w:color="000000"/>
            </w:tcBorders>
          </w:tcPr>
          <w:p w:rsidR="001E5CD1" w:rsidRPr="00EE6221" w:rsidRDefault="001E5CD1" w:rsidP="002B3679">
            <w:pPr>
              <w:spacing w:after="0" w:line="360" w:lineRule="auto"/>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Առաքելություն Հայաստան ԲՀԿ</w:t>
            </w:r>
          </w:p>
          <w:p w:rsidR="001E5CD1" w:rsidRPr="00EE6221" w:rsidRDefault="001E5CD1" w:rsidP="002B3679">
            <w:pPr>
              <w:spacing w:after="0" w:line="360" w:lineRule="auto"/>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14.10.2019 թ.</w:t>
            </w:r>
          </w:p>
          <w:p w:rsidR="001E5CD1" w:rsidRPr="00EE6221" w:rsidRDefault="001E5CD1" w:rsidP="002B3679">
            <w:pPr>
              <w:spacing w:after="0" w:line="360" w:lineRule="auto"/>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ԱՀ-263</w:t>
            </w:r>
          </w:p>
          <w:p w:rsidR="001E5CD1" w:rsidRPr="00EE6221" w:rsidRDefault="001E5CD1" w:rsidP="002B3679">
            <w:pPr>
              <w:jc w:val="both"/>
              <w:rPr>
                <w:rFonts w:ascii="GHEA Grapalat" w:eastAsia="GHEA Grapalat" w:hAnsi="GHEA Grapalat" w:cs="GHEA Grapalat"/>
                <w:sz w:val="24"/>
                <w:szCs w:val="24"/>
              </w:rPr>
            </w:pPr>
          </w:p>
        </w:tc>
        <w:tc>
          <w:tcPr>
            <w:tcW w:w="8370" w:type="dxa"/>
            <w:tcBorders>
              <w:top w:val="single" w:sz="1" w:space="0" w:color="000000"/>
              <w:left w:val="single" w:sz="1" w:space="0" w:color="000000"/>
              <w:bottom w:val="single" w:sz="1" w:space="0" w:color="000000"/>
              <w:right w:val="single" w:sz="1" w:space="0" w:color="000000"/>
            </w:tcBorders>
          </w:tcPr>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iCs/>
                <w:sz w:val="24"/>
                <w:szCs w:val="24"/>
                <w:lang w:bidi="hy-AM"/>
              </w:rPr>
              <w:t>1.</w:t>
            </w:r>
            <w:r w:rsidRPr="00EE6221">
              <w:rPr>
                <w:rFonts w:ascii="GHEA Grapalat" w:eastAsia="GHEA Grapalat" w:hAnsi="GHEA Grapalat" w:cs="GHEA Grapalat"/>
                <w:i/>
                <w:iCs/>
                <w:sz w:val="24"/>
                <w:szCs w:val="24"/>
                <w:lang w:bidi="hy-AM"/>
              </w:rPr>
              <w:t xml:space="preserve"> ՀՀ</w:t>
            </w:r>
            <w:r w:rsidRPr="00EE6221">
              <w:rPr>
                <w:rFonts w:ascii="GHEA Grapalat" w:eastAsia="GHEA Grapalat" w:hAnsi="GHEA Grapalat" w:cs="GHEA Grapalat"/>
                <w:sz w:val="24"/>
                <w:szCs w:val="24"/>
                <w:lang w:bidi="hy-AM"/>
              </w:rPr>
              <w:t xml:space="preserve"> Քրեական դատավարության 197 հոդվածի համաձայն' քրեական գործով նախաքննությունը պետք է ավարտվի ոչ ուշ, քան երկամսյա ժամկետում: Նախաքննության ժամկետը հաշվարկվում է քրեական գործ հարուցելու մասին որոշում կայացնելու պահից</w:t>
            </w:r>
            <w:r w:rsidR="00EE704A" w:rsidRPr="00EE6221">
              <w:rPr>
                <w:rFonts w:ascii="GHEA Grapalat" w:eastAsia="GHEA Grapalat" w:hAnsi="GHEA Grapalat" w:cs="GHEA Grapalat"/>
                <w:sz w:val="24"/>
                <w:szCs w:val="24"/>
                <w:lang w:val="hy-AM" w:bidi="hy-AM"/>
              </w:rPr>
              <w:t xml:space="preserve"> և</w:t>
            </w:r>
            <w:r w:rsidRPr="00EE6221">
              <w:rPr>
                <w:rFonts w:ascii="GHEA Grapalat" w:eastAsia="GHEA Grapalat" w:hAnsi="GHEA Grapalat" w:cs="GHEA Grapalat"/>
                <w:sz w:val="24"/>
                <w:szCs w:val="24"/>
                <w:lang w:bidi="hy-AM"/>
              </w:rPr>
              <w:t xml:space="preserve"> ավարտվում է գործը դատարան ուղարկելու մասին կամ գործով վարույթի կարճման մասին որոշում կայացնելու օրվանից: Օրենսդրական կարգավորումը հստակ չէ քանի որ նույն օրենսգրքի 196 հոդվածի համաձայն' նախաքննությունն ավարտվում է մեղադրական եզրակացություն, բժշկական բնույթի միջոցների կիրառման համար քրեական գործը դատարան ուղարկելու մասին կամ քրեական գործի վարույթր կարճելու մասին որոշում կազմելով: Այս հոդվածից հետհում է, որ նախաքննության ժամկետն ավարտվում է, երբ քննիչը մեղադրական եզրակացությամբ գործն ուղարկում է դատախազին կամ բժշկական բնույթի միջոցների կիրառման համար </w:t>
            </w:r>
            <w:r w:rsidRPr="00EE6221">
              <w:rPr>
                <w:rFonts w:ascii="GHEA Grapalat" w:eastAsia="GHEA Grapalat" w:hAnsi="GHEA Grapalat" w:cs="GHEA Grapalat"/>
                <w:sz w:val="24"/>
                <w:szCs w:val="24"/>
                <w:lang w:bidi="hy-AM"/>
              </w:rPr>
              <w:lastRenderedPageBreak/>
              <w:t>քրեական գործը դատարան ուղարկելու մասին որոշում է կայացնում: Ուստի առաջարկում ենք կատարել փոփոխություն հ հստակ սահմանել նախաքննության ավարտր:</w:t>
            </w:r>
          </w:p>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Գտնում ենք, որ հանցագործության ծանրության աստիճանից ելնելով կարող ենք սահմանել նախաքննության տարբեր ժամկետներ: Ուստի առաջարկում ենք</w:t>
            </w:r>
          </w:p>
          <w:p w:rsidR="001E5CD1" w:rsidRPr="00EE6221" w:rsidRDefault="001E5CD1" w:rsidP="002B3679">
            <w:pPr>
              <w:numPr>
                <w:ilvl w:val="0"/>
                <w:numId w:val="1"/>
              </w:num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 xml:space="preserve"> ոչ մեծ ծանրության հանցագործության նախաքննության համար նախատեսել 1 ամսյա ժամկետ,</w:t>
            </w:r>
          </w:p>
          <w:p w:rsidR="001E5CD1" w:rsidRPr="00EE6221" w:rsidRDefault="001E5CD1" w:rsidP="002B3679">
            <w:pPr>
              <w:numPr>
                <w:ilvl w:val="0"/>
                <w:numId w:val="1"/>
              </w:numPr>
              <w:spacing w:after="0"/>
              <w:ind w:left="247"/>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միջին ծանրության հանցագործությունների նախաքննության համար նախատեսել 2 ամսյա ժամկետ,</w:t>
            </w:r>
          </w:p>
          <w:p w:rsidR="001E5CD1" w:rsidRPr="00EE6221" w:rsidRDefault="001E5CD1" w:rsidP="002B3679">
            <w:pPr>
              <w:pStyle w:val="ListParagraph"/>
              <w:numPr>
                <w:ilvl w:val="0"/>
                <w:numId w:val="1"/>
              </w:numPr>
              <w:tabs>
                <w:tab w:val="left" w:pos="531"/>
              </w:tabs>
              <w:spacing w:after="0"/>
              <w:ind w:left="389"/>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ծանր հանցագործությունների նախաքննության համար նախատեսել 4 ամսյա ժամկետ,</w:t>
            </w:r>
          </w:p>
          <w:p w:rsidR="001E5CD1" w:rsidRPr="00EE6221" w:rsidRDefault="001E5CD1" w:rsidP="002B3679">
            <w:pPr>
              <w:numPr>
                <w:ilvl w:val="0"/>
                <w:numId w:val="1"/>
              </w:numPr>
              <w:spacing w:after="0"/>
              <w:ind w:firstLine="389"/>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 xml:space="preserve"> առանձնապես ծանր հանցագործությունների նախաքննության համար նախատեսել 8 ամսյա ժամկետ:</w:t>
            </w:r>
          </w:p>
        </w:tc>
        <w:tc>
          <w:tcPr>
            <w:tcW w:w="1872" w:type="dxa"/>
            <w:tcBorders>
              <w:top w:val="single" w:sz="1" w:space="0" w:color="000000"/>
              <w:left w:val="single" w:sz="1" w:space="0" w:color="000000"/>
              <w:bottom w:val="single" w:sz="1" w:space="0" w:color="000000"/>
              <w:right w:val="single" w:sz="1" w:space="0" w:color="000000"/>
            </w:tcBorders>
          </w:tcPr>
          <w:p w:rsidR="001E5CD1" w:rsidRPr="00EE6221" w:rsidRDefault="00B378A3" w:rsidP="00B378A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1E5CD1" w:rsidRPr="00EE6221" w:rsidRDefault="00B378A3" w:rsidP="002B3679">
            <w:pPr>
              <w:jc w:val="both"/>
              <w:rPr>
                <w:rFonts w:ascii="GHEA Grapalat" w:hAnsi="GHEA Grapalat"/>
                <w:sz w:val="24"/>
                <w:szCs w:val="24"/>
              </w:rPr>
            </w:pPr>
            <w:r w:rsidRPr="00EE6221">
              <w:rPr>
                <w:rFonts w:ascii="GHEA Grapalat" w:hAnsi="GHEA Grapalat"/>
                <w:sz w:val="24"/>
                <w:szCs w:val="24"/>
              </w:rPr>
              <w:t>Առաջարկությունը վերաբերում է ոչ թե Նախագծին, այլ գործող Ք</w:t>
            </w:r>
            <w:r w:rsidR="00E44BCA" w:rsidRPr="00EE6221">
              <w:rPr>
                <w:rFonts w:ascii="GHEA Grapalat" w:hAnsi="GHEA Grapalat"/>
                <w:sz w:val="24"/>
                <w:szCs w:val="24"/>
              </w:rPr>
              <w:t>րեական դատավարության օրենսգրք</w:t>
            </w:r>
            <w:r w:rsidRPr="00EE6221">
              <w:rPr>
                <w:rFonts w:ascii="GHEA Grapalat" w:hAnsi="GHEA Grapalat"/>
                <w:sz w:val="24"/>
                <w:szCs w:val="24"/>
              </w:rPr>
              <w:t xml:space="preserve">ին: </w:t>
            </w:r>
            <w:r w:rsidR="00686420" w:rsidRPr="00EE6221">
              <w:rPr>
                <w:rFonts w:ascii="GHEA Grapalat" w:hAnsi="GHEA Grapalat"/>
                <w:sz w:val="24"/>
                <w:szCs w:val="24"/>
              </w:rPr>
              <w:t xml:space="preserve">Միաժամանակ, </w:t>
            </w:r>
            <w:r w:rsidRPr="00EE6221">
              <w:rPr>
                <w:rFonts w:ascii="GHEA Grapalat" w:hAnsi="GHEA Grapalat"/>
                <w:sz w:val="24"/>
                <w:szCs w:val="24"/>
              </w:rPr>
              <w:t xml:space="preserve"> Նախագծով ժամկետներ են սահմանված ոչ թե նախաքննության, այլ քրեական հետապնդման համար:</w:t>
            </w:r>
          </w:p>
        </w:tc>
      </w:tr>
      <w:tr w:rsidR="001E5CD1" w:rsidRPr="00EE6221" w:rsidTr="002B75A5">
        <w:tc>
          <w:tcPr>
            <w:tcW w:w="283" w:type="dxa"/>
            <w:tcBorders>
              <w:top w:val="single" w:sz="1" w:space="0" w:color="000000"/>
              <w:left w:val="single" w:sz="1" w:space="0" w:color="000000"/>
              <w:bottom w:val="single" w:sz="1" w:space="0" w:color="000000"/>
              <w:right w:val="single" w:sz="1" w:space="0" w:color="000000"/>
            </w:tcBorders>
          </w:tcPr>
          <w:p w:rsidR="001E5CD1" w:rsidRPr="00EE6221" w:rsidRDefault="001E5CD1" w:rsidP="002B3679">
            <w:pPr>
              <w:jc w:val="both"/>
              <w:rPr>
                <w:rFonts w:ascii="GHEA Grapalat" w:eastAsia="GHEA Grapalat" w:hAnsi="GHEA Grapalat" w:cs="GHEA Grapalat"/>
                <w:sz w:val="24"/>
                <w:szCs w:val="24"/>
              </w:rPr>
            </w:pPr>
          </w:p>
        </w:tc>
        <w:tc>
          <w:tcPr>
            <w:tcW w:w="1437" w:type="dxa"/>
            <w:tcBorders>
              <w:top w:val="single" w:sz="1" w:space="0" w:color="000000"/>
              <w:left w:val="single" w:sz="1" w:space="0" w:color="000000"/>
              <w:bottom w:val="single" w:sz="1" w:space="0" w:color="000000"/>
              <w:right w:val="single" w:sz="1" w:space="0" w:color="000000"/>
            </w:tcBorders>
          </w:tcPr>
          <w:p w:rsidR="001E5CD1" w:rsidRPr="00EE6221" w:rsidRDefault="001E5CD1" w:rsidP="002B3679">
            <w:pPr>
              <w:jc w:val="both"/>
              <w:rPr>
                <w:rFonts w:ascii="GHEA Grapalat" w:eastAsia="GHEA Grapalat" w:hAnsi="GHEA Grapalat" w:cs="GHEA Grapalat"/>
                <w:sz w:val="24"/>
                <w:szCs w:val="24"/>
              </w:rPr>
            </w:pPr>
          </w:p>
        </w:tc>
        <w:tc>
          <w:tcPr>
            <w:tcW w:w="8370" w:type="dxa"/>
            <w:tcBorders>
              <w:top w:val="single" w:sz="1" w:space="0" w:color="000000"/>
              <w:left w:val="single" w:sz="1" w:space="0" w:color="000000"/>
              <w:bottom w:val="single" w:sz="1" w:space="0" w:color="000000"/>
              <w:right w:val="single" w:sz="1" w:space="0" w:color="000000"/>
            </w:tcBorders>
          </w:tcPr>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2. Քանի որ վերջին շրջանում հանձնման նպատակով կալանավորված անձինք հաճախ են ապաստանի դիմում ներկայացնում կամ օրենքի ու լեզվի չիմացության հետհանքով ապաստան ստանալու ցանկության մասին հայտնում են հանձնման</w:t>
            </w:r>
          </w:p>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որոշման կայացումից հետո, ուստի առաջարկում ենք</w:t>
            </w:r>
          </w:p>
          <w:p w:rsidR="001E5CD1" w:rsidRPr="00EE6221" w:rsidRDefault="001E5CD1" w:rsidP="002B3679">
            <w:pPr>
              <w:numPr>
                <w:ilvl w:val="0"/>
                <w:numId w:val="2"/>
              </w:num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հանձնման նպատակով անձին բերման ենթարկելիս համապատասխան</w:t>
            </w:r>
          </w:p>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 xml:space="preserve">լիազոր մարմինը անձին հասկանալի լեզվով բացատրի ապաստանի հնարավորության ն հետնանքների մասին, ըստ անհրաժեշտության օգնի դիմել համապատասխան մասնագիտացված մարմինների կամ </w:t>
            </w:r>
            <w:r w:rsidRPr="00EE6221">
              <w:rPr>
                <w:rFonts w:ascii="GHEA Grapalat" w:eastAsia="GHEA Grapalat" w:hAnsi="GHEA Grapalat" w:cs="GHEA Grapalat"/>
                <w:sz w:val="24"/>
                <w:szCs w:val="24"/>
                <w:lang w:bidi="hy-AM"/>
              </w:rPr>
              <w:lastRenderedPageBreak/>
              <w:t>իրավապաշտպան կազմակերպությունների ապաստանի համակարգը ներկայացնելու համար: Ստեղծվի համապատասխան ձհաթուղթ, որը, անձին հասկանալի լեզվով, կարտահայտի նրա ցանկությունը ապաստանի դիմելու կամ դրանից հրաժարվելու մասին: Եթե անձը ունի հաշմանդամություն (հոգեկան կամ ֆիզիկական լսողություն, տեսողություն հ այլն) կամ տառաճանաչ չի, վերը նշված գործողությունները համապատասխանեցնել նրա կարողություններին:</w:t>
            </w:r>
            <w:r w:rsidRPr="00EE6221">
              <w:rPr>
                <w:rFonts w:ascii="GHEA Grapalat" w:eastAsia="GHEA Grapalat" w:hAnsi="GHEA Grapalat" w:cs="GHEA Grapalat"/>
                <w:sz w:val="24"/>
                <w:szCs w:val="24"/>
                <w:lang w:bidi="hy-AM"/>
              </w:rPr>
              <w:tab/>
              <w:t>Այս</w:t>
            </w:r>
          </w:p>
          <w:p w:rsidR="001E5CD1" w:rsidRPr="00EE6221" w:rsidRDefault="001E5CD1"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ամբողջ գործընթացը կւիաստաթղթսւվորվի ն կկցվի նրա անձնական գործին:</w:t>
            </w:r>
          </w:p>
        </w:tc>
        <w:tc>
          <w:tcPr>
            <w:tcW w:w="1872" w:type="dxa"/>
            <w:tcBorders>
              <w:top w:val="single" w:sz="1" w:space="0" w:color="000000"/>
              <w:left w:val="single" w:sz="1" w:space="0" w:color="000000"/>
              <w:bottom w:val="single" w:sz="1" w:space="0" w:color="000000"/>
              <w:right w:val="single" w:sz="1" w:space="0" w:color="000000"/>
            </w:tcBorders>
          </w:tcPr>
          <w:p w:rsidR="001E5CD1" w:rsidRPr="00EE6221" w:rsidRDefault="00B378A3" w:rsidP="00B378A3">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1E5CD1" w:rsidRPr="00EE6221" w:rsidRDefault="00B378A3" w:rsidP="002B3679">
            <w:pPr>
              <w:jc w:val="both"/>
              <w:rPr>
                <w:rFonts w:ascii="GHEA Grapalat" w:hAnsi="GHEA Grapalat"/>
                <w:sz w:val="24"/>
                <w:szCs w:val="24"/>
              </w:rPr>
            </w:pPr>
            <w:r w:rsidRPr="00EE6221">
              <w:rPr>
                <w:rFonts w:ascii="GHEA Grapalat" w:hAnsi="GHEA Grapalat"/>
                <w:sz w:val="24"/>
                <w:szCs w:val="24"/>
              </w:rPr>
              <w:t>Հանձնման հետ կապված իրավահարաբերությունների կարգավորումը դուրս է Նախագծի առարկայի շրջանակներից:</w:t>
            </w:r>
          </w:p>
        </w:tc>
      </w:tr>
      <w:tr w:rsidR="001B60A7" w:rsidRPr="00EE6221" w:rsidTr="002B75A5">
        <w:tc>
          <w:tcPr>
            <w:tcW w:w="283" w:type="dxa"/>
            <w:tcBorders>
              <w:top w:val="single" w:sz="1" w:space="0" w:color="000000"/>
              <w:left w:val="single" w:sz="1" w:space="0" w:color="000000"/>
              <w:bottom w:val="single" w:sz="1" w:space="0" w:color="000000"/>
              <w:right w:val="single" w:sz="1" w:space="0" w:color="000000"/>
            </w:tcBorders>
          </w:tcPr>
          <w:p w:rsidR="001B60A7" w:rsidRPr="00EE6221" w:rsidRDefault="001B60A7" w:rsidP="002B3679">
            <w:pPr>
              <w:jc w:val="both"/>
              <w:rPr>
                <w:rFonts w:ascii="GHEA Grapalat" w:eastAsia="GHEA Grapalat" w:hAnsi="GHEA Grapalat" w:cs="GHEA Grapalat"/>
                <w:sz w:val="24"/>
                <w:szCs w:val="24"/>
              </w:rPr>
            </w:pPr>
          </w:p>
        </w:tc>
        <w:tc>
          <w:tcPr>
            <w:tcW w:w="1437" w:type="dxa"/>
            <w:tcBorders>
              <w:top w:val="single" w:sz="1" w:space="0" w:color="000000"/>
              <w:left w:val="single" w:sz="1" w:space="0" w:color="000000"/>
              <w:bottom w:val="single" w:sz="1" w:space="0" w:color="000000"/>
              <w:right w:val="single" w:sz="1" w:space="0" w:color="000000"/>
            </w:tcBorders>
          </w:tcPr>
          <w:p w:rsidR="001B60A7" w:rsidRPr="00EE6221" w:rsidRDefault="001B60A7" w:rsidP="002B3679">
            <w:pPr>
              <w:jc w:val="both"/>
              <w:rPr>
                <w:rFonts w:ascii="GHEA Grapalat" w:eastAsia="GHEA Grapalat" w:hAnsi="GHEA Grapalat" w:cs="GHEA Grapalat"/>
                <w:sz w:val="24"/>
                <w:szCs w:val="24"/>
              </w:rPr>
            </w:pPr>
          </w:p>
        </w:tc>
        <w:tc>
          <w:tcPr>
            <w:tcW w:w="8370" w:type="dxa"/>
            <w:tcBorders>
              <w:top w:val="single" w:sz="1" w:space="0" w:color="000000"/>
              <w:left w:val="single" w:sz="1" w:space="0" w:color="000000"/>
              <w:bottom w:val="single" w:sz="1" w:space="0" w:color="000000"/>
              <w:right w:val="single" w:sz="1" w:space="0" w:color="000000"/>
            </w:tcBorders>
          </w:tcPr>
          <w:p w:rsidR="001B60A7" w:rsidRPr="00EE6221" w:rsidRDefault="001B60A7"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iCs/>
                <w:sz w:val="24"/>
                <w:szCs w:val="24"/>
                <w:lang w:bidi="hy-AM"/>
              </w:rPr>
              <w:t>3</w:t>
            </w:r>
            <w:r w:rsidRPr="00EE6221">
              <w:rPr>
                <w:rFonts w:ascii="GHEA Grapalat" w:eastAsia="GHEA Grapalat" w:hAnsi="GHEA Grapalat" w:cs="GHEA Grapalat"/>
                <w:i/>
                <w:iCs/>
                <w:sz w:val="24"/>
                <w:szCs w:val="24"/>
                <w:lang w:bidi="hy-AM"/>
              </w:rPr>
              <w:t>. ՀՀ</w:t>
            </w:r>
            <w:r w:rsidRPr="00EE6221">
              <w:rPr>
                <w:rFonts w:ascii="GHEA Grapalat" w:eastAsia="GHEA Grapalat" w:hAnsi="GHEA Grapalat" w:cs="GHEA Grapalat"/>
                <w:sz w:val="24"/>
                <w:szCs w:val="24"/>
                <w:lang w:bidi="hy-AM"/>
              </w:rPr>
              <w:t xml:space="preserve"> քրեական դատավարության օրենսգրքում կատարել հետնյալ փոփոխությունները</w:t>
            </w:r>
          </w:p>
          <w:p w:rsidR="001B60A7" w:rsidRPr="00EE6221" w:rsidRDefault="001B60A7"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ա) որպես հանձման վարույթի կասեցման հիմք նախատեսել ապաստանի հայցի առկայությունը:</w:t>
            </w:r>
          </w:p>
          <w:p w:rsidR="001B60A7" w:rsidRPr="00EE6221" w:rsidRDefault="001B60A7"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բ)Ապաստանի հայցի ստացումից հետո անմիջապես տեղեկացնել համապատասխան մարմիններին (ինտերպոլ, միգրացիոն ծառայություն, քրեակատարողական հիմնարկ ն այլ Փոխկապակցված մարմիններ) հ զգուշացնել գաղտնիության սկզբունքի պահպանման մասին:</w:t>
            </w:r>
          </w:p>
          <w:p w:rsidR="001B60A7" w:rsidRPr="00EE6221" w:rsidRDefault="001B60A7"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գ)</w:t>
            </w:r>
            <w:r w:rsidR="00633F6E" w:rsidRPr="00EE6221">
              <w:rPr>
                <w:rFonts w:ascii="GHEA Grapalat" w:eastAsia="GHEA Grapalat" w:hAnsi="GHEA Grapalat" w:cs="GHEA Grapalat"/>
                <w:sz w:val="24"/>
                <w:szCs w:val="24"/>
                <w:lang w:val="hy-AM" w:bidi="hy-AM"/>
              </w:rPr>
              <w:t>հ</w:t>
            </w:r>
            <w:r w:rsidRPr="00EE6221">
              <w:rPr>
                <w:rFonts w:ascii="GHEA Grapalat" w:eastAsia="GHEA Grapalat" w:hAnsi="GHEA Grapalat" w:cs="GHEA Grapalat"/>
                <w:sz w:val="24"/>
                <w:szCs w:val="24"/>
                <w:lang w:bidi="hy-AM"/>
              </w:rPr>
              <w:t>աշվի առնելով պետությունների միջհ իրավական փոխօգնության համաձայնությունները, ստեղծել մեխանիզմ մինչհ ապաստանի դիմումի վերաբերյալ վերջնական որոշման կայացումը չհամագործակցել հանձնման հայտ ներկայացրած պետությունների իշխանությունների հետ հ չփոխանակվել տեղեկատվությամբ:</w:t>
            </w:r>
          </w:p>
          <w:p w:rsidR="001B60A7" w:rsidRPr="00EE6221" w:rsidRDefault="001B60A7" w:rsidP="002B3679">
            <w:pPr>
              <w:spacing w:after="0"/>
              <w:jc w:val="both"/>
              <w:rPr>
                <w:rFonts w:ascii="GHEA Grapalat" w:eastAsia="GHEA Grapalat" w:hAnsi="GHEA Grapalat" w:cs="GHEA Grapalat"/>
                <w:sz w:val="24"/>
                <w:szCs w:val="24"/>
                <w:lang w:bidi="hy-AM"/>
              </w:rPr>
            </w:pPr>
            <w:r w:rsidRPr="00EE6221">
              <w:rPr>
                <w:rFonts w:ascii="GHEA Grapalat" w:eastAsia="GHEA Grapalat" w:hAnsi="GHEA Grapalat" w:cs="GHEA Grapalat"/>
                <w:sz w:val="24"/>
                <w:szCs w:val="24"/>
                <w:lang w:bidi="hy-AM"/>
              </w:rPr>
              <w:t>դ)Ապաստանի հայցի ներկայացումից հետո պարզեցված կարգով կալանքից կամ բերման ենթարկվածին ազատ արձակել:</w:t>
            </w:r>
          </w:p>
        </w:tc>
        <w:tc>
          <w:tcPr>
            <w:tcW w:w="1872" w:type="dxa"/>
            <w:tcBorders>
              <w:top w:val="single" w:sz="1" w:space="0" w:color="000000"/>
              <w:left w:val="single" w:sz="1" w:space="0" w:color="000000"/>
              <w:bottom w:val="single" w:sz="1" w:space="0" w:color="000000"/>
              <w:right w:val="single" w:sz="1" w:space="0" w:color="000000"/>
            </w:tcBorders>
          </w:tcPr>
          <w:p w:rsidR="001B60A7" w:rsidRPr="00EE6221" w:rsidRDefault="00B378A3" w:rsidP="00B378A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1B60A7" w:rsidRPr="00EE6221" w:rsidRDefault="00B378A3" w:rsidP="00633F6E">
            <w:pPr>
              <w:jc w:val="both"/>
              <w:rPr>
                <w:rFonts w:ascii="GHEA Grapalat" w:hAnsi="GHEA Grapalat"/>
                <w:sz w:val="24"/>
                <w:szCs w:val="24"/>
              </w:rPr>
            </w:pPr>
            <w:r w:rsidRPr="00EE6221">
              <w:rPr>
                <w:rFonts w:ascii="GHEA Grapalat" w:hAnsi="GHEA Grapalat"/>
                <w:sz w:val="24"/>
                <w:szCs w:val="24"/>
              </w:rPr>
              <w:t xml:space="preserve">Առաջարկությունը վերաբերում է ոչ թե Նախագծին, այլ գործող </w:t>
            </w:r>
            <w:r w:rsidR="00686420" w:rsidRPr="00EE6221">
              <w:rPr>
                <w:rFonts w:ascii="GHEA Grapalat" w:hAnsi="GHEA Grapalat"/>
                <w:sz w:val="24"/>
                <w:szCs w:val="24"/>
              </w:rPr>
              <w:t>Քրեական դատավարության օրենսգրք</w:t>
            </w:r>
            <w:r w:rsidRPr="00EE6221">
              <w:rPr>
                <w:rFonts w:ascii="GHEA Grapalat" w:hAnsi="GHEA Grapalat"/>
                <w:sz w:val="24"/>
                <w:szCs w:val="24"/>
              </w:rPr>
              <w:t>ին:</w:t>
            </w:r>
            <w:r w:rsidR="00633F6E" w:rsidRPr="00EE6221">
              <w:rPr>
                <w:rFonts w:ascii="GHEA Grapalat" w:hAnsi="GHEA Grapalat"/>
                <w:sz w:val="24"/>
                <w:szCs w:val="24"/>
                <w:lang w:val="hy-AM"/>
              </w:rPr>
              <w:t xml:space="preserve"> </w:t>
            </w:r>
            <w:r w:rsidRPr="00EE6221">
              <w:rPr>
                <w:rFonts w:ascii="GHEA Grapalat" w:hAnsi="GHEA Grapalat"/>
                <w:sz w:val="24"/>
                <w:szCs w:val="24"/>
              </w:rPr>
              <w:t>Բացի այդ, Հանձնման հետ կապված իրավահարաբերությունների կարգավորումը դուրս է Նախագծի առարկայի շրջանակներից:</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2B3679" w:rsidP="002B3679">
            <w:pPr>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lastRenderedPageBreak/>
              <w:t>36</w:t>
            </w: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rPr>
            </w:pPr>
            <w:r w:rsidRPr="00EE6221">
              <w:rPr>
                <w:rFonts w:ascii="GHEA Grapalat" w:eastAsia="GHEA Grapalat" w:hAnsi="GHEA Grapalat" w:cs="GHEA Grapalat"/>
                <w:sz w:val="24"/>
                <w:szCs w:val="24"/>
              </w:rPr>
              <w:t xml:space="preserve">Հելսինկյան քաղաքացիական ասամբելայի Վանձորի գրանսեյակ </w:t>
            </w:r>
          </w:p>
          <w:p w:rsidR="007448CB" w:rsidRPr="00EE6221" w:rsidRDefault="007448CB" w:rsidP="002B3679">
            <w:pPr>
              <w:jc w:val="both"/>
              <w:rPr>
                <w:rFonts w:ascii="GHEA Grapalat" w:eastAsia="GHEA Grapalat" w:hAnsi="GHEA Grapalat" w:cs="GHEA Grapalat"/>
                <w:sz w:val="24"/>
                <w:szCs w:val="24"/>
              </w:rPr>
            </w:pPr>
          </w:p>
        </w:tc>
        <w:tc>
          <w:tcPr>
            <w:tcW w:w="8370" w:type="dxa"/>
            <w:tcBorders>
              <w:top w:val="single" w:sz="1" w:space="0" w:color="000000"/>
              <w:left w:val="single" w:sz="1" w:space="0" w:color="000000"/>
              <w:bottom w:val="single" w:sz="1" w:space="0" w:color="000000"/>
              <w:right w:val="single" w:sz="1" w:space="0" w:color="000000"/>
            </w:tcBorders>
          </w:tcPr>
          <w:p w:rsidR="00020FAC" w:rsidRPr="00EE6221" w:rsidRDefault="007448CB" w:rsidP="002B3679">
            <w:pPr>
              <w:spacing w:after="0"/>
              <w:ind w:left="20" w:right="40" w:firstLine="700"/>
              <w:jc w:val="both"/>
              <w:rPr>
                <w:rStyle w:val="1"/>
                <w:rFonts w:ascii="GHEA Grapalat" w:hAnsi="GHEA Grapalat"/>
                <w:color w:val="auto"/>
                <w:sz w:val="24"/>
                <w:szCs w:val="24"/>
                <w:lang w:val="en-US"/>
              </w:rPr>
            </w:pPr>
            <w:r w:rsidRPr="00EE6221">
              <w:rPr>
                <w:rStyle w:val="1"/>
                <w:rFonts w:ascii="GHEA Grapalat" w:hAnsi="GHEA Grapalat"/>
                <w:color w:val="auto"/>
                <w:sz w:val="24"/>
                <w:szCs w:val="24"/>
                <w:lang w:val="en-US"/>
              </w:rPr>
              <w:t xml:space="preserve">1. </w:t>
            </w:r>
            <w:bookmarkStart w:id="2" w:name="bookmark0"/>
            <w:r w:rsidR="00020FAC" w:rsidRPr="00EE6221">
              <w:rPr>
                <w:rFonts w:ascii="GHEA Grapalat" w:eastAsia="Sylfaen" w:hAnsi="GHEA Grapalat" w:cs="Sylfaen"/>
                <w:sz w:val="24"/>
                <w:szCs w:val="24"/>
                <w:lang w:val="hy-AM" w:eastAsia="hy-AM" w:bidi="hy-AM"/>
              </w:rPr>
              <w:t>Ջերեմի ՄքԲրայդի և Լորենա Բախմայեր Ուինթերի կողմից պատրաստված մեկնաբանությունների հիման վրա 2017 թվականին կազմվել է ՀՀ քրեական դատավարության օրենսգրքի նախագծի վերաբերյալ Եվրոպայի Խորհրդի Մարդու Իրավունքների և Իրավունքի Գերակայության Գլխավոր Տնօրինության կարծիքը (այսուհետ Կարծիք), որում վերանայվում է ՀՀ քրեական դատավարության օրենսգրքի նախագծի համապատասխանությունը եվրոպական չափանիշներին, մասնավորապես Մարդու իրավունքների եվրոպական կոնվենցիային (այսուհետ Եվրոպական կոնվենցիա) և Մարդու իրավունքների եվրոպական դատարանի (այսուհետ Եվրոպական դատարան») նախադեպային իրավունքին:</w:t>
            </w:r>
            <w:bookmarkEnd w:id="2"/>
          </w:p>
          <w:p w:rsidR="007448CB" w:rsidRPr="00EE6221" w:rsidRDefault="007448CB" w:rsidP="002B3679">
            <w:pPr>
              <w:spacing w:after="0"/>
              <w:ind w:left="20" w:right="40" w:firstLine="700"/>
              <w:jc w:val="both"/>
              <w:rPr>
                <w:rFonts w:ascii="GHEA Grapalat" w:hAnsi="GHEA Grapalat"/>
                <w:sz w:val="24"/>
                <w:szCs w:val="24"/>
              </w:rPr>
            </w:pPr>
            <w:r w:rsidRPr="00EE6221">
              <w:rPr>
                <w:rStyle w:val="1"/>
                <w:rFonts w:ascii="GHEA Grapalat" w:hAnsi="GHEA Grapalat"/>
                <w:color w:val="auto"/>
                <w:sz w:val="24"/>
                <w:szCs w:val="24"/>
              </w:rPr>
              <w:t>ՀՀ Արդարադատության նախարարության աշխատանքային խմբի կողմից մշակված նախագծի առավել վաղ տարբերակի 18-րդ հոդվածի համաձայն անձին կալանավորելը, կալանքի ժամկետը երկարացնելը, բժշկական հաստատությունում հարկադրաբար տեղավորելը թույլատրվում է միայն դատարանի որոշմամբ' այն դեպքում, երբ անձի պատշաճ վարքագիծը չի կարող երաշխավորվել հարկադրանքի այլ միջոցներով:</w:t>
            </w:r>
          </w:p>
          <w:p w:rsidR="007448CB" w:rsidRPr="00EE6221" w:rsidRDefault="007448CB" w:rsidP="002B3679">
            <w:pPr>
              <w:spacing w:after="0"/>
              <w:jc w:val="both"/>
              <w:rPr>
                <w:rStyle w:val="1"/>
                <w:rFonts w:ascii="GHEA Grapalat" w:hAnsi="GHEA Grapalat"/>
                <w:color w:val="auto"/>
                <w:sz w:val="24"/>
                <w:szCs w:val="24"/>
                <w:lang w:val="en-US"/>
              </w:rPr>
            </w:pPr>
            <w:r w:rsidRPr="00EE6221">
              <w:rPr>
                <w:rStyle w:val="1"/>
                <w:rFonts w:ascii="GHEA Grapalat" w:hAnsi="GHEA Grapalat"/>
                <w:color w:val="auto"/>
                <w:sz w:val="24"/>
                <w:szCs w:val="24"/>
              </w:rPr>
              <w:t>Կարծիքում մատնանշվել է, որ «պատշաճ վարքագիծ» հասկացությունը ճշգրիտ չէ և չի արտացոլում այն հիմքերը, որոնք Եվրոպական դատարանի կողմից սահմանվել են որպես Եվրոպական կոնվենցիայի 5-րդ հոդվածով նախատեսված ազատության սահմանափակումներն արդարացնող հիմքեր կապված քրեական վարույթի հետ, մասնավորապես փախուստի վտանգը, վարույթին միջամտելը և նոր հանցագործություններ կատարելը, ինչպես նաև հանրային կարգի համար վտանգ ներկայացնելը</w:t>
            </w:r>
            <w:r w:rsidRPr="00EE6221">
              <w:rPr>
                <w:rStyle w:val="1"/>
                <w:rFonts w:ascii="GHEA Grapalat" w:hAnsi="GHEA Grapalat"/>
                <w:color w:val="auto"/>
                <w:sz w:val="24"/>
                <w:szCs w:val="24"/>
                <w:lang w:val="en-US"/>
              </w:rPr>
              <w:t>:</w:t>
            </w:r>
            <w:r w:rsidRPr="00EE6221">
              <w:rPr>
                <w:rStyle w:val="1"/>
                <w:rFonts w:ascii="GHEA Grapalat" w:hAnsi="GHEA Grapalat"/>
                <w:color w:val="auto"/>
                <w:sz w:val="24"/>
                <w:szCs w:val="24"/>
              </w:rPr>
              <w:t xml:space="preserve">ՀՀ քրեական </w:t>
            </w:r>
            <w:r w:rsidRPr="00EE6221">
              <w:rPr>
                <w:rStyle w:val="1"/>
                <w:rFonts w:ascii="GHEA Grapalat" w:hAnsi="GHEA Grapalat"/>
                <w:color w:val="auto"/>
                <w:sz w:val="24"/>
                <w:szCs w:val="24"/>
              </w:rPr>
              <w:lastRenderedPageBreak/>
              <w:t>դատավարության օրենսգրքի նոր նախագծում «պատշաճ վարքագիծ» հասկացությունը փոխարինվել է «օրինական վարքագիծ» եզրույթով</w:t>
            </w:r>
            <w:r w:rsidRPr="00EE6221">
              <w:rPr>
                <w:rStyle w:val="1"/>
                <w:rFonts w:ascii="GHEA Grapalat" w:hAnsi="GHEA Grapalat"/>
                <w:color w:val="auto"/>
                <w:sz w:val="24"/>
                <w:szCs w:val="24"/>
                <w:lang w:val="en-US"/>
              </w:rPr>
              <w:t>:</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Գործող ՀՀ քրեական դատավարության օրենսգրքի 11-րդ հոդվածի համաձայն կալանավորելը, կալանքի տակ պահելը, բժշկական կամ դաստիարակչական հաստատությունում անձին հարկադրաբար տեղավորելը թույլատրվում է միայն դատարանի որոշմամբ: Եթե անձն անձնական ազատությունից զրկվել է իրավասու մարմին ներկայացնելու նպատակով, երբ առկա է նրա կողմից հանցանք կատարած լինելու հիմնավոր կասկած, կամ երբ դա հիմնավոր կերպով անհրաժեշտ է հանցանքի կատարումը կամ դա կատարելուց հետո անձի փախուստը կանխելու նպատակով, և անձին ազատությունից զրկելու պահից ողջամիտ ժամկետում, սակայն ոչ ուշ, քան յոթանասուներկու ժամվա ընթացքում դատարանը որոշում չի կայացնում անազատության մեջ նրան հետագա պահելը թույլատրելու մասին, ապա նա անհապաղ ազատ է արձակվում:</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Եվրոպական կոնվենցիայի 5-րդ հոդվածի 1-ին մասի, գ. ենթակետի համաձայն «Յուրաքանչյուր ոք ունի ազատության և անձնական անձեռնմխելիության իրավունք: Ոչ ոքի չի կարելի ազատությունից զրկել այլ կերպ, քան հետևյալ դեպքերում և օրենքով սահմանված կարգով. (...) անձի օրինական կալանավորումը կամ ձերբակալումը իրավախախտում կատարած լինելու հիմնավոր կասկածի առկայության դեպքում նրան իրավասու օրինական մարմնին ներկայացնելու նպատակով կամ այն դեպքում, երբ դա հիմնավոր կերպով անհրաժեշտ է համարվում նրա կողմից հանցագործության կատարումը կամ այն կատարելուց հետո նրա փախուստը կանխելու համար (...)»:</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lastRenderedPageBreak/>
              <w:t>Եվրոպական դատարանի նախադեպային իրավունքի ուժով վերահաստատվեց, որ Եվրոպական կոնվենցիայի 5-րդ հոդվածը երաշխավորում է ազատության և անձնական անձեռնմխելիության հիմնարար իրավունքը: Կոնվենցիայի համաձայն այս իրավունքը առաջնային կարևորություն ունի «ժողովրդավարական հասարակությունում»:</w:t>
            </w:r>
            <w:r w:rsidRPr="00EE6221">
              <w:rPr>
                <w:rFonts w:ascii="GHEA Grapalat" w:eastAsia="GHEA Grapalat" w:hAnsi="GHEA Grapalat" w:cs="GHEA Grapalat"/>
                <w:iCs/>
                <w:sz w:val="24"/>
                <w:szCs w:val="24"/>
                <w:lang w:val="hy-AM" w:bidi="hy-AM"/>
              </w:rPr>
              <w:tab/>
              <w:t>Կոնվենցիայի</w:t>
            </w:r>
            <w:r w:rsidRPr="00EE6221">
              <w:rPr>
                <w:rFonts w:ascii="GHEA Grapalat" w:eastAsia="GHEA Grapalat" w:hAnsi="GHEA Grapalat" w:cs="GHEA Grapalat"/>
                <w:iCs/>
                <w:sz w:val="24"/>
                <w:szCs w:val="24"/>
                <w:lang w:val="hy-AM" w:bidi="hy-AM"/>
              </w:rPr>
              <w:tab/>
              <w:t>նախադեպային</w:t>
            </w:r>
            <w:r w:rsidRPr="00EE6221">
              <w:rPr>
                <w:rFonts w:ascii="GHEA Grapalat" w:eastAsia="GHEA Grapalat" w:hAnsi="GHEA Grapalat" w:cs="GHEA Grapalat"/>
                <w:iCs/>
                <w:sz w:val="24"/>
                <w:szCs w:val="24"/>
                <w:lang w:val="hy-AM" w:bidi="hy-AM"/>
              </w:rPr>
              <w:tab/>
              <w:t>իրավունքը</w:t>
            </w:r>
            <w:r w:rsidRPr="00EE6221">
              <w:rPr>
                <w:rFonts w:ascii="GHEA Grapalat" w:eastAsia="GHEA Grapalat" w:hAnsi="GHEA Grapalat" w:cs="GHEA Grapalat"/>
                <w:iCs/>
                <w:sz w:val="24"/>
                <w:szCs w:val="24"/>
                <w:lang w:val="hy-AM" w:bidi="hy-AM"/>
              </w:rPr>
              <w:tab/>
              <w:t>մշակել</w:t>
            </w:r>
            <w:r w:rsidRPr="00EE6221">
              <w:rPr>
                <w:rFonts w:ascii="GHEA Grapalat" w:eastAsia="GHEA Grapalat" w:hAnsi="GHEA Grapalat" w:cs="GHEA Grapalat"/>
                <w:iCs/>
                <w:sz w:val="24"/>
                <w:szCs w:val="24"/>
                <w:lang w:val="hy-AM" w:bidi="hy-AM"/>
              </w:rPr>
              <w:tab/>
              <w:t>է</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հանցագործության համար կասկածվող անձին մինչև դատավճիռը կալանքի տակ պահելու համար ընդունելի չորս հիմնական հիմքեր. մեղադրյալի դատաքննությանը չներկայանալու վտանգը, վտանգը, որ մեղադրյալը ազատ արձակվելու դեպքում կխոչընդոտի արդարադատության իրականացմանը, կամ կկատարի նոր հանցանքներ կամ կկատարի հասարակական անկարգություններ:</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Style w:val="1"/>
                <w:rFonts w:ascii="GHEA Grapalat" w:hAnsi="GHEA Grapalat"/>
                <w:color w:val="auto"/>
                <w:sz w:val="24"/>
                <w:szCs w:val="24"/>
              </w:rPr>
              <w:t>Հաշվի առնելով, որ ցանկացած ազատությունից զրկում պետք է իրականացվի «օրենքով սահմանված կարգով», Եվրոպական կոնվենցիայի 5-րդ հոդվածի 1-ին կետն, առաջին հերթին պահանջում է, որ ցանկացած ձերբակալում կամ կալանավորում պետք է ունենա իրավական հիմք ազգային օրենսդրության մեջ: Այնուամենայնիվ, այս</w:t>
            </w:r>
            <w:r w:rsidRPr="00EE6221">
              <w:rPr>
                <w:rFonts w:ascii="GHEA Grapalat" w:eastAsia="Sylfaen" w:hAnsi="GHEA Grapalat" w:cs="Sylfaen"/>
                <w:sz w:val="24"/>
                <w:szCs w:val="24"/>
                <w:lang w:val="hy-AM" w:eastAsia="hy-AM" w:bidi="hy-AM"/>
              </w:rPr>
              <w:t xml:space="preserve">խոսքերը պարզապես չեն վերաբերում ներքին օրենսդրությանը: Դրանք վերագրելի են նաև օրենքի որակին պահանջելով, որ այն համատեղելի լինի օրենքի գերակայության հետ, որը մի ամբողջ հայեցակարգ է Կոնվենցիայի բոլոր հոդվածների համար: Այս վերջին կետի կապակցությամբ Եվրոպական դատարանը շեշտում է, որ ազատազրկման դեպքում հատկապես կարևոր է, որ պահպանվի իրավական որոշակիության ընդհանուր սկզբունքը: </w:t>
            </w:r>
            <w:r w:rsidRPr="00EE6221">
              <w:rPr>
                <w:rFonts w:ascii="GHEA Grapalat" w:eastAsia="Sylfaen" w:hAnsi="GHEA Grapalat" w:cs="Sylfaen"/>
                <w:sz w:val="24"/>
                <w:szCs w:val="24"/>
                <w:lang w:val="hy-AM" w:eastAsia="hy-AM" w:bidi="hy-AM"/>
              </w:rPr>
              <w:lastRenderedPageBreak/>
              <w:t>Հետևաբար անհրաժեշտ է, որ ազգային օրենսդրությանը համապատասխան ազատությունից զրկելու պայմանները հստակ սահմանված լինեն, և որ օրենքն ինքնին կանխատեսելի լինի կիրառման մեջ, որպեսզի համապատասխանի Կոնվենցիայով սահմանված «օրինականության» ստանդարտին, չափանիշին, որը պահանջում է, որ բոլոր օրենքները լինեն բավարար չափով ճշգրիտ, որպեսզի անհրաժեշտության դեպքում համապատասխան խորհրդատվությամբ անձը հնարավորություն ունենա ողջամիտ հանգամանքներում կանխատեսել իր գործողության հնարավոր հետևանքները: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«Օրենքի որակի» գնահատմանը վերաբերող գործոնները, որոնք որոշ դեպքերում անվանում են «կամայականություններից պաշտպանության երաշխիքներ», ներառում են հստակ իրավական դրույթներ կալանավորման կարգի, կալանքի ժամկետի երկարաձգման և կալանավորման ժամկետների սահմանման վերաբերյալ. և այն արդյունավետ միջոցների առկայությունը, որով դիմումատուն կարող է վիճարկել իր շարունակական կալանքի «օրինականությունը» և «տևողությունը:Օրինակ մեղադրական եզրակացությամբ անձին կալանքի տակ պահելու փորձը, առանց ազգային օրենսդրության կամ նախադեպային իրավունքի որևէ հատուկ հիմքի, Եվրոպական կոնվենցիայի 5-րդ հոդվածի 1-ին մասի խախտում է: Նմանապես, մինչդատական կալանքի ժամանակահատվածը ինքնաբերաբար երկարաձգելու պրակտիկան, առանց օրենսդրական ճշգրիտ հիմնավորման, հակասում է Եվրոպական կոնվենցիայի 5-րդ հոդվածի 1-ին մասին: Այվազյանն ընդդեմ Հայաստանի Հանրապետության գործով Եվրոպական դատարանը հղում է կատարում իր ընդհանուր </w:t>
            </w:r>
            <w:r w:rsidRPr="00EE6221">
              <w:rPr>
                <w:rFonts w:ascii="GHEA Grapalat" w:eastAsia="GHEA Grapalat" w:hAnsi="GHEA Grapalat" w:cs="GHEA Grapalat"/>
                <w:iCs/>
                <w:sz w:val="24"/>
                <w:szCs w:val="24"/>
                <w:lang w:val="hy-AM" w:bidi="hy-AM"/>
              </w:rPr>
              <w:lastRenderedPageBreak/>
              <w:t xml:space="preserve">սկզբունքներին համաձայն Եվրոպական կոնվենցիայի 5-րդ հոդվածի 3-րդ մասի, որը վերաբերում է մինչև դատական քննության ավարտն ազատ արձակվելու իրավունքին, և նշում է, որ արդեն իսկ եզրահանգել է, որ կալանավորումը կիրառելու և դրա ժամկետը երկարաձգելու դեպքում կարծրատիպային բանաձևերի օգտագործումը մշտական խնդիր է Հայաստանում։ Տվյալ դեպքում ազգային դատարանները նույն կերպով հիմնավորեցին նաև դիմումատուի շարունակական կալանավորումը պարզ հղում կատարելով համապատասխան ներպետական իրավական սկզբունքներին և հանցագործության ծանրությանը, առանց անդրադառնալու գործի առանձնահատուկ փաստերին կամ առանց մանրամասներ ներկայացնելու, թե ինչու են արդարացվել թաքնվելու, արդարադատության իրականացումը խոչընդոտելու կամ կրկին հանցագործություն կատարելու ռիսկերը: </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Գերմանիայի Դաշնային Լանրապետության քրեական դատավարության օրենսգրքի 112-րդ հոդվածի 1-ին կետի համաձայն մեղադրյալը կարող է ենթարկվել նախնական կալանքի, եթե առկա է հիմնավոր կասկած, որ անձը կատարել է հանցագործություն, և եթե կան ձերբակալման հիմքեր: Բացի այդ, Գերմանիայի Դաշնային Լանրապետության քրեական դատավարության օրենսգրքի 112-րդ հոդվածը (1-ին և 2-րդ կետերը) միանշանակ նախատեսում է համաչափության սկզբունքի պահպանման անհրաժեշտությունը: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Գերմանիայի Դաշնային Լանրապետության քրեական դատավարության օրենսգրքի 112-րդ հոդվածի 2-րդ կետի համաձայն կալանավորման հիմք գոյություն ունի, եթե, որոշ փաստերի հիման վրա.</w:t>
            </w:r>
          </w:p>
          <w:p w:rsidR="007448CB" w:rsidRPr="00EE6221" w:rsidRDefault="007448CB" w:rsidP="002B3679">
            <w:pPr>
              <w:numPr>
                <w:ilvl w:val="0"/>
                <w:numId w:val="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lastRenderedPageBreak/>
              <w:t xml:space="preserve"> հաստատվել է, որ մեղադրյալը դիմել է փախուստի, կամ թաքնվում է,</w:t>
            </w:r>
          </w:p>
          <w:p w:rsidR="007448CB" w:rsidRPr="00EE6221" w:rsidRDefault="007448CB" w:rsidP="002B3679">
            <w:pPr>
              <w:numPr>
                <w:ilvl w:val="0"/>
                <w:numId w:val="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հաշվի առնելով գործի հանգամանքները, վտանգ կա, որ մեղադրյալը կարող է խուսափել քրեական հետապնդումից </w:t>
            </w:r>
            <w:r w:rsidRPr="00EE6221">
              <w:rPr>
                <w:rFonts w:ascii="GHEA Grapalat" w:eastAsia="GHEA Grapalat" w:hAnsi="GHEA Grapalat" w:cs="GHEA Grapalat"/>
                <w:iCs/>
                <w:sz w:val="24"/>
                <w:szCs w:val="24"/>
                <w:lang w:val="hy-AM" w:bidi="en-US"/>
              </w:rPr>
              <w:t xml:space="preserve">(risk of flight) </w:t>
            </w:r>
            <w:r w:rsidRPr="00EE6221">
              <w:rPr>
                <w:rFonts w:ascii="GHEA Grapalat" w:eastAsia="GHEA Grapalat" w:hAnsi="GHEA Grapalat" w:cs="GHEA Grapalat"/>
                <w:iCs/>
                <w:sz w:val="24"/>
                <w:szCs w:val="24"/>
                <w:lang w:val="hy-AM" w:bidi="hy-AM"/>
              </w:rPr>
              <w:t>կամ</w:t>
            </w:r>
          </w:p>
          <w:p w:rsidR="007448CB" w:rsidRPr="00EE6221" w:rsidRDefault="007448CB" w:rsidP="002B3679">
            <w:pPr>
              <w:numPr>
                <w:ilvl w:val="0"/>
                <w:numId w:val="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մեղադրյալի վարքագիծը մեծ կասկած է հարուցում, որ նա կարող է. ա) ոչնչացնել, փոփոխել, ջնջել (...) կամ կեղծել ապացույցները.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4) ոչ պատշաճ կերպով ազդել գործով անցնող այլ մեղադրյալի, վկաների կամ փորձագետների վրա կամ.</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5) ստիպել այլ անձանց կատարել վերոնշյալ արարքները, և,</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հետևաբար, եթե կա վտանգ, որ ճշմարտության հաստատումը ավելի բարդ կարող է լինել (ապացույցների կեղծման ռիսկ):</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Ամփոփելով Եվրոպական դատարանի իրավական դիրքորոշումները, Կարծիքում հստակ արտահայտված դիտարկումը և առաջարկը, ինչպես նաև այլ երկրների փորձը, անհրաժեշտ է փոփոխել ՀՀ քրեական դատավարության օրենսգրքի նախագծի 18-րդ հոդվածը: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7448CB" w:rsidRPr="00EE6221" w:rsidRDefault="007448CB" w:rsidP="00140663">
            <w:pPr>
              <w:numPr>
                <w:ilvl w:val="0"/>
                <w:numId w:val="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ՀՀ քրեական դատավարության օրենսգրքի նախագծի 18-րդ հոդվածի 1-ին մասում «Վարույթ» բառից առաջ լրացնել «Ազատության և անձնական անձեռնմխելիության իրավունքը անխախտելի է:» նախադասությունը:ՀՀ քրեական դատավարության օրենսգրքի նախագծի 18-րդ հոդվածի 3-րդ մասը շարադրել հետևյալ խմբագրությամբ. «Անձին կալանավորելը, կալանքի ժամկետը երկարացնելը, բժշկական հաստատությունում հարկադրաբար տեղավորելը թույլատրվում է միայն </w:t>
            </w:r>
            <w:r w:rsidRPr="00EE6221">
              <w:rPr>
                <w:rFonts w:ascii="GHEA Grapalat" w:eastAsia="GHEA Grapalat" w:hAnsi="GHEA Grapalat" w:cs="GHEA Grapalat"/>
                <w:iCs/>
                <w:sz w:val="24"/>
                <w:szCs w:val="24"/>
                <w:lang w:val="hy-AM" w:bidi="hy-AM"/>
              </w:rPr>
              <w:lastRenderedPageBreak/>
              <w:t>դատարանի որոշմամբ:»:</w:t>
            </w:r>
          </w:p>
          <w:p w:rsidR="007448CB" w:rsidRPr="00EE6221" w:rsidRDefault="007448CB" w:rsidP="002B3679">
            <w:pPr>
              <w:numPr>
                <w:ilvl w:val="0"/>
                <w:numId w:val="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18-րդ հոդվածի 5-րդ մասը շարադրել հետևյալ խմբագրությամբ. «Յուրաքանչյուր անձին իրեն հասկանալի լեզվով անհապաղ և պատշաճ ձևով պարզաբանվում են նրա իրավունքները, նրան ազատությունից զրկելու պատճառները, իսկ հանցագործության մեջ մեղադրվելու դեպքում նաև մեղադրանքը, և ընտրված պաշտպանի կամ փաստաբանի ներկայությամբ, ով պետության կողմից երաշխավորված իրավական օգնություն է տրամադրում:»:</w:t>
            </w:r>
          </w:p>
          <w:p w:rsidR="007448CB" w:rsidRPr="00EE6221" w:rsidRDefault="007448CB" w:rsidP="002B3679">
            <w:pPr>
              <w:numPr>
                <w:ilvl w:val="0"/>
                <w:numId w:val="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18-րդ հոդվածի 7-րդ մասի վերջին նախադասությունը շարադրել հետևյալ խմբագրությամբ. «Արգելվում է անձից տեղեկություններ ստանալ բռնության, սպառնալիքի, խաբեության, նրա իրավունքների ոտնահարման, ինչպես նաև այլ անօրինական գործողությունների կամ մեթոդների միջոցով, որոնք նվազեցնում են որոշումներ կայացնելու և իր կարծիքը հայտնելու ունակությունը:»:</w:t>
            </w:r>
          </w:p>
          <w:p w:rsidR="007448CB" w:rsidRPr="00EE6221" w:rsidRDefault="007448CB" w:rsidP="002B3679">
            <w:pPr>
              <w:numPr>
                <w:ilvl w:val="0"/>
                <w:numId w:val="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18-րդ հոդվածի 8-րդ մասում «կատարելը» բառից հետո հանել վերջակետը և լրացնել «նույնիսկ նրա համաձայնությամբ» բառերը:</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32536C" w:rsidP="0032536C">
            <w:pPr>
              <w:tabs>
                <w:tab w:val="right" w:pos="2344"/>
              </w:tabs>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32536C" w:rsidP="002B3679">
            <w:pPr>
              <w:jc w:val="both"/>
              <w:rPr>
                <w:rFonts w:ascii="GHEA Grapalat" w:hAnsi="GHEA Grapalat"/>
                <w:sz w:val="24"/>
                <w:szCs w:val="24"/>
              </w:rPr>
            </w:pPr>
            <w:r w:rsidRPr="00EE6221">
              <w:rPr>
                <w:rFonts w:ascii="GHEA Grapalat" w:hAnsi="GHEA Grapalat"/>
                <w:sz w:val="24"/>
                <w:szCs w:val="24"/>
              </w:rPr>
              <w:t>Առաջարկվող լուծումներն արդեն առկա են Նախագծի մի շարք այլ հոդվածներում, մասնավորապես՝ 109</w:t>
            </w:r>
            <w:r w:rsidR="00686420" w:rsidRPr="00EE6221">
              <w:rPr>
                <w:rFonts w:ascii="GHEA Grapalat" w:hAnsi="GHEA Grapalat"/>
                <w:sz w:val="24"/>
                <w:szCs w:val="24"/>
              </w:rPr>
              <w:t>-րդ</w:t>
            </w:r>
            <w:r w:rsidRPr="00EE6221">
              <w:rPr>
                <w:rFonts w:ascii="GHEA Grapalat" w:hAnsi="GHEA Grapalat"/>
                <w:sz w:val="24"/>
                <w:szCs w:val="24"/>
              </w:rPr>
              <w:t>, 116</w:t>
            </w:r>
            <w:r w:rsidR="00686420" w:rsidRPr="00EE6221">
              <w:rPr>
                <w:rFonts w:ascii="GHEA Grapalat" w:hAnsi="GHEA Grapalat"/>
                <w:sz w:val="24"/>
                <w:szCs w:val="24"/>
              </w:rPr>
              <w:t>-րդ</w:t>
            </w:r>
            <w:r w:rsidRPr="00EE6221">
              <w:rPr>
                <w:rFonts w:ascii="GHEA Grapalat" w:hAnsi="GHEA Grapalat"/>
                <w:sz w:val="24"/>
                <w:szCs w:val="24"/>
              </w:rPr>
              <w:t>. 137</w:t>
            </w:r>
            <w:r w:rsidR="00686420" w:rsidRPr="00EE6221">
              <w:rPr>
                <w:rFonts w:ascii="GHEA Grapalat" w:hAnsi="GHEA Grapalat"/>
                <w:sz w:val="24"/>
                <w:szCs w:val="24"/>
              </w:rPr>
              <w:t>-րդ</w:t>
            </w:r>
            <w:r w:rsidRPr="00EE6221">
              <w:rPr>
                <w:rFonts w:ascii="GHEA Grapalat" w:hAnsi="GHEA Grapalat"/>
                <w:sz w:val="24"/>
                <w:szCs w:val="24"/>
              </w:rPr>
              <w:t xml:space="preserve"> և այլն:</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2. </w:t>
            </w:r>
            <w:r w:rsidRPr="00EE6221">
              <w:rPr>
                <w:rFonts w:ascii="GHEA Grapalat" w:eastAsia="GHEA Grapalat" w:hAnsi="GHEA Grapalat" w:cs="GHEA Grapalat"/>
                <w:bCs/>
                <w:iCs/>
                <w:sz w:val="24"/>
                <w:szCs w:val="24"/>
                <w:lang w:val="hy-AM" w:bidi="hy-AM"/>
              </w:rPr>
              <w:t>ՀՀ</w:t>
            </w:r>
            <w:r w:rsidRPr="00EE6221">
              <w:rPr>
                <w:rFonts w:ascii="GHEA Grapalat" w:eastAsia="GHEA Grapalat" w:hAnsi="GHEA Grapalat" w:cs="GHEA Grapalat"/>
                <w:iCs/>
                <w:sz w:val="24"/>
                <w:szCs w:val="24"/>
                <w:lang w:val="hy-AM" w:bidi="hy-AM"/>
              </w:rPr>
              <w:t xml:space="preserve"> քրեական դատավարության օրենսգրքի նախագծի 19-րդ հոդվածի 1-ին մասի համաձայն' ձերբակալված անձը, տուժողը, նրա օրինական ներկայացուցիչը, մեղադրյալի օրինական ներկայացուցիչը, գույքային պատասխանողը, նրա օրինական ներկայացուցիչը, ինչպես նաև վկան վարույթի ընթացքում կարող են ստանալ իրենց հրավիրած, իսկ օրենքով </w:t>
            </w:r>
            <w:r w:rsidRPr="00EE6221">
              <w:rPr>
                <w:rFonts w:ascii="GHEA Grapalat" w:eastAsia="GHEA Grapalat" w:hAnsi="GHEA Grapalat" w:cs="GHEA Grapalat"/>
                <w:iCs/>
                <w:sz w:val="24"/>
                <w:szCs w:val="24"/>
                <w:lang w:val="hy-AM" w:bidi="hy-AM"/>
              </w:rPr>
              <w:lastRenderedPageBreak/>
              <w:t>նախատեսված դեպքերում նաև պետական միջոցների հաշվին տրամադրված փաստաբանի իրավաբանական օգնությունը: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օրենսգրքի նախագծի 50-րդ հոդվածի 2-րդ մասի 26-րդ կետի համաձայն տուժողն իրավունք ունի օրենքով նախատեսված դեպքերում ազատվել իր ներկայացուցչի ծառայությունների դիմաց վճարելու պարտականությունից:</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Մեկ այլ գործով որպես մեղադրյալ ներգրավված վկայի համար 218-րդ հոդվածի</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րդ մասով սահմանված է հավելյալ երաշխիք. եթե վկան տվյալ վարույթին առնչվողմեկ այլ վարույթում մեղադրյալ է կամ նրա նկատմամբ առկա է օրինական ուժի մեջ մտած դատավճիռ, այդ վկայի հարցաքննությունը կատարվում է մեղադրյալի հարցաքննության կանոններով: Մեղադրյալի հարցաքննության կարևոր պայմաններից է հանդիսանում մեղադրյալի ցանկությամբ պաշտպանի մասնակցությունը հարցաքննությանը, իսկ այն դեպքում, երբ մեղադրյալը չունի բավարար միջոցներ պաշտպանի ծառայությունների դիմաց վճարելու համար' ՀՀ ՓԲ պալատի կողմից նշանակված պաշտպանի մասնակցությունը:</w:t>
            </w:r>
            <w:r w:rsidRPr="00EE6221">
              <w:rPr>
                <w:rFonts w:ascii="GHEA Grapalat" w:eastAsia="GHEA Grapalat" w:hAnsi="GHEA Grapalat" w:cs="GHEA Grapalat"/>
                <w:iCs/>
                <w:sz w:val="24"/>
                <w:szCs w:val="24"/>
                <w:lang w:val="hy-AM" w:bidi="hy-AM"/>
              </w:rPr>
              <w:tab/>
              <w:t>Նույնիսկ</w:t>
            </w:r>
            <w:r w:rsidRPr="00EE6221">
              <w:rPr>
                <w:rFonts w:ascii="GHEA Grapalat" w:eastAsia="GHEA Grapalat" w:hAnsi="GHEA Grapalat" w:cs="GHEA Grapalat"/>
                <w:iCs/>
                <w:sz w:val="24"/>
                <w:szCs w:val="24"/>
                <w:lang w:val="hy-AM" w:bidi="hy-AM"/>
              </w:rPr>
              <w:tab/>
              <w:t>հաշվի</w:t>
            </w:r>
            <w:r w:rsidRPr="00EE6221">
              <w:rPr>
                <w:rFonts w:ascii="GHEA Grapalat" w:eastAsia="GHEA Grapalat" w:hAnsi="GHEA Grapalat" w:cs="GHEA Grapalat"/>
                <w:iCs/>
                <w:sz w:val="24"/>
                <w:szCs w:val="24"/>
                <w:lang w:val="hy-AM" w:bidi="hy-AM"/>
              </w:rPr>
              <w:tab/>
            </w:r>
            <w:r w:rsidR="00140663"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առնելով</w:t>
            </w:r>
            <w:r w:rsidR="00140663" w:rsidRPr="00EE6221">
              <w:rPr>
                <w:rFonts w:ascii="GHEA Grapalat" w:eastAsia="GHEA Grapalat" w:hAnsi="GHEA Grapalat" w:cs="GHEA Grapalat"/>
                <w:iCs/>
                <w:sz w:val="24"/>
                <w:szCs w:val="24"/>
                <w:lang w:val="hy-AM" w:bidi="hy-AM"/>
              </w:rPr>
              <w:t>,</w:t>
            </w:r>
            <w:r w:rsidRPr="00EE6221">
              <w:rPr>
                <w:rFonts w:ascii="GHEA Grapalat" w:eastAsia="GHEA Grapalat" w:hAnsi="GHEA Grapalat" w:cs="GHEA Grapalat"/>
                <w:iCs/>
                <w:sz w:val="24"/>
                <w:szCs w:val="24"/>
                <w:lang w:val="hy-AM" w:bidi="hy-AM"/>
              </w:rPr>
              <w:t>որ</w:t>
            </w:r>
            <w:r w:rsidRPr="00EE6221">
              <w:rPr>
                <w:rFonts w:ascii="GHEA Grapalat" w:eastAsia="GHEA Grapalat" w:hAnsi="GHEA Grapalat" w:cs="GHEA Grapalat"/>
                <w:iCs/>
                <w:sz w:val="24"/>
                <w:szCs w:val="24"/>
                <w:lang w:val="hy-AM" w:bidi="hy-AM"/>
              </w:rPr>
              <w:tab/>
              <w:t>տվյալ</w:t>
            </w:r>
            <w:r w:rsidR="00140663"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իրավիճակում հայտնված վկաների համար կապահովվի անվճար իրավաբանական օգնությունը' այնուամենայնիվ դա չի կարող բավարար լինել վկաների իրավունքների և օրինական շահերի բավարար պաշտպանության համար, քանզի սույն երաշխիքը սահմանված է միայն այն վկաների համար, որոնք տվյալ վարույթին առնչվող մեկ այլ վարույթով են ներգրավված որպես մեղադրյալ, կամ կայացված է դատավճիռ:</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Միևնույն ժամանակ թմրամիջոցներից կախվածություն, որոշ հիվանդությունների պատճառով դեղահաբերի պարտադիր ընդունման կարիք և հոգեկան առողջության խնդիրներ ունեցող անձինք, իրենց առողջական վիճակից ելնելով, գտնվում են առավել խոցելի ու կախյալ վիճակում, ինչի արդյունքում առավել հեշտ է ազդեցություն գործադրել նրանց ցուցմունքների վրա:</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7448CB" w:rsidRPr="00EE6221" w:rsidRDefault="007448CB" w:rsidP="002B3679">
            <w:pPr>
              <w:numPr>
                <w:ilvl w:val="0"/>
                <w:numId w:val="5"/>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Սահմանել խոցելի խմբերի թվին պատկանող վկաների և տուժողների համար պետական միջոցների հաշվին իրավաբանական օգնության տրամադրման իրավունքը' միևնույն ժամանակ սահմանելով քննչական մարմնի համար տվյալ դեպքերում փաստաբան ներգրավելու պարտավորություն:</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32536C" w:rsidP="0032536C">
            <w:pPr>
              <w:jc w:val="center"/>
              <w:rPr>
                <w:rFonts w:ascii="GHEA Grapalat" w:hAnsi="GHEA Grapalat"/>
                <w:sz w:val="24"/>
                <w:szCs w:val="24"/>
              </w:rPr>
            </w:pPr>
            <w:r w:rsidRPr="00EE6221">
              <w:rPr>
                <w:rFonts w:ascii="GHEA Grapalat" w:hAnsi="GHEA Grapalat"/>
                <w:sz w:val="24"/>
                <w:szCs w:val="24"/>
              </w:rPr>
              <w:lastRenderedPageBreak/>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AB3AA8" w:rsidP="002B3679">
            <w:pPr>
              <w:jc w:val="both"/>
              <w:rPr>
                <w:rFonts w:ascii="GHEA Grapalat" w:hAnsi="GHEA Grapalat"/>
                <w:sz w:val="24"/>
                <w:szCs w:val="24"/>
                <w:lang w:val="hy-AM"/>
              </w:rPr>
            </w:pPr>
            <w:r w:rsidRPr="00EE6221">
              <w:rPr>
                <w:rFonts w:ascii="GHEA Grapalat" w:hAnsi="GHEA Grapalat"/>
                <w:sz w:val="24"/>
                <w:szCs w:val="24"/>
              </w:rPr>
              <w:t>Առաջարկվող լուծումը դուրս է Նախագծի առարկայի կարգավորման շրջանակներից:</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3. Մինչդատական վարույթի ընթացքում վկայի հարցաքննության կարգը սահմանված է ՀՀ քրեական դատավարության օրենսգրքի նախագծի 218-րդ հոդվածով, տուժողինը' 220-րդ հոդվածով</w:t>
            </w:r>
            <w:r w:rsidR="00B32314"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Նախագծի</w:t>
            </w:r>
            <w:r w:rsidRPr="00EE6221">
              <w:rPr>
                <w:rFonts w:ascii="GHEA Grapalat" w:eastAsia="GHEA Grapalat" w:hAnsi="GHEA Grapalat" w:cs="GHEA Grapalat"/>
                <w:iCs/>
                <w:sz w:val="24"/>
                <w:szCs w:val="24"/>
                <w:lang w:val="hy-AM" w:bidi="hy-AM"/>
              </w:rPr>
              <w:tab/>
              <w:t>212-րդ</w:t>
            </w:r>
            <w:r w:rsidR="00B32314"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հոդվածով սահմանված են</w:t>
            </w:r>
            <w:r w:rsidR="00B32314"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անչափահասի մասնակցությամբ կատարվող քննչական գործողությունների առանձնահատկությունները: Սույն հոդվածի 1-ին մասով ուղղակիորեն սահմանված է քննչական գործողությանը հոգեբանի ներգրավման պայմանը:</w:t>
            </w:r>
            <w:r w:rsidR="00B32314"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Միևնույն ժամանակ 212-րդ հոդվածի 2-րդ մասով սահմանված է, որ քննչական գործողությունը սկսելուց առաջ օրինական ներկայացուցչին և հոգեբանին պարզաբանվում են քննչական գործողությանը մասնակցելու և դիտողություններ շարադրելու իրավունքները: Ցուցմունք տալու հետ կապված քննչական գործողությանը մասնակցող օրինական ներկայացուցչին և հոգեբանին բացատրվում է նաև հարցեր տալու իրավունքը: Քննիչն իրավունք ունի հանել տրված հարցերը (...) սակայն ամեն դեպքում դրանք պետք է ներառվեն արձանագրությունում:</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Նախագծի 6-րդ հոդվածի 1-ին մասի (հասկացությունների նշանակությունների ցանկում) 30-րդ կետով սահմանված է օրինական ներկայացուցչի հասկացությունը' անչափահաս կամ անգործունակ մեղադրյալի, տուժողի կամ վկայի ծնողը, որդեգրողը, խնամակալը կամ հոգաբարձուն, իր իրավասության սահմաններում' խնամակալության և հոգաբարձության մարմնի աշխատակիցը, մահացած մեղադրյալի կամ ենթադրյալ հանցանք կատարած և մահացած անձի մերձավոր ազգականը, ինչպես նաև տուժող կամ գույքային պատասխանող իրավաբանական անձի ղեկավարը: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Նախագծի 53-րդ հոդվածով սահմանված է տուժողի օրինական ներկայացուցչի ճանաչման կարգը, իրավունքները, ներգրավման դեպքերը:</w:t>
            </w:r>
            <w:r w:rsidRPr="00EE6221">
              <w:rPr>
                <w:rFonts w:ascii="GHEA Grapalat" w:eastAsia="GHEA Grapalat" w:hAnsi="GHEA Grapalat" w:cs="GHEA Grapalat"/>
                <w:iCs/>
                <w:sz w:val="24"/>
                <w:szCs w:val="24"/>
                <w:lang w:val="hy-AM" w:bidi="hy-AM"/>
              </w:rPr>
              <w:tab/>
              <w:t>Մասնավորապես</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սահմանված է, որ անձն իրավունք ունի ճանաչվելու իր անչափահաս կամ անգործունակ' տուժող ճանաչված երեխայի, որդեգրվածի, խնամարկյալի կամ հոգաբարձյալի օրինական ներկայացուցիչ: Սահմանված է նաև տուժողի օրինական ներկայացուցչի' տուժողի հարցաքննությանը մասնակցելու իրավունքը: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Նախագծի 69-րդ հոդվածով սահմանված են վարույթին օրինական ներկյայացուցչի մասնակցությունը բացառող հանգամանքները:</w:t>
            </w:r>
            <w:r w:rsidRPr="00EE6221">
              <w:rPr>
                <w:rFonts w:ascii="GHEA Grapalat" w:eastAsia="GHEA Grapalat" w:hAnsi="GHEA Grapalat" w:cs="GHEA Grapalat"/>
                <w:iCs/>
                <w:sz w:val="24"/>
                <w:szCs w:val="24"/>
                <w:lang w:val="hy-AM" w:bidi="hy-AM"/>
              </w:rPr>
              <w:tab/>
              <w:t>Մասնավորապես</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սահմանված է, որ անչափահաս կամ անգործունակ մեղադրյալի, ենթադրյալ հանցանք կատարած և մահացած անձի, տուժողի կամ վկայի օրինական ներկայացուցիչը, ինչպես նաև տուժող կամ գույքային պատասխանող իրավաբանական անձի օրինական ներկայացուցիչը չի կարող մասնակցել վարույթին, եթե գտնվում է ազգակցական կամ անձնական կախվածության այլ հարաբերությունների մեջ այն դատավորի, վարույթի հանրային կամ մասնավոր մասնակցի հետ, ով մասնակցել կամ օրինական ներկայացուցչի ներգրավման պահին մասնակցում է վարույթին (Նախագծի 69-րդ հոդվածի 1-ին մասի 1-ին կետ):</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օրենսգրքի նախագծի 329-րդ հոդվածով սահմանված են անչափահաս տուժողի կամ վկայի հարցաքննության առանձնահատկությունները, սահմանված է նաև, որ դատաքննության ընթացքում անչափահաս տուժողի կամ վկայի օրինական ներկայացուցիչը իրավունք ունի մասնակցել տվյալ տուժողի կամ վկայի հարցաքննությանը: Անհրաժեշտ է նշել, որ ՀՀ քրեական դատավարության օրենսգրքի նախագծի նախնական տարբերակում տվյալ դրույթը ձևակերպված է եղել հետևյալ կերպ' «անչափահաս տուժողի կամ վկայի հարցաքննությունը կատարվում է նրա օրինական ներկայացուցչի մասնակցությամբ»:Ուսումնասիրված իրավակարգավորումների վերլուծությունից կարելի է հանգել հետևյալ եզրակացությունների և խնդիրների.</w:t>
            </w:r>
          </w:p>
          <w:p w:rsidR="007448CB" w:rsidRPr="00EE6221" w:rsidRDefault="007448CB" w:rsidP="002B3679">
            <w:pPr>
              <w:numPr>
                <w:ilvl w:val="0"/>
                <w:numId w:val="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Նախագծի 212-րդ հոդվածում նշվում է անչափահասի մասնակցությամբ կատարվող քննչական գործողությունը սկսելուց առաջ անչափահասի օրինական ներկայացուցչի իրավունքները բացատրելու մասին, 69-րդ հոդվածով էլ իր հերթին սահմանվում է անչափահասի կամ անգործունակ տուժողի, վկայի օրինական ներկայացուցչի վարույթին մասնակցությունը բացառող հանգամանքը: Միևնույն ժամանակ Նախագիծը սահմանում է միայն տուժողի' օրինական ներկայացուցիչ ճանաչվելու իրավունքը (Նախագծի 53-րդ հոդված), և չի սահմանում անչափահաս կամ անգործունակ ճանաչված վկայի օրինական ներկայացուցիչ ճանաչվելու կարգը, ինչպես նաև օրինական ներկայացուցչի իրավունքները և պատասխանատվության սահմանները:</w:t>
            </w:r>
          </w:p>
          <w:p w:rsidR="007448CB" w:rsidRPr="00EE6221" w:rsidRDefault="007448CB" w:rsidP="002B3679">
            <w:pPr>
              <w:numPr>
                <w:ilvl w:val="0"/>
                <w:numId w:val="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Սահմանված չէ անչափահաս կամ անգործունակ տուժողի, վկայի օրինական ներկայացուցչի' մինչդատական վարույթում ցուցմունք տալու հետ կապված քննչական գործողություններին մասնակցելու պարտադիր պայմանը:</w:t>
            </w:r>
          </w:p>
          <w:p w:rsidR="007448CB" w:rsidRPr="00EE6221" w:rsidRDefault="007448CB" w:rsidP="002B3679">
            <w:pPr>
              <w:numPr>
                <w:ilvl w:val="0"/>
                <w:numId w:val="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Եթե Նախագծի նախնական տարբերակում սահմանված է եղել, որ անչափահաս տուժողի կամ վկայի հարցաքննությունը կատարվում է նրա օրինական ներկայացուցչի մասնակցությամբ (դատալսումների ընթացքում), ապա ներկայիս խմբագրությամբ սահմանված է, որ անչափահաս տուժողի կամ վկայի օրինական ներկայացուցիչն իրավունք ունի մասնակցել տվյալ տուժողի կամ վկայի հարցաքննությանը (Նախագծի 329-րդ հոդվածի 1-ին մաս):</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Նախագծի 69-րդ հոդվածի 1-ին մասի 1-ին կետով սահմանված անչափահաս կամ անգործունակ մեղադրյալի, տուժողի կամ վկայի օրինական ներկայացուցչի' վարույթին մասնակցությունը բացառող հանգամանքը կարող է հանգեցնել վարույթի մասնավոր մասնակցի իրավունքների և օրինական շահերի խախտման: Մասնավորապես, օրինական ներկայացուցչի ինստիտուտի կոչումը վարույթի մասնակցի իրավունքների պատշաճ և լիարժեք իրականացման ապահովումն է, ընդ որում օրինական ներկայացուցչի ինստիտուտը սահմանվում է այն անձանց նկատմամբ, որոնք գտնվում են խոցելի վիճակում, իսկ օրինական ներկայացուցչի ներգրավման անհրաժեշտությունը օբյեկտիվորեն բխում է անձի իրավունքների լիարժեք և վարույթի մյուս մասնակիցների հետ հավասարապես իրականացնելու անհրաժեշտությունից, այդ պատճառով է, թերևս, որ օրենսդրիրը տուժողի օրինական ներկայացուցչին վերապահել է տուժողի' բոլոր իրավունքները և պարտականությունները, բացառությամբ տուժողի անձից անբաժանելի իրավունքները և պարտականությունները: Ընդ որում որպես անձի օրինական ներկայացուցիչ չի կարող ներգրավվել ցանկացած անձ, օրինական ներկայացուցիչ է հանդիսանում, ըստ Նախագծի, ծնողը, որդեգրողը, խնամակալը կամ հոգաբարձուն, իր իրավասության սահմաններում' հոգաբարձության և խնամակալության մարմնի աշխատակիցը:</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Նման իմպերատիվ իրավակարգավորումները կարող են բացասաբար անդրադառնալ օրինական ներկայացուցիչ ունեցող անձի իրավունքների վրա:</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Սահմանված չէ նաև նոր օրինական ներկայացուցիչ ներգրավելու անհրաժեշտությունը և կարգը Նախագծի 69-րդ հոդվածի 1-ին մասի 1-ին կետով սահմանված դեպքերում անձի օրինական ներկայացուցչի հեռացման դեպքում:</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7448CB" w:rsidRPr="00EE6221" w:rsidRDefault="007448CB" w:rsidP="002B3679">
            <w:pPr>
              <w:numPr>
                <w:ilvl w:val="0"/>
                <w:numId w:val="7"/>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Սահմանել անչափահաս, անգործունակ ճանաչված վկայի օրինական ներկայացուցչի ճանաչման կարգը, օրինական ներկայացուցչի իրավունքները:</w:t>
            </w:r>
          </w:p>
          <w:p w:rsidR="007448CB" w:rsidRPr="00EE6221" w:rsidRDefault="007448CB" w:rsidP="002B3679">
            <w:pPr>
              <w:numPr>
                <w:ilvl w:val="0"/>
                <w:numId w:val="7"/>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Լրացում կատարել ՀՀ քրեական դատավարության օրենսգրքի նախագծի 212-րդ հոդվածում, սահմանելով անչափահասի մասնակցությամբ կատարվող քննչական գործողություններին օրինական ներկայացուցչի պարտադիր մասնակցությունը:</w:t>
            </w:r>
          </w:p>
          <w:p w:rsidR="007448CB" w:rsidRPr="00EE6221" w:rsidRDefault="007448CB" w:rsidP="002B3679">
            <w:pPr>
              <w:numPr>
                <w:ilvl w:val="0"/>
                <w:numId w:val="7"/>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Լրացում կատարել ՀՀ քրեական դատավարության օրենսգրքի նախագծի 212-րդ հոդվածում, սահմանելով անգործունակ ճանաչված անձի օրինական ներկայացուցչի' քննչական գործողությանը մասնակցելու պարտադիր պայմանը:</w:t>
            </w:r>
          </w:p>
          <w:p w:rsidR="007448CB" w:rsidRPr="00EE6221" w:rsidRDefault="007448CB" w:rsidP="002B3679">
            <w:pPr>
              <w:numPr>
                <w:ilvl w:val="0"/>
                <w:numId w:val="7"/>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Փոփոխություն կատարել Նախագծի 329-րդ հոդվածում, սահմանելով դատալսումների ընթացքում անչափահաս տուժողի կամ վկայի հարցաքննությանը օրինական ներկայացուցչի պարտադիր մասնակցությունը:</w:t>
            </w:r>
          </w:p>
          <w:p w:rsidR="007448CB" w:rsidRPr="00EE6221" w:rsidRDefault="007448CB" w:rsidP="002B3679">
            <w:pPr>
              <w:numPr>
                <w:ilvl w:val="0"/>
                <w:numId w:val="7"/>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Փոփոխություն կատարել Նախագծի 69-րդ հոդվածում, «չի կարող մասնակցել վարույթին» բառերը փոխարինել «կարող է հեռացվել վարույթից» բառերով:</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AB3AA8" w:rsidP="00AB3AA8">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AB3AA8" w:rsidP="002B3679">
            <w:pPr>
              <w:jc w:val="both"/>
              <w:rPr>
                <w:rFonts w:ascii="GHEA Grapalat" w:hAnsi="GHEA Grapalat"/>
                <w:sz w:val="24"/>
                <w:szCs w:val="24"/>
              </w:rPr>
            </w:pPr>
            <w:r w:rsidRPr="00EE6221">
              <w:rPr>
                <w:rFonts w:ascii="GHEA Grapalat" w:hAnsi="GHEA Grapalat"/>
                <w:sz w:val="24"/>
                <w:szCs w:val="24"/>
              </w:rPr>
              <w:t>Առաջարկության մեջ արծարծված կարգավորումներն արդեն իրենց լիարժեք լուծումներն են ստացել Նախագծի վերաբերելի հոդվածներում:</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A01482">
            <w:pPr>
              <w:pStyle w:val="ListParagraph"/>
              <w:numPr>
                <w:ilvl w:val="0"/>
                <w:numId w:val="6"/>
              </w:numPr>
              <w:spacing w:after="0"/>
              <w:ind w:left="0" w:right="40"/>
              <w:jc w:val="both"/>
              <w:rPr>
                <w:rFonts w:ascii="GHEA Grapalat" w:hAnsi="GHEA Grapalat"/>
                <w:sz w:val="24"/>
                <w:szCs w:val="24"/>
                <w:lang w:val="hy-AM"/>
              </w:rPr>
            </w:pPr>
            <w:bookmarkStart w:id="3" w:name="bookmark3"/>
            <w:r w:rsidRPr="00EE6221">
              <w:rPr>
                <w:rStyle w:val="1"/>
                <w:rFonts w:ascii="GHEA Grapalat" w:hAnsi="GHEA Grapalat"/>
                <w:color w:val="auto"/>
                <w:sz w:val="24"/>
                <w:szCs w:val="24"/>
              </w:rPr>
              <w:t>Նախագծի որոշ հոդվածներում օգտագործվում է «հոգեկան խանգարում ունեցող անձինք» եզրույթը:</w:t>
            </w:r>
            <w:bookmarkEnd w:id="3"/>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Style w:val="1"/>
                <w:rFonts w:ascii="GHEA Grapalat" w:hAnsi="GHEA Grapalat"/>
                <w:color w:val="auto"/>
                <w:sz w:val="24"/>
                <w:szCs w:val="24"/>
              </w:rPr>
              <w:t>2010 թ. hոկտեմբերի 22-ին ՀՀ-ն վավերացրել է «Հաշմանդամություն ունեցող անձանց իրավունքների մասին» ՄԱԿ-ի կոնվենցիան: Կոնվենցիան սահմանել է մի շարք սկզբունքներ, մասնավորապես հարգանք անձի արժանապատվության հանդեպ, խտրականության բացառում, ինչպես նաև հարգանք հաշմանդամություն ունեցող անձանց յուրահատուկ լինելու նկատմամբ և նրանց' որպես մարդկային բազմազանության և մարդկության մաս ընդունելը:</w:t>
            </w:r>
            <w:r w:rsidRPr="00EE6221">
              <w:rPr>
                <w:rFonts w:ascii="GHEA Grapalat" w:eastAsia="Sylfaen" w:hAnsi="GHEA Grapalat" w:cs="Sylfaen"/>
                <w:sz w:val="24"/>
                <w:szCs w:val="24"/>
                <w:lang w:val="hy-AM" w:eastAsia="hy-AM" w:bidi="hy-AM"/>
              </w:rPr>
              <w:t>Անհրաժեշտ է ՀՀ քրեական օրենսգրքի նախագծում կիրառել այնպիսի եզրույթ, որը կհամապատասխանի ՀՀ-ում ներկայիս օրենսդրական և իրավական զարգացումներին, միջազգային չափանիշներին, կապահովի եզրույթի իրավական որոշակիությունը և որպես արդյունք կհանդիսանա նվազ խտրական և խարան սերմանող:</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Առաջարկում ենք.</w:t>
            </w:r>
          </w:p>
          <w:p w:rsidR="007448CB" w:rsidRPr="00EE6221" w:rsidRDefault="007448CB" w:rsidP="002B3679">
            <w:pPr>
              <w:numPr>
                <w:ilvl w:val="0"/>
                <w:numId w:val="8"/>
              </w:num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 xml:space="preserve"> Նախագծում օգտագործվող «հոգեկան խանգարում, մտավոր կամ ֆիզիկական սահմանափակումներ» արտահայտությունը փոխարինել «հոգեկան, մտավոր կամ ֆիզիկական առողջության խնդիրներ» արտահայտությամբ:</w:t>
            </w:r>
          </w:p>
          <w:p w:rsidR="007448CB" w:rsidRPr="00EE6221" w:rsidRDefault="007448CB" w:rsidP="002B3679">
            <w:pPr>
              <w:numPr>
                <w:ilvl w:val="0"/>
                <w:numId w:val="8"/>
              </w:num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 xml:space="preserve"> Նախագծում օգտագործվող «հոգեկան խանգարումներ ունեցող անձանց» եզրույթը փոխարինել «հոգեկան առողջության խնդիրներ ունեցող անձանց» եզրույթով:</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AB3AA8" w:rsidP="00AB3AA8">
            <w:pPr>
              <w:jc w:val="center"/>
              <w:rPr>
                <w:rFonts w:ascii="GHEA Grapalat" w:hAnsi="GHEA Grapalat"/>
                <w:sz w:val="24"/>
                <w:szCs w:val="24"/>
              </w:rPr>
            </w:pPr>
            <w:bookmarkStart w:id="4" w:name="_GoBack"/>
            <w:r w:rsidRPr="00EE6221">
              <w:rPr>
                <w:rFonts w:ascii="GHEA Grapalat" w:hAnsi="GHEA Grapalat"/>
                <w:sz w:val="24"/>
                <w:szCs w:val="24"/>
              </w:rPr>
              <w:t>Ընդունվել է</w:t>
            </w:r>
            <w:bookmarkEnd w:id="4"/>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1C1A9F" w:rsidP="00A01482">
            <w:pPr>
              <w:jc w:val="both"/>
              <w:rPr>
                <w:rFonts w:ascii="GHEA Grapalat" w:hAnsi="GHEA Grapalat"/>
                <w:sz w:val="24"/>
                <w:szCs w:val="24"/>
                <w:lang w:val="hy-AM"/>
              </w:rPr>
            </w:pPr>
            <w:r w:rsidRPr="00EE6221">
              <w:rPr>
                <w:rFonts w:ascii="GHEA Grapalat" w:hAnsi="GHEA Grapalat"/>
                <w:sz w:val="24"/>
                <w:szCs w:val="24"/>
              </w:rPr>
              <w:t>Նախագծում կատարվել է համապատասխան փոփոխություն:</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A01482">
            <w:pPr>
              <w:pStyle w:val="ListParagraph"/>
              <w:numPr>
                <w:ilvl w:val="0"/>
                <w:numId w:val="6"/>
              </w:numPr>
              <w:ind w:left="113" w:firstLine="134"/>
              <w:jc w:val="both"/>
              <w:rPr>
                <w:rFonts w:ascii="GHEA Grapalat" w:eastAsia="GHEA Grapalat" w:hAnsi="GHEA Grapalat" w:cs="GHEA Grapalat"/>
                <w:iCs/>
                <w:sz w:val="24"/>
                <w:szCs w:val="24"/>
                <w:lang w:val="hy-AM" w:bidi="hy-AM"/>
              </w:rPr>
            </w:pPr>
            <w:bookmarkStart w:id="5" w:name="bookmark4"/>
            <w:r w:rsidRPr="00EE6221">
              <w:rPr>
                <w:rFonts w:ascii="GHEA Grapalat" w:eastAsia="GHEA Grapalat" w:hAnsi="GHEA Grapalat" w:cs="GHEA Grapalat"/>
                <w:bCs/>
                <w:iCs/>
                <w:sz w:val="24"/>
                <w:szCs w:val="24"/>
                <w:lang w:val="hy-AM" w:bidi="hy-AM"/>
              </w:rPr>
              <w:t>ՀՀ</w:t>
            </w:r>
            <w:r w:rsidRPr="00EE6221">
              <w:rPr>
                <w:rFonts w:ascii="GHEA Grapalat" w:eastAsia="GHEA Grapalat" w:hAnsi="GHEA Grapalat" w:cs="GHEA Grapalat"/>
                <w:iCs/>
                <w:sz w:val="24"/>
                <w:szCs w:val="24"/>
                <w:lang w:val="hy-AM" w:bidi="hy-AM"/>
              </w:rPr>
              <w:t xml:space="preserve"> Սահմանադրության 64-րդ հոդվածի 1-ին մասի համաձայն' յուրաքանչյուր ոք ունի իրավաբանական օգնություն ստանալու իրավունք: Օրենքով սահմանված դեպքերում իրավաբանական օգնությունը ցույց է տրվում պետական միջոցների հաշվին:</w:t>
            </w:r>
            <w:bookmarkEnd w:id="5"/>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Նույն հոդվածի 2-րդ մասի համաձայն' իրավաբանական օգնություն ապահովելու նպատակով երաշխավորվում է անկախության, ինքնակառավարման և փաստաբանների իրավահավասարության վրա հիմնված փաստաբանության գործունեությունը:</w:t>
            </w:r>
            <w:r w:rsidRPr="00EE6221">
              <w:rPr>
                <w:rFonts w:ascii="GHEA Grapalat" w:eastAsia="GHEA Grapalat" w:hAnsi="GHEA Grapalat" w:cs="GHEA Grapalat"/>
                <w:iCs/>
                <w:sz w:val="24"/>
                <w:szCs w:val="24"/>
                <w:lang w:val="hy-AM" w:bidi="hy-AM"/>
              </w:rPr>
              <w:tab/>
              <w:t>Փաստաբանների</w:t>
            </w:r>
            <w:r w:rsidRPr="00EE6221">
              <w:rPr>
                <w:rFonts w:ascii="GHEA Grapalat" w:eastAsia="GHEA Grapalat" w:hAnsi="GHEA Grapalat" w:cs="GHEA Grapalat"/>
                <w:iCs/>
                <w:sz w:val="24"/>
                <w:szCs w:val="24"/>
                <w:lang w:val="hy-AM" w:bidi="hy-AM"/>
              </w:rPr>
              <w:tab/>
              <w:t>կարգավիճակը,</w:t>
            </w:r>
            <w:r w:rsidRPr="00EE6221">
              <w:rPr>
                <w:rFonts w:ascii="GHEA Grapalat" w:eastAsia="GHEA Grapalat" w:hAnsi="GHEA Grapalat" w:cs="GHEA Grapalat"/>
                <w:iCs/>
                <w:sz w:val="24"/>
                <w:szCs w:val="24"/>
                <w:lang w:val="hy-AM" w:bidi="hy-AM"/>
              </w:rPr>
              <w:tab/>
              <w:t>իրավունքները և</w:t>
            </w:r>
          </w:p>
          <w:p w:rsidR="007448CB" w:rsidRPr="00EE6221" w:rsidRDefault="007448CB" w:rsidP="00A01482">
            <w:pPr>
              <w:pStyle w:val="ListParagraph"/>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պարտականությունները սահմանվում են օրենքով:</w:t>
            </w:r>
          </w:p>
          <w:p w:rsidR="007448CB" w:rsidRPr="00EE6221" w:rsidRDefault="007448CB" w:rsidP="00A01482">
            <w:pPr>
              <w:pStyle w:val="ListParagraph"/>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Սահմանադրության 67-րդ հոդվածի 2-րդ և 3-րդ կետերի համաձայն' հանցագործության համար մեղադրվող յուրաքանչյուր ոք ունի'</w:t>
            </w:r>
          </w:p>
          <w:p w:rsidR="007448CB" w:rsidRPr="00EE6221" w:rsidRDefault="007448CB" w:rsidP="00A01482">
            <w:pPr>
              <w:pStyle w:val="ListParagraph"/>
              <w:spacing w:after="0"/>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անձամբ կամ իր ընտրած փաստաբանի միջոցով պաշտպանվելու իրավունք.</w:t>
            </w:r>
          </w:p>
          <w:p w:rsidR="007448CB" w:rsidRPr="00EE6221" w:rsidRDefault="007448CB" w:rsidP="00A01482">
            <w:pPr>
              <w:pStyle w:val="ListParagraph"/>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իր պաշտպանությունը նախապատրաստելու և իր ընտրած փաստաբանի հետ հաղորդակցվելու համար բավարար ժամանակ և հնարավորություններ ունենալու իրավունք.</w:t>
            </w:r>
          </w:p>
          <w:p w:rsidR="007448CB" w:rsidRPr="00EE6221" w:rsidRDefault="007448CB" w:rsidP="00A01482">
            <w:pPr>
              <w:pStyle w:val="ListParagraph"/>
              <w:spacing w:after="0"/>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Սահմանադրական այս երկու հոդվածները ուղղված են երաշխավորելու յուրաքանչյուր անձի' պատշաճ և որակյալ իրավաբանական օգնություն ստանալու իրավունքի իրացումը: Սահմանադրության 64-րդ հոդվածով սահմանվում է, որ oրենքով պետք է նախատեսվեն այն դեպքերը, երբ իրավաբանական օգնությունը պետք է ցույց տրվի պետական միջոցների հաշվին:</w:t>
            </w:r>
          </w:p>
          <w:p w:rsidR="007448CB" w:rsidRPr="00EE6221" w:rsidRDefault="007448CB" w:rsidP="00A01482">
            <w:pPr>
              <w:pStyle w:val="ListParagraph"/>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Սահմանադրության 67-րդ հոդվածը սահմանում է յուրաքանչյուր անձի կողմից իր ընտրած փաստաբանի միջոցով պաշտպանվելու իրավունքը: Հստակ է, որ Սահմանադրությունը իր ընտրած փաստաբանի միջոցով պաշտպանվելու իրավունքը չի սահմանափակել բացառապես իր հաշվին պաշտպանվելու դեպքերի ու աներկբա է, որ այդ իրավունքը իրացնելու հնարավորություն անձը պետք է ունենա նաև այն դեպքում, երբ իրավաբանական օգնությունը ցուցաբերվում է պետական միջոցների հաշվին:</w:t>
            </w:r>
          </w:p>
          <w:p w:rsidR="007448CB" w:rsidRPr="00EE6221" w:rsidRDefault="007448CB" w:rsidP="00A01482">
            <w:pPr>
              <w:pStyle w:val="ListParagraph"/>
              <w:ind w:left="113" w:firstLine="134"/>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Ստացվում է, որ անհրաժեշտ է քննարկել այս երկու սահմանադրական նորմերի պատշաճ կատրման հարցերը և օրենսդրական առումով ստեղծել այնպիսի միջոցներ, որ նույնիսկ պետական միջոցների հաշվին իրավաբանական օգնություն ստանալու իրավունք ունեցող անձը ևս կարողանա օգտվել իր ընտրած փաստաբանի միջոցով իր պաշտպանությունն իրականցնելու իրավունքից:</w:t>
            </w:r>
          </w:p>
          <w:p w:rsidR="007448CB" w:rsidRPr="00EE6221" w:rsidRDefault="007448CB" w:rsidP="00A01482">
            <w:pPr>
              <w:pStyle w:val="ListParagraph"/>
              <w:ind w:left="113"/>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Այս իրավունքի իրացման համար գործող կանոնակարգումները, այդ թվում' ներկայացված նախագիծը, որևէ հնարավորություն չեն ստեղծում, ուստի ՀՔԱ Վանաձորի գրասենյակը գտնում է, որ անհրաժեշտ է հիմնովին վերանայել քրեական վարույթին պաշտպանի մասնակցության կարգը և պայմանները:</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Անհրաժեշտ է ՀՀ քրեական դատավարության օրենսգրքի նախագծում սահմանել այնպիսի մեխանիզմներ, որպեսզի անձինք կարողանան պետական միջոցների հաշվին օգտվել անվճար իրավաբանական օգնությունից</w:t>
            </w:r>
            <w:r w:rsidR="00A01482" w:rsidRPr="00EE6221">
              <w:rPr>
                <w:rFonts w:ascii="GHEA Grapalat" w:eastAsia="GHEA Grapalat" w:hAnsi="GHEA Grapalat" w:cs="GHEA Grapalat"/>
                <w:iCs/>
                <w:sz w:val="24"/>
                <w:szCs w:val="24"/>
                <w:lang w:val="hy-AM" w:bidi="hy-AM"/>
              </w:rPr>
              <w:t>՝</w:t>
            </w:r>
            <w:r w:rsidRPr="00EE6221">
              <w:rPr>
                <w:rFonts w:ascii="GHEA Grapalat" w:eastAsia="GHEA Grapalat" w:hAnsi="GHEA Grapalat" w:cs="GHEA Grapalat"/>
                <w:iCs/>
                <w:sz w:val="24"/>
                <w:szCs w:val="24"/>
                <w:lang w:val="hy-AM" w:bidi="hy-AM"/>
              </w:rPr>
              <w:t xml:space="preserve"> իրենց ընտրած փաստաբանի</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միջոցով</w:t>
            </w:r>
          </w:p>
          <w:p w:rsidR="007448CB" w:rsidRPr="00EE6221" w:rsidRDefault="007448CB" w:rsidP="00A01482">
            <w:pPr>
              <w:pStyle w:val="ListParagraph"/>
              <w:ind w:left="113"/>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Հարկ է փաստել, որ նման միջոցի ներդրումը ինքնին չի բացառում հանրային պաշտպանի գրասենյակի կարևորությունը և գործունեությունը, քանի որ կարող են լինել դեպքեր, երբ անհրաժեշտ լինի նշանակել հանրային պաշտպան, օրինակ այն դեպքերում, երբ անձը չի ցանկանա ընտրել որևէ մեկի, կամ չի կարողանա պայմանավորվածություն ձեռք բերել որևէ փաստաբանի հետ: Սակայն առաջարկված տարբերակը կարող է լուծել նաև այնպիսի խնդիրներ, ինչպիսին է հենց հանրային պաշտպանի գրասենյակի գերծանրաբեռնվածությունը:</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Միացյալ Թագավորությունը վաղուց արդեն երաշխավորել է սոցիալապես անապահով համարվող անձի/մեղադրյալի իր ընտրությամբ փաստաբան ունենալու իրավունքը:</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 xml:space="preserve">2010 թ.-ին Կաթո Համալսարանը հրապարակեց </w:t>
            </w:r>
            <w:hyperlink r:id="rId9" w:history="1">
              <w:r w:rsidRPr="00EE6221">
                <w:rPr>
                  <w:rStyle w:val="Hyperlink"/>
                  <w:rFonts w:ascii="GHEA Grapalat" w:eastAsia="GHEA Grapalat" w:hAnsi="GHEA Grapalat" w:cs="GHEA Grapalat"/>
                  <w:iCs/>
                  <w:color w:val="auto"/>
                  <w:sz w:val="24"/>
                  <w:szCs w:val="24"/>
                  <w:lang w:val="hy-AM" w:bidi="hy-AM"/>
                </w:rPr>
                <w:t>«Reforming Indigent Defense</w:t>
              </w:r>
            </w:hyperlink>
            <w:r w:rsidRPr="00EE6221">
              <w:rPr>
                <w:rFonts w:ascii="GHEA Grapalat" w:eastAsia="GHEA Grapalat" w:hAnsi="GHEA Grapalat" w:cs="GHEA Grapalat"/>
                <w:iCs/>
                <w:sz w:val="24"/>
                <w:szCs w:val="24"/>
                <w:lang w:val="hy-AM" w:bidi="hy-AM"/>
              </w:rPr>
              <w:t>» խորագրով ուսումնասիրություն, որտեղ առաջարկվել է փաստաբանների ընտրության մոդել, որի համաձայն հանցագործության մեջ մեղադրվող անվճարունակ անձը պետական միջոցների հաշվին կարող է իր ընտրությամբ ունենալ փաստաբան: Եթե մեղադրյալը ընտրել է հանրային պաշտպան, բայց դեռ ցանկանում է ուսումնասիրել այլ տարբերակներ, անձը կարող է դա անել: Տեխասի աղքատների պաշտպանության հանձնաժողովը ուսումնասիրել է Կաթոնի զեկույցը և որոշել է փորձել այն պիլոտային ծրագրում Կալիֆի նահանգի Սան Անտոնիո քաղաքի մոտ գտնվող բնակավայրում: Ծրագիրը մեկնարկել է 2015 թվականին:</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Կարծիքում նույնպես շեշտադրվել է այս խնդիրը: Ջերեմի ՄքԲրայդի և Լորենա Բախմայեր Ուինթերի մեկնաբանությունների համաձայն բացի այդ, թեև Հայաստանի Հանրապետության փաստաբանների պալատի կողմից փաստաբանի նշանակումը շատ դեպքերում կարող է բավարար լինել, պետք է հրաժարվելու և նոր նշանակում պահանջելու հնարավորություն ընձեռվի, եթե տվյալ փաստաբանը չունի անհրաժեշտ իրավասություն կամ մեղադրյալը նրան չվստահելու լավ պատճառաբանված հիմք ունի նախկինում ձևավորված հարաբերությունների պատճառով:</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Առաջարկում ենք.</w:t>
            </w:r>
            <w:r w:rsidR="00A01482"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Նախագծում նախատեսել այնպիսի կանոնակարգումներ, որոնց պարագայում անձը հնարավորություն կունենա պետական միջոցների հաշվին ստանալ իրավաբանական օգնություն և պաշտպանություն</w:t>
            </w:r>
            <w:r w:rsidR="00A01482" w:rsidRPr="00EE6221">
              <w:rPr>
                <w:rFonts w:ascii="GHEA Grapalat" w:eastAsia="GHEA Grapalat" w:hAnsi="GHEA Grapalat" w:cs="GHEA Grapalat"/>
                <w:iCs/>
                <w:sz w:val="24"/>
                <w:szCs w:val="24"/>
                <w:lang w:val="hy-AM" w:bidi="hy-AM"/>
              </w:rPr>
              <w:t>՝</w:t>
            </w:r>
            <w:r w:rsidRPr="00EE6221">
              <w:rPr>
                <w:rFonts w:ascii="GHEA Grapalat" w:eastAsia="GHEA Grapalat" w:hAnsi="GHEA Grapalat" w:cs="GHEA Grapalat"/>
                <w:iCs/>
                <w:sz w:val="24"/>
                <w:szCs w:val="24"/>
                <w:lang w:val="hy-AM" w:bidi="hy-AM"/>
              </w:rPr>
              <w:t xml:space="preserve"> իր ընտրած փաստաբանի կողմից:</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4F21C3" w:rsidP="004F21C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4F21C3" w:rsidP="002B3679">
            <w:pPr>
              <w:jc w:val="both"/>
              <w:rPr>
                <w:rFonts w:ascii="GHEA Grapalat" w:hAnsi="GHEA Grapalat"/>
                <w:sz w:val="24"/>
                <w:szCs w:val="24"/>
                <w:lang w:val="hy-AM"/>
              </w:rPr>
            </w:pPr>
            <w:r w:rsidRPr="00EE6221">
              <w:rPr>
                <w:rFonts w:ascii="GHEA Grapalat" w:hAnsi="GHEA Grapalat"/>
                <w:sz w:val="24"/>
                <w:szCs w:val="24"/>
              </w:rPr>
              <w:t>Առաջարկվող լուծումը դուրս է Նախագծի առարկայի կարգավորման շրջանակներից:</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171574">
            <w:pPr>
              <w:pStyle w:val="ListParagraph"/>
              <w:numPr>
                <w:ilvl w:val="0"/>
                <w:numId w:val="6"/>
              </w:numPr>
              <w:spacing w:after="0"/>
              <w:ind w:left="-19" w:right="20" w:firstLine="739"/>
              <w:jc w:val="both"/>
              <w:rPr>
                <w:rFonts w:ascii="GHEA Grapalat" w:hAnsi="GHEA Grapalat"/>
                <w:sz w:val="24"/>
                <w:szCs w:val="24"/>
                <w:lang w:val="hy-AM"/>
              </w:rPr>
            </w:pPr>
            <w:bookmarkStart w:id="6" w:name="bookmark5"/>
            <w:r w:rsidRPr="00EE6221">
              <w:rPr>
                <w:rStyle w:val="1"/>
                <w:rFonts w:ascii="GHEA Grapalat" w:hAnsi="GHEA Grapalat"/>
                <w:color w:val="auto"/>
                <w:sz w:val="24"/>
                <w:szCs w:val="24"/>
              </w:rPr>
              <w:t>Նախագծի 91-րդ և 92-րդ հոդվածները նախատեսում են փորձագետի եզրակացության և փորձագետի կարծիքի մասին դրույթներ:</w:t>
            </w:r>
            <w:bookmarkEnd w:id="6"/>
          </w:p>
          <w:p w:rsidR="007448CB" w:rsidRPr="00EE6221" w:rsidRDefault="007448CB" w:rsidP="003F293A">
            <w:pPr>
              <w:spacing w:after="0"/>
              <w:ind w:right="20"/>
              <w:jc w:val="both"/>
              <w:rPr>
                <w:rFonts w:ascii="GHEA Grapalat" w:hAnsi="GHEA Grapalat"/>
                <w:sz w:val="24"/>
                <w:szCs w:val="24"/>
                <w:lang w:val="hy-AM"/>
              </w:rPr>
            </w:pPr>
            <w:r w:rsidRPr="00EE6221">
              <w:rPr>
                <w:rStyle w:val="1"/>
                <w:rFonts w:ascii="GHEA Grapalat" w:hAnsi="GHEA Grapalat"/>
                <w:color w:val="auto"/>
                <w:sz w:val="24"/>
                <w:szCs w:val="24"/>
              </w:rPr>
              <w:t>Նախագծի 91-րդ հոդվածի համաձայն փորձագետի եզրակացությունը գիտության, տեխնիկայի, արվեստի, արհեստի կամ որևէ այլ բնագավառում հատուկ գիտելիքների կամ հմտությունների օգտագործմամբ, վարույթն իրականացնող մարմնի կամ վարույթի մասնավոր մասնակցի կողմից իրեն առաջադրած, ինչպես նաև իր իրավասության մեջ մտնող այլ հարցերի վերաբերյալ գրավոր հիմնավորված հետևություններն են, որոնց փորձագետը հանգել է վարույթի համապատասխան նյութերը, դիակը կամ վարույթին ներգրավված համապատասխան անձին հետազոտելով:</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Style w:val="1"/>
                <w:rFonts w:ascii="GHEA Grapalat" w:hAnsi="GHEA Grapalat"/>
                <w:color w:val="auto"/>
                <w:sz w:val="24"/>
                <w:szCs w:val="24"/>
              </w:rPr>
              <w:t>Նախագծի 92-րդ հոդվածի համաձայն</w:t>
            </w:r>
            <w:r w:rsidR="003F293A" w:rsidRPr="00EE6221">
              <w:rPr>
                <w:rStyle w:val="1"/>
                <w:rFonts w:ascii="GHEA Grapalat" w:hAnsi="GHEA Grapalat"/>
                <w:color w:val="auto"/>
                <w:sz w:val="24"/>
                <w:szCs w:val="24"/>
              </w:rPr>
              <w:t>՝</w:t>
            </w:r>
            <w:r w:rsidRPr="00EE6221">
              <w:rPr>
                <w:rStyle w:val="1"/>
                <w:rFonts w:ascii="GHEA Grapalat" w:hAnsi="GHEA Grapalat"/>
                <w:color w:val="auto"/>
                <w:sz w:val="24"/>
                <w:szCs w:val="24"/>
              </w:rPr>
              <w:t xml:space="preserve"> փորձագետի կարծիքը գիտության, տեխնիկայի, արվեստի, արհեստի կամ որևէ այլ բնագավառում հատուկ գիտելիքների կամ հմտությունների օգտագործմամբ վարույթի մասնավոր մասնակցի կողմից իրեն առաջադրած, ինչպես նաև իր իրավասության մեջ մտնող այլ հարցերի վերաբերյալ </w:t>
            </w:r>
            <w:r w:rsidRPr="00EE6221">
              <w:rPr>
                <w:rFonts w:ascii="GHEA Grapalat" w:eastAsia="Sylfaen" w:hAnsi="GHEA Grapalat" w:cs="Sylfaen"/>
                <w:sz w:val="24"/>
                <w:szCs w:val="24"/>
                <w:lang w:val="hy-AM" w:eastAsia="hy-AM" w:bidi="hy-AM"/>
              </w:rPr>
              <w:t>գրավոր հիմնավորված հետևություններն են, որոնց փորձագետը հանգել է առանց վարույթի համապատասխան նյութերը, դիակը կամ վարույթին ներգրավված համապատասխան անձին հետազոտելու: Կարծիքում վերոնշյալ հոդվածների վերաբերյալ հստակ նշվում է, որ դրույթներում «եզրակացություն» և «կարծիք» տարբեր անունների կիրառումը կարող է տպավորություն ստեղծել, թե տարբերակում է կատարվում դատարանի պատվիրած և մասնավոր կողմի պատվիրած փորձագիտական կարծիքների միջև:</w:t>
            </w:r>
            <w:r w:rsidRPr="00EE6221">
              <w:rPr>
                <w:rFonts w:ascii="GHEA Grapalat" w:eastAsia="Sylfaen" w:hAnsi="GHEA Grapalat" w:cs="Sylfaen"/>
                <w:sz w:val="24"/>
                <w:szCs w:val="24"/>
                <w:lang w:val="hy-AM" w:eastAsia="hy-AM" w:bidi="hy-AM"/>
              </w:rPr>
              <w:tab/>
              <w:t>Նման</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տարբերակումն արտասովոր է և կարող է ոչ միայն հանգեցնել շփոթության, այլև նսեմացնել փորձագետ վկաների դատարանի կողմից չպատվիրված կարծիքներին վերապահված արժեքը: Կարծիքի և եզրկացության ձևերի միջև առկա տարբերակումը չպետք է պահպանվի, սակայն դրանք կարելի է միմյանցից տարբերակել վկայակոչելով որպես «դատարանի պատվիրած փորձագիտական կարծիքներ» և «մասնավոր կողմի պատվիրած փորձագիտական կարծիքներ»:</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Անհրաժեշտ ենք գտնում վկայակոչել Մոլդովայի քրեական դատավարության օրենսգրքի 142-րդ հոդվածը, որի համաձայն (...) Քրեական հետապնդում իրականացնող մարմինը, դատախազը կամ դատարանը կողմերի միջնորդությամբ, ինչպես նաև քրեական հետապնդում իրականացնող մարմինը կամ դատախազը սեփական նախաձեռնությամբ նշանակում են դատաբժշկական փորձաքննություն: Կողմերը քրեական հետապնդում իրականացնող մարմնի, դատախազի կամ դատարանի միջոցով իրավունք ունեն միջնորդություն ներկայացնել հանրային դատափորձագիտական հաստատություն/դատական փորձագիտական գրասենյակ իրենց նախաձեռնությամբ դատական փորձաքննություն անցկացնելու համար և իրենց հաշվին, բացահայտելու այն հանգամանքները, որոնք, իրենց կարծիքով, կարող են օգտագործվել իրենց շահերը պաշտպանելու համար:</w:t>
            </w:r>
            <w:r w:rsidRPr="00EE6221">
              <w:rPr>
                <w:rFonts w:ascii="GHEA Grapalat" w:eastAsia="Sylfaen" w:hAnsi="GHEA Grapalat" w:cs="Sylfaen"/>
                <w:sz w:val="24"/>
                <w:szCs w:val="24"/>
                <w:lang w:val="hy-AM" w:eastAsia="hy-AM" w:bidi="hy-AM"/>
              </w:rPr>
              <w:tab/>
              <w:t>Այս դեպքում քրեական</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հետապնդում իրականացնող մարմինը, դատախազը կամ դատարանը պետք է ուղարկեն դատաբժշկական փորձաքննության անցկացման համար անհրաժեշտ նյութերը հանրային դատափորձագիտական հաստատություն/դատական փորձագիտական գրասենյակ: Կողմերի խնդրանքով կազմված դատափորձագիտական եզրակացությունը ներկայացվում է քրեական հետապնդման մարմին, դատախազին կամ դատարան, որը կցվում է քրեական գործի նյութերին, և ենթակա է գնահատման, եթե ամրացված է այլ ապացույցներով:</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Գտնում ենք, որ նախագծում անհրաժեշտ է սահմանել մեկ միասնական եզրույթների օգտագործման համակարգ, և խմաբգրել 91-րդ և 92-րդ հոդվածները:</w:t>
            </w:r>
          </w:p>
          <w:p w:rsidR="007448CB" w:rsidRPr="00EE6221" w:rsidRDefault="007448CB" w:rsidP="002B3679">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Առաջարկում ենք.</w:t>
            </w:r>
          </w:p>
          <w:p w:rsidR="007448CB" w:rsidRPr="00EE6221" w:rsidRDefault="007448CB" w:rsidP="002B3679">
            <w:pPr>
              <w:numPr>
                <w:ilvl w:val="0"/>
                <w:numId w:val="11"/>
              </w:num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Նախագծի 91-րդ և 92-րդ հոդվածները խմբագրել, նախատեսելով մեկ հոդված, հետևյալ բովանդակությամբ.</w:t>
            </w:r>
          </w:p>
          <w:p w:rsidR="007448CB" w:rsidRPr="00EE6221" w:rsidRDefault="007448CB" w:rsidP="004F21C3">
            <w:pPr>
              <w:spacing w:after="0"/>
              <w:jc w:val="both"/>
              <w:rPr>
                <w:rFonts w:ascii="GHEA Grapalat" w:eastAsia="Sylfaen" w:hAnsi="GHEA Grapalat" w:cs="Sylfaen"/>
                <w:sz w:val="24"/>
                <w:szCs w:val="24"/>
                <w:lang w:val="hy-AM" w:eastAsia="hy-AM" w:bidi="hy-AM"/>
              </w:rPr>
            </w:pPr>
            <w:r w:rsidRPr="00EE6221">
              <w:rPr>
                <w:rFonts w:ascii="GHEA Grapalat" w:eastAsia="Sylfaen" w:hAnsi="GHEA Grapalat" w:cs="Sylfaen"/>
                <w:sz w:val="24"/>
                <w:szCs w:val="24"/>
                <w:lang w:val="hy-AM" w:eastAsia="hy-AM" w:bidi="hy-AM"/>
              </w:rPr>
              <w:t>91. Փորձագետի եզրակացությունը գիտության, տեխնիկայի, արվեստի, արհեստի կամ որևէ այլ բնագավառում հատուկ գիտելիքների կամ հմտությունների օգտագործմամբ, վարույթն իրականացնող մարմնի կամ վարույթի մասնավոր մասնակցի կողմից իրեն առաջադրած, ինչպես նաև իր իրավասության մեջ մտնող այլ հարցերի վերաբերյալ գրավոր հիմնավորված հետևություններն են:Նախագծի 92-րդ հոդվածը հանել:Նախագծի 86-րդ հոդվածի 1-ին մասի 6-րդ կետը հանել:</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4F21C3" w:rsidP="004F21C3">
            <w:pPr>
              <w:jc w:val="center"/>
              <w:rPr>
                <w:rFonts w:ascii="GHEA Grapalat" w:hAnsi="GHEA Grapalat"/>
                <w:sz w:val="24"/>
                <w:szCs w:val="24"/>
              </w:rPr>
            </w:pPr>
            <w:r w:rsidRPr="00EE6221">
              <w:rPr>
                <w:rFonts w:ascii="GHEA Grapalat" w:hAnsi="GHEA Grapalat"/>
                <w:sz w:val="24"/>
                <w:szCs w:val="24"/>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4F21C3" w:rsidP="004F21C3">
            <w:pPr>
              <w:jc w:val="both"/>
              <w:rPr>
                <w:rFonts w:ascii="GHEA Grapalat" w:hAnsi="GHEA Grapalat"/>
                <w:sz w:val="24"/>
                <w:szCs w:val="24"/>
              </w:rPr>
            </w:pPr>
            <w:r w:rsidRPr="00EE6221">
              <w:rPr>
                <w:rFonts w:ascii="GHEA Grapalat" w:hAnsi="GHEA Grapalat"/>
                <w:sz w:val="24"/>
                <w:szCs w:val="24"/>
              </w:rPr>
              <w:t>Առաջարկությունը չի համապատասխանում Նախագծում առկա հայեցակարգային և համալիր լուծումներին:</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7. </w:t>
            </w:r>
            <w:bookmarkStart w:id="7" w:name="bookmark6"/>
            <w:r w:rsidRPr="00EE6221">
              <w:rPr>
                <w:rFonts w:ascii="GHEA Grapalat" w:eastAsia="GHEA Grapalat" w:hAnsi="GHEA Grapalat" w:cs="GHEA Grapalat"/>
                <w:bCs/>
                <w:iCs/>
                <w:sz w:val="24"/>
                <w:szCs w:val="24"/>
                <w:lang w:val="hy-AM" w:bidi="hy-AM"/>
              </w:rPr>
              <w:t>ՀՀ</w:t>
            </w:r>
            <w:r w:rsidRPr="00EE6221">
              <w:rPr>
                <w:rFonts w:ascii="GHEA Grapalat" w:eastAsia="GHEA Grapalat" w:hAnsi="GHEA Grapalat" w:cs="GHEA Grapalat"/>
                <w:iCs/>
                <w:sz w:val="24"/>
                <w:szCs w:val="24"/>
                <w:lang w:val="hy-AM" w:bidi="hy-AM"/>
              </w:rPr>
              <w:t xml:space="preserve"> քրեական դատավարության օրենսգրքի նախագծի 353-րդ հոդվածի 2-րդ մասի համաձայն' փաստաբան չհանդիսացող մասնավոր մասնակիցները վճռաբեկ դատարան վերանայման բողոք բերելու իրավունք ունեն միայն փաստաբանի միջոցով: ՀՀ քրեական դատավարության օրենսգրքի նախագծի 386-րդ հոդվածի 1-ին մասի համաձայն' Վճռաբեկ դատարանը բողոքն ընդունում է վարույթ, եթե գալիս է հետևության, որ վերաքննիչ դատարանի կողմից առերևույթ թույլ է տրվել դատական սխալ կամ առերևույթ առկա է բողոքարկվող դատական ակտը ոչ իրավաչափ դարձնող որևէ փաստական կամ իրավական հանգամանք, և միաժամանակ բողոքում բարձրացված հարցի վերաբերյալ վճռաբեկ դատարանի որոշումը կարող է էական նշանակություն ունենալ օրենքի միատեսակ կիրառության համար, կամ առերևույթ ի հայտ է եկել որևէ լուրջ փաստական կամ իրավական հանգամանք կամ առերևույթ թույլ է տրվել լուրջ դատական սխալ, որն ազդել է վարույթի ելքի վրա:</w:t>
            </w:r>
            <w:bookmarkEnd w:id="7"/>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Ըստ ՀՀ Սահմանադրության 61-րդ հոդվածի' Յուրաքանչյուր ոք ունի իր իրավունքների և ազատությունների արդյունավետ դատական պաշտպանության իրավունք:</w:t>
            </w:r>
            <w:r w:rsidRPr="00EE6221">
              <w:rPr>
                <w:rFonts w:ascii="GHEA Grapalat" w:eastAsia="GHEA Grapalat" w:hAnsi="GHEA Grapalat" w:cs="GHEA Grapalat"/>
                <w:iCs/>
                <w:sz w:val="24"/>
                <w:szCs w:val="24"/>
                <w:lang w:val="hy-AM" w:bidi="hy-AM"/>
              </w:rPr>
              <w:tab/>
              <w:t>Յուրաքանչյուր ոք, Հայաստանի Հանրապետության միջազգային</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պայմանագրերին համապատասխան, ունի իր իրավունքների և ազատությունների պաշտպանության խնդրով մարդու իրավունքների և ազատությունների պաշտպանության միջազգային մարմիններ դիմելու իրավունք:</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Սահմանադրական դատարանը դեռևս 2008 թ. քննել է ՀՀ վճռաբեկ դատարանում</w:t>
            </w:r>
            <w:r w:rsidR="00171574"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հավատարմագրված</w:t>
            </w:r>
            <w:r w:rsidRPr="00EE6221">
              <w:rPr>
                <w:rFonts w:ascii="GHEA Grapalat" w:eastAsia="GHEA Grapalat" w:hAnsi="GHEA Grapalat" w:cs="GHEA Grapalat"/>
                <w:iCs/>
                <w:sz w:val="24"/>
                <w:szCs w:val="24"/>
                <w:lang w:val="hy-AM" w:bidi="hy-AM"/>
              </w:rPr>
              <w:tab/>
            </w:r>
            <w:r w:rsidR="00C91081" w:rsidRPr="00EE6221">
              <w:rPr>
                <w:rFonts w:ascii="GHEA Grapalat" w:eastAsia="GHEA Grapalat" w:hAnsi="GHEA Grapalat" w:cs="GHEA Grapalat"/>
                <w:iCs/>
                <w:sz w:val="24"/>
                <w:szCs w:val="24"/>
                <w:lang w:val="hy-AM" w:bidi="hy-AM"/>
              </w:rPr>
              <w:t xml:space="preserve">փաստաբան </w:t>
            </w:r>
            <w:r w:rsidRPr="00EE6221">
              <w:rPr>
                <w:rFonts w:ascii="GHEA Grapalat" w:eastAsia="GHEA Grapalat" w:hAnsi="GHEA Grapalat" w:cs="GHEA Grapalat"/>
                <w:iCs/>
                <w:sz w:val="24"/>
                <w:szCs w:val="24"/>
                <w:lang w:val="hy-AM" w:bidi="hy-AM"/>
              </w:rPr>
              <w:t>ինստիտուտի</w:t>
            </w:r>
          </w:p>
          <w:p w:rsidR="007448CB" w:rsidRPr="00EE6221" w:rsidRDefault="007448CB"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սահմանադրականության փաստը: Չնայած տվյալ դեպքում առկա է եղել Վճռաբեկ դատարան բողոք ներկայացնելու վերաբերյալ լրացուցիչ խոչընդոտ' փաստաբանների</w:t>
            </w:r>
            <w:r w:rsidR="0008507D" w:rsidRPr="00EE6221">
              <w:rPr>
                <w:rFonts w:ascii="GHEA Grapalat" w:eastAsia="GHEA Grapalat" w:hAnsi="GHEA Grapalat" w:cs="GHEA Grapalat"/>
                <w:iCs/>
                <w:sz w:val="24"/>
                <w:szCs w:val="24"/>
                <w:lang w:val="hy-AM" w:bidi="hy-AM"/>
              </w:rPr>
              <w:t xml:space="preserve"> հավատարմագրման ինստիտուտը, սակայն միևնույն ժամանակ Սահմանադրական դատարանի կողմից կայացված որոշման մեջ արտահայտված դիրքորոշումը և խնդրի իրավական վերլուծությունը կարևոր հիմք կարող է հանդիսանալ սույն խնդրի տեսանկյունից ևս: Մասնավորապես' Սահմանադրական դատարանը արձանագրել է, որ պայմանավորված Վճռաբեկ դատարանի գործնական առանձնահատկություններով' փաստաբանի միջոցով Վճռաբեկ դատարան դիմելու պահանջը կարող է իրավաչափ համարվել, եթե բխում է ֆիզիկական և իրավաբանական անձանց շահերից' ներկայացուցչությունն իրականացնելով արհեստավարժ և փորձառու մասնագետի միջոցով: Միևնույն ժամանակ Սահմանադրական դատարանի կողմից ընդգծվել է, որ փաստաբանի միջոցով վճռաբեկ դատարան դիմելու ինստիտուտը' որպես այլընտրանքային տարբերակ, իրավաչափ կարող է համարվել միայն այն դեպքում, երբ օրենսդրությունը փաստաբանի ծառայությունից օգտվելու հնարավորությունը երաշխավորի յուրաքանչյուրի համար' անկախ տվյալ անձի ֆինանսական հնարավորություններից:</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Անդրեեվն ընդդեմ Էստոնիայի գործով Եվրոպական դատարանի կողմից կայացված վճռում Դատարանը հերթական անգամ արձանագրել է, որ Կոնվենցիան չի պարտադրում Պետություններին հիմնել վերաքննիչ կամ վճռաբեկ դատարան: Ամեն դեպքում այն երկրներում, որտեղ նման դատարաններ գոյություն ունեն Եվրոպական կոնվենցիայի 6-րդ հոդվածով սահմանված երաշխիքները պետք է պահպանվեն: Դատարանը նույն գործով նաև նշել է, որ չնայած դատական պաշտպանության իրավունքը, որի մասն է հանդիսանում դատարանի մատչելիության իրավունքը, բացառիկ չէ... Այնուամենայնիվ սահմանափակումները չպետք է սահմանափակեն կամ նվազեցնեն անձի համար դատարանի մատչելիությունը այն կերպ կամ այն աստիճանի, որ վնասվի իրավունքի բուն էությունը: Ավելին, նման սահմանափակումները կարող են տեղին լինել, եթե նրանք հետապնդում են իրավաչափ նպատակ և կիրառվող միջոցներն ու հետապնդվող նպատակը ողջամտորեն համաչափ են:</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Սիալկովսկան ընդդեմ Լեհաստանի գործով Եվրոպական դատարանը կարծիք էհայտնել, որ գործի հանգամանքները, իրենց ամբողջության լույսի ներքո դիտարկելով կարելի է արձանագրել, որ դիմումատուն դրված է եղել այնպիսի դրության մեջ, որ իրավաբանական օժանդակության համակարգի շրջանակներում սահմանված իրավաբանական օգնության միջոցով ապահովված «կոնկրետ և արդյունավետ կերպով» դատարանի մատչելիությունից օգտվելու ջանքերը ձախողվել են: Անհրաժեշտ է նշել, որ դիմումատուն եղել է քաղաքացիական գործով հայցվոր: Նա հնարավորություն չի ունեցել դիմել ներպետական Բարձրագույն դատարան, որտեղ իրավական ներկայացուցչությունը եղել է պարտադիր, այն պատճառով, որ անվճար իրավաբանական օգնության շրջանակներում նշանակված իրավաբանը մերժել է Բարձրագույն դատարան բողոք ներկայացնել, քանի որ չէր տեսել դատական այդ ատյանում հաջողության հասնելու որևէ ողջամիտ հեռանկար, միևնույն ժամանակ նրա հրաժարվելու արդյունքում, դիմումատուն չի ունեցել բավարար ժամանակ այլ իրավաբանի դիմելու համար:</w:t>
            </w:r>
            <w:r w:rsidRPr="00EE6221">
              <w:rPr>
                <w:rFonts w:ascii="GHEA Grapalat" w:eastAsia="GHEA Grapalat" w:hAnsi="GHEA Grapalat" w:cs="GHEA Grapalat"/>
                <w:iCs/>
                <w:sz w:val="24"/>
                <w:szCs w:val="24"/>
                <w:lang w:val="hy-AM" w:bidi="hy-AM"/>
              </w:rPr>
              <w:tab/>
              <w:t>Տվյալ գործով Եվրոպական դատարանը նաև</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արձանագրել է, որ Պետության պարտականությունն է ապահովել պատշաճ հավասարակշռություն արդարադատության արդյունավետ մատչելիության և իրավաբանի մասնագիտական անկախության միջև:</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Լամաձայն «Փաստաբանության մասին» ՀՀ օրենքի 6-րդ հոդվածի 4-րդ մասի' Պետությունը երաշխավորում է անվճար իրավաբանական օգնությունը սույն օրենքի 41-րդ հոդվածով նախատեսված անձանց' նույն հոդվածով նախատեսված դեպքերում և կարգով: Իսկ համաձայն 7-րդ հոդվածի 2-րդ մասի 6-րդ կետի' Փաստաբանների պալատի խնդիրն է «Փաստաբանության մասին» ՀՀ օրենքով նախատեսված դեպքերում յուրաքանչյուրի համար հավասարապես ապահովել մատչելի և արդյունավետ անվճար իրավաբանական օգնություն ստանալու իրավունքի իրականացումը: Փաստաբանների կողմից անվճար իրավաբանական օգնության իրավունքի ապահովումը իրականացվում է հանրային պաշտպանի միջոցով: Քրեական գործերով անվճար իրավաբանական օգնությունը տրամադրվում է ՀՀ քրեական դատավարության օրենսգրքով նախատեսված դեպքերում կասկածյալին, մեղադրյալին (ըստ նախագծի մեղադրյալին, ինչպես նաև այն վկաներին, որոնք մեկ այլ քրեական վարույթով ներգրավված են որպես մեղադրյալ):</w:t>
            </w:r>
            <w:r w:rsidRPr="00EE6221">
              <w:rPr>
                <w:rFonts w:ascii="GHEA Grapalat" w:eastAsia="GHEA Grapalat" w:hAnsi="GHEA Grapalat" w:cs="GHEA Grapalat"/>
                <w:iCs/>
                <w:sz w:val="24"/>
                <w:szCs w:val="24"/>
                <w:lang w:val="hy-AM" w:bidi="hy-AM"/>
              </w:rPr>
              <w:tab/>
              <w:t>Քրեական վարույթի մյուս մասնավոր</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մասնակիցները' տուժողը, գույքային պատասխանողը, նրանց օրինական ներկայացուցիչները և լիազոր ներկայացուցիչները օգտվում են անվճար իրավաբանական օգնություն ստանալու իրավունքից «Փաստաբանության մասին» ՀՀ օրենքի 41-րդ հոդվածի 5-րդ մասով սահմանված դեպքերում:</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«Փաստաբանության մասին» ՀՀ օրենքով սահմանված են նաև սահմանափակումներ, մասնավորապես սահմանված է, որ իրավաբանական օգնություն ցույց չի կարող տրվել վերը նշված անձանց («Փաստաբանության մասին» ՀՀ օրենքի 41-րդ հոդվածի 5-րդ մասում սահմանված) ձեռնարկատիրական բնույթի գործերով (ներառյալ' կորպորատիվ վեճերով), նվազագույն աշխատավարձի հազարապատիկը գերազանցող գույքային (գումարի) պահանջով գործերով, բացառությամբ այն գործերի, որտեղ անձը հանդես է գալիս որպես պատասխանող կամ պատասխանողի կողմում հանդես եկող երրորդ անձ, եթե առկա են դիմող անձի անվճարունակությունը ժխտող փաստական հավաստի տվյալներ:</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Օրենսդրի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կողմից</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սահմանվել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իրավաբանական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օգնություն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ստանալու</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իրավունք</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ունեցող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անձանց</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բավականին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լայն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շրջանակ</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Եթե</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հաշվի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չառնենք</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առանձին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խմբերի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ցանկերը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ևանդրադառանքան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վճարունակության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հիմքով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անձին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իրավաբանական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օգնության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տրամադրման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իրավունքին</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սահմանված</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իրավաբանական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օգնությունը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տրամադրվում</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անվճարունակ</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ֆիզիկական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անձանց</w:t>
            </w:r>
            <w:r w:rsidRPr="00EE6221">
              <w:rPr>
                <w:rFonts w:ascii="GHEA Grapalat" w:hAnsi="GHEA Grapalat"/>
                <w:sz w:val="24"/>
                <w:szCs w:val="24"/>
                <w:lang w:val="hy-AM" w:bidi="hy-AM"/>
              </w:rPr>
              <w:t>,</w:t>
            </w:r>
            <w:r w:rsidR="00171574" w:rsidRPr="00EE6221">
              <w:rPr>
                <w:rFonts w:ascii="GHEA Grapalat" w:hAnsi="GHEA Grapalat"/>
                <w:sz w:val="24"/>
                <w:szCs w:val="24"/>
                <w:lang w:val="hy-AM" w:bidi="hy-AM"/>
              </w:rPr>
              <w:t xml:space="preserve"> </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որոնք</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իրենց</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անվճարունակությունը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հաստատող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հավաստի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տվյալներ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են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ներկայացնում</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Սույն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կետի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իմաստով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անվճարունակ</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համարվում</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ֆիզիկական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անձը</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չունի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բավարար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եկամուտ</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համատեղ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բնակվող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աշխատող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ընտանիքի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անդամ</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ինչպես</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նաև</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բացի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բնակարանից</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որպես</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սեփականություն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չունի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այլ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անշարժ</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գույք</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կամ</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նվազագույն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աշխատավարձի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հազարապատիկը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գերազանցող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արժեքի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փոխադրամիջոց</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Տվյալ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դրույթը</w:t>
            </w:r>
            <w:r w:rsidRPr="00EE6221">
              <w:rPr>
                <w:rFonts w:ascii="GHEA Grapalat" w:hAnsi="GHEA Grapalat"/>
                <w:sz w:val="24"/>
                <w:szCs w:val="24"/>
                <w:lang w:val="hy-AM" w:bidi="hy-AM"/>
              </w:rPr>
              <w:t>,</w:t>
            </w:r>
          </w:p>
          <w:p w:rsidR="00A02449" w:rsidRPr="00EE6221" w:rsidRDefault="00171574"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Տ</w:t>
            </w:r>
            <w:r w:rsidR="00A02449" w:rsidRPr="00EE6221">
              <w:rPr>
                <w:rFonts w:ascii="GHEA Grapalat" w:hAnsi="GHEA Grapalat" w:cs="Sylfaen"/>
                <w:sz w:val="24"/>
                <w:szCs w:val="24"/>
                <w:lang w:val="hy-AM" w:bidi="hy-AM"/>
              </w:rPr>
              <w:t>եսականորեն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կարող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տեղիք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տալ</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տարաբնույթ</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մեկնաբանությունների</w:t>
            </w:r>
            <w:r w:rsidR="003F293A" w:rsidRPr="00EE6221">
              <w:rPr>
                <w:rFonts w:ascii="GHEA Grapalat" w:hAnsi="GHEA Grapalat"/>
                <w:sz w:val="24"/>
                <w:szCs w:val="24"/>
                <w:lang w:val="hy-AM" w:bidi="hy-AM"/>
              </w:rPr>
              <w:t>՝</w:t>
            </w:r>
            <w:r w:rsidRPr="00EE6221">
              <w:rPr>
                <w:rFonts w:ascii="GHEA Grapalat" w:hAnsi="GHEA Grapalat"/>
                <w:sz w:val="24"/>
                <w:szCs w:val="24"/>
                <w:lang w:val="hy-AM" w:bidi="hy-AM"/>
              </w:rPr>
              <w:t xml:space="preserve"> </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մասնավորապես</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հարց</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առաջանում</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թե</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ինչպես</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մեկնաբանվի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բավարար</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եկամուտ</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արտահայտությունը</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համատեղ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բնակվող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ընտանիքի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անդամի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աշխատանքի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առկայությունը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և</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դրա</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արդյունքում</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ստացված</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եկամուտը</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աշխատավարձը</w:t>
            </w:r>
            <w:r w:rsidR="00A02449" w:rsidRPr="00EE6221">
              <w:rPr>
                <w:rFonts w:ascii="GHEA Grapalat" w:hAnsi="GHEA Grapalat"/>
                <w:sz w:val="24"/>
                <w:szCs w:val="24"/>
                <w:lang w:val="hy-AM" w:bidi="hy-AM"/>
              </w:rPr>
              <w:t>/</w:t>
            </w:r>
            <w:r w:rsidRPr="00EE6221">
              <w:rPr>
                <w:rFonts w:ascii="GHEA Grapalat" w:hAnsi="GHEA Grapalat"/>
                <w:sz w:val="24"/>
                <w:szCs w:val="24"/>
                <w:lang w:val="hy-AM" w:bidi="hy-AM"/>
              </w:rPr>
              <w:t xml:space="preserve"> </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դրական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ինչ</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ազդեցություն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կարող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ունենալ</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տվյալ</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անձի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ֆինանսական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վիճակի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վրա</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և</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արդյոք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այն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դեպքում</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երբ</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այլ</w:t>
            </w:r>
            <w:r w:rsidR="003F293A"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անշարժ</w:t>
            </w:r>
            <w:r w:rsidR="003F293A"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գույքը</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կամ</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նվազագույն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աշխատավարձի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հազարապատիկը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գերազանցող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արժեքի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փոխադրամիջոցը</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հանդիսանում</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վեճի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առարկա</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դրանք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հաշվի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առնվեն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որպես</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անձի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անվճարունակությունը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ժխտող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հանգամանք</w:t>
            </w:r>
            <w:r w:rsidR="00A02449" w:rsidRPr="00EE6221">
              <w:rPr>
                <w:rFonts w:ascii="GHEA Grapalat" w:hAnsi="GHEA Grapalat"/>
                <w:sz w:val="24"/>
                <w:szCs w:val="24"/>
                <w:lang w:val="hy-AM" w:bidi="hy-AM"/>
              </w:rPr>
              <w:t>:</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Բացի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այդ</w:t>
            </w:r>
            <w:r w:rsidRPr="00EE6221">
              <w:rPr>
                <w:rFonts w:ascii="GHEA Grapalat" w:hAnsi="GHEA Grapalat"/>
                <w:sz w:val="24"/>
                <w:szCs w:val="24"/>
                <w:lang w:val="hy-AM" w:bidi="hy-AM"/>
              </w:rPr>
              <w:t>, «</w:t>
            </w:r>
            <w:r w:rsidRPr="00EE6221">
              <w:rPr>
                <w:rFonts w:ascii="GHEA Grapalat" w:hAnsi="GHEA Grapalat" w:cs="Sylfaen"/>
                <w:sz w:val="24"/>
                <w:szCs w:val="24"/>
                <w:lang w:val="hy-AM" w:bidi="hy-AM"/>
              </w:rPr>
              <w:t>Փաստաբանության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մասին</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ՀՀ</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օրենքով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սահմանված</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ևս</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մեկ</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իմպերատի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վդրույթ</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այն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որ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անձին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կարող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տրամադրվել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իրավաբանական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օգնություն</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նվազագույնա</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շխատավարձի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հազարապատիկը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գերազանցող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գույքային</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գումարի</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պահանջով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գործերով</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Այնինչ</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գործով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պահանջը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չիկարող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վկայել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անվճարունակության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կամ</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վճարունակության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մասին</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քանզի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կարող</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են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լինել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այնպիսի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դեպքեր</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երբ</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գույքը</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վերաբերյալ</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ներկայացված</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պահանջ</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լինի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միակ</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գույքը</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արժեքը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կգերազանցի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օրենսդրի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կողմիցն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շված</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նվազագույն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շեմը</w:t>
            </w:r>
            <w:r w:rsidRPr="00EE6221">
              <w:rPr>
                <w:rFonts w:ascii="GHEA Grapalat" w:hAnsi="GHEA Grapalat"/>
                <w:sz w:val="24"/>
                <w:szCs w:val="24"/>
                <w:lang w:val="hy-AM" w:bidi="hy-AM"/>
              </w:rPr>
              <w:t>:</w:t>
            </w:r>
          </w:p>
          <w:p w:rsidR="00A02449" w:rsidRPr="00EE6221" w:rsidRDefault="00A02449" w:rsidP="002B3679">
            <w:pPr>
              <w:spacing w:after="0"/>
              <w:jc w:val="both"/>
              <w:rPr>
                <w:rFonts w:ascii="GHEA Grapalat" w:hAnsi="GHEA Grapalat" w:cs="Sylfaen"/>
                <w:sz w:val="24"/>
                <w:szCs w:val="24"/>
                <w:lang w:val="hy-AM" w:bidi="hy-AM"/>
              </w:rPr>
            </w:pPr>
            <w:r w:rsidRPr="00EE6221">
              <w:rPr>
                <w:rFonts w:ascii="GHEA Grapalat" w:hAnsi="GHEA Grapalat" w:cs="Sylfaen"/>
                <w:sz w:val="24"/>
                <w:szCs w:val="24"/>
                <w:lang w:val="hy-AM" w:bidi="hy-AM"/>
              </w:rPr>
              <w:t>Ելնելով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վերոգրյալից</w:t>
            </w:r>
            <w:r w:rsidR="003F293A" w:rsidRPr="00EE6221">
              <w:rPr>
                <w:rFonts w:ascii="GHEA Grapalat" w:hAnsi="GHEA Grapalat"/>
                <w:sz w:val="24"/>
                <w:szCs w:val="24"/>
                <w:lang w:val="hy-AM" w:bidi="hy-AM"/>
              </w:rPr>
              <w:t>՝</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կարելի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եզրակացնել</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անձի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անվճարունակությունը</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հաստատելու</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համար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օրենսդրի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կողմից</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սահմանված</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չափազանց</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բարձր</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շեմ</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և</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վճարովի</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հիմունքներով</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իրավաբանական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օգնության</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դիմելու</w:t>
            </w:r>
            <w:r w:rsidR="00171574"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հնարավորություն չունեցող անձը կարող է նաև չհամապատասխանել նշված չափանիշներին: Տվյալ պարագայում անձը, զրկված լինելով նաև անձամբ դատարան բողոք ներակայացնելու հնարավորությունից, փաստացի կզրկվի դատարանի մատչելիության իրավունքից:</w:t>
            </w:r>
          </w:p>
          <w:p w:rsidR="00A02449" w:rsidRPr="00EE6221" w:rsidRDefault="00A02449" w:rsidP="002B3679">
            <w:pPr>
              <w:spacing w:after="0"/>
              <w:jc w:val="both"/>
              <w:rPr>
                <w:rFonts w:ascii="GHEA Grapalat" w:hAnsi="GHEA Grapalat" w:cs="Sylfaen"/>
                <w:sz w:val="24"/>
                <w:szCs w:val="24"/>
                <w:lang w:val="hy-AM" w:bidi="hy-AM"/>
              </w:rPr>
            </w:pPr>
            <w:r w:rsidRPr="00EE6221">
              <w:rPr>
                <w:rFonts w:ascii="GHEA Grapalat" w:hAnsi="GHEA Grapalat" w:cs="Sylfaen"/>
                <w:sz w:val="24"/>
                <w:szCs w:val="24"/>
                <w:lang w:val="hy-AM" w:bidi="hy-AM"/>
              </w:rPr>
              <w:t>«Փաստաբանության մասին» ՀՀ օրենքի 20-րդ հոդվածի 4-րդ մասով սահմանված է, որ փաստաբանն իրավունք ունի հրաժարվելու վստահորդի նկատմամբ իր ստանձնած պարտավորությունից միայն նույն օրենքով, ինչպես նաև վստահորդի հետ կնքված պայմանագրով նախատեսված դեպքերում:</w:t>
            </w:r>
          </w:p>
          <w:p w:rsidR="00A02449" w:rsidRPr="00EE6221" w:rsidRDefault="00A02449" w:rsidP="002B3679">
            <w:pPr>
              <w:spacing w:after="0"/>
              <w:jc w:val="both"/>
              <w:rPr>
                <w:rFonts w:ascii="GHEA Grapalat" w:hAnsi="GHEA Grapalat" w:cs="Sylfaen"/>
                <w:sz w:val="24"/>
                <w:szCs w:val="24"/>
                <w:lang w:val="hy-AM" w:bidi="hy-AM"/>
              </w:rPr>
            </w:pPr>
            <w:r w:rsidRPr="00EE6221">
              <w:rPr>
                <w:rFonts w:ascii="GHEA Grapalat" w:hAnsi="GHEA Grapalat" w:cs="Sylfaen"/>
                <w:sz w:val="24"/>
                <w:szCs w:val="24"/>
                <w:lang w:val="hy-AM" w:bidi="hy-AM"/>
              </w:rPr>
              <w:t>Օրենսդրությամբ սահմանված են դեպքեր, երբ փաստաբանը պարտավոր է հրաժարվել իրավաբանական օգնություն ցույց տալու հանձնարարությունը ստանձնելուց: Միևնույն ժամանակ օրենսդրությամբ սահմանված չեն երաշխիքներ, որոնք կապահովեին, որ յուրաքանչյուր դեպքում, երբ անձը կդիմի հանրային պաշտպանին անվճար իրավաբանական օգնության տրամադրման շրջանակներում վճռաբեկ բողոք պատրաստելու համար, չի ստանա մերժում' այդ բողոքը ուղարկելու աննպատակահարմարությունից ելնելով, այն բավարար հիմնավոր չլինելու պատճառով կամ այլ պատճառներով:</w:t>
            </w:r>
          </w:p>
          <w:p w:rsidR="00A02449" w:rsidRPr="00EE6221" w:rsidRDefault="00A02449" w:rsidP="002B3679">
            <w:pPr>
              <w:spacing w:after="0"/>
              <w:jc w:val="both"/>
              <w:rPr>
                <w:rFonts w:ascii="GHEA Grapalat" w:hAnsi="GHEA Grapalat"/>
                <w:b/>
                <w:bCs/>
                <w:i/>
                <w:iCs/>
                <w:sz w:val="24"/>
                <w:szCs w:val="24"/>
                <w:lang w:val="hy-AM" w:bidi="hy-AM"/>
              </w:rPr>
            </w:pPr>
            <w:r w:rsidRPr="00EE6221">
              <w:rPr>
                <w:rFonts w:ascii="GHEA Grapalat" w:hAnsi="GHEA Grapalat" w:cs="Sylfaen"/>
                <w:b/>
                <w:bCs/>
                <w:i/>
                <w:iCs/>
                <w:sz w:val="24"/>
                <w:szCs w:val="24"/>
                <w:lang w:val="hy-AM" w:bidi="hy-AM"/>
              </w:rPr>
              <w:t>Հարց</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է</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առաջանում</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թե</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արդյուք</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յուրաքանչյուր</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դեպքում</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երբ</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անձը</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ցանկություն</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կունենա</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դիմել</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ՀՀ</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վճռաբեկ</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դատարան</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նրա</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այդ</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իրավունքը</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չի</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սահմանափակվի</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միայն</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այն</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պատճառով</w:t>
            </w:r>
            <w:r w:rsidRPr="00EE6221">
              <w:rPr>
                <w:rFonts w:ascii="GHEA Grapalat" w:hAnsi="GHEA Grapalat"/>
                <w:b/>
                <w:bCs/>
                <w:i/>
                <w:iCs/>
                <w:sz w:val="24"/>
                <w:szCs w:val="24"/>
                <w:lang w:val="hy-AM" w:bidi="hy-AM"/>
              </w:rPr>
              <w:t xml:space="preserve">, </w:t>
            </w:r>
            <w:r w:rsidRPr="00EE6221">
              <w:rPr>
                <w:rFonts w:ascii="GHEA Grapalat" w:hAnsi="GHEA Grapalat" w:cs="Sylfaen"/>
                <w:b/>
                <w:bCs/>
                <w:i/>
                <w:iCs/>
                <w:sz w:val="24"/>
                <w:szCs w:val="24"/>
                <w:lang w:val="hy-AM" w:bidi="hy-AM"/>
              </w:rPr>
              <w:t>որ</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նա</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պարտավորված</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է</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բոդոք</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ներկայացնել</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միջնորդավորված</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կերպով</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և</w:t>
            </w:r>
            <w:r w:rsidR="0035214B" w:rsidRPr="00EE6221">
              <w:rPr>
                <w:rFonts w:ascii="GHEA Grapalat" w:hAnsi="GHEA Grapalat" w:cs="Sylfaen"/>
                <w:b/>
                <w:bCs/>
                <w:i/>
                <w:iCs/>
                <w:sz w:val="24"/>
                <w:szCs w:val="24"/>
                <w:lang w:val="hy-AM" w:bidi="hy-AM"/>
              </w:rPr>
              <w:t xml:space="preserve"> որ իր </w:t>
            </w:r>
            <w:r w:rsidRPr="00EE6221">
              <w:rPr>
                <w:rFonts w:ascii="GHEA Grapalat" w:hAnsi="GHEA Grapalat" w:cs="Sylfaen"/>
                <w:b/>
                <w:bCs/>
                <w:i/>
                <w:iCs/>
                <w:sz w:val="24"/>
                <w:szCs w:val="24"/>
                <w:lang w:val="hy-AM" w:bidi="hy-AM"/>
              </w:rPr>
              <w:t>այդ</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իրավունքի</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իրացումը</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կախված</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է</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նաև</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երրորդ</w:t>
            </w:r>
            <w:r w:rsidR="0035214B" w:rsidRPr="00EE6221">
              <w:rPr>
                <w:rFonts w:ascii="GHEA Grapalat" w:hAnsi="GHEA Grapalat" w:cs="Sylfaen"/>
                <w:b/>
                <w:bCs/>
                <w:i/>
                <w:iCs/>
                <w:sz w:val="24"/>
                <w:szCs w:val="24"/>
                <w:lang w:val="hy-AM" w:bidi="hy-AM"/>
              </w:rPr>
              <w:t xml:space="preserve"> </w:t>
            </w:r>
            <w:r w:rsidRPr="00EE6221">
              <w:rPr>
                <w:rFonts w:ascii="GHEA Grapalat" w:hAnsi="GHEA Grapalat" w:cs="Sylfaen"/>
                <w:b/>
                <w:bCs/>
                <w:i/>
                <w:iCs/>
                <w:sz w:val="24"/>
                <w:szCs w:val="24"/>
                <w:lang w:val="hy-AM" w:bidi="hy-AM"/>
              </w:rPr>
              <w:t>անձանցից</w:t>
            </w:r>
            <w:r w:rsidRPr="00EE6221">
              <w:rPr>
                <w:rFonts w:ascii="GHEA Grapalat" w:hAnsi="GHEA Grapalat"/>
                <w:b/>
                <w:bCs/>
                <w:i/>
                <w:iCs/>
                <w:sz w:val="24"/>
                <w:szCs w:val="24"/>
                <w:lang w:val="hy-AM" w:bidi="hy-AM"/>
              </w:rPr>
              <w:t>:</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Այսպիսով</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վճռաբեկ</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բողոքը</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փաստաբանի</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միջոցով</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ներկայացնելու</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վերաբերյալ</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դրույթը</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սահմանելիս</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անհրաժեշտ</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է</w:t>
            </w:r>
            <w:r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որպեսզի</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ապահովվեն</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հետևյալ</w:t>
            </w:r>
            <w:r w:rsidR="0035214B" w:rsidRPr="00EE6221">
              <w:rPr>
                <w:rFonts w:ascii="GHEA Grapalat" w:hAnsi="GHEA Grapalat" w:cs="Sylfaen"/>
                <w:sz w:val="24"/>
                <w:szCs w:val="24"/>
                <w:lang w:val="hy-AM" w:bidi="hy-AM"/>
              </w:rPr>
              <w:t xml:space="preserve"> </w:t>
            </w:r>
            <w:r w:rsidRPr="00EE6221">
              <w:rPr>
                <w:rFonts w:ascii="GHEA Grapalat" w:hAnsi="GHEA Grapalat" w:cs="Sylfaen"/>
                <w:sz w:val="24"/>
                <w:szCs w:val="24"/>
                <w:lang w:val="hy-AM" w:bidi="hy-AM"/>
              </w:rPr>
              <w:t>երաշխիքները</w:t>
            </w:r>
            <w:r w:rsidRPr="00EE6221">
              <w:rPr>
                <w:rFonts w:ascii="GHEA Grapalat" w:hAnsi="GHEA Grapalat"/>
                <w:sz w:val="24"/>
                <w:szCs w:val="24"/>
                <w:lang w:val="hy-AM" w:bidi="hy-AM"/>
              </w:rPr>
              <w:t>'</w:t>
            </w:r>
          </w:p>
          <w:p w:rsidR="00A02449" w:rsidRPr="00EE6221" w:rsidRDefault="0035214B"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Ն</w:t>
            </w:r>
            <w:r w:rsidR="00A02449" w:rsidRPr="00EE6221">
              <w:rPr>
                <w:rFonts w:ascii="GHEA Grapalat" w:hAnsi="GHEA Grapalat" w:cs="Sylfaen"/>
                <w:sz w:val="24"/>
                <w:szCs w:val="24"/>
                <w:lang w:val="hy-AM" w:bidi="hy-AM"/>
              </w:rPr>
              <w:t>ման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միջոցը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հետապնդի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իրավաչափ</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նպատակ</w:t>
            </w:r>
            <w:r w:rsidR="00A02449" w:rsidRPr="00EE6221">
              <w:rPr>
                <w:rFonts w:ascii="GHEA Grapalat" w:hAnsi="GHEA Grapalat"/>
                <w:sz w:val="24"/>
                <w:szCs w:val="24"/>
                <w:lang w:val="hy-AM" w:bidi="hy-AM"/>
              </w:rPr>
              <w:t>,</w:t>
            </w:r>
            <w:r w:rsidR="00A37DDC" w:rsidRPr="00EE6221">
              <w:rPr>
                <w:rFonts w:ascii="GHEA Grapalat" w:hAnsi="GHEA Grapalat"/>
                <w:sz w:val="24"/>
                <w:szCs w:val="24"/>
                <w:lang w:val="hy-AM" w:bidi="hy-AM"/>
              </w:rPr>
              <w:t xml:space="preserve"> </w:t>
            </w:r>
            <w:r w:rsidRPr="00EE6221">
              <w:rPr>
                <w:rFonts w:ascii="GHEA Grapalat" w:hAnsi="GHEA Grapalat" w:cs="Sylfaen"/>
                <w:sz w:val="24"/>
                <w:szCs w:val="24"/>
                <w:lang w:val="hy-AM" w:bidi="hy-AM"/>
              </w:rPr>
              <w:t>Ս</w:t>
            </w:r>
            <w:r w:rsidR="00A02449" w:rsidRPr="00EE6221">
              <w:rPr>
                <w:rFonts w:ascii="GHEA Grapalat" w:hAnsi="GHEA Grapalat" w:cs="Sylfaen"/>
                <w:sz w:val="24"/>
                <w:szCs w:val="24"/>
                <w:lang w:val="hy-AM" w:bidi="hy-AM"/>
              </w:rPr>
              <w:t>ահմանափակումները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չպետք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սահմանափակեն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կամ</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նվազեցնեն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անձի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համար</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դատարանի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մատչելիությունը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այն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կերպ</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կամ</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այն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աստիճանի</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որ</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վնասվի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իրավունքի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բուն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էությունը</w:t>
            </w:r>
            <w:r w:rsidR="00A02449" w:rsidRPr="00EE6221">
              <w:rPr>
                <w:rFonts w:ascii="GHEA Grapalat" w:hAnsi="GHEA Grapalat"/>
                <w:sz w:val="24"/>
                <w:szCs w:val="24"/>
                <w:lang w:val="hy-AM" w:bidi="hy-AM"/>
              </w:rPr>
              <w:t>,</w:t>
            </w:r>
          </w:p>
          <w:p w:rsidR="00A02449" w:rsidRPr="00EE6221" w:rsidRDefault="0035214B"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Կ</w:t>
            </w:r>
            <w:r w:rsidR="00A02449" w:rsidRPr="00EE6221">
              <w:rPr>
                <w:rFonts w:ascii="GHEA Grapalat" w:hAnsi="GHEA Grapalat" w:cs="Sylfaen"/>
                <w:sz w:val="24"/>
                <w:szCs w:val="24"/>
                <w:lang w:val="hy-AM" w:bidi="hy-AM"/>
              </w:rPr>
              <w:t>իրառվող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միջոցները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և</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հետապնդվող</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նպատակը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ողջամտորեն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համաչափլինեն</w:t>
            </w:r>
            <w:r w:rsidR="00A02449" w:rsidRPr="00EE6221">
              <w:rPr>
                <w:rFonts w:ascii="GHEA Grapalat" w:hAnsi="GHEA Grapalat"/>
                <w:sz w:val="24"/>
                <w:szCs w:val="24"/>
                <w:lang w:val="hy-AM" w:bidi="hy-AM"/>
              </w:rPr>
              <w:t>,</w:t>
            </w:r>
          </w:p>
          <w:p w:rsidR="00A02449" w:rsidRPr="00EE6221" w:rsidRDefault="0035214B"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Փ</w:t>
            </w:r>
            <w:r w:rsidR="00A02449" w:rsidRPr="00EE6221">
              <w:rPr>
                <w:rFonts w:ascii="GHEA Grapalat" w:hAnsi="GHEA Grapalat" w:cs="Sylfaen"/>
                <w:sz w:val="24"/>
                <w:szCs w:val="24"/>
                <w:lang w:val="hy-AM" w:bidi="hy-AM"/>
              </w:rPr>
              <w:t>աստաբանի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ծառայությունից</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օգտվելու</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հնարավորությունը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երաշխավորված</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լինի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յուրաքանչյուրի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համար</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անկախ</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տվյալ</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անձի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ֆինանսական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հնարավորություններից</w:t>
            </w:r>
            <w:r w:rsidR="00A02449" w:rsidRPr="00EE6221">
              <w:rPr>
                <w:rFonts w:ascii="GHEA Grapalat" w:hAnsi="GHEA Grapalat"/>
                <w:sz w:val="24"/>
                <w:szCs w:val="24"/>
                <w:lang w:val="hy-AM" w:bidi="hy-AM"/>
              </w:rPr>
              <w:t>,</w:t>
            </w:r>
          </w:p>
          <w:p w:rsidR="00A02449" w:rsidRPr="00EE6221" w:rsidRDefault="0035214B" w:rsidP="002B3679">
            <w:pPr>
              <w:spacing w:after="0"/>
              <w:jc w:val="both"/>
              <w:rPr>
                <w:rFonts w:ascii="GHEA Grapalat" w:hAnsi="GHEA Grapalat"/>
                <w:sz w:val="24"/>
                <w:szCs w:val="24"/>
                <w:lang w:val="hy-AM" w:bidi="hy-AM"/>
              </w:rPr>
            </w:pPr>
            <w:r w:rsidRPr="00EE6221">
              <w:rPr>
                <w:rFonts w:ascii="GHEA Grapalat" w:hAnsi="GHEA Grapalat" w:cs="Sylfaen"/>
                <w:sz w:val="24"/>
                <w:szCs w:val="24"/>
                <w:lang w:val="hy-AM" w:bidi="hy-AM"/>
              </w:rPr>
              <w:t>Փ</w:t>
            </w:r>
            <w:r w:rsidR="00A02449" w:rsidRPr="00EE6221">
              <w:rPr>
                <w:rFonts w:ascii="GHEA Grapalat" w:hAnsi="GHEA Grapalat" w:cs="Sylfaen"/>
                <w:sz w:val="24"/>
                <w:szCs w:val="24"/>
                <w:lang w:val="hy-AM" w:bidi="hy-AM"/>
              </w:rPr>
              <w:t>աստաբանական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մասնագիտության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անկախության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իրավունքի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իրացման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լույսի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ներքո</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անձը</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չպետք</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է</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փաստացի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զրկվի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դատարանի</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մատչելության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իրավունքից</w:t>
            </w:r>
            <w:r w:rsidR="00A02449" w:rsidRPr="00EE6221">
              <w:rPr>
                <w:rFonts w:ascii="GHEA Grapalat" w:hAnsi="GHEA Grapalat"/>
                <w:sz w:val="24"/>
                <w:szCs w:val="24"/>
                <w:lang w:val="hy-AM" w:bidi="hy-AM"/>
              </w:rPr>
              <w:t xml:space="preserve">' </w:t>
            </w:r>
            <w:r w:rsidR="00A02449" w:rsidRPr="00EE6221">
              <w:rPr>
                <w:rFonts w:ascii="GHEA Grapalat" w:hAnsi="GHEA Grapalat" w:cs="Sylfaen"/>
                <w:sz w:val="24"/>
                <w:szCs w:val="24"/>
                <w:lang w:val="hy-AM" w:bidi="hy-AM"/>
              </w:rPr>
              <w:t>հնարավորություն</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չունենալով</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դիմել</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ՀՀ</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վճռաբեկ</w:t>
            </w:r>
            <w:r w:rsidRPr="00EE6221">
              <w:rPr>
                <w:rFonts w:ascii="GHEA Grapalat" w:hAnsi="GHEA Grapalat" w:cs="Sylfaen"/>
                <w:sz w:val="24"/>
                <w:szCs w:val="24"/>
                <w:lang w:val="hy-AM" w:bidi="hy-AM"/>
              </w:rPr>
              <w:t xml:space="preserve"> </w:t>
            </w:r>
            <w:r w:rsidR="00A02449" w:rsidRPr="00EE6221">
              <w:rPr>
                <w:rFonts w:ascii="GHEA Grapalat" w:hAnsi="GHEA Grapalat" w:cs="Sylfaen"/>
                <w:sz w:val="24"/>
                <w:szCs w:val="24"/>
                <w:lang w:val="hy-AM" w:bidi="hy-AM"/>
              </w:rPr>
              <w:t>դատարան</w:t>
            </w:r>
            <w:r w:rsidR="00A02449" w:rsidRPr="00EE6221">
              <w:rPr>
                <w:rFonts w:ascii="GHEA Grapalat" w:hAnsi="GHEA Grapalat"/>
                <w:sz w:val="24"/>
                <w:szCs w:val="24"/>
                <w:lang w:val="hy-AM" w:bidi="hy-AM"/>
              </w:rPr>
              <w:t>:</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sz w:val="24"/>
                <w:szCs w:val="24"/>
                <w:lang w:val="hy-AM" w:bidi="hy-AM"/>
              </w:rPr>
              <w:t>Ելնելով վերոշարադրյալից' կարելի է եզրակացնել, որ.</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sz w:val="24"/>
                <w:szCs w:val="24"/>
                <w:lang w:val="hy-AM" w:bidi="hy-AM"/>
              </w:rPr>
              <w:t>1. Oրենսդրի կողմից ՀՀ վճռաբեկ դատարան վարույթի' փաստաբան չհանդիսացող մասնավոր մասնակցի կողմից միայն փաստաբանի միջոցով վերանայման բողոք բերելու իրավունք շնորհելը կարող է տեսականորեն հետապնդել այնպիսի օրինաչափ նպատակ, որը կբխի ֆիզիկական և իրավաբանական անձանց շահերից' ներկայացուցչությունն իրականացնելով արհեստավարժ և փորձառու մասնագետի միջոցով: Սակայն միևնույն ժամանակ այս նպատակին հասնելու համար անհրաժեշտ է կիրառել այնպիսի միջոցներ, որոնք վտանգի տակ չեն դնի անձի' արդար դատաքննության իրավունքը, որի մասն է կազմում դատարանի մատչելիության իրավունքը:</w:t>
            </w:r>
          </w:p>
          <w:p w:rsidR="00A02449" w:rsidRPr="00EE6221" w:rsidRDefault="0035214B" w:rsidP="0035214B">
            <w:pPr>
              <w:spacing w:after="0"/>
              <w:jc w:val="both"/>
              <w:rPr>
                <w:rFonts w:ascii="GHEA Grapalat" w:hAnsi="GHEA Grapalat"/>
                <w:sz w:val="24"/>
                <w:szCs w:val="24"/>
                <w:lang w:val="hy-AM" w:bidi="hy-AM"/>
              </w:rPr>
            </w:pPr>
            <w:r w:rsidRPr="00EE6221">
              <w:rPr>
                <w:rFonts w:ascii="GHEA Grapalat" w:hAnsi="GHEA Grapalat"/>
                <w:sz w:val="24"/>
                <w:szCs w:val="24"/>
                <w:lang w:val="hy-AM" w:bidi="hy-AM"/>
              </w:rPr>
              <w:t>2.</w:t>
            </w:r>
            <w:r w:rsidR="00A02449" w:rsidRPr="00EE6221">
              <w:rPr>
                <w:rFonts w:ascii="GHEA Grapalat" w:hAnsi="GHEA Grapalat"/>
                <w:sz w:val="24"/>
                <w:szCs w:val="24"/>
                <w:lang w:val="hy-AM" w:bidi="hy-AM"/>
              </w:rPr>
              <w:t xml:space="preserve"> ՀՀ-ում անվճար իրավաբանական օգնության տրամադրման օրենսդրական մեխանիզմները դեռևս չեն երաշխավորում, որ անձը յուրաքանչյուր դեպքում որևէ կերպ սահմանափակված չի լինի վճռաբեկ դատարան վերանայման բողոք ներկայացնելու իրավունքից, հաշվի առնելով թե ֆինանսական գործոնները, թե փաստաբանի մասնագիտական ակնախության երաշխիքները:</w:t>
            </w:r>
          </w:p>
          <w:p w:rsidR="00A02449" w:rsidRPr="00EE6221" w:rsidRDefault="0035214B" w:rsidP="0035214B">
            <w:pPr>
              <w:spacing w:after="0"/>
              <w:jc w:val="both"/>
              <w:rPr>
                <w:rFonts w:ascii="GHEA Grapalat" w:hAnsi="GHEA Grapalat"/>
                <w:sz w:val="24"/>
                <w:szCs w:val="24"/>
                <w:lang w:val="hy-AM" w:bidi="hy-AM"/>
              </w:rPr>
            </w:pPr>
            <w:r w:rsidRPr="00EE6221">
              <w:rPr>
                <w:rFonts w:ascii="GHEA Grapalat" w:hAnsi="GHEA Grapalat"/>
                <w:sz w:val="24"/>
                <w:szCs w:val="24"/>
                <w:lang w:val="hy-AM" w:bidi="hy-AM"/>
              </w:rPr>
              <w:t xml:space="preserve">3. </w:t>
            </w:r>
            <w:r w:rsidR="00A02449" w:rsidRPr="00EE6221">
              <w:rPr>
                <w:rFonts w:ascii="GHEA Grapalat" w:hAnsi="GHEA Grapalat"/>
                <w:sz w:val="24"/>
                <w:szCs w:val="24"/>
                <w:lang w:val="hy-AM" w:bidi="hy-AM"/>
              </w:rPr>
              <w:t>Հարց է առաջանում, թե արդյոք ՀՀ-ում քրեական գործերով վարույթի' փաստաբան չհանդիսացող մասնավոր մասնակիցների կողմից վճռաբեկ դատարան միայն փաստաբանի միջոցով վերանայման բողոք բերելու իրավունքը, որպես անձի շահերից բխող, ներկայացուցչությունն արհեստավարժ և փորձառու մասնագետների միջոցով իրականացնելու նպատակին հասնելու միջոց' համապատասանում է նպատակի և միջոցի ողջամիտ համաչափությանը:</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sz w:val="24"/>
                <w:szCs w:val="24"/>
                <w:lang w:val="hy-AM" w:bidi="hy-AM"/>
              </w:rPr>
              <w:t>4. Ո'չ ՀՀ սահամանադրական դատարանը, ո'չ էլ Եվրոպական դատարանը չեն սահմանում միայն փաստաբանի միջոցով տվյալ դատարաններ բողոք ներկայացնելու պահանջ, չնայած թե</w:t>
            </w:r>
            <w:r w:rsidRPr="00EE6221">
              <w:rPr>
                <w:rFonts w:ascii="GHEA Grapalat" w:hAnsi="GHEA Grapalat"/>
                <w:sz w:val="24"/>
                <w:szCs w:val="24"/>
                <w:lang w:val="hy-AM" w:bidi="en-US"/>
              </w:rPr>
              <w:t xml:space="preserve">' </w:t>
            </w:r>
            <w:r w:rsidRPr="00EE6221">
              <w:rPr>
                <w:rFonts w:ascii="GHEA Grapalat" w:hAnsi="GHEA Grapalat"/>
                <w:sz w:val="24"/>
                <w:szCs w:val="24"/>
                <w:lang w:val="hy-AM" w:bidi="hy-AM"/>
              </w:rPr>
              <w:t>առաջինը, թե</w:t>
            </w:r>
            <w:r w:rsidRPr="00EE6221">
              <w:rPr>
                <w:rFonts w:ascii="GHEA Grapalat" w:hAnsi="GHEA Grapalat"/>
                <w:sz w:val="24"/>
                <w:szCs w:val="24"/>
                <w:lang w:val="hy-AM" w:bidi="en-US"/>
              </w:rPr>
              <w:t xml:space="preserve">' </w:t>
            </w:r>
            <w:r w:rsidRPr="00EE6221">
              <w:rPr>
                <w:rFonts w:ascii="GHEA Grapalat" w:hAnsi="GHEA Grapalat"/>
                <w:sz w:val="24"/>
                <w:szCs w:val="24"/>
                <w:lang w:val="hy-AM" w:bidi="hy-AM"/>
              </w:rPr>
              <w:t>երկրորդը հանդիսանում է իրավունքի դատարան: Վճռաբեկ դատարանի մատչելիության իրավունքը սահմանափակելով' կարող է սահմանափակվել նաև Սահմանադրական դատարան և Մարդու իրավունքների եվրոպական դատարան դիմելու անձի իրավունքը:</w:t>
            </w:r>
          </w:p>
          <w:p w:rsidR="00A02449" w:rsidRPr="00EE6221" w:rsidRDefault="00A02449" w:rsidP="002B3679">
            <w:pPr>
              <w:spacing w:after="0"/>
              <w:jc w:val="both"/>
              <w:rPr>
                <w:rFonts w:ascii="GHEA Grapalat" w:hAnsi="GHEA Grapalat"/>
                <w:sz w:val="24"/>
                <w:szCs w:val="24"/>
                <w:lang w:val="hy-AM" w:bidi="hy-AM"/>
              </w:rPr>
            </w:pPr>
            <w:r w:rsidRPr="00EE6221">
              <w:rPr>
                <w:rFonts w:ascii="GHEA Grapalat" w:hAnsi="GHEA Grapalat"/>
                <w:sz w:val="24"/>
                <w:szCs w:val="24"/>
                <w:lang w:val="hy-AM" w:bidi="hy-AM"/>
              </w:rPr>
              <w:t>Առաջարկում ենք.</w:t>
            </w:r>
          </w:p>
          <w:p w:rsidR="00A02449" w:rsidRPr="00EE6221" w:rsidRDefault="00A02449" w:rsidP="001F163B">
            <w:pPr>
              <w:spacing w:after="0"/>
              <w:jc w:val="both"/>
              <w:rPr>
                <w:rFonts w:ascii="GHEA Grapalat" w:hAnsi="GHEA Grapalat"/>
                <w:sz w:val="24"/>
                <w:szCs w:val="24"/>
                <w:lang w:val="hy-AM" w:bidi="hy-AM"/>
              </w:rPr>
            </w:pPr>
            <w:bookmarkStart w:id="8" w:name="bookmark7"/>
            <w:r w:rsidRPr="00EE6221">
              <w:rPr>
                <w:rFonts w:ascii="GHEA Grapalat" w:hAnsi="GHEA Grapalat"/>
                <w:sz w:val="24"/>
                <w:szCs w:val="24"/>
                <w:lang w:val="hy-AM" w:bidi="hy-AM"/>
              </w:rPr>
              <w:t>Փոփոխություն կատարել Քրեական դատավարության նախագծի 353-րդ հոդվածի 2-րդ մասում</w:t>
            </w:r>
            <w:r w:rsidR="001F163B" w:rsidRPr="00EE6221">
              <w:rPr>
                <w:rFonts w:ascii="GHEA Grapalat" w:hAnsi="GHEA Grapalat"/>
                <w:sz w:val="24"/>
                <w:szCs w:val="24"/>
                <w:lang w:val="hy-AM" w:bidi="hy-AM"/>
              </w:rPr>
              <w:t>՝</w:t>
            </w:r>
            <w:r w:rsidRPr="00EE6221">
              <w:rPr>
                <w:rFonts w:ascii="GHEA Grapalat" w:hAnsi="GHEA Grapalat"/>
                <w:sz w:val="24"/>
                <w:szCs w:val="24"/>
                <w:lang w:val="hy-AM" w:bidi="hy-AM"/>
              </w:rPr>
              <w:t xml:space="preserve"> հանելով առաջին նախադասությունը:</w:t>
            </w:r>
            <w:bookmarkEnd w:id="8"/>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A074DD" w:rsidP="00A074DD">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F403D6" w:rsidP="002B3679">
            <w:pPr>
              <w:jc w:val="both"/>
              <w:rPr>
                <w:rFonts w:ascii="GHEA Grapalat" w:hAnsi="GHEA Grapalat"/>
                <w:sz w:val="24"/>
                <w:szCs w:val="24"/>
                <w:lang w:val="hy-AM"/>
              </w:rPr>
            </w:pPr>
            <w:r w:rsidRPr="00EE6221">
              <w:rPr>
                <w:rFonts w:ascii="GHEA Grapalat" w:hAnsi="GHEA Grapalat"/>
                <w:sz w:val="24"/>
                <w:szCs w:val="24"/>
                <w:lang w:val="hy-AM"/>
              </w:rPr>
              <w:t>Առաջարկության մեջ արծարծված մտահոգությունները փարատվում են Նախագծի 19</w:t>
            </w:r>
            <w:r w:rsidR="001C1A9F" w:rsidRPr="00EE6221">
              <w:rPr>
                <w:rFonts w:ascii="GHEA Grapalat" w:hAnsi="GHEA Grapalat"/>
                <w:sz w:val="24"/>
                <w:szCs w:val="24"/>
                <w:lang w:val="hy-AM"/>
              </w:rPr>
              <w:t>-րդ</w:t>
            </w:r>
            <w:r w:rsidRPr="00EE6221">
              <w:rPr>
                <w:rFonts w:ascii="GHEA Grapalat" w:hAnsi="GHEA Grapalat"/>
                <w:sz w:val="24"/>
                <w:szCs w:val="24"/>
                <w:lang w:val="hy-AM"/>
              </w:rPr>
              <w:t xml:space="preserve"> հոդվածի 4-րդ մասում տրված կարգավորմամբ։</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8. Գործող ՀՀ քրեական դատավարության օրենսգրքի 28-րդ հոդվածով սահմանված է, որ քննիչի, դատախազի կամ դատարանի կողմից մեկ վարույթում կարող են միացվել մեկ կամ մի քանի հանցագործությունների կատարմանը մասնակցելու մեջ մեղադրվող մի քանի անձանց գործերը կամ մի անձի կողմից կատարված մի քանի հանցագործությունների վերաբերյալ գործերը:</w:t>
            </w:r>
            <w:r w:rsidR="0035214B"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Մեկ կամ մի քանի հանցագործությունների կատարմանը մասնակից անձանց նկատմամբ գործն անջատվում է քննիչի, դատախազի կամ դատարանի որոշմամբ, եթե դա անհրաժեշտ է գործի հանգամանքներից ելնելով և չի կարող անդրադառնալ գործի վարույթի լրիվության և օբյեկտիվության վրա»:</w:t>
            </w:r>
          </w:p>
          <w:p w:rsidR="00A02449" w:rsidRPr="00EE6221" w:rsidRDefault="00A02449" w:rsidP="00C91081">
            <w:pPr>
              <w:spacing w:after="0"/>
              <w:jc w:val="both"/>
              <w:rPr>
                <w:rFonts w:ascii="GHEA Grapalat" w:hAnsi="GHEA Grapalat"/>
                <w:sz w:val="24"/>
                <w:szCs w:val="24"/>
                <w:lang w:val="hy-AM"/>
              </w:rPr>
            </w:pPr>
            <w:r w:rsidRPr="00EE6221">
              <w:rPr>
                <w:rFonts w:ascii="GHEA Grapalat" w:eastAsia="GHEA Grapalat" w:hAnsi="GHEA Grapalat" w:cs="GHEA Grapalat"/>
                <w:iCs/>
                <w:sz w:val="24"/>
                <w:szCs w:val="24"/>
                <w:lang w:val="hy-AM" w:bidi="hy-AM"/>
              </w:rPr>
              <w:t>Միևնույն ժամանակ, չնայած ներկայիս օրենսդրությունը չի սահմանում որևէ պայմաններ քրեական վարույթների միացման համար, սակայն ՀՀ դատական պրակտիկան կատարել է որոշակի քայլեր այդ ուղղությամբ</w:t>
            </w:r>
            <w:r w:rsidR="00A37DDC"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Այսպես, թիվ</w:t>
            </w:r>
            <w:r w:rsidR="0035214B"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ԵԱՔԴ/0094/01/12 գործով (21 նոյեմբերի 2013թ), ՀՀ վերաքննիչ քրեական դատարանը որոշման պատճառաբանությունները և եզրահանգումները մասում արձանագրել է հետևյալը. «ՀՀ քր. դատ. օր.-ի 28 հոդվածի իրավադրույթների բովանդակային վերլուծությունից հետևում է, որ քրեական գործերի միացման յուրաքանչյուր դեպքում անհրաժեշտ է առաջին հերթին հաշվի առնել երկու հանգամանք.</w:t>
            </w:r>
            <w:r w:rsidRPr="00EE6221">
              <w:rPr>
                <w:rStyle w:val="1"/>
                <w:rFonts w:ascii="GHEA Grapalat" w:hAnsi="GHEA Grapalat"/>
                <w:color w:val="auto"/>
                <w:sz w:val="24"/>
                <w:szCs w:val="24"/>
              </w:rPr>
              <w:t xml:space="preserve"> Միացվող քրեական գործերի միջև գոյություն ունեցող կապը.</w:t>
            </w:r>
          </w:p>
          <w:p w:rsidR="00A02449" w:rsidRPr="00EE6221" w:rsidRDefault="00A02449" w:rsidP="00A37DDC">
            <w:pPr>
              <w:widowControl w:val="0"/>
              <w:spacing w:after="0"/>
              <w:ind w:right="20"/>
              <w:jc w:val="both"/>
              <w:rPr>
                <w:rFonts w:ascii="GHEA Grapalat" w:hAnsi="GHEA Grapalat"/>
                <w:sz w:val="24"/>
                <w:szCs w:val="24"/>
                <w:lang w:val="hy-AM"/>
              </w:rPr>
            </w:pPr>
            <w:r w:rsidRPr="00EE6221">
              <w:rPr>
                <w:rStyle w:val="1"/>
                <w:rFonts w:ascii="GHEA Grapalat" w:hAnsi="GHEA Grapalat"/>
                <w:color w:val="auto"/>
                <w:sz w:val="24"/>
                <w:szCs w:val="24"/>
              </w:rPr>
              <w:t>Որքանով այդ միացումը կօգնի քրեական գործերի լրիվ, բազմակողմանի և օբյեկտիվ քննությանը»:</w:t>
            </w:r>
          </w:p>
          <w:p w:rsidR="00A02449" w:rsidRPr="00EE6221" w:rsidRDefault="00A02449" w:rsidP="00A37DDC">
            <w:pPr>
              <w:spacing w:after="0"/>
              <w:ind w:right="20"/>
              <w:jc w:val="both"/>
              <w:rPr>
                <w:rFonts w:ascii="GHEA Grapalat" w:hAnsi="GHEA Grapalat"/>
                <w:sz w:val="24"/>
                <w:szCs w:val="24"/>
                <w:lang w:val="hy-AM"/>
              </w:rPr>
            </w:pPr>
            <w:r w:rsidRPr="00EE6221">
              <w:rPr>
                <w:rStyle w:val="1"/>
                <w:rFonts w:ascii="GHEA Grapalat" w:hAnsi="GHEA Grapalat"/>
                <w:color w:val="auto"/>
                <w:sz w:val="24"/>
                <w:szCs w:val="24"/>
              </w:rPr>
              <w:t>ՀՀ քրեական դատավարության օրենսգրքի նախագիծը 10-րդ հոդվածով սահմանվում է, որ քննիչի կամ դատարանի կողմից մեկ վարույթում կարող են</w:t>
            </w:r>
            <w:r w:rsidR="001F218F" w:rsidRPr="00EE6221">
              <w:rPr>
                <w:rFonts w:ascii="GHEA Grapalat" w:eastAsia="GHEA Grapalat" w:hAnsi="GHEA Grapalat" w:cs="GHEA Grapalat"/>
                <w:iCs/>
                <w:sz w:val="24"/>
                <w:szCs w:val="24"/>
                <w:lang w:val="hy-AM" w:bidi="hy-AM"/>
              </w:rPr>
              <w:t xml:space="preserve"> միացվել</w:t>
            </w:r>
          </w:p>
          <w:p w:rsidR="00A02449" w:rsidRPr="00EE6221" w:rsidRDefault="00A02449" w:rsidP="00A37DDC">
            <w:pPr>
              <w:numPr>
                <w:ilvl w:val="0"/>
                <w:numId w:val="15"/>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նույն անձի կողմից մեկից ավելի ենթադրյալ հանցանքներ կատարելու վերաբերյալ վարույթները,</w:t>
            </w:r>
          </w:p>
          <w:p w:rsidR="001F218F" w:rsidRPr="00EE6221" w:rsidRDefault="00A02449" w:rsidP="002B3679">
            <w:pPr>
              <w:numPr>
                <w:ilvl w:val="0"/>
                <w:numId w:val="15"/>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մեկից ավելի անձանց կողմից նույն կամ մեկից ավելի ենթադրյալ հանցանքներ կատարելու վերաբերյալ վարույթները,</w:t>
            </w:r>
          </w:p>
          <w:p w:rsidR="001F218F" w:rsidRPr="00EE6221" w:rsidRDefault="00A02449" w:rsidP="002B3679">
            <w:pPr>
              <w:numPr>
                <w:ilvl w:val="0"/>
                <w:numId w:val="15"/>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միմյանց հետ փոխկապակցված մեկից ավելի ենթադրյալ հանցանքների վերաբերյալ վարույթները' արդարադատության շահից ելնելով:</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Նույն հոդվածով սահմանվում է նաև մեկից ավելի անձանց կողմից մեկ կամ ավելի ենթադրյալ հանցանքներ կատարելու կապակցությամբ իրականացվող վարույթից նոր վարույթ անջատվելու հնարավորությունը: Ընդ որում վարույթների անջատման դեպքում անհրաժեշտ է, որպեսզի պահպանվեն հետևյալ պայմանները</w:t>
            </w:r>
          </w:p>
          <w:p w:rsidR="001F218F" w:rsidRPr="00EE6221" w:rsidRDefault="00A02449" w:rsidP="00A37DDC">
            <w:pPr>
              <w:pStyle w:val="ListParagraph"/>
              <w:numPr>
                <w:ilvl w:val="0"/>
                <w:numId w:val="17"/>
              </w:numPr>
              <w:spacing w:after="0"/>
              <w:ind w:left="0" w:firstLine="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դա թելադրված է արդարադատության շահի պաշտպանության անհրաժեշտությամբ,</w:t>
            </w:r>
          </w:p>
          <w:p w:rsidR="00A02449" w:rsidRPr="00EE6221" w:rsidRDefault="00A02449" w:rsidP="00A37DDC">
            <w:pPr>
              <w:pStyle w:val="ListParagraph"/>
              <w:numPr>
                <w:ilvl w:val="0"/>
                <w:numId w:val="17"/>
              </w:numPr>
              <w:spacing w:after="0"/>
              <w:ind w:left="0" w:firstLine="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դա չի կարող բացասաբար անդրադառնալ վարույթի արդարացիության վրա:</w:t>
            </w:r>
          </w:p>
          <w:p w:rsidR="00A02449" w:rsidRPr="00EE6221" w:rsidRDefault="00A02449"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Վարույթի միացման դեպքում նման պայմանների անհրաժեշտության մասին նշված չէ:</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Հաշվի առնելով, որ քրեական գործերը մեկ վարույթում միացնելը հաճախ կարող է հանգեցնել վարույթներից մեկով քննության արդյունավետության նվազմանը, ինչը կարող է բացասաբար անդրադառնալ քրեական գործի ընթացքի, ինչպես նաև մեղադրյալի կամ տուժողի իրավունքների և/կամ օրինական շահերի լիարժեք և արդյունավետ պաշտպանության վրա, անհրաժեշտ է սահմանել նվազագույն պայմանները նաև քրեական վարույթների միացման դեպքերի համար:</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7448CB" w:rsidRPr="00EE6221" w:rsidRDefault="001F218F" w:rsidP="002B3679">
            <w:pPr>
              <w:numPr>
                <w:ilvl w:val="0"/>
                <w:numId w:val="18"/>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օրենսգրքի նախագծի 10-րդ հոդվածի 2-րդ մասում «վարույթ» բառից հետո լրացնել «ինչպես նաև սույն հոդվածի 1-ին մասին 1-ին կետով նախատեսված դեպքերում վարույթները մեկ վարույթում կարող են միացվել» բառերով, իսկ «արդարացիության վրա» բառերից հետո լրացնել «չի խախտում գործով մեղադրյալի իրավունքները և օրինական շահերը» բառերով:</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F403D6" w:rsidP="00F403D6">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AE4F46" w:rsidP="00F403D6">
            <w:pPr>
              <w:jc w:val="both"/>
              <w:rPr>
                <w:rFonts w:ascii="GHEA Grapalat" w:hAnsi="GHEA Grapalat"/>
                <w:sz w:val="24"/>
                <w:szCs w:val="24"/>
                <w:lang w:val="hy-AM"/>
              </w:rPr>
            </w:pPr>
            <w:r w:rsidRPr="00EE6221">
              <w:rPr>
                <w:rFonts w:ascii="GHEA Grapalat" w:hAnsi="GHEA Grapalat"/>
                <w:sz w:val="24"/>
                <w:szCs w:val="24"/>
                <w:lang w:val="hy-AM"/>
              </w:rPr>
              <w:t xml:space="preserve">Նախագծի հեղինակների կարծիքով </w:t>
            </w:r>
            <w:r w:rsidR="001F163B" w:rsidRPr="00EE6221">
              <w:rPr>
                <w:rFonts w:ascii="GHEA Grapalat" w:hAnsi="GHEA Grapalat"/>
                <w:sz w:val="24"/>
                <w:szCs w:val="24"/>
                <w:lang w:val="hy-AM"/>
              </w:rPr>
              <w:t>առանձնահատուկ չափանիշներ պետք է սահմանվեն միայն վարույթների անջատման դեպքում:</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9. Արդարադատության իրականացման գործընթացում քաղաքացիների մասնակցության միջոցներից են' ընթերակաների և երդվյալ ատենակալների ինստիտուտները: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Նախագծով սահմանված է, որ ընթերականը վարույթի առարկայով չշահագրգռված ՀՀ չափահաս գործունակ քաղաքացին է, ով վարույթն իրականացնող մարմնի հրավերով կամավոր մասնակցում է ապացուցողական գործողության կատարմանը դրա կատարման փաստը, բովանդակությունը, ընթացքը և արդյունքները հաստատելու համար: Սահմանված են նաև ընթերակաների իրավունքները և պարտականությունները, ընթերակայի ներգրավման դեպքերը սահմանված են առանձին հոդվածների դրույթներով:</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Ընթերակաների պատշաճ և արդյունավետ մասնակցությունը կարևոր է' քրեական արդարադատության հանդեպ քաղաքացիական վերահսկողության և քաղաքացիների կողմից արդարադատության հանդեպ վստահության բարձրացման նկատառումներից ելնելով:</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օրենսգրքի նախագծի 70-րդ հոդվածի 3-րդ մասով, որպես վարույթով ապացուցողական գործողությանը ընթերակաների բացարկման հիմք, ի թիվս այլոց, նշված է ընթերակայի նախկին մասնակցությունը տվյալ վարույթով ապացուցողական գործողությանը:</w:t>
            </w:r>
            <w:r w:rsidRPr="00EE6221">
              <w:rPr>
                <w:rFonts w:ascii="GHEA Grapalat" w:eastAsia="GHEA Grapalat" w:hAnsi="GHEA Grapalat" w:cs="GHEA Grapalat"/>
                <w:iCs/>
                <w:sz w:val="24"/>
                <w:szCs w:val="24"/>
                <w:lang w:val="hy-AM" w:bidi="hy-AM"/>
              </w:rPr>
              <w:tab/>
              <w:t>Նման սահմանափակումը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բավարար երաշխիք չի կարող հանդիսանալ իրավապահ մարմինների կողմից տարբեր գործերով նույն անձին որպես ընթերակա ներգրավումից խուսափելու համար: Միևնույն ժամանակ սահմանված չեն որևէ երաշխիքներ, միևնույն ընթերակային բազմակի գործերով ներգրավելու դեպքերի քանակը նվազեցնելու համար:Այդուհանդերձ, նպատակահարմար կլիներ սահմանափակել ընթերակայի մասնակցությունը</w:t>
            </w:r>
            <w:r w:rsidRPr="00EE6221">
              <w:rPr>
                <w:rFonts w:ascii="GHEA Grapalat" w:eastAsia="GHEA Grapalat" w:hAnsi="GHEA Grapalat" w:cs="GHEA Grapalat"/>
                <w:iCs/>
                <w:sz w:val="24"/>
                <w:szCs w:val="24"/>
                <w:lang w:val="hy-AM" w:bidi="hy-AM"/>
              </w:rPr>
              <w:tab/>
              <w:t>ապացուցողական</w:t>
            </w:r>
            <w:r w:rsidRPr="00EE6221">
              <w:rPr>
                <w:rFonts w:ascii="GHEA Grapalat" w:eastAsia="GHEA Grapalat" w:hAnsi="GHEA Grapalat" w:cs="GHEA Grapalat"/>
                <w:iCs/>
                <w:sz w:val="24"/>
                <w:szCs w:val="24"/>
                <w:lang w:val="hy-AM" w:bidi="hy-AM"/>
              </w:rPr>
              <w:tab/>
              <w:t>գործողության</w:t>
            </w:r>
            <w:r w:rsidRPr="00EE6221">
              <w:rPr>
                <w:rFonts w:ascii="GHEA Grapalat" w:eastAsia="GHEA Grapalat" w:hAnsi="GHEA Grapalat" w:cs="GHEA Grapalat"/>
                <w:iCs/>
                <w:sz w:val="24"/>
                <w:szCs w:val="24"/>
                <w:lang w:val="hy-AM" w:bidi="hy-AM"/>
              </w:rPr>
              <w:tab/>
              <w:t>կատարման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հաճախականությունը' սահմանելով, որ միևնույն անձը կարող է ներգրավվել որպես ընթերակա եռամսյակի ընթացքում ոչ ավել, քան մեկ անգամ: Անհրաժեշտ է նաև ներդնել ընթերակաների ներգրավման այնպիսի մեխանիզմներ, որոնք նվազագույնի կհասցնեին այս կամ այն անձին որպես ընթերակա ներգրավելու քննիչի որոշման կայացման սուբյեկտիվության սահմանները: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ՀՀ-ում ներդրված չէ երդվյալ ատենակալների ինստիտուտը, այնինչ դատական իշխանության հանդեպ վստահության բարձրացման համար նպատակահարմար կլիներ ուսումնասիրել երդվյալ ատենակալներ ինստիտուտի ներդրման հնարավորությունները սահմանափակ գործերի շրջանակներում:</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1F218F" w:rsidRPr="00EE6221" w:rsidRDefault="001F218F" w:rsidP="002B3679">
            <w:pPr>
              <w:numPr>
                <w:ilvl w:val="0"/>
                <w:numId w:val="19"/>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Կարևորելով ընթերակաների պատշաճ և արդյունավետ մասնակցությունը քրեական արդարադատության իրականացման գործընթացում, ինչը կնպաստի ընթերակաների գործառույթների' իրենց նպատակների ծառայեցմանը' անհրաժեշտ է սահմանել և հստակեցնել ընթերակաների ներգրավման կարգը' նվազագույնին հասցնելով քննչական մարմինների հայեցողությունը: Անհրաժեշտ է սահմանել այնպիսի մեխանիզմ, որը թույլ կտա սահմանափակել նույն անձին որպես ընթերակա ներգրավելու գործերի քանակը:</w:t>
            </w:r>
          </w:p>
          <w:p w:rsidR="001F218F" w:rsidRPr="00EE6221" w:rsidRDefault="001F218F" w:rsidP="002B3679">
            <w:pPr>
              <w:numPr>
                <w:ilvl w:val="0"/>
                <w:numId w:val="19"/>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70-րդ հոդվածի 3-րդ մասը շարադրել հետևյալ բովանդակությամբ. «Տվյալ ապացուցողական գործողության կատարման օրվան նախորդող երեք ամիսների ընթացքում ընթերակայի մասնակցությունը այլ վարույթներով ապացուցողական գործողություններին տվյալ ապացուցողական գործողությանը նրա մասնակցությունը բացառող հանգամանք է, բացառությամբ սույն օրենսգրքի 210-րդ հոդվածի 6-րդ մասով նախատեսված դեպքերի»:</w:t>
            </w:r>
          </w:p>
          <w:p w:rsidR="001F218F" w:rsidRPr="00EE6221" w:rsidRDefault="001F218F" w:rsidP="002B3679">
            <w:pPr>
              <w:numPr>
                <w:ilvl w:val="0"/>
                <w:numId w:val="19"/>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Ներդրնել ընթերակաների տվյալների բազաների մեխանիզմը, որը հնարավորություն կտա նաև ընթերականերին ընտրելու ընթացքում մարդկային միջամտությունը հասցնել նվազագույնի:</w:t>
            </w:r>
          </w:p>
          <w:p w:rsidR="007448CB" w:rsidRPr="00EE6221" w:rsidRDefault="001F218F" w:rsidP="002B3679">
            <w:pPr>
              <w:numPr>
                <w:ilvl w:val="0"/>
                <w:numId w:val="19"/>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Միևնույն ժամանակ անհրաժեշտ է միջոցներ ձեռնարկել քրեական արդարադատության իրականացման գործընթացում երդվյալ ատենակալների ինստիտուտի ներդրման հնարավորությունների ուսումնասիրման ուղղությամբ և որոշ տեսակի հանցագործությունների դեպքում ներդնել երդվյալ ատենակալների մասնակցությամբ դատական քննության իրականացման մեխանիզմները:</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F403D6" w:rsidP="00F403D6">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F403D6" w:rsidRPr="00EE6221" w:rsidRDefault="00F403D6" w:rsidP="002B3679">
            <w:pPr>
              <w:jc w:val="both"/>
              <w:rPr>
                <w:rFonts w:ascii="GHEA Grapalat" w:hAnsi="GHEA Grapalat"/>
                <w:sz w:val="24"/>
                <w:szCs w:val="24"/>
                <w:lang w:val="hy-AM"/>
              </w:rPr>
            </w:pPr>
            <w:r w:rsidRPr="00EE6221">
              <w:rPr>
                <w:rFonts w:ascii="GHEA Grapalat" w:hAnsi="GHEA Grapalat"/>
                <w:sz w:val="24"/>
                <w:szCs w:val="24"/>
                <w:lang w:val="hy-AM"/>
              </w:rPr>
              <w:t>Նախագծի 70</w:t>
            </w:r>
            <w:r w:rsidR="0015410F" w:rsidRPr="00EE6221">
              <w:rPr>
                <w:rFonts w:ascii="GHEA Grapalat" w:hAnsi="GHEA Grapalat"/>
                <w:sz w:val="24"/>
                <w:szCs w:val="24"/>
                <w:lang w:val="hy-AM"/>
              </w:rPr>
              <w:t>-րդ</w:t>
            </w:r>
            <w:r w:rsidRPr="00EE6221">
              <w:rPr>
                <w:rFonts w:ascii="GHEA Grapalat" w:hAnsi="GHEA Grapalat"/>
                <w:sz w:val="24"/>
                <w:szCs w:val="24"/>
                <w:lang w:val="hy-AM"/>
              </w:rPr>
              <w:t xml:space="preserve"> հոդվածի 3-րդ մասում և 210</w:t>
            </w:r>
            <w:r w:rsidR="0015410F" w:rsidRPr="00EE6221">
              <w:rPr>
                <w:rFonts w:ascii="GHEA Grapalat" w:hAnsi="GHEA Grapalat"/>
                <w:sz w:val="24"/>
                <w:szCs w:val="24"/>
                <w:lang w:val="hy-AM"/>
              </w:rPr>
              <w:t>-րդ</w:t>
            </w:r>
            <w:r w:rsidRPr="00EE6221">
              <w:rPr>
                <w:rFonts w:ascii="GHEA Grapalat" w:hAnsi="GHEA Grapalat"/>
                <w:sz w:val="24"/>
                <w:szCs w:val="24"/>
                <w:lang w:val="hy-AM"/>
              </w:rPr>
              <w:t xml:space="preserve"> հոդվածի 6-րդ մասում առկա կարգավորումներն ավելի գործուն երաշխիքներ են նախատեսում, քան </w:t>
            </w:r>
            <w:r w:rsidR="00C20B3D" w:rsidRPr="00EE6221">
              <w:rPr>
                <w:rFonts w:ascii="GHEA Grapalat" w:hAnsi="GHEA Grapalat"/>
                <w:sz w:val="24"/>
                <w:szCs w:val="24"/>
                <w:lang w:val="hy-AM"/>
              </w:rPr>
              <w:t>առաջարկության մեջ բերվածները։ Երդվյալ ատենակալների մասով առաջարկությունը մասնագիտական որևէ հիմնավորում չի պարունակում։</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10. </w:t>
            </w:r>
            <w:bookmarkStart w:id="9" w:name="bookmark9"/>
            <w:r w:rsidRPr="00EE6221">
              <w:rPr>
                <w:rFonts w:ascii="GHEA Grapalat" w:eastAsia="GHEA Grapalat" w:hAnsi="GHEA Grapalat" w:cs="GHEA Grapalat"/>
                <w:iCs/>
                <w:sz w:val="24"/>
                <w:szCs w:val="24"/>
                <w:lang w:val="hy-AM" w:bidi="hy-AM"/>
              </w:rPr>
              <w:t>Նախագծի 306-րդ հոդվածով սահմանված է, որ կարող է կատարվել ցուցմունքի դատական դեպոնացում մեղադրյալի խոստովանական ցուցմունքի պատշաճությունն ապահովելու նպատակով' քննիչի միջնորդությամբ, ինչպես նաև դատաքննությանը ներկայանալու հնարավորություն չունենալու կամ դատաքննության ընթացքում իրավաչափորեն ցուցմունք չտալու հիմնավոր ենթադրության պարագայում այդ անձից պատշաճ ցուցմունք ստանալու նպատակով քննիչի կամ վարույթի մասնավոր մասնակցի միջնորդությամբ: Տվյալ դրույթը մտահոգություններ է առաջացնում հետագայում դեպոնացված խոստովանական ցուցմունքի' դատարանի կողմից ապացույցների հետազոտման տեսանկյունից, քանզի այն դեպքում, երբ անձը դատաքննության ընթացքում հրաժարվում է խոստովանական ցուցմունքից, նախկինում դեպոնացված ցուցմունքները կարող են գնահատվել որպես առավել արժանահավատ: Այսինքն պարզ չէ, թե ապացուցողական ինչ ուժ է հաղորդվում տվյալ ցուցմունքներին դատաքննության ընթացքում նույն անձի կողմից տրված այլ ցուցմունքների հետ համադրության մեջ: Միևնույն ժամանակ, հարկավոր է հաշվի առնել, որ նախաքննության ընթացքում դատարանում ցուցմունքներ տալու ընթացքում անձը միևնույնն է գտնվում է նախաքննության մարմնի ազդեցության և «իշխանության» ներքո, ինչը որոշ դեպքերում չի կարող ազդեցություն չունենալ անձի ցուցմունքների վրա: Բացի այդ, կա մտավախություն, որ ՀՀ քրեական դատավարության օրենսգրքի նախագծի 257-րդ հոդվածում հիշատակված «դատական նիստում հետազոտված ապացույցներ» հասկացությունը կարող է լայն մեկնաբանություն ստանալ և այդ կոնտեքստում դիտարկվեն նաև նախաքննության ընթացքում դատարանում տրված խոստովանական ցուցմունքները:</w:t>
            </w:r>
            <w:r w:rsidRPr="00EE6221">
              <w:rPr>
                <w:rFonts w:ascii="GHEA Grapalat" w:eastAsia="GHEA Grapalat" w:hAnsi="GHEA Grapalat" w:cs="GHEA Grapalat"/>
                <w:iCs/>
                <w:sz w:val="24"/>
                <w:szCs w:val="24"/>
                <w:lang w:val="hy-AM" w:bidi="hy-AM"/>
              </w:rPr>
              <w:tab/>
              <w:t>Այսպիսով,</w:t>
            </w:r>
            <w:r w:rsidRPr="00EE6221">
              <w:rPr>
                <w:rFonts w:ascii="GHEA Grapalat" w:eastAsia="GHEA Grapalat" w:hAnsi="GHEA Grapalat" w:cs="GHEA Grapalat"/>
                <w:iCs/>
                <w:sz w:val="24"/>
                <w:szCs w:val="24"/>
                <w:lang w:val="hy-AM" w:bidi="hy-AM"/>
              </w:rPr>
              <w:tab/>
              <w:t>դատարանում մեղադրյալի</w:t>
            </w:r>
            <w:bookmarkEnd w:id="9"/>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խոստվանական ցուցմունքի դեպոնացումը ենթադրում է որոշակի իրավաչափ նպատակի հետապնդում, սակայն գործնականում այդ դեպոնացումը մեղարյալի ցուցմունքները դնում է այլ ցուցմունքների կամ ապացույցների հանդեպ անհավասար դրության մեջ:</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Բացի այդ մեղադրյալի խոստովանական ցուցմունքի դատական դեպոնացման վերաբերյալ իրենց մտահոգություններն են ներկայացրել նաև ՀՀ փաստաբանները և ՀՀ փաստաբանների պալատը, ինչը նույնպես չի կարող անտեսվել:</w:t>
            </w:r>
          </w:p>
          <w:p w:rsidR="007448CB"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Հաշվի առնելով վերոգրյալը' անհրաժեշտ է գնահատել առաջարկվող բարեփոխումները երկրռւմ առկա իրական վիճակի և զարգացումների հետաքրքրված կողմերի շահերի հետ համադրության մեջ' գնահատելով, թե որքանով է նպատակը ողջամտորեն համապատասխանում այդ նպատակին հասնելու միջոցներին: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1F218F" w:rsidRPr="00EE6221" w:rsidRDefault="001F218F" w:rsidP="002B3679">
            <w:pPr>
              <w:numPr>
                <w:ilvl w:val="0"/>
                <w:numId w:val="20"/>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Վերացնել դատարանում մեղադրյալի խոստոնավական ցուցմունքի դեպոնացման հնարավորությունը: Հակառակ դեպքում հստակ սահմանել, թե ինչ ապացուցողական ուժ ունեն նախաքննության ընթացքում դատարանում դեպոնացված խոստովանական ցուցմունքները:</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C20B3D" w:rsidP="00C20B3D">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C20B3D" w:rsidP="002B3679">
            <w:pPr>
              <w:jc w:val="both"/>
              <w:rPr>
                <w:rFonts w:ascii="GHEA Grapalat" w:hAnsi="GHEA Grapalat"/>
                <w:sz w:val="24"/>
                <w:szCs w:val="24"/>
                <w:lang w:val="hy-AM"/>
              </w:rPr>
            </w:pPr>
            <w:r w:rsidRPr="00EE6221">
              <w:rPr>
                <w:rFonts w:ascii="GHEA Grapalat" w:hAnsi="GHEA Grapalat"/>
                <w:sz w:val="24"/>
                <w:szCs w:val="24"/>
                <w:lang w:val="hy-AM"/>
              </w:rPr>
              <w:t>Առաջարկությունը հակասում է Նախագծում առկա հայեցակարգային և համալիր լուծումներին, իսկ բարձրացված մտահոգությունները փարատվում են Նախագծի 22</w:t>
            </w:r>
            <w:r w:rsidR="00DB4754" w:rsidRPr="00EE6221">
              <w:rPr>
                <w:rFonts w:ascii="GHEA Grapalat" w:hAnsi="GHEA Grapalat"/>
                <w:sz w:val="24"/>
                <w:szCs w:val="24"/>
                <w:lang w:val="hy-AM"/>
              </w:rPr>
              <w:t>-րդ</w:t>
            </w:r>
            <w:r w:rsidRPr="00EE6221">
              <w:rPr>
                <w:rFonts w:ascii="GHEA Grapalat" w:hAnsi="GHEA Grapalat"/>
                <w:sz w:val="24"/>
                <w:szCs w:val="24"/>
                <w:lang w:val="hy-AM"/>
              </w:rPr>
              <w:t>, 105</w:t>
            </w:r>
            <w:r w:rsidR="00DB4754" w:rsidRPr="00EE6221">
              <w:rPr>
                <w:rFonts w:ascii="GHEA Grapalat" w:hAnsi="GHEA Grapalat"/>
                <w:sz w:val="24"/>
                <w:szCs w:val="24"/>
                <w:lang w:val="hy-AM"/>
              </w:rPr>
              <w:t>-րդ</w:t>
            </w:r>
            <w:r w:rsidRPr="00EE6221">
              <w:rPr>
                <w:rFonts w:ascii="GHEA Grapalat" w:hAnsi="GHEA Grapalat"/>
                <w:sz w:val="24"/>
                <w:szCs w:val="24"/>
                <w:lang w:val="hy-AM"/>
              </w:rPr>
              <w:t xml:space="preserve">, </w:t>
            </w:r>
            <w:r w:rsidR="00AB1BA7" w:rsidRPr="00EE6221">
              <w:rPr>
                <w:rFonts w:ascii="GHEA Grapalat" w:hAnsi="GHEA Grapalat"/>
                <w:sz w:val="24"/>
                <w:szCs w:val="24"/>
                <w:lang w:val="hy-AM"/>
              </w:rPr>
              <w:t>376</w:t>
            </w:r>
            <w:r w:rsidR="00DB4754" w:rsidRPr="00EE6221">
              <w:rPr>
                <w:rFonts w:ascii="GHEA Grapalat" w:hAnsi="GHEA Grapalat"/>
                <w:sz w:val="24"/>
                <w:szCs w:val="24"/>
                <w:lang w:val="hy-AM"/>
              </w:rPr>
              <w:t>-րդ</w:t>
            </w:r>
            <w:r w:rsidR="00AB1BA7" w:rsidRPr="00EE6221">
              <w:rPr>
                <w:rFonts w:ascii="GHEA Grapalat" w:hAnsi="GHEA Grapalat"/>
                <w:sz w:val="24"/>
                <w:szCs w:val="24"/>
                <w:lang w:val="hy-AM"/>
              </w:rPr>
              <w:t xml:space="preserve"> և վերաբերելի այլ հոդվածներում տրված կարգավորումների շնորհիվ։</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11. ՀՀ քրեական դատավարության օրենսգրքի նախագծի 46-րդ հոդվածը սահմանում է, որ վարույթին պաշտպանի մասնակցությունը պարտադիր է ձերբակալված անձին ազատությունից փաստացի զրկելուց հետո 6 ժամը լրանալու պահից կամ անձին մեղադրանք ներկայացնելու պահից, քանի դեռ վարույթն իրականացնող մարմինը սույն օրենսգրքով սահմանված դեպքերում և կարգով չի ընդունել մեղադրյալի հրաժարվելը պաշտպանից:</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Նախագծի 108-րդ հոդվածի 1-ին մասի 1-ին կետի հիմքով ձերբակալված անձը ձերբակալման որոշումը ստանալու պահից, իսկ եթե օրենքով սահմանված ժամկետում այն</w:t>
            </w:r>
            <w:r w:rsidRPr="00EE6221">
              <w:rPr>
                <w:rFonts w:ascii="GHEA Grapalat" w:eastAsia="GHEA Grapalat" w:hAnsi="GHEA Grapalat" w:cs="GHEA Grapalat"/>
                <w:iCs/>
                <w:sz w:val="24"/>
                <w:szCs w:val="24"/>
                <w:lang w:val="hy-AM" w:bidi="hy-AM"/>
              </w:rPr>
              <w:tab/>
              <w:t>չի հանձնվել, ապա իրեն ազատությունից փաստացի զրկելուց</w:t>
            </w:r>
            <w:r w:rsidRPr="00EE6221">
              <w:rPr>
                <w:rFonts w:ascii="GHEA Grapalat" w:eastAsia="GHEA Grapalat" w:hAnsi="GHEA Grapalat" w:cs="GHEA Grapalat"/>
                <w:iCs/>
                <w:sz w:val="24"/>
                <w:szCs w:val="24"/>
                <w:lang w:val="hy-AM" w:bidi="hy-AM"/>
              </w:rPr>
              <w:tab/>
              <w:t>հետո</w:t>
            </w:r>
            <w:r w:rsidRPr="00EE6221">
              <w:rPr>
                <w:rFonts w:ascii="GHEA Grapalat" w:eastAsia="GHEA Grapalat" w:hAnsi="GHEA Grapalat" w:cs="GHEA Grapalat"/>
                <w:iCs/>
                <w:sz w:val="24"/>
                <w:szCs w:val="24"/>
                <w:lang w:val="hy-AM" w:bidi="hy-AM"/>
              </w:rPr>
              <w:tab/>
              <w:t>6</w:t>
            </w:r>
            <w:r w:rsidR="00AC02CE"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ժամը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լրանալու պահից ձեռք է բերում սույն օրենսգրքով մեղադրյալի համար</w:t>
            </w:r>
            <w:r w:rsidR="00AC02CE"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նախատեսված</w:t>
            </w:r>
            <w:r w:rsidR="00AC02CE"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բոլոր վերաբերելի իրավունքները և պարտականությունները:</w:t>
            </w:r>
            <w:r w:rsidR="00AC02CE"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Նախագծի 111-րդ հոդվածի 2-րդ մասը նախատեսում է, որ մինչև մեղադրյալի վերաբերելի իրավունքները ձեռք բերելը ձերբակալված անձն ունի հետևյալ իրավունքները'</w:t>
            </w:r>
          </w:p>
          <w:p w:rsidR="001F218F" w:rsidRPr="00EE6221" w:rsidRDefault="001F218F" w:rsidP="002B3679">
            <w:pPr>
              <w:numPr>
                <w:ilvl w:val="0"/>
                <w:numId w:val="21"/>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իմանալ իրեն ազատությունից զրկելու պատճառը.</w:t>
            </w:r>
          </w:p>
          <w:p w:rsidR="001F218F" w:rsidRPr="00EE6221" w:rsidRDefault="001F218F" w:rsidP="002B3679">
            <w:pPr>
              <w:numPr>
                <w:ilvl w:val="0"/>
                <w:numId w:val="21"/>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պահպանել լռություն.</w:t>
            </w:r>
          </w:p>
          <w:p w:rsidR="001F218F" w:rsidRPr="00EE6221" w:rsidRDefault="001F218F" w:rsidP="002B3679">
            <w:pPr>
              <w:numPr>
                <w:ilvl w:val="0"/>
                <w:numId w:val="21"/>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իր ընտրած անձին տեղեկացնել իր գտնվելու վայրի մասին.</w:t>
            </w:r>
          </w:p>
          <w:p w:rsidR="001F218F" w:rsidRPr="00EE6221" w:rsidRDefault="001F218F" w:rsidP="002B3679">
            <w:pPr>
              <w:numPr>
                <w:ilvl w:val="0"/>
                <w:numId w:val="21"/>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տեսակցել փաստաբանի հետ.</w:t>
            </w:r>
          </w:p>
          <w:p w:rsidR="001F218F" w:rsidRPr="00EE6221" w:rsidRDefault="001F218F" w:rsidP="002B3679">
            <w:pPr>
              <w:numPr>
                <w:ilvl w:val="0"/>
                <w:numId w:val="21"/>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իր պահանջով ենթարկվել բժշկական զննման: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Սույն հոդվածի 2-րդ մասի 3-5-րդ կետերով սահմանված իրավունքները ծագում են հետաքննության մարմնի կամ վարույթն իրականացնելու իրավասություն ունեցող մարմնի վարչական շենք մուտք գործելու պահից: Սույն հոդվածի 2-րդ մասով սահմանված իրավունքների իրականացումն ապահովելու նպատակով' 1) ձերբակալումն իրականացնող անձը պարտավոր է ձերբակալելուց անմիջապես հետո ձերբակալվածին բանավոր պարզաբանել նրան ազատությունից զրկելու պատճառը, ինչպես նաև նրա իրավունքները և պարտականությունները. 2) հետաքննության մարմինը կամ վարույթն իրականացնող մարմինը պարտավոր է ձերբակալվածին հետաքննության մարմնի կամ վարույթն իրականացնելու իրավասություն ունեցող մարմնի վարչական շենք բերելուց հետո անհապաղ նրան տրամադրել նրա ստորագրությամբ իր իրավունքների և պարտականությունների ցանկը, ապահովել ձերբակալվածի գտնվելու վայրի մասին նրա ընտրած անձին տեղեկացնելը և փաստաբան հրավիրելը, ձերբակալվածի պահանջի դեպքում ապահովել նրա բժշկական զննումը, չխոչընդոտել փաստաբանի տեսակցությունը ձերբակալվածի հետ: Փաստաբանի մատչելիության իրավունքը կասկածյալների և մեղադրյալների քրեական դատավարության ընթացքում հիմնական դատավարական իրավունքն է, որը երաշխավորված է ինչպես ԵԽ ստանդարտներով, այնպես էլ ԵՄ օրենսդրությամբ: Եվրոպական դատարանը այդ իրավունքը երաշխավորում է 6-րդ հոդվածի 3-րդ մասի (գ) կետով, իսկ Մարդու հիմնարար իրավունքների մասին Եվրոպական միության խարտիան այն երաշխավորում է 48-րդ հոդվածի 2-րդ մասով: Փաստաբանի մատչելիության իրավունք ունենալու մասին թիվ </w:t>
            </w:r>
            <w:r w:rsidRPr="00EE6221">
              <w:rPr>
                <w:rFonts w:ascii="GHEA Grapalat" w:eastAsia="GHEA Grapalat" w:hAnsi="GHEA Grapalat" w:cs="GHEA Grapalat"/>
                <w:iCs/>
                <w:sz w:val="24"/>
                <w:szCs w:val="24"/>
                <w:lang w:val="hy-AM" w:bidi="ru-RU"/>
              </w:rPr>
              <w:t xml:space="preserve">2013/48/ </w:t>
            </w:r>
            <w:r w:rsidRPr="00EE6221">
              <w:rPr>
                <w:rFonts w:ascii="GHEA Grapalat" w:eastAsia="GHEA Grapalat" w:hAnsi="GHEA Grapalat" w:cs="GHEA Grapalat"/>
                <w:iCs/>
                <w:sz w:val="24"/>
                <w:szCs w:val="24"/>
                <w:lang w:val="hy-AM" w:bidi="hy-AM"/>
              </w:rPr>
              <w:t>ԵՄ դիրեկտիվն ավելի մանրամասն տեղեկություններ է տալիս այս իրավունքի վերաբերյալ: Խոշտանգումների և անմարդկային կամ արժանապատվությունը նվաստացնող վերաբերմունքի կամ պատժի կանխարգելման եվրոպական կոմիտեն (այսուհետ ԽԿԿ) ճանաչել է այդ իրավունքը որպես ազատությունից զրկման դեպքերում վատ վերաբերմունքի սպառնալիքից պաշտպանվելու երեք կարևորագույն իրավունքներից մեկը:Ազատության փաստացի զրկման պահից մարդկային ինքնավարությունը սահմանափակ է և ենթակա է իշխանությունների կամքին: Արդյունքում, ուժերի անհավասարակշռությունը մարդու իրավունքների խախտման վտանգ է ներկայացնում: Այդ դիրքորոշումը հատկապես արտայատվում է այն դեպքերում, երբ ձերբակալվածը կասկածվում է հանցագործության կատարման մեջ, և իշխանությունները կարծում են, որ Այնուամենայնիվ, միջազգային օրենսդրության համաձայն յուրաքանչյուր ոք իրավունք ունի պաշտպանվել խոշտանգումներից և այլ վատ վերաբերմունքից:</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Միջազգային ստանդարտների համաձայն փաստաբանի մատչելիության իրավունքը </w:t>
            </w:r>
            <w:r w:rsidRPr="00EE6221">
              <w:rPr>
                <w:rFonts w:ascii="GHEA Grapalat" w:eastAsia="GHEA Grapalat" w:hAnsi="GHEA Grapalat" w:cs="GHEA Grapalat"/>
                <w:iCs/>
                <w:sz w:val="24"/>
                <w:szCs w:val="24"/>
                <w:lang w:val="hy-AM" w:bidi="en-US"/>
              </w:rPr>
              <w:t xml:space="preserve">(access to a lawyer) </w:t>
            </w:r>
            <w:r w:rsidRPr="00EE6221">
              <w:rPr>
                <w:rFonts w:ascii="GHEA Grapalat" w:eastAsia="GHEA Grapalat" w:hAnsi="GHEA Grapalat" w:cs="GHEA Grapalat"/>
                <w:iCs/>
                <w:sz w:val="24"/>
                <w:szCs w:val="24"/>
                <w:lang w:val="hy-AM" w:bidi="hy-AM"/>
              </w:rPr>
              <w:t>պետք է երաշխավորված լինի կալանավորման առաջին իսկ պահից կամ, առավելագույնը, ձերբակալությունից հետո մի քանի ժամվա ընթացքում: ՄԱԿ-ի Խոշտանգումների հարցերով հատուկ զեկուցողը նշել է, որ իրավաբանական օգնություն ունենալու իրավունքը պետք է ապահովվի ազատության զրկումից անմիջապես հետո և միանշանակ' իշխանությունների կողմից իրականացվող ցանկացած հարցաքննությունից առաջ:</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ԽԿԿ նշել է, որ լիարժեք արդյունավետ լինելու համար փաստաբանի մատչելիության իրավունքը պետք է երաշխավորված լինի անձին ազատությունից զրկելու առաջին իսկ պահից:</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ՄԱԿ-ի մարդու իրավունքների կոմիտեն հաստատել է, որ փաստաբանի հետ շփվելու իրավունքը պահանջում է, որ մեղադրյալներին երաշխավորվի փաստբանի արագ մատչելիության իրավունքը: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Կասկածյալին պետք է տրամադրվի իրավաբանական օգնություն ստանալու իրավունքը այն պահից, երբ նրան ներկայացվի մեղադրանք, Եվրոպական կոնվենցիայի ինքնավար նշանակություն ունեցող «քրեական մեղադրանք» իմաստով: Այս կապակցությամբ Եվրոպական դատարանը շեշտել է, որ անձը ձեռք է բերում կասկածյալի կարգավիճակ, որը պահանջում է 6-րդ հոդվածի երաշխիքների կիրառում, ոչ թե այն դեպքում, երբ նրան պաշտոնապես տվրում է այդ կարգավիճակը, այլ այն դեպքում, երբ ազգային իշխանությունները հիմնավորված հիմքեր ունեն այդ անձին կասկածելու հանցանքի կատարմանը: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Այսպիսով, օրինակ, փաստաբանի մատչելիության իրավունքը ծագում է ոչ միայն այն դեպքում, երբ անձը բերման է ենթարկվում կամ հարցաքննվում է ոստիկանության կողմից, բայց կարող է նաև կապված լինել ընթացակարգային գործողությունների հետ, ինչպիսիք են նույնականացման ընթացակարգերը կամ իրադարձությունների վերակառուցումը և տեղում ստուգումը: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Մեղադրյալը կամ կասկածյալը փաստաբանի մատչելիության իրավունք ունեն առանց անհիմն ուշացման սկսած հետևյալ ժամանակահատվածից.</w:t>
            </w:r>
          </w:p>
          <w:p w:rsidR="001F218F" w:rsidRPr="00EE6221" w:rsidRDefault="001F218F" w:rsidP="002B3679">
            <w:pPr>
              <w:numPr>
                <w:ilvl w:val="0"/>
                <w:numId w:val="22"/>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նախքան ոստիկանության կամ այլ իրավապահ մարմինների կամ դատական մարմինների կողմից հարցաքննվելը,</w:t>
            </w:r>
          </w:p>
          <w:p w:rsidR="001F218F" w:rsidRPr="00EE6221" w:rsidRDefault="001F218F" w:rsidP="002B3679">
            <w:pPr>
              <w:numPr>
                <w:ilvl w:val="0"/>
                <w:numId w:val="22"/>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երբ իշխանությունները կատարում են որոշակի քննչական կամ ապացույցներ հավաքելուն ուղղված գործողություններ,</w:t>
            </w:r>
          </w:p>
          <w:p w:rsidR="001F218F" w:rsidRPr="00EE6221" w:rsidRDefault="001F218F" w:rsidP="002B3679">
            <w:pPr>
              <w:numPr>
                <w:ilvl w:val="0"/>
                <w:numId w:val="22"/>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ազատությունը զրկելուց հետո,</w:t>
            </w:r>
          </w:p>
          <w:p w:rsidR="001F218F" w:rsidRPr="00EE6221" w:rsidRDefault="001F218F" w:rsidP="002B3679">
            <w:pPr>
              <w:numPr>
                <w:ilvl w:val="0"/>
                <w:numId w:val="22"/>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երբ անձը կանչվել է դատարան ներկայանալու համար:</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ԽԿԿ-ն մեկ անգամ չէ որ պարզել է, որ ազատությունից զրկմանն անմիջապես հաջորդող ժամանակահատվածում է, որ ահաբեկման և ֆիզիկական բռնության ենթարկվելու ռիսկերն ամենամեծն են: Բացի դրանից, փաստաբանի մատչելիության իրավունքը պետք է կիրառվի անձին ազատությունից զրկելու առաջին իսկ պահից անկախ այդ անձի հստակ իրավական կարգավիճակից. ավելի կոնկրետ այդ իրավունքից օգտվելը չպետք է պայմանավորված լինի նրանով, թե արդյոք անձը պաշտոնապես ճանաչվել է «կասկածյալ»: Ոստիկանական ձերբակալման ենթարկված անձանց համար փաստաբանի մատչելիությունը վատ վերաբերմունքի դեմ հիմնարար երաշխիքն է: Նման հնարավորության առկայությունը զսպող ազդեցություն կունենա այն անձանց վրա, ովքեր հակված են դրսևորելու վատ վերաբերմունք ձերբակալված անձանց նկատմամբ:</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Եվրոպական դատարանը պարզաբանել է նաև փաստաբանի մատչելիության իրավունքի բովանդակությունը:</w:t>
            </w:r>
            <w:r w:rsidRPr="00EE6221">
              <w:rPr>
                <w:rFonts w:ascii="GHEA Grapalat" w:eastAsia="GHEA Grapalat" w:hAnsi="GHEA Grapalat" w:cs="GHEA Grapalat"/>
                <w:iCs/>
                <w:sz w:val="24"/>
                <w:szCs w:val="24"/>
                <w:lang w:val="hy-AM" w:bidi="hy-AM"/>
              </w:rPr>
              <w:tab/>
              <w:t>Եվրոպական դատարանը առանձնացրեց երկու</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նվազագույն պահանջ. 1) հարցաքննությունից առաջ փաստաբանի հետ կապվելու և խորհրդակցելու իրավունք, որը ներառում է նաև փաստաբանին գաղտնի ցուցումներ տալու իրավունքը և (2) ոստիկանությունում սկզբնական հարցաքննության և մինչդատական վարույթի շրջանակներում հետագա այլ հարցաքննություններում փաստաբանի ֆիզիկական ներկայությունը: Նման ներկայությունը պետք է ապահովի արդյունավետ և գործնական իրավաբանական օգնություն: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Փաստաբանի մատչելիության իրավունքը հավասարապես կարևոր է, երբ անձին խնդրում են հետևել իշխանություններին (քրեական հետապնդում իրականացնող մարմիններ), նույնիսկ այն դեպքում, երբ անձը չի գտնվում կալանքի տակ: Նման պայմաններում, դեռևս առկա է վտանգ, որ անձը կարող է ենթարկվել բռնության և (կամ) ստիպված լինի զրպարտել իրեն կամ ուրիշներին: Քանի որ երբեք հնարավոր չէ երաշխավորել, որ ձերբակալում իրականացնող մարմինները (ներառյալ, օրինակ, ոստիկանությունը, հետախուզության աշխատակիցները և անվտանգության աշխատակիցները, որոնց հետ պետությունը պայմանագրեր ունի), բոլոր դեպքերում հարգելու են այդ իրավունքը, անհրաժեշտ են համապատասխան երաշխիքներ, ներառյալ փաստաբանի մատչելիության իրավունքը:</w:t>
            </w:r>
            <w:r w:rsidRPr="00EE6221">
              <w:rPr>
                <w:rFonts w:ascii="GHEA Grapalat" w:eastAsia="GHEA Grapalat" w:hAnsi="GHEA Grapalat" w:cs="GHEA Grapalat"/>
                <w:iCs/>
                <w:sz w:val="24"/>
                <w:szCs w:val="24"/>
                <w:lang w:val="hy-AM" w:bidi="hy-AM"/>
              </w:rPr>
              <w:tab/>
              <w:t>Գործնական իմաստով,</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փաստաբանի մատչելիության իրավունքի արդյունավետ իրականացումը ենթադրում է, որ ձերբակալվածը ազատության զրկումից հետո հնարավորինս շուտ հաղորդակցվի իր կողմից ընտրված փաստաբանի հետ:</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ԽԿԿ-ն առանձնակի կարևորություն է տալիս ոստիկանության կողմից բերման ենթարկված անձանց երեք իրավունքներին. Այդ անձի ձերբակալության փաստի մասին տեղեկացված լինելու իրավունքը իր ընտրության երրորդ կողմի (ընտանիքի անդամ, ընկեր, հյուպատոսարան), փաստաբանի մատչելիության իրավունքը և բժշկական զննում պահանջելու իրավունք: Ըստ ԽԿԿ-ն դրանք կազմում են երեք հիմնական երաշխիք ձերբակալվածների նկատմամբ վատ վերաբերմունքի դեմ, որոնք պետք է կիրառվեն ազատությունից զրկման առաջին պահից անկախ նրանից, թե ինչպես կարելի է դա նկարագրել համապատասխան իրավական համակարգում (կալանք, ձերբակալություն և այլն):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Փաստաբանի մատչելիության իրավունքը պետք է կիրառվի անկախ նրանից, թե որքան «լուրջ է» այն իրավախախտումը, որի կատարման մեջ կասկածվում է ձերբակալված անձը: Իսկապես, հատկապես վտանգավոր հանցագործությունների մեջ կասկածվողները, կարող են դասվել այն անձանց շարքը, ովքեր ամենաշատն են կրում վատ վերաբերմունքի ենթարկվելու ռիսկը և այդ պատճառով հենց նրանց է ամենից շատ անհրաժեշտ փաստաբանի մատչելիությունը: Լետևաբար, ԽԿԿ-ն դեմ է այն միջոցներին, որոնք որոշակի ժամանակահատվածի ընթացքում նախատեսում են փաստաբանի մատչելիության պարբերաբար մերժում այն ձերբակալվածների համար, ովքեր կասկածվում են որոշակի կարգի իրավախախտումներ կատարելու մեջ (օրինակ, հակաահաբեկչական օրենսդրությամբ նախատեսված իրավախախտումները): Այն հարցը, թե արադարացված են արդյոք փաստաբանի մատչելիության իրավունքի սահմանափակումները, պետք է քննարկվի յուրաքանչյուր դեպքի համար առանձին, այլ ոչ թե կանխորոշվի կախված իրավախախտման որոշակի տեսակից: ՀՀ քրեական դատավարության նախագիծը չի երաշխավորում անձի փաստաբանի մատչելիության իրավունքը մինչև հետաքննության մարմնի կամ վարույթն իրականացնելու իրավասություն ունեցող մարմնի վարչական շենք մուտք գործելը: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Ներկայացված միջազգային փորձը և չափորոշիչները հստակ սահմանում են անձի փաստաբանի մատչելիության իրավունքը ազատությունից զրկելու առաջին իսկ պահից, որը առնվազն ենթադրում է հարցաքննությունից առաջ փաստաբանի հետ կապվելու և խորհրդակցելու իրավունքը և փաստաբանի ֆիզիկական ներկայությունը իրականացվող ցանկացած հարցաքննությանը: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օրենսգրքի նախագիծը անհրաժեշտ է վերանայել փաստաբանի մատչելիության իրավունքի երաշխավորման տեսանկյունից:</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1F218F" w:rsidRPr="00EE6221" w:rsidRDefault="001F218F" w:rsidP="002B3679">
            <w:pPr>
              <w:numPr>
                <w:ilvl w:val="0"/>
                <w:numId w:val="2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46-րդ հոդվածը խմբագրել, սահմանելով, որ վարույթին պաշտպանի մասնակցությունը պարտադիր է ձերբակալված անձին ազատությունից փաստացի գրվելուց հետո կամ անձին մեղադրանք ներկայացնելու պահից, քանի դեռ վարույթն իրականացնող մարմինը սույն օրենսգրքով սահմանված դեպքերում և կարգով չի ընդունել մեղադրյալի հրաժարվելը պաշտպանից:</w:t>
            </w:r>
          </w:p>
          <w:p w:rsidR="001F218F" w:rsidRPr="00EE6221" w:rsidRDefault="001F218F" w:rsidP="002B3679">
            <w:pPr>
              <w:numPr>
                <w:ilvl w:val="0"/>
                <w:numId w:val="2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110-րդ հոդվածը խմբագրել, սահմանելով, որ ՀՀ քրեական դատավարության օրենսգրքի նախագծի 108-րդ հոդվածի 1-ին մասի 1-ին կետի հիմքով ձերբակալված անձը ձերբակալման որոշումը ստանալու պահից, իսկ եթե օրենքով սահմանված ժամկետում այն չի հանձնվել, ապա իրեն ազատությունից փաստացի զրկելուց հետո ձեռք է բերում սույն օրենսգրքով մեղադրյալի համար նախատեսված բոլոր վերաբերելի իրավունքները և պարտականությունները:</w:t>
            </w:r>
          </w:p>
          <w:p w:rsidR="001F218F" w:rsidRPr="00EE6221" w:rsidRDefault="001F218F" w:rsidP="002B3679">
            <w:pPr>
              <w:numPr>
                <w:ilvl w:val="0"/>
                <w:numId w:val="23"/>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ՀՀ քրեական դատավարության օրենսգրքի նախագծի 110-րդ հոդվածի 2-րդ մասը խմբագրել հետևյալ բովանդակությամբ. «2. Ձերբակալված անձն ունի հետևյալ իրավունքները'</w:t>
            </w:r>
          </w:p>
          <w:p w:rsidR="001F218F" w:rsidRPr="00EE6221" w:rsidRDefault="001F218F" w:rsidP="002B3679">
            <w:pPr>
              <w:numPr>
                <w:ilvl w:val="0"/>
                <w:numId w:val="2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իմանալ իրեն ազատությունից զրկելու պատճառը.</w:t>
            </w:r>
          </w:p>
          <w:p w:rsidR="001F218F" w:rsidRPr="00EE6221" w:rsidRDefault="001F218F" w:rsidP="002B3679">
            <w:pPr>
              <w:numPr>
                <w:ilvl w:val="0"/>
                <w:numId w:val="2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պահպանել լռություն.</w:t>
            </w:r>
          </w:p>
          <w:p w:rsidR="001F218F" w:rsidRPr="00EE6221" w:rsidRDefault="001F218F" w:rsidP="002B3679">
            <w:pPr>
              <w:numPr>
                <w:ilvl w:val="0"/>
                <w:numId w:val="2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իր ընտրած անձին տեղեկացնել իր գտնվելու վայրի մասին.</w:t>
            </w:r>
          </w:p>
          <w:p w:rsidR="001F218F" w:rsidRPr="00EE6221" w:rsidRDefault="001F218F" w:rsidP="002B3679">
            <w:pPr>
              <w:numPr>
                <w:ilvl w:val="0"/>
                <w:numId w:val="24"/>
              </w:numPr>
              <w:spacing w:after="0"/>
              <w:jc w:val="both"/>
              <w:rPr>
                <w:rFonts w:ascii="GHEA Grapalat" w:eastAsia="GHEA Grapalat" w:hAnsi="GHEA Grapalat" w:cs="GHEA Grapalat"/>
                <w:b/>
                <w:bCs/>
                <w:i/>
                <w:iCs/>
                <w:sz w:val="24"/>
                <w:szCs w:val="24"/>
                <w:lang w:val="hy-AM" w:bidi="hy-AM"/>
              </w:rPr>
            </w:pPr>
            <w:r w:rsidRPr="00EE6221">
              <w:rPr>
                <w:rFonts w:ascii="GHEA Grapalat" w:eastAsia="GHEA Grapalat" w:hAnsi="GHEA Grapalat" w:cs="GHEA Grapalat"/>
                <w:b/>
                <w:bCs/>
                <w:i/>
                <w:iCs/>
                <w:sz w:val="24"/>
                <w:szCs w:val="24"/>
                <w:lang w:val="hy-AM" w:bidi="hy-AM"/>
              </w:rPr>
              <w:t xml:space="preserve"> հաղորդակցվել փաստաբանի հետ</w:t>
            </w:r>
          </w:p>
          <w:p w:rsidR="001F218F" w:rsidRPr="00EE6221" w:rsidRDefault="001F218F" w:rsidP="002B3679">
            <w:pPr>
              <w:numPr>
                <w:ilvl w:val="0"/>
                <w:numId w:val="24"/>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տեսակցել փաստաբանի հետ.</w:t>
            </w:r>
          </w:p>
          <w:p w:rsidR="007448CB"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իր պահանջով ենթարկվել բժշկական զննման:</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AB1BA7" w:rsidP="00AB1BA7">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8CB" w:rsidRPr="00EE6221" w:rsidRDefault="00AB1BA7" w:rsidP="002B3679">
            <w:pPr>
              <w:jc w:val="both"/>
              <w:rPr>
                <w:rFonts w:ascii="GHEA Grapalat" w:hAnsi="GHEA Grapalat"/>
                <w:sz w:val="24"/>
                <w:szCs w:val="24"/>
                <w:lang w:val="hy-AM"/>
              </w:rPr>
            </w:pPr>
            <w:r w:rsidRPr="00EE6221">
              <w:rPr>
                <w:rFonts w:ascii="GHEA Grapalat" w:hAnsi="GHEA Grapalat"/>
                <w:sz w:val="24"/>
                <w:szCs w:val="24"/>
                <w:lang w:val="hy-AM"/>
              </w:rPr>
              <w:t>Նախագծի 46</w:t>
            </w:r>
            <w:r w:rsidR="00DB4754" w:rsidRPr="00EE6221">
              <w:rPr>
                <w:rFonts w:ascii="GHEA Grapalat" w:hAnsi="GHEA Grapalat"/>
                <w:sz w:val="24"/>
                <w:szCs w:val="24"/>
                <w:lang w:val="hy-AM"/>
              </w:rPr>
              <w:t>-րդ</w:t>
            </w:r>
            <w:r w:rsidRPr="00EE6221">
              <w:rPr>
                <w:rFonts w:ascii="GHEA Grapalat" w:hAnsi="GHEA Grapalat"/>
                <w:sz w:val="24"/>
                <w:szCs w:val="24"/>
                <w:lang w:val="hy-AM"/>
              </w:rPr>
              <w:t xml:space="preserve"> հոդվածի 1-ին մասի, </w:t>
            </w:r>
            <w:r w:rsidR="00232E5C" w:rsidRPr="00EE6221">
              <w:rPr>
                <w:rFonts w:ascii="GHEA Grapalat" w:hAnsi="GHEA Grapalat"/>
                <w:sz w:val="24"/>
                <w:szCs w:val="24"/>
                <w:lang w:val="hy-AM"/>
              </w:rPr>
              <w:t>109</w:t>
            </w:r>
            <w:r w:rsidR="00DB4754" w:rsidRPr="00EE6221">
              <w:rPr>
                <w:rFonts w:ascii="GHEA Grapalat" w:hAnsi="GHEA Grapalat"/>
                <w:sz w:val="24"/>
                <w:szCs w:val="24"/>
                <w:lang w:val="hy-AM"/>
              </w:rPr>
              <w:t>-րդ</w:t>
            </w:r>
            <w:r w:rsidR="00232E5C" w:rsidRPr="00EE6221">
              <w:rPr>
                <w:rFonts w:ascii="GHEA Grapalat" w:hAnsi="GHEA Grapalat"/>
                <w:sz w:val="24"/>
                <w:szCs w:val="24"/>
                <w:lang w:val="hy-AM"/>
              </w:rPr>
              <w:t xml:space="preserve"> և 110</w:t>
            </w:r>
            <w:r w:rsidR="00DB4754" w:rsidRPr="00EE6221">
              <w:rPr>
                <w:rFonts w:ascii="GHEA Grapalat" w:hAnsi="GHEA Grapalat"/>
                <w:sz w:val="24"/>
                <w:szCs w:val="24"/>
                <w:lang w:val="hy-AM"/>
              </w:rPr>
              <w:t>-րդ</w:t>
            </w:r>
            <w:r w:rsidR="00232E5C" w:rsidRPr="00EE6221">
              <w:rPr>
                <w:rFonts w:ascii="GHEA Grapalat" w:hAnsi="GHEA Grapalat"/>
                <w:sz w:val="24"/>
                <w:szCs w:val="24"/>
                <w:lang w:val="hy-AM"/>
              </w:rPr>
              <w:t xml:space="preserve"> հոդվածներում առկա համալիր իրավակարգավորումները լիովին համապատասխանում են վերաբերելի, այդ թվում՝ առաջարկության մեջ վկայակոչված միջազգային չափորոշիչներին։</w:t>
            </w:r>
          </w:p>
        </w:tc>
      </w:tr>
      <w:tr w:rsidR="007448CB" w:rsidRPr="00EE6221" w:rsidTr="002B75A5">
        <w:tc>
          <w:tcPr>
            <w:tcW w:w="283"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p w:rsidR="007448CB" w:rsidRPr="00EE6221" w:rsidRDefault="007448CB"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7448CB" w:rsidRPr="00EE6221" w:rsidRDefault="007448CB" w:rsidP="002B3679">
            <w:pPr>
              <w:jc w:val="both"/>
              <w:rPr>
                <w:rFonts w:ascii="GHEA Grapalat" w:eastAsia="GHEA Grapalat" w:hAnsi="GHEA Grapalat" w:cs="GHEA Grapalat"/>
                <w:sz w:val="24"/>
                <w:szCs w:val="24"/>
                <w:lang w:val="hy-AM"/>
              </w:rPr>
            </w:pPr>
          </w:p>
        </w:tc>
        <w:tc>
          <w:tcPr>
            <w:tcW w:w="8370" w:type="dxa"/>
            <w:tcBorders>
              <w:top w:val="single" w:sz="1" w:space="0" w:color="000000"/>
              <w:left w:val="single" w:sz="1" w:space="0" w:color="000000"/>
              <w:bottom w:val="single" w:sz="1" w:space="0" w:color="000000"/>
              <w:right w:val="single" w:sz="1" w:space="0" w:color="000000"/>
            </w:tcBorders>
          </w:tcPr>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12. </w:t>
            </w:r>
            <w:bookmarkStart w:id="10" w:name="bookmark11"/>
            <w:r w:rsidRPr="00EE6221">
              <w:rPr>
                <w:rFonts w:ascii="GHEA Grapalat" w:eastAsia="GHEA Grapalat" w:hAnsi="GHEA Grapalat" w:cs="GHEA Grapalat"/>
                <w:iCs/>
                <w:sz w:val="24"/>
                <w:szCs w:val="24"/>
                <w:lang w:val="hy-AM" w:bidi="hy-AM"/>
              </w:rPr>
              <w:t>ՀՀ սահմանադրության 26-րդ հոդվածի 1-ին մասի համաձայն «Ոչ ոք չի կարող ենթարկվել խոշտանգման, անմարդկային կամ նվաստացնող վերաբերմունքի կամ պատժի»:</w:t>
            </w:r>
            <w:bookmarkEnd w:id="10"/>
          </w:p>
          <w:p w:rsidR="001F218F" w:rsidRPr="00EE6221" w:rsidRDefault="001F218F" w:rsidP="004106AD">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Քաղաքացիական և քաղաքական իրավունքների մասին միջազգային դաշնագրի</w:t>
            </w:r>
            <w:r w:rsidR="004106AD" w:rsidRPr="00EE6221">
              <w:rPr>
                <w:rFonts w:ascii="GHEA Grapalat" w:eastAsia="GHEA Grapalat" w:hAnsi="GHEA Grapalat" w:cs="GHEA Grapalat"/>
                <w:iCs/>
                <w:sz w:val="24"/>
                <w:szCs w:val="24"/>
                <w:lang w:val="hy-AM" w:bidi="hy-AM"/>
              </w:rPr>
              <w:t xml:space="preserve"> 6-</w:t>
            </w:r>
            <w:r w:rsidRPr="00EE6221">
              <w:rPr>
                <w:rFonts w:ascii="GHEA Grapalat" w:eastAsia="GHEA Grapalat" w:hAnsi="GHEA Grapalat" w:cs="GHEA Grapalat"/>
                <w:iCs/>
                <w:sz w:val="24"/>
                <w:szCs w:val="24"/>
                <w:lang w:val="hy-AM" w:bidi="hy-AM"/>
              </w:rPr>
              <w:t>րդ հոդվածի համաձայն «Ոչ ոք չպետք է ենթարկվի խոշտանգումների կամ էլ դաժան, անմարդկային կամ իր արժանապատվությունը նվաստացնող վերաբերմունքի կամ պատժի»:</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Եվրոպական կոնվենցիայի 3-րդ հոդվածի համաձայն «Ոչ ոք չպետք է ենթարկվի խոշտանգումների կամ անմարդկային կամ նվաստացնող վերաբերմունքի կամ պատժի»:</w:t>
            </w:r>
            <w:r w:rsidR="004106AD" w:rsidRPr="00EE6221">
              <w:rPr>
                <w:rFonts w:ascii="GHEA Grapalat" w:eastAsia="GHEA Grapalat" w:hAnsi="GHEA Grapalat" w:cs="GHEA Grapalat"/>
                <w:iCs/>
                <w:sz w:val="24"/>
                <w:szCs w:val="24"/>
                <w:lang w:val="hy-AM" w:bidi="hy-AM"/>
              </w:rPr>
              <w:t xml:space="preserve"> </w:t>
            </w:r>
            <w:r w:rsidRPr="00EE6221">
              <w:rPr>
                <w:rFonts w:ascii="GHEA Grapalat" w:eastAsia="GHEA Grapalat" w:hAnsi="GHEA Grapalat" w:cs="GHEA Grapalat"/>
                <w:iCs/>
                <w:sz w:val="24"/>
                <w:szCs w:val="24"/>
                <w:lang w:val="hy-AM" w:bidi="hy-AM"/>
              </w:rPr>
              <w:t>Եվրոպական կոնվենցիայի 3-րդ հոդվածը հանդիսանում է ժողովրդավարական հասարակությունների ամենահիմնարար արժեքներից մեկը: Նույնիսկ ամենաբարդ իրավիճակներում, ինչպես օրինակ ահաբեկչության և կազմակերպված հանցավորության դեմ պայքարում, Կոնվենցիայով բացարձակ իմաստով արգելվում է խոշտանգումը և անմարդկային կամ նվաստացնող վերաբերմունքը կամ պատիժը անկախ տուժողի վարքագծից: Եվրոպական կոնվենցիայի 3-րդ հոդվածով որևէ բացառություն չի նախատեսվում, և Եվրոպական կոնվենցիայի 15-րդ հոդվածի 2-րդ կետի համաձայն չի թույլատրվում որևէ շեղում կատարել այդ պայմանից, նույնիսկ բնակչության կյանքին սպառնացող արտակարգ դրության դեպքում:</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Ինչ վերաբերում է ազատությունից զրկված, կամ ընդհանուր առմամբ, իրավապահ մարմինների աշխատակիցների հետ առնչվող անձանց, նրանց նկատմամբ ցանկացած ֆիզիկական ուժի գործադրումը, որը խիստ պայմանավորված չէ նրանց վարքագծով, խաթարում է մարդկային արժանապատվությունը և, ի սկզբանե, հանդիսանում է Եվրոպական կոնվենցիայի 3-րդ հոդվածում ամրագրված իրավունքի խախտում:</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նախագծի 58-րդ հոդվածի 2-րդ մասի 3-րդ կետի համաձայն վկան պարտավոր է վարույթն իրականացնող մարմնի պահանջով փորձաքննության համար հանձնել սույն օրենսգրքով նախատեսված նմուշներ, ենթարկվել քննման և փորձաքննության, եթե դա անհրաժեշտ է իր տված ցուցմունքը ստուգելու համար: ՀՀ քրեական դատավարության նախագծի 43-րդ հոդվածի 2-րդ մասի 2-րդ կետի համաձայն մեղադրյալը պարտավոր է վարույթն իրականացնող մարմնի պահանջով ենթարկվել բժշկական հետազոտության, մատնադրոշմման, անձնական խուզարկության, քննման և փորձաքննության, լուսանկարվել կամ փորձաքննության համար հանձնել սույն օրենսգրքով նախատեսված նմուշներ:</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ՀՀ քրեական դատավարության նախագծի 50-րդ հոդվածի 3-րդ մասի 3-րդ կետի համաձայն տուժողը պարտավոր է վարույթն իրականացնող մարմնի պահանջով փորձաքննության համար հանձնել սույն օրենսգրքով նախատեսված նմուշներ, ենթարկվել քննման և փորձաքննության: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Արդյոք ՀՀ ներպետական օրենսդրությունը այն մասով, որը առնչվում է համեմատական հետոզությունների համար նմուշների հավաքմանը, համապատասխանում է միջազգային լավագույն փորձին, միջազգային իրավակարգավորումներին ու ստանդարտներին: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Եթե անձը համաձայնություն չի տալիս կամավոր կերպով հանձնել արյան, մարմնի արտաթորությունների նմուշներ, և դիմադրություն է ցուցաբերում իրավապահ մարմինների աշխատակիցների գործողություններին, ապա տվյալ գործում անհնարին է առանց բռնության գործադրման, ինչպես նաև ֆիզիկական ուժի վերցնել համապատասխան նմուշներ:</w:t>
            </w:r>
            <w:r w:rsidRPr="00EE6221">
              <w:rPr>
                <w:rFonts w:ascii="GHEA Grapalat" w:eastAsia="GHEA Grapalat" w:hAnsi="GHEA Grapalat" w:cs="GHEA Grapalat"/>
                <w:iCs/>
                <w:sz w:val="24"/>
                <w:szCs w:val="24"/>
                <w:lang w:val="hy-AM" w:bidi="hy-AM"/>
              </w:rPr>
              <w:tab/>
              <w:t>Ուժի գործադրումը համակցված է անձնական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անձեռնմխելիության իրավունքի խախտումով, արժանապատվությունը նվաստացնող վերաբերմունքով:</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Որոշ հեղինակներ</w:t>
            </w:r>
            <w:r w:rsidRPr="00EE6221">
              <w:rPr>
                <w:rFonts w:ascii="GHEA Grapalat" w:eastAsia="GHEA Grapalat" w:hAnsi="GHEA Grapalat" w:cs="GHEA Grapalat"/>
                <w:iCs/>
                <w:sz w:val="24"/>
                <w:szCs w:val="24"/>
                <w:vertAlign w:val="superscript"/>
                <w:lang w:val="hy-AM" w:bidi="hy-AM"/>
              </w:rPr>
              <w:footnoteReference w:id="1"/>
            </w:r>
            <w:r w:rsidRPr="00EE6221">
              <w:rPr>
                <w:rFonts w:ascii="GHEA Grapalat" w:eastAsia="GHEA Grapalat" w:hAnsi="GHEA Grapalat" w:cs="GHEA Grapalat"/>
                <w:iCs/>
                <w:sz w:val="24"/>
                <w:szCs w:val="24"/>
                <w:lang w:val="hy-AM" w:bidi="hy-AM"/>
              </w:rPr>
              <w:t xml:space="preserve"> եզրակացնում են, որ անձեռնմխելիության իրավունքի սահմանափակումը ներառյալ հարկադրաբար անձից նմուշներ վերցնելը դատաբժշկական հետազոտության համար ինչպես և կալանքը, պետք է թույլատրվի միայն դատարնի որոշման հիման վրա:</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Վրաստանի քրեական դատավարության օրենսգրքի 147-րդ հոդվածի 3-րդ մասի համաձայն նմուշ վերցնելը, որը չի առաջացնում ուժեղ ցավ, թույլատրվում է միայն անձի համաձայնությամբ: Եթե նմուշ վերցնելը չի պատճառում ուժեղ ցավ, և անձը հրաժարվում է ինքնակամ նմուշը տրամադրելուց, կամ անձը չի կարողանում իր կամքն արտահայտել իրենից նմուշ վերցնելու վերաբերյալ, ապա նմուշը վերցվում է դատարանի որոշման հիման վրա կողմի միջնորդությամբ: Նույն հոդվածի 4-րդ մասի համաձայն ծայրահեղ անհրաժեշտության դեպքում նմուշը վերցնելուց հետո 12 ժամվա ընթացքում (եթե այդ ժամկետը լրանանում է ոչ աշխատանքային օրը, ապա ոչ ուշ, քան մեկ ժամվա ընթացքում այդ ժամկետը լրանալուց հետո), դատախազը դատարան էներկայացնում միջնորդություն, որով պահանջում է ուսումնասիրել նմուշ ստանալու օրինականությունը, և հաստատել քրեական գործի նյութերը (կամ դրանց պատճենները), որոնք հիմնավորում են գործողությունների իրականացման հրատապությունը: Նյութերը ստանալուց հետո ոչ ուշ, քան 24 ժամվա ընթացքում, դատարանը կայացնում է որոշում առանց դատական լսման: Դատարանը կարող է քննարկել միջնորդությունը դատախազի մասնակցությամբ և այն անձի, ում նկատմամբ իրականացվել է քննչական գործողությունը: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Հարկ է ընդգծել, որ Վրաստանի քրեական դատավարության օրենսգիրքը նախատեսում է այնպիսի երաշխիք, որը պաշտպանում է որոշակի առումով անձին, ով պետք է հանձնի համեմատական հետազոտության համար նմուշ: Տվյալ երաշխիքը ամրագրված է Վրաստանի քրեական դատավարության օրենսգրքի 147-րդ հոդվածի 5- րդ մասում. նմուշի հավաքումը, որը առաջացնում է ուժեղ ցավ, թույլատրվում է միայն բացառիկ դեպքերում և այն անձի համաձայնությամբ, որից նմուշը պետք է վերցվի:Վրաստանի քրեական դատավարության օրենսգրքի նախագծի վերաբերյալ 2014 թ. ԵԱՀԿ/ժՀՄԻԳի և Եվրոպահի Խուրհուրդի համատեղ կարծիքում նշվել է, որ այդ երաշխիքը պետք է հստակորեն լրացվի դրույթով, որի համաձայն ցանկացած գործընթաց, որով ֆիզիկական անձինք պարտավոր են մերկանալ, և եթե դա բացահայտում է մարմնի ինտիմ հատվածներ ապա, որպես կանոն, այն կարող է թույլատրվել, եթե միայն փորձաքննության ենթակա անձը արտահայտում է իր նախնական համաձայնությունը: Նման դրույթները կարող են նաև լրացվել, որպեսզի տուժողների մարմնական վնասվածքները լուսանկարվեն միայն անձի համաձայնությամբ:</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Խորվաթիայի քրեական օրենգրքի 326-րդ հոդվածի 2-րդ մասի համաձայն դատաքննության համար այլ համապատասխան փաստեր վերլուծելու և որոշելու նպատակով բշկական գիտության կանոններին համապատասխան կատարված արյան նմուշների հանձնումը և այլ բժշկական պրոցեդուրաների կիրառումը կարող է իրականացվել առանց կասկածյալի կամ ամբաստանյալի համաձայնությամբ, եթե այն չի առաջացնում անձի առողջության համար վնասակար հետևանքներ:</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Գերմանիայի քրեական դատավարության օրենսգրքի </w:t>
            </w:r>
            <w:r w:rsidRPr="00EE6221">
              <w:rPr>
                <w:rFonts w:ascii="GHEA Grapalat" w:eastAsia="GHEA Grapalat" w:hAnsi="GHEA Grapalat" w:cs="GHEA Grapalat"/>
                <w:iCs/>
                <w:sz w:val="24"/>
                <w:szCs w:val="24"/>
                <w:lang w:val="hy-AM" w:bidi="en-US"/>
              </w:rPr>
              <w:t xml:space="preserve">81(a) </w:t>
            </w:r>
            <w:r w:rsidRPr="00EE6221">
              <w:rPr>
                <w:rFonts w:ascii="GHEA Grapalat" w:eastAsia="GHEA Grapalat" w:hAnsi="GHEA Grapalat" w:cs="GHEA Grapalat"/>
                <w:iCs/>
                <w:sz w:val="24"/>
                <w:szCs w:val="24"/>
                <w:lang w:val="hy-AM" w:bidi="hy-AM"/>
              </w:rPr>
              <w:t>հոդվածի համաձայն քննություն իրականացնելու նպատակով արյան նմուշներ վերցնելը և այլ մարմնական ներխուժումներ իրականացնելը, որոնք կատարվում են բժշկի կողմից բժշկական գիտության կանոնների համաձայն թույլատրվում է առանց մեղադրյալի համաձայնության, եթե անձի առողջությանը որևէ վնաս չի սպառնում: Նման կարգադրություն տալու իրավասությունը պատկանում է դատարանին (...):</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Շվեյցարիայի քրեական դատավարության օրենսգրքի 256-րդ հոդվածի համաձայն քրեական հանցագործության քննության ընթացքում դատարանը դատախազի միջնորդության հիման վրա կարող է ընդունել որոշում նմուշների հարկադրաբար հանձնման մասին, որպեսզի ԴՆԹ-ի պրոֆիլներ ստեղծվեն այն անձանցից, որոնք հանցագործության բացահայտման համար նշանակություն ունեցոցղ հատկանիշներ ունեն:</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Ինչ վերաբերվում է բժշկական միջամտությունների, որոնց ազատազրկված անձը ենթարկվում իր կամքին հակառակ Եվրոպական կոնվենցիայի 3-րդ հոդվածը պետությանը պարտավորեցնում է պաշտպանել ազատությունից զրկված անձանց ֆիզիկական բարեկեցությունը, օրինակ վերջիներին տրամադրելով անհրաժեշտ բժշկական օգնություն: ՅաՀՀող ընդդեմ Գերմանիայի 2006 թ. հուլիսի 11-ի գործով Եվրոպական դատարանն արձանագրեց, որ նույնիսկ այն դեպքերում, երբ այն չի բխում բժշկական անհրաժեշտությունից, Կոնվենցիայի 3-րդ և 8-րդ հոդվածները չեն արգելում կիրառել կասկածյալի կամքին հակառակ բժշկական ընթացակարգ </w:t>
            </w:r>
            <w:r w:rsidRPr="00EE6221">
              <w:rPr>
                <w:rFonts w:ascii="GHEA Grapalat" w:eastAsia="GHEA Grapalat" w:hAnsi="GHEA Grapalat" w:cs="GHEA Grapalat"/>
                <w:iCs/>
                <w:sz w:val="24"/>
                <w:szCs w:val="24"/>
                <w:lang w:val="hy-AM" w:bidi="en-US"/>
              </w:rPr>
              <w:t xml:space="preserve">(medical procedure) </w:t>
            </w:r>
            <w:r w:rsidRPr="00EE6221">
              <w:rPr>
                <w:rFonts w:ascii="GHEA Grapalat" w:eastAsia="GHEA Grapalat" w:hAnsi="GHEA Grapalat" w:cs="GHEA Grapalat"/>
                <w:iCs/>
                <w:sz w:val="24"/>
                <w:szCs w:val="24"/>
                <w:lang w:val="hy-AM" w:bidi="hy-AM"/>
              </w:rPr>
              <w:t>հանցագործության մեջ անձի ներգրավվածության մասին ապացույցներ ձեռք բերելու նպատակով:</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Այնուամենայնիվ, հանցագործության մասին ապացույցներ ձեռք բերելու համար պարտադիր բժշկական միջամտության ցանկացած քայլ պետք է պատճառաբանված հիմնավորվի կոնկրետ գործի փաստերով: Սա հատկապես արդարացված է, երբ ընթացակարգը նախատեսված է հանցագործության մեջ կասկածվող անձից իրական ապացույցներ դուրս բերելու համար: Այս կապակցությամբ պետք է ուշադրություն դարձնել հանցագործության ծանրութանը: Իշխանությունները պետք է նաև ցույց տան, որ հաշվի են առել ապացույցների վերականգնման այլընտրանքային մեթոդները: Բացի այդ, ընթացակարգը չպետք է որևէ կասկածյալի առողջության համար երկարատև վնաս հասցնելու ռիսկ առաջացնի:</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Ընդ որում, ինչպես բուժման նպատակով իրականացվող միջամտությունների դեպքերում, անձին պարտադիր բժշկական ընթացակարգին ենթարկելու մեթոդը, իր մարմնից ապացույցներ դուրս հանելու համար չպետք է գերազանցի Եվրոպական դատարանի Կոնվենցիայի 3-րդ հոդվածին վերաբերող նախադեպային իրավունքի համաձայն սահմանված նվազագույն մակարդակի խստությանը: Մասնավորապես, անհրաժեշտ է հաշվի առնել, թե արդյոք տվյալ անձը ուժեղ ֆիզիկական ցավ կամ տառապանք է ունեցել պարտադիր բժշկական միջամտության արդյունքում:</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Նման դեպքերում ևս կարևոր քննարկման հարց է, թե արդյոք պարտադիր բժշկական կարգը սահմանվել և իրականացվել է բժիշկների կողմից, և արդյոք տվյալ անձը մշտական բժշկական վերահսկողության տակ է:Մեկ այլ կարևոր գործոն է, արդյոք պարտադիր բժշկական միջամտությունը հանգեցրել է նրա առողջության վատթարացմանը և արդյոք դա երկարատև հետևանքներ ունի անձի առողջության համար:Մարդու իրավունքների եվրոպական դատարանը հստակորեն բաժանում է ապացույցներ ձեռք բերելու անհրաժեշտությունը բժշկական, ինչպես նաև ինվազիվ միջամտություն իրականացնելու դեպքերից, նշելով քրեական հետապնդման ենթարկված անձանց ընթացակարգային երաշխիքների կարևորությունը և անքակտելիությունը:</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Այսպիսով, Եվրոպական դատարանը հաստատել է, որ Եվրոպական կոնվենցիան սկզբունքորեն չի արգելում կիրառել պարտադիր բժշկական միջամտություն, որը կնպաստի հանցագործության քննությանը:</w:t>
            </w:r>
            <w:r w:rsidRPr="00EE6221">
              <w:rPr>
                <w:rFonts w:ascii="GHEA Grapalat" w:eastAsia="GHEA Grapalat" w:hAnsi="GHEA Grapalat" w:cs="GHEA Grapalat"/>
                <w:iCs/>
                <w:sz w:val="24"/>
                <w:szCs w:val="24"/>
                <w:lang w:val="hy-AM" w:bidi="hy-AM"/>
              </w:rPr>
              <w:tab/>
              <w:t>Սակայն անձիֆիզիկական անձռնմխելիության ցանկացած միջամտություն, որը իրականացվում է ապացույցների ձեռք բերման նպատակով, պետք է մանրազնին ուսումնասիրության առարկա դառնա:</w:t>
            </w:r>
          </w:p>
          <w:p w:rsidR="001F218F" w:rsidRPr="00EE6221" w:rsidRDefault="001F218F" w:rsidP="002B3679">
            <w:p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Առաջարկում ենք.</w:t>
            </w:r>
          </w:p>
          <w:p w:rsidR="001F218F" w:rsidRPr="00EE6221" w:rsidRDefault="001F218F" w:rsidP="002B3679">
            <w:pPr>
              <w:numPr>
                <w:ilvl w:val="0"/>
                <w:numId w:val="2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 xml:space="preserve"> Եթե անձը հրաժարվում է համեմատական հետոզությունների համար հանձնել նմուշներ այն կարող է իրականացվել առանց անձի համաձայնությամբ դատարնի որոշման հիման վրա:</w:t>
            </w:r>
          </w:p>
          <w:p w:rsidR="001F218F" w:rsidRPr="00EE6221" w:rsidRDefault="001F218F" w:rsidP="002B3679">
            <w:pPr>
              <w:numPr>
                <w:ilvl w:val="0"/>
                <w:numId w:val="2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Համեմատական հետոզությունների համար նմուշների պարտադիր հանձնումը սահմանել միայն համապատասխան բժշկի ներկայության դեպքում:</w:t>
            </w:r>
          </w:p>
          <w:p w:rsidR="001F218F" w:rsidRPr="00EE6221" w:rsidRDefault="001F218F" w:rsidP="002B3679">
            <w:pPr>
              <w:numPr>
                <w:ilvl w:val="0"/>
                <w:numId w:val="2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Համեմատական հետոզությունների համար նմուշների հավաքման ժամանակ չպետք է օգտագործվեն այնպիսի միջոցներ կամ մեթոդներ, որոնք վտանգավոր են անձի առողջության կամ կյանքի համար կամ խաթարում են անձի արժանապատվությունը:</w:t>
            </w:r>
          </w:p>
          <w:p w:rsidR="009777A0" w:rsidRPr="00EE6221" w:rsidRDefault="001F218F" w:rsidP="009777A0">
            <w:pPr>
              <w:numPr>
                <w:ilvl w:val="0"/>
                <w:numId w:val="26"/>
              </w:numPr>
              <w:spacing w:after="0"/>
              <w:jc w:val="both"/>
              <w:rPr>
                <w:rFonts w:ascii="GHEA Grapalat" w:eastAsia="GHEA Grapalat" w:hAnsi="GHEA Grapalat" w:cs="GHEA Grapalat"/>
                <w:iCs/>
                <w:sz w:val="24"/>
                <w:szCs w:val="24"/>
                <w:lang w:val="hy-AM" w:bidi="hy-AM"/>
              </w:rPr>
            </w:pPr>
            <w:r w:rsidRPr="00EE6221">
              <w:rPr>
                <w:rFonts w:ascii="GHEA Grapalat" w:eastAsia="GHEA Grapalat" w:hAnsi="GHEA Grapalat" w:cs="GHEA Grapalat"/>
                <w:iCs/>
                <w:sz w:val="24"/>
                <w:szCs w:val="24"/>
                <w:lang w:val="hy-AM" w:bidi="hy-AM"/>
              </w:rPr>
              <w:t>Նմուշների հավաքման ընթացքը տեսագրվելու կամ տեսաձայնագրվելու հնավարությունը սահմանել միայն անձի համաձայնությամբ:</w:t>
            </w:r>
          </w:p>
          <w:p w:rsidR="001F218F" w:rsidRPr="00EE6221" w:rsidRDefault="001F218F" w:rsidP="009777A0">
            <w:pPr>
              <w:numPr>
                <w:ilvl w:val="0"/>
                <w:numId w:val="26"/>
              </w:numPr>
              <w:spacing w:after="0"/>
              <w:jc w:val="both"/>
              <w:rPr>
                <w:rFonts w:ascii="GHEA Grapalat" w:eastAsia="GHEA Grapalat" w:hAnsi="GHEA Grapalat" w:cs="GHEA Grapalat"/>
                <w:iCs/>
                <w:sz w:val="24"/>
                <w:szCs w:val="24"/>
                <w:lang w:val="hy-AM" w:bidi="hy-AM"/>
              </w:rPr>
            </w:pPr>
            <w:r w:rsidRPr="00EE6221">
              <w:rPr>
                <w:rFonts w:ascii="GHEA Grapalat" w:hAnsi="GHEA Grapalat"/>
                <w:sz w:val="24"/>
                <w:szCs w:val="24"/>
                <w:lang w:val="hy-AM"/>
              </w:rPr>
              <w:t>Համեմատական հետազոտությունների համարնմնուշների պարտադիր հանձնումը պետք է իրականացվի ծայրահեղ դեպքերում անձի առողջության ապահովման համար համապատասխան պայմանների առկայությամբ:</w:t>
            </w:r>
          </w:p>
        </w:tc>
        <w:tc>
          <w:tcPr>
            <w:tcW w:w="1872" w:type="dxa"/>
            <w:tcBorders>
              <w:top w:val="single" w:sz="1" w:space="0" w:color="000000"/>
              <w:left w:val="single" w:sz="1" w:space="0" w:color="000000"/>
              <w:bottom w:val="single" w:sz="1" w:space="0" w:color="000000"/>
              <w:right w:val="single" w:sz="1" w:space="0" w:color="000000"/>
            </w:tcBorders>
          </w:tcPr>
          <w:p w:rsidR="007448CB" w:rsidRPr="00EE6221" w:rsidRDefault="00232E5C" w:rsidP="00232E5C">
            <w:pPr>
              <w:jc w:val="center"/>
              <w:rPr>
                <w:rFonts w:ascii="GHEA Grapalat" w:hAnsi="GHEA Grapalat"/>
                <w:sz w:val="24"/>
                <w:szCs w:val="24"/>
                <w:lang w:val="hy-AM"/>
              </w:rPr>
            </w:pPr>
            <w:r w:rsidRPr="00EE6221">
              <w:rPr>
                <w:rFonts w:ascii="GHEA Grapalat" w:hAnsi="GHEA Grapalat"/>
                <w:sz w:val="24"/>
                <w:szCs w:val="24"/>
                <w:lang w:val="hy-AM"/>
              </w:rPr>
              <w:t>Չի ընդունվել</w:t>
            </w:r>
          </w:p>
        </w:tc>
        <w:tc>
          <w:tcPr>
            <w:tcW w:w="3631" w:type="dxa"/>
            <w:tcBorders>
              <w:top w:val="single" w:sz="1" w:space="0" w:color="000000"/>
              <w:left w:val="single" w:sz="1" w:space="0" w:color="000000"/>
              <w:bottom w:val="single" w:sz="1" w:space="0" w:color="000000"/>
              <w:right w:val="single" w:sz="1" w:space="0" w:color="000000"/>
            </w:tcBorders>
          </w:tcPr>
          <w:p w:rsidR="00744637" w:rsidRPr="00EE6221" w:rsidRDefault="00232E5C" w:rsidP="009114C3">
            <w:pPr>
              <w:jc w:val="both"/>
              <w:rPr>
                <w:rFonts w:ascii="GHEA Grapalat" w:hAnsi="GHEA Grapalat"/>
                <w:sz w:val="24"/>
                <w:szCs w:val="24"/>
                <w:lang w:val="hy-AM"/>
              </w:rPr>
            </w:pPr>
            <w:r w:rsidRPr="00EE6221">
              <w:rPr>
                <w:rFonts w:ascii="GHEA Grapalat" w:hAnsi="GHEA Grapalat"/>
                <w:sz w:val="24"/>
                <w:szCs w:val="24"/>
                <w:lang w:val="hy-AM"/>
              </w:rPr>
              <w:t>Նախագծի 18</w:t>
            </w:r>
            <w:r w:rsidR="00DB4754" w:rsidRPr="00EE6221">
              <w:rPr>
                <w:rFonts w:ascii="GHEA Grapalat" w:hAnsi="GHEA Grapalat"/>
                <w:sz w:val="24"/>
                <w:szCs w:val="24"/>
                <w:lang w:val="hy-AM"/>
              </w:rPr>
              <w:t>-րդ</w:t>
            </w:r>
            <w:r w:rsidRPr="00EE6221">
              <w:rPr>
                <w:rFonts w:ascii="GHEA Grapalat" w:hAnsi="GHEA Grapalat"/>
                <w:sz w:val="24"/>
                <w:szCs w:val="24"/>
                <w:lang w:val="hy-AM"/>
              </w:rPr>
              <w:t xml:space="preserve"> հոդվածի 6-8-րդ մասերի, </w:t>
            </w:r>
            <w:r w:rsidR="00744637" w:rsidRPr="00EE6221">
              <w:rPr>
                <w:rFonts w:ascii="GHEA Grapalat" w:hAnsi="GHEA Grapalat"/>
                <w:sz w:val="24"/>
                <w:szCs w:val="24"/>
                <w:lang w:val="hy-AM"/>
              </w:rPr>
              <w:t>97</w:t>
            </w:r>
            <w:r w:rsidR="00DB4754" w:rsidRPr="00EE6221">
              <w:rPr>
                <w:rFonts w:ascii="GHEA Grapalat" w:hAnsi="GHEA Grapalat"/>
                <w:sz w:val="24"/>
                <w:szCs w:val="24"/>
                <w:lang w:val="hy-AM"/>
              </w:rPr>
              <w:t>-րդ</w:t>
            </w:r>
            <w:r w:rsidR="00744637" w:rsidRPr="00EE6221">
              <w:rPr>
                <w:rFonts w:ascii="GHEA Grapalat" w:hAnsi="GHEA Grapalat"/>
                <w:sz w:val="24"/>
                <w:szCs w:val="24"/>
                <w:lang w:val="hy-AM"/>
              </w:rPr>
              <w:t xml:space="preserve"> հոդվածի 3-4-րդ մասերի, 211</w:t>
            </w:r>
            <w:r w:rsidR="00DB4754" w:rsidRPr="00EE6221">
              <w:rPr>
                <w:rFonts w:ascii="GHEA Grapalat" w:hAnsi="GHEA Grapalat"/>
                <w:sz w:val="24"/>
                <w:szCs w:val="24"/>
                <w:lang w:val="hy-AM"/>
              </w:rPr>
              <w:t>-րդ</w:t>
            </w:r>
            <w:r w:rsidR="00744637" w:rsidRPr="00EE6221">
              <w:rPr>
                <w:rFonts w:ascii="GHEA Grapalat" w:hAnsi="GHEA Grapalat"/>
                <w:sz w:val="24"/>
                <w:szCs w:val="24"/>
                <w:lang w:val="hy-AM"/>
              </w:rPr>
              <w:t xml:space="preserve"> հոդվածի և 254</w:t>
            </w:r>
            <w:r w:rsidR="00DB4754" w:rsidRPr="00EE6221">
              <w:rPr>
                <w:rFonts w:ascii="GHEA Grapalat" w:hAnsi="GHEA Grapalat"/>
                <w:sz w:val="24"/>
                <w:szCs w:val="24"/>
                <w:lang w:val="hy-AM"/>
              </w:rPr>
              <w:t>-րդ</w:t>
            </w:r>
            <w:r w:rsidR="00744637" w:rsidRPr="00EE6221">
              <w:rPr>
                <w:rFonts w:ascii="GHEA Grapalat" w:hAnsi="GHEA Grapalat"/>
                <w:sz w:val="24"/>
                <w:szCs w:val="24"/>
                <w:lang w:val="hy-AM"/>
              </w:rPr>
              <w:t xml:space="preserve"> հոդվածների համալիր վերլուծությունից հետևում է, որ նույնիսկ առանց դատարանի որոշման, նմուշներ վերցնելու գործընթացում անձի իրավունքների և իրավաչափ շահերի պաշտպանության համար նախատեսված են բավարար երաշխիքներ։ Բացի այդ, </w:t>
            </w:r>
            <w:r w:rsidR="00076A26" w:rsidRPr="00EE6221">
              <w:rPr>
                <w:rFonts w:ascii="GHEA Grapalat" w:hAnsi="GHEA Grapalat"/>
                <w:sz w:val="24"/>
                <w:szCs w:val="24"/>
                <w:lang w:val="hy-AM"/>
              </w:rPr>
              <w:t xml:space="preserve">նմուշներ ստանալու համար պարտադիր դատարանի որոշում ունենալու վերաբերյալ </w:t>
            </w:r>
            <w:r w:rsidR="0035214B" w:rsidRPr="00EE6221">
              <w:rPr>
                <w:rFonts w:ascii="GHEA Grapalat" w:hAnsi="GHEA Grapalat"/>
                <w:sz w:val="24"/>
                <w:szCs w:val="24"/>
                <w:lang w:val="hy-AM"/>
              </w:rPr>
              <w:t>ՄԻ</w:t>
            </w:r>
            <w:r w:rsidR="00076A26" w:rsidRPr="00EE6221">
              <w:rPr>
                <w:rFonts w:ascii="GHEA Grapalat" w:hAnsi="GHEA Grapalat"/>
                <w:sz w:val="24"/>
                <w:szCs w:val="24"/>
                <w:lang w:val="hy-AM"/>
              </w:rPr>
              <w:t>ԵԴ չափանիշ առկա չէ։</w:t>
            </w:r>
          </w:p>
        </w:tc>
      </w:tr>
      <w:tr w:rsidR="00BE4166" w:rsidRPr="00EE6221" w:rsidTr="002B75A5">
        <w:tc>
          <w:tcPr>
            <w:tcW w:w="283" w:type="dxa"/>
            <w:tcBorders>
              <w:top w:val="single" w:sz="1" w:space="0" w:color="000000"/>
              <w:left w:val="single" w:sz="1" w:space="0" w:color="000000"/>
              <w:bottom w:val="single" w:sz="1" w:space="0" w:color="000000"/>
              <w:right w:val="single" w:sz="1" w:space="0" w:color="000000"/>
            </w:tcBorders>
          </w:tcPr>
          <w:p w:rsidR="00BE4166" w:rsidRPr="00EE6221" w:rsidRDefault="00BE4166" w:rsidP="002B3679">
            <w:pPr>
              <w:jc w:val="both"/>
              <w:rPr>
                <w:rFonts w:ascii="GHEA Grapalat" w:eastAsia="GHEA Grapalat" w:hAnsi="GHEA Grapalat" w:cs="GHEA Grapalat"/>
                <w:sz w:val="24"/>
                <w:szCs w:val="24"/>
                <w:lang w:val="hy-AM"/>
              </w:rPr>
            </w:pPr>
          </w:p>
        </w:tc>
        <w:tc>
          <w:tcPr>
            <w:tcW w:w="1437" w:type="dxa"/>
            <w:tcBorders>
              <w:top w:val="single" w:sz="1" w:space="0" w:color="000000"/>
              <w:left w:val="single" w:sz="1" w:space="0" w:color="000000"/>
              <w:bottom w:val="single" w:sz="1" w:space="0" w:color="000000"/>
              <w:right w:val="single" w:sz="1" w:space="0" w:color="000000"/>
            </w:tcBorders>
          </w:tcPr>
          <w:p w:rsidR="00BE4166" w:rsidRPr="00EE6221" w:rsidRDefault="00BE4166" w:rsidP="00BE4166">
            <w:pPr>
              <w:tabs>
                <w:tab w:val="left" w:pos="2340"/>
              </w:tabs>
              <w:spacing w:after="0" w:line="360" w:lineRule="auto"/>
              <w:jc w:val="both"/>
              <w:rPr>
                <w:rFonts w:ascii="GHEA Grapalat" w:hAnsi="GHEA Grapalat"/>
                <w:noProof/>
                <w:sz w:val="24"/>
                <w:szCs w:val="24"/>
                <w:lang w:val="hy-AM"/>
              </w:rPr>
            </w:pPr>
            <w:r w:rsidRPr="00EE6221">
              <w:rPr>
                <w:rFonts w:ascii="GHEA Grapalat" w:hAnsi="GHEA Grapalat"/>
                <w:noProof/>
                <w:sz w:val="24"/>
                <w:szCs w:val="24"/>
                <w:lang w:val="hy-AM"/>
              </w:rPr>
              <w:t>Թրանսփարենսի Ինթերնեշնլ հակակոռուպցիոն կենտրոն</w:t>
            </w:r>
          </w:p>
          <w:p w:rsidR="00BE4166" w:rsidRPr="00EE6221" w:rsidRDefault="00BE4166" w:rsidP="00BE4166">
            <w:pPr>
              <w:tabs>
                <w:tab w:val="left" w:pos="2340"/>
              </w:tabs>
              <w:spacing w:after="0" w:line="360" w:lineRule="auto"/>
              <w:jc w:val="both"/>
              <w:rPr>
                <w:rFonts w:ascii="GHEA Grapalat" w:hAnsi="GHEA Grapalat"/>
                <w:noProof/>
                <w:sz w:val="24"/>
                <w:szCs w:val="24"/>
                <w:lang w:val="hy-AM"/>
              </w:rPr>
            </w:pPr>
            <w:r w:rsidRPr="00EE6221">
              <w:rPr>
                <w:rFonts w:ascii="GHEA Grapalat" w:hAnsi="GHEA Grapalat"/>
                <w:noProof/>
                <w:sz w:val="24"/>
                <w:szCs w:val="24"/>
                <w:lang w:val="hy-AM"/>
              </w:rPr>
              <w:t>06.12.2019</w:t>
            </w:r>
          </w:p>
          <w:p w:rsidR="00BE4166" w:rsidRPr="00EE6221" w:rsidRDefault="00BE4166" w:rsidP="00BE4166">
            <w:pPr>
              <w:jc w:val="both"/>
              <w:rPr>
                <w:rFonts w:ascii="GHEA Grapalat" w:eastAsia="GHEA Grapalat" w:hAnsi="GHEA Grapalat" w:cs="GHEA Grapalat"/>
                <w:sz w:val="24"/>
                <w:szCs w:val="24"/>
                <w:lang w:val="hy-AM"/>
              </w:rPr>
            </w:pPr>
            <w:r w:rsidRPr="00EE6221">
              <w:rPr>
                <w:rFonts w:ascii="GHEA Grapalat" w:hAnsi="GHEA Grapalat"/>
                <w:noProof/>
                <w:sz w:val="24"/>
                <w:szCs w:val="24"/>
                <w:lang w:val="hy-AM"/>
              </w:rPr>
              <w:t>գրանցման համարը՝ Մ/51056-2019</w:t>
            </w:r>
          </w:p>
        </w:tc>
        <w:tc>
          <w:tcPr>
            <w:tcW w:w="8370" w:type="dxa"/>
            <w:tcBorders>
              <w:top w:val="single" w:sz="1" w:space="0" w:color="000000"/>
              <w:left w:val="single" w:sz="1" w:space="0" w:color="000000"/>
              <w:bottom w:val="single" w:sz="1" w:space="0" w:color="000000"/>
              <w:right w:val="single" w:sz="1" w:space="0" w:color="000000"/>
            </w:tcBorders>
          </w:tcPr>
          <w:p w:rsidR="00BE4166" w:rsidRPr="00EE6221" w:rsidRDefault="00BE4166" w:rsidP="009777A0">
            <w:pPr>
              <w:pStyle w:val="ListParagraph"/>
              <w:numPr>
                <w:ilvl w:val="0"/>
                <w:numId w:val="28"/>
              </w:numPr>
              <w:spacing w:after="0"/>
              <w:ind w:left="33" w:firstLine="0"/>
              <w:jc w:val="both"/>
              <w:rPr>
                <w:rFonts w:ascii="GHEA Grapalat" w:hAnsi="GHEA Grapalat" w:cs="Arian AMU"/>
                <w:sz w:val="24"/>
                <w:szCs w:val="24"/>
                <w:lang w:val="hy-AM"/>
              </w:rPr>
            </w:pPr>
            <w:r w:rsidRPr="00EE6221">
              <w:rPr>
                <w:rFonts w:ascii="GHEA Grapalat" w:hAnsi="GHEA Grapalat" w:cs="Arian AMU"/>
                <w:sz w:val="24"/>
                <w:szCs w:val="24"/>
                <w:lang w:val="hy-AM"/>
              </w:rPr>
              <w:t>Էապես բարելավվում է քրեական դատավարության մասնակիցների իրավունքների պաշտպանվածության մակարդակը՝ կապված պաշտպանության միջոցների ինստիտուտի ներդրման հետ</w:t>
            </w:r>
            <w:r w:rsidRPr="00EE6221">
              <w:rPr>
                <w:rFonts w:ascii="GHEA Grapalat" w:hAnsi="Arian AMU" w:cs="Arian AMU"/>
                <w:sz w:val="24"/>
                <w:szCs w:val="24"/>
                <w:lang w:val="hy-AM"/>
              </w:rPr>
              <w:t>․</w:t>
            </w:r>
          </w:p>
          <w:p w:rsidR="00BE4166" w:rsidRPr="00EE6221" w:rsidRDefault="00BE4166" w:rsidP="009777A0">
            <w:pPr>
              <w:pStyle w:val="ListParagraph"/>
              <w:numPr>
                <w:ilvl w:val="0"/>
                <w:numId w:val="28"/>
              </w:numPr>
              <w:spacing w:after="0"/>
              <w:ind w:left="33" w:hanging="76"/>
              <w:jc w:val="both"/>
              <w:rPr>
                <w:rFonts w:ascii="GHEA Grapalat" w:hAnsi="GHEA Grapalat" w:cs="Arian AMU"/>
                <w:sz w:val="24"/>
                <w:szCs w:val="24"/>
                <w:lang w:val="hy-AM"/>
              </w:rPr>
            </w:pPr>
            <w:r w:rsidRPr="00EE6221">
              <w:rPr>
                <w:rFonts w:ascii="GHEA Grapalat" w:hAnsi="GHEA Grapalat" w:cs="Arian AMU"/>
                <w:sz w:val="24"/>
                <w:szCs w:val="24"/>
                <w:lang w:val="hy-AM"/>
              </w:rPr>
              <w:t>Ընդլայնվել են խափանման միջոցների տեսակները, մասնավորապես՝ տնային կալանքի ինստիտուտի ներդրմամբ էապես կկրճատվի որպես խափանման միջոց կալանքի անհարկի կիրառման արատավոր պրակտիկան։ Գրավի ինստիտուտի կիրառման համար, ըստ ներկայացվող նախագծի՝ նախատեսված են արդյունավետ լուծումներ, որոնք հնարավորություն են ընձեռելու այն կիրառել որպես ինքնուրույն խափանման միջոց</w:t>
            </w:r>
            <w:r w:rsidRPr="00EE6221">
              <w:rPr>
                <w:rFonts w:ascii="GHEA Grapalat" w:hAnsi="Arian AMU" w:cs="Arian AMU"/>
                <w:sz w:val="24"/>
                <w:szCs w:val="24"/>
                <w:lang w:val="hy-AM"/>
              </w:rPr>
              <w:t>․</w:t>
            </w:r>
          </w:p>
          <w:p w:rsidR="00BE4166" w:rsidRPr="00EE6221" w:rsidRDefault="00BE4166" w:rsidP="009777A0">
            <w:pPr>
              <w:pStyle w:val="ListParagraph"/>
              <w:numPr>
                <w:ilvl w:val="0"/>
                <w:numId w:val="28"/>
              </w:numPr>
              <w:spacing w:after="0"/>
              <w:ind w:left="33" w:firstLine="0"/>
              <w:jc w:val="both"/>
              <w:rPr>
                <w:rFonts w:ascii="GHEA Grapalat" w:hAnsi="GHEA Grapalat" w:cs="Arian AMU"/>
                <w:sz w:val="24"/>
                <w:szCs w:val="24"/>
                <w:lang w:val="hy-AM"/>
              </w:rPr>
            </w:pPr>
            <w:r w:rsidRPr="00EE6221">
              <w:rPr>
                <w:rFonts w:ascii="GHEA Grapalat" w:hAnsi="GHEA Grapalat" w:cs="Arian AMU"/>
                <w:sz w:val="24"/>
                <w:szCs w:val="24"/>
                <w:lang w:val="hy-AM"/>
              </w:rPr>
              <w:t>Էական առաջընթաց  է նախատեսվում  նախաքննության փուլի արդյունավետության բարձրացման համար իրավական ընթացակարգերում։ Վերափոխվել  է հետաքննության ինստիտուտի բովանդակությունը՝ այն դիտարկելով որպես նախաքննությանը զուգահեռ իրականացվող անհրաժեշտ օպերատիվ գործողությունների համակարգ</w:t>
            </w:r>
            <w:r w:rsidRPr="00EE6221">
              <w:rPr>
                <w:rFonts w:ascii="GHEA Grapalat" w:hAnsi="Arian AMU" w:cs="Arian AMU"/>
                <w:sz w:val="24"/>
                <w:szCs w:val="24"/>
                <w:lang w:val="hy-AM"/>
              </w:rPr>
              <w:t>․</w:t>
            </w:r>
          </w:p>
          <w:p w:rsidR="00BE4166" w:rsidRPr="00EE6221" w:rsidRDefault="00BE4166" w:rsidP="009777A0">
            <w:pPr>
              <w:spacing w:after="0"/>
              <w:jc w:val="both"/>
              <w:rPr>
                <w:rFonts w:ascii="GHEA Grapalat" w:hAnsi="GHEA Grapalat" w:cs="Arian AMU"/>
                <w:sz w:val="24"/>
                <w:szCs w:val="24"/>
                <w:lang w:val="hy-AM"/>
              </w:rPr>
            </w:pPr>
            <w:r w:rsidRPr="00EE6221">
              <w:rPr>
                <w:rFonts w:ascii="GHEA Grapalat" w:hAnsi="GHEA Grapalat" w:cs="Arian AMU"/>
                <w:sz w:val="24"/>
                <w:szCs w:val="24"/>
                <w:lang w:val="hy-AM"/>
              </w:rPr>
              <w:t>Դատական քննության գործընթացում բարելավվել է միջնորդությունների, առարկությունների քննության որակական պահանջները, կրճատվել են դրանց քննարկման ժամկետները, որոնք կնպաստեն գործերի՝ ողջամիտ ժամկետում քննության սկզբունքի պահպանմանը։</w:t>
            </w:r>
          </w:p>
          <w:p w:rsidR="00BE4166" w:rsidRPr="00EE6221" w:rsidRDefault="00BE4166" w:rsidP="00BE4166">
            <w:pPr>
              <w:spacing w:after="0"/>
              <w:jc w:val="both"/>
              <w:rPr>
                <w:rFonts w:ascii="GHEA Grapalat" w:eastAsia="GHEA Grapalat" w:hAnsi="GHEA Grapalat" w:cs="GHEA Grapalat"/>
                <w:iCs/>
                <w:sz w:val="24"/>
                <w:szCs w:val="24"/>
                <w:lang w:val="hy-AM" w:bidi="hy-AM"/>
              </w:rPr>
            </w:pPr>
          </w:p>
        </w:tc>
        <w:tc>
          <w:tcPr>
            <w:tcW w:w="1872" w:type="dxa"/>
            <w:tcBorders>
              <w:top w:val="single" w:sz="1" w:space="0" w:color="000000"/>
              <w:left w:val="single" w:sz="1" w:space="0" w:color="000000"/>
              <w:bottom w:val="single" w:sz="1" w:space="0" w:color="000000"/>
              <w:right w:val="single" w:sz="1" w:space="0" w:color="000000"/>
            </w:tcBorders>
          </w:tcPr>
          <w:p w:rsidR="00BE4166" w:rsidRPr="00EE6221" w:rsidRDefault="00BE4166" w:rsidP="00232E5C">
            <w:pPr>
              <w:jc w:val="center"/>
              <w:rPr>
                <w:rFonts w:ascii="GHEA Grapalat" w:hAnsi="GHEA Grapalat"/>
                <w:sz w:val="24"/>
                <w:szCs w:val="24"/>
                <w:lang w:val="hy-AM"/>
              </w:rPr>
            </w:pPr>
            <w:r w:rsidRPr="00EE6221">
              <w:rPr>
                <w:rFonts w:ascii="GHEA Grapalat" w:hAnsi="GHEA Grapalat"/>
                <w:sz w:val="24"/>
                <w:szCs w:val="24"/>
                <w:lang w:val="hy-AM"/>
              </w:rPr>
              <w:t>Ընդունվել է ի գիտություն:</w:t>
            </w:r>
          </w:p>
        </w:tc>
        <w:tc>
          <w:tcPr>
            <w:tcW w:w="3631" w:type="dxa"/>
            <w:tcBorders>
              <w:top w:val="single" w:sz="1" w:space="0" w:color="000000"/>
              <w:left w:val="single" w:sz="1" w:space="0" w:color="000000"/>
              <w:bottom w:val="single" w:sz="1" w:space="0" w:color="000000"/>
              <w:right w:val="single" w:sz="1" w:space="0" w:color="000000"/>
            </w:tcBorders>
          </w:tcPr>
          <w:p w:rsidR="00BE4166" w:rsidRPr="00EE6221" w:rsidRDefault="00BE4166" w:rsidP="009114C3">
            <w:pPr>
              <w:jc w:val="both"/>
              <w:rPr>
                <w:rFonts w:ascii="GHEA Grapalat" w:hAnsi="GHEA Grapalat"/>
                <w:sz w:val="24"/>
                <w:szCs w:val="24"/>
                <w:lang w:val="hy-AM"/>
              </w:rPr>
            </w:pPr>
          </w:p>
        </w:tc>
      </w:tr>
    </w:tbl>
    <w:p w:rsidR="00F57D9F" w:rsidRPr="00EE6221" w:rsidRDefault="00F57D9F" w:rsidP="002B3679">
      <w:pPr>
        <w:jc w:val="both"/>
        <w:rPr>
          <w:rFonts w:ascii="GHEA Grapalat" w:hAnsi="GHEA Grapalat"/>
          <w:sz w:val="24"/>
          <w:szCs w:val="24"/>
          <w:lang w:val="hy-AM"/>
        </w:rPr>
      </w:pPr>
    </w:p>
    <w:sectPr w:rsidR="00F57D9F" w:rsidRPr="00EE6221" w:rsidSect="009629CF">
      <w:pgSz w:w="16787" w:h="11870" w:orient="landscape"/>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610" w:rsidRDefault="00A35610" w:rsidP="007448CB">
      <w:pPr>
        <w:spacing w:after="0" w:line="240" w:lineRule="auto"/>
      </w:pPr>
      <w:r>
        <w:separator/>
      </w:r>
    </w:p>
  </w:endnote>
  <w:endnote w:type="continuationSeparator" w:id="0">
    <w:p w:rsidR="00A35610" w:rsidRDefault="00A35610" w:rsidP="007448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610" w:rsidRDefault="00A35610" w:rsidP="007448CB">
      <w:pPr>
        <w:spacing w:after="0" w:line="240" w:lineRule="auto"/>
      </w:pPr>
      <w:r>
        <w:separator/>
      </w:r>
    </w:p>
  </w:footnote>
  <w:footnote w:type="continuationSeparator" w:id="0">
    <w:p w:rsidR="00A35610" w:rsidRDefault="00A35610" w:rsidP="007448CB">
      <w:pPr>
        <w:spacing w:after="0" w:line="240" w:lineRule="auto"/>
      </w:pPr>
      <w:r>
        <w:continuationSeparator/>
      </w:r>
    </w:p>
  </w:footnote>
  <w:footnote w:id="1">
    <w:p w:rsidR="004B4DA9" w:rsidRPr="007043A4" w:rsidRDefault="004B4DA9" w:rsidP="001F218F">
      <w:pPr>
        <w:spacing w:line="288" w:lineRule="exact"/>
        <w:ind w:right="40"/>
        <w:jc w:val="both"/>
        <w:rPr>
          <w:lang w:val="ru-RU"/>
        </w:rPr>
      </w:pPr>
      <w:r>
        <w:rPr>
          <w:vertAlign w:val="superscript"/>
          <w:lang w:val="hy-AM" w:eastAsia="hy-AM" w:bidi="hy-AM"/>
        </w:rPr>
        <w:footnoteRef/>
      </w:r>
      <w:r>
        <w:rPr>
          <w:lang w:val="hy-AM" w:eastAsia="hy-AM" w:bidi="hy-AM"/>
        </w:rPr>
        <w:t xml:space="preserve"> Տե ս </w:t>
      </w:r>
      <w:r>
        <w:rPr>
          <w:lang w:val="ru-RU" w:eastAsia="ru-RU" w:bidi="ru-RU"/>
        </w:rPr>
        <w:t xml:space="preserve">Брагер Д.К. Принудительное проведение освидетельствования и получение образцов для сравнительного исследования: отдельные проблемы. Вестник Томского государственного университета, 2013, № 377, </w:t>
      </w:r>
      <w:r>
        <w:rPr>
          <w:lang w:val="hy-AM" w:eastAsia="hy-AM" w:bidi="hy-AM"/>
        </w:rPr>
        <w:t xml:space="preserve">էջ </w:t>
      </w:r>
      <w:r>
        <w:rPr>
          <w:lang w:val="ru-RU" w:eastAsia="ru-RU" w:bidi="ru-RU"/>
        </w:rPr>
        <w:t>101: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0D4A"/>
    <w:multiLevelType w:val="multilevel"/>
    <w:tmpl w:val="BF94358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DC4904"/>
    <w:multiLevelType w:val="hybridMultilevel"/>
    <w:tmpl w:val="B81EC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C241CB"/>
    <w:multiLevelType w:val="multilevel"/>
    <w:tmpl w:val="7D465D4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9E4207"/>
    <w:multiLevelType w:val="multilevel"/>
    <w:tmpl w:val="7D6E634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A40F66"/>
    <w:multiLevelType w:val="multilevel"/>
    <w:tmpl w:val="72A8FF36"/>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9121F6"/>
    <w:multiLevelType w:val="multilevel"/>
    <w:tmpl w:val="60040CE6"/>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954939"/>
    <w:multiLevelType w:val="multilevel"/>
    <w:tmpl w:val="443619F4"/>
    <w:lvl w:ilvl="0">
      <w:start w:val="6"/>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BC332A"/>
    <w:multiLevelType w:val="multilevel"/>
    <w:tmpl w:val="0E7608C4"/>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1AD5CF6"/>
    <w:multiLevelType w:val="multilevel"/>
    <w:tmpl w:val="291EAA60"/>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597E92"/>
    <w:multiLevelType w:val="multilevel"/>
    <w:tmpl w:val="77BCD0A6"/>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66F61A2"/>
    <w:multiLevelType w:val="multilevel"/>
    <w:tmpl w:val="53B80C68"/>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250861"/>
    <w:multiLevelType w:val="multilevel"/>
    <w:tmpl w:val="4CAE3AB6"/>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36A44D8"/>
    <w:multiLevelType w:val="multilevel"/>
    <w:tmpl w:val="21FE9508"/>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427A3D"/>
    <w:multiLevelType w:val="multilevel"/>
    <w:tmpl w:val="A9C45BF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C5D6BBB"/>
    <w:multiLevelType w:val="hybridMultilevel"/>
    <w:tmpl w:val="E6781E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BB0090"/>
    <w:multiLevelType w:val="multilevel"/>
    <w:tmpl w:val="4916458E"/>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42A4A6C"/>
    <w:multiLevelType w:val="multilevel"/>
    <w:tmpl w:val="DBB0821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66C5968"/>
    <w:multiLevelType w:val="multilevel"/>
    <w:tmpl w:val="D4A8BF2E"/>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8536A34"/>
    <w:multiLevelType w:val="multilevel"/>
    <w:tmpl w:val="4D74B97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39F4131"/>
    <w:multiLevelType w:val="multilevel"/>
    <w:tmpl w:val="931E82A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5AC733F"/>
    <w:multiLevelType w:val="multilevel"/>
    <w:tmpl w:val="617EA2B4"/>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B661852"/>
    <w:multiLevelType w:val="multilevel"/>
    <w:tmpl w:val="55F8A476"/>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E3069FC"/>
    <w:multiLevelType w:val="multilevel"/>
    <w:tmpl w:val="9958359E"/>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02636B0"/>
    <w:multiLevelType w:val="multilevel"/>
    <w:tmpl w:val="742E83E2"/>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37C3E9D"/>
    <w:multiLevelType w:val="multilevel"/>
    <w:tmpl w:val="C13E1454"/>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4245933"/>
    <w:multiLevelType w:val="multilevel"/>
    <w:tmpl w:val="5DC24A62"/>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7F702A4"/>
    <w:multiLevelType w:val="multilevel"/>
    <w:tmpl w:val="0E2880DC"/>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CF46AA7"/>
    <w:multiLevelType w:val="multilevel"/>
    <w:tmpl w:val="CCB863E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2"/>
  </w:num>
  <w:num w:numId="3">
    <w:abstractNumId w:val="20"/>
  </w:num>
  <w:num w:numId="4">
    <w:abstractNumId w:val="15"/>
  </w:num>
  <w:num w:numId="5">
    <w:abstractNumId w:val="0"/>
  </w:num>
  <w:num w:numId="6">
    <w:abstractNumId w:val="22"/>
  </w:num>
  <w:num w:numId="7">
    <w:abstractNumId w:val="4"/>
  </w:num>
  <w:num w:numId="8">
    <w:abstractNumId w:val="19"/>
  </w:num>
  <w:num w:numId="9">
    <w:abstractNumId w:val="24"/>
  </w:num>
  <w:num w:numId="10">
    <w:abstractNumId w:val="9"/>
  </w:num>
  <w:num w:numId="11">
    <w:abstractNumId w:val="3"/>
  </w:num>
  <w:num w:numId="12">
    <w:abstractNumId w:val="11"/>
  </w:num>
  <w:num w:numId="13">
    <w:abstractNumId w:val="21"/>
  </w:num>
  <w:num w:numId="14">
    <w:abstractNumId w:val="26"/>
  </w:num>
  <w:num w:numId="15">
    <w:abstractNumId w:val="25"/>
  </w:num>
  <w:num w:numId="16">
    <w:abstractNumId w:val="27"/>
  </w:num>
  <w:num w:numId="17">
    <w:abstractNumId w:val="14"/>
  </w:num>
  <w:num w:numId="18">
    <w:abstractNumId w:val="12"/>
  </w:num>
  <w:num w:numId="19">
    <w:abstractNumId w:val="13"/>
  </w:num>
  <w:num w:numId="20">
    <w:abstractNumId w:val="18"/>
  </w:num>
  <w:num w:numId="21">
    <w:abstractNumId w:val="17"/>
  </w:num>
  <w:num w:numId="22">
    <w:abstractNumId w:val="10"/>
  </w:num>
  <w:num w:numId="23">
    <w:abstractNumId w:val="7"/>
  </w:num>
  <w:num w:numId="24">
    <w:abstractNumId w:val="8"/>
  </w:num>
  <w:num w:numId="25">
    <w:abstractNumId w:val="6"/>
  </w:num>
  <w:num w:numId="26">
    <w:abstractNumId w:val="23"/>
  </w:num>
  <w:num w:numId="27">
    <w:abstractNumId w:val="5"/>
  </w:num>
  <w:num w:numId="2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footnotePr>
    <w:footnote w:id="-1"/>
    <w:footnote w:id="0"/>
  </w:footnotePr>
  <w:endnotePr>
    <w:endnote w:id="-1"/>
    <w:endnote w:id="0"/>
  </w:endnotePr>
  <w:compat/>
  <w:rsids>
    <w:rsidRoot w:val="009629CF"/>
    <w:rsid w:val="0001044A"/>
    <w:rsid w:val="00020FAC"/>
    <w:rsid w:val="00076A26"/>
    <w:rsid w:val="0008507D"/>
    <w:rsid w:val="0009477C"/>
    <w:rsid w:val="000F5643"/>
    <w:rsid w:val="00125B18"/>
    <w:rsid w:val="00140663"/>
    <w:rsid w:val="0014352D"/>
    <w:rsid w:val="00145E5D"/>
    <w:rsid w:val="0015410F"/>
    <w:rsid w:val="00171574"/>
    <w:rsid w:val="001800A5"/>
    <w:rsid w:val="001B60A7"/>
    <w:rsid w:val="001C1A9F"/>
    <w:rsid w:val="001D3DE4"/>
    <w:rsid w:val="001E5CD1"/>
    <w:rsid w:val="001F163B"/>
    <w:rsid w:val="001F218F"/>
    <w:rsid w:val="00232E5C"/>
    <w:rsid w:val="00245F78"/>
    <w:rsid w:val="0025469E"/>
    <w:rsid w:val="00254A5F"/>
    <w:rsid w:val="00273B54"/>
    <w:rsid w:val="002A5F28"/>
    <w:rsid w:val="002B3679"/>
    <w:rsid w:val="002B75A5"/>
    <w:rsid w:val="002C19CC"/>
    <w:rsid w:val="003033D5"/>
    <w:rsid w:val="0032536C"/>
    <w:rsid w:val="00330B98"/>
    <w:rsid w:val="0035214B"/>
    <w:rsid w:val="003D2C77"/>
    <w:rsid w:val="003F293A"/>
    <w:rsid w:val="0040098E"/>
    <w:rsid w:val="00405756"/>
    <w:rsid w:val="004106AD"/>
    <w:rsid w:val="004B3948"/>
    <w:rsid w:val="004B3C46"/>
    <w:rsid w:val="004B4DA9"/>
    <w:rsid w:val="004B56FA"/>
    <w:rsid w:val="004F21C3"/>
    <w:rsid w:val="00500E7F"/>
    <w:rsid w:val="00535559"/>
    <w:rsid w:val="00570AF1"/>
    <w:rsid w:val="005D3910"/>
    <w:rsid w:val="00612797"/>
    <w:rsid w:val="00633F6E"/>
    <w:rsid w:val="00670AAD"/>
    <w:rsid w:val="00686420"/>
    <w:rsid w:val="006B3EF5"/>
    <w:rsid w:val="006C3D3C"/>
    <w:rsid w:val="006E5330"/>
    <w:rsid w:val="007043A4"/>
    <w:rsid w:val="007347B8"/>
    <w:rsid w:val="00744637"/>
    <w:rsid w:val="007448CB"/>
    <w:rsid w:val="0076591D"/>
    <w:rsid w:val="007768BC"/>
    <w:rsid w:val="007A39E2"/>
    <w:rsid w:val="008101B6"/>
    <w:rsid w:val="00817018"/>
    <w:rsid w:val="00853751"/>
    <w:rsid w:val="00854FA3"/>
    <w:rsid w:val="0087681A"/>
    <w:rsid w:val="008F2B85"/>
    <w:rsid w:val="009114C3"/>
    <w:rsid w:val="009629CF"/>
    <w:rsid w:val="00964EBB"/>
    <w:rsid w:val="009777A0"/>
    <w:rsid w:val="00A01482"/>
    <w:rsid w:val="00A02449"/>
    <w:rsid w:val="00A074DD"/>
    <w:rsid w:val="00A27185"/>
    <w:rsid w:val="00A30332"/>
    <w:rsid w:val="00A35610"/>
    <w:rsid w:val="00A37DDC"/>
    <w:rsid w:val="00AA676F"/>
    <w:rsid w:val="00AB1BA7"/>
    <w:rsid w:val="00AB3AA8"/>
    <w:rsid w:val="00AC02CE"/>
    <w:rsid w:val="00AE4F46"/>
    <w:rsid w:val="00B32314"/>
    <w:rsid w:val="00B33B3C"/>
    <w:rsid w:val="00B378A3"/>
    <w:rsid w:val="00B40CA9"/>
    <w:rsid w:val="00B569BB"/>
    <w:rsid w:val="00B61FC7"/>
    <w:rsid w:val="00B91DE1"/>
    <w:rsid w:val="00BA7BE2"/>
    <w:rsid w:val="00BE4166"/>
    <w:rsid w:val="00BE7D6B"/>
    <w:rsid w:val="00C03427"/>
    <w:rsid w:val="00C20B3D"/>
    <w:rsid w:val="00C80532"/>
    <w:rsid w:val="00C814B4"/>
    <w:rsid w:val="00C91081"/>
    <w:rsid w:val="00CD750E"/>
    <w:rsid w:val="00CF5D03"/>
    <w:rsid w:val="00D66268"/>
    <w:rsid w:val="00D7169E"/>
    <w:rsid w:val="00DB4754"/>
    <w:rsid w:val="00DC2B70"/>
    <w:rsid w:val="00E01973"/>
    <w:rsid w:val="00E069A3"/>
    <w:rsid w:val="00E1353C"/>
    <w:rsid w:val="00E44BCA"/>
    <w:rsid w:val="00E65DE5"/>
    <w:rsid w:val="00E73858"/>
    <w:rsid w:val="00EB2418"/>
    <w:rsid w:val="00EE6221"/>
    <w:rsid w:val="00EE704A"/>
    <w:rsid w:val="00F075F2"/>
    <w:rsid w:val="00F403D6"/>
    <w:rsid w:val="00F57D9F"/>
    <w:rsid w:val="00F60142"/>
    <w:rsid w:val="00FB4E13"/>
    <w:rsid w:val="00FD22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629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9629CF"/>
    <w:rPr>
      <w:vertAlign w:val="superscript"/>
    </w:rPr>
  </w:style>
  <w:style w:type="paragraph" w:customStyle="1" w:styleId="headingtitleStyle">
    <w:name w:val="heading titleStyle"/>
    <w:basedOn w:val="Normal"/>
    <w:rsid w:val="009629CF"/>
    <w:pPr>
      <w:jc w:val="center"/>
    </w:pPr>
    <w:rPr>
      <w:rFonts w:ascii="GHEA Grapalat" w:eastAsia="GHEA Grapalat" w:hAnsi="GHEA Grapalat" w:cs="GHEA Grapalat"/>
      <w:b/>
      <w:caps/>
      <w:color w:val="000000"/>
      <w:sz w:val="28"/>
      <w:szCs w:val="28"/>
    </w:rPr>
  </w:style>
  <w:style w:type="paragraph" w:styleId="ListParagraph">
    <w:name w:val="List Paragraph"/>
    <w:basedOn w:val="Normal"/>
    <w:uiPriority w:val="34"/>
    <w:qFormat/>
    <w:rsid w:val="001E5CD1"/>
    <w:pPr>
      <w:ind w:left="720"/>
      <w:contextualSpacing/>
    </w:pPr>
  </w:style>
  <w:style w:type="character" w:customStyle="1" w:styleId="a">
    <w:name w:val="Основной текст_"/>
    <w:basedOn w:val="DefaultParagraphFont"/>
    <w:rsid w:val="007448CB"/>
    <w:rPr>
      <w:rFonts w:ascii="Sylfaen" w:eastAsia="Sylfaen" w:hAnsi="Sylfaen" w:cs="Sylfaen"/>
      <w:b w:val="0"/>
      <w:bCs w:val="0"/>
      <w:i w:val="0"/>
      <w:iCs w:val="0"/>
      <w:smallCaps w:val="0"/>
      <w:strike w:val="0"/>
      <w:sz w:val="23"/>
      <w:szCs w:val="23"/>
      <w:u w:val="none"/>
    </w:rPr>
  </w:style>
  <w:style w:type="character" w:customStyle="1" w:styleId="1">
    <w:name w:val="Основной текст1"/>
    <w:basedOn w:val="a"/>
    <w:rsid w:val="007448CB"/>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style>
  <w:style w:type="character" w:customStyle="1" w:styleId="a0">
    <w:name w:val="Сноска"/>
    <w:basedOn w:val="DefaultParagraphFont"/>
    <w:rsid w:val="007448CB"/>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style>
  <w:style w:type="character" w:styleId="Hyperlink">
    <w:name w:val="Hyperlink"/>
    <w:basedOn w:val="DefaultParagraphFont"/>
    <w:rsid w:val="007448CB"/>
    <w:rPr>
      <w:color w:val="0066CC"/>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u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to.org/publications/policy-analysis/reforming-indigent-defense-how-free-market-principles-can-help-fix-broken-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BB3ED9-D170-411B-85D5-2E847A50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33</Pages>
  <Words>15921</Words>
  <Characters>90755</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106464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Ar-Sargsyan</cp:lastModifiedBy>
  <cp:revision>116</cp:revision>
  <dcterms:created xsi:type="dcterms:W3CDTF">2019-12-18T05:40:00Z</dcterms:created>
  <dcterms:modified xsi:type="dcterms:W3CDTF">2020-05-11T18:12:00Z</dcterms:modified>
  <cp:category/>
</cp:coreProperties>
</file>