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B" w:rsidRPr="00E82F94" w:rsidRDefault="002313DB" w:rsidP="002313DB">
      <w:pPr>
        <w:jc w:val="right"/>
        <w:rPr>
          <w:rFonts w:ascii="GHEA Grapalat" w:hAnsi="GHEA Grapalat"/>
          <w:i/>
          <w:lang w:val="hy-AM"/>
        </w:rPr>
      </w:pPr>
      <w:r w:rsidRPr="00E82F94">
        <w:rPr>
          <w:rFonts w:ascii="GHEA Grapalat" w:hAnsi="GHEA Grapalat"/>
          <w:i/>
          <w:lang w:val="hy-AM"/>
        </w:rPr>
        <w:t>ՆԱԽԱԳԻԾ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ՈՐՈՇՈՒՄ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N - Ա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849D6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</w:t>
      </w:r>
      <w:r>
        <w:rPr>
          <w:rFonts w:ascii="GHEA Grapalat" w:hAnsi="GHEA Grapalat"/>
          <w:b/>
          <w:caps/>
          <w:lang w:val="hy-AM"/>
        </w:rPr>
        <w:t xml:space="preserve">ՆԵՐՄՈՒԾՎԱԾ </w:t>
      </w:r>
      <w:r w:rsidRPr="00EF25FE">
        <w:rPr>
          <w:rFonts w:ascii="GHEA Grapalat" w:hAnsi="GHEA Grapalat"/>
          <w:b/>
          <w:caps/>
          <w:lang w:val="hy-AM"/>
        </w:rPr>
        <w:t>(</w:t>
      </w:r>
      <w:r w:rsidRPr="00B849D6">
        <w:rPr>
          <w:rFonts w:ascii="GHEA Grapalat" w:hAnsi="GHEA Grapalat"/>
          <w:b/>
          <w:caps/>
          <w:lang w:val="hy-AM"/>
        </w:rPr>
        <w:t>ՆԵՐՄՈՒԾՎՈՂ</w:t>
      </w:r>
      <w:r w:rsidRPr="00EF25FE">
        <w:rPr>
          <w:rFonts w:ascii="GHEA Grapalat" w:hAnsi="GHEA Grapalat"/>
          <w:b/>
          <w:caps/>
          <w:lang w:val="hy-AM"/>
        </w:rPr>
        <w:t>)</w:t>
      </w:r>
      <w:r w:rsidRPr="00B849D6">
        <w:rPr>
          <w:rFonts w:ascii="GHEA Grapalat" w:hAnsi="GHEA Grapalat"/>
          <w:b/>
          <w:caps/>
          <w:lang w:val="hy-AM"/>
        </w:rPr>
        <w:t xml:space="preserve"> ՏԵԽՆՈԼՈԳԻԱԿԱՆ ՍԱՐՔԱՎՈՐՈՒՄՆԵՐԸ, ԴՐԱՆՑ ԲԱՂԿԱՑՈՒՑԻՉ ՈՒ ՀԱՄԱԼՐՈՂ ՄԱՍԵՐԸ, ՀՈՒՄՔԸ ԵՎ </w:t>
      </w:r>
      <w:r w:rsidRPr="00EF25FE">
        <w:rPr>
          <w:rFonts w:ascii="GHEA Grapalat" w:hAnsi="GHEA Grapalat"/>
          <w:b/>
          <w:caps/>
          <w:lang w:val="hy-AM"/>
        </w:rPr>
        <w:t>(</w:t>
      </w:r>
      <w:r>
        <w:rPr>
          <w:rFonts w:ascii="GHEA Grapalat" w:hAnsi="GHEA Grapalat"/>
          <w:b/>
          <w:caps/>
          <w:lang w:val="hy-AM"/>
        </w:rPr>
        <w:t>ԿԱՄ</w:t>
      </w:r>
      <w:r w:rsidRPr="00EF25FE">
        <w:rPr>
          <w:rFonts w:ascii="GHEA Grapalat" w:hAnsi="GHEA Grapalat"/>
          <w:b/>
          <w:caps/>
          <w:lang w:val="hy-AM"/>
        </w:rPr>
        <w:t>)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ՆՅՈՒԹԵՐԸ ՆԵՐՄՈՒԾՄԱՆ ՄԱՔՍԱՏՈՒՐՔԻՑ ԱԶԱՏՄԱՆ ԱՐՏՈՆՈՒԹՅՈՒՆԻՑ ՕԳՏՎԵԼՈՒ ՀԱՄԱՐ </w:t>
      </w:r>
      <w:r w:rsidRPr="00651B4C">
        <w:rPr>
          <w:rFonts w:ascii="GHEA Grapalat" w:hAnsi="GHEA Grapalat"/>
          <w:b/>
          <w:lang w:val="hy-AM"/>
        </w:rPr>
        <w:t>«</w:t>
      </w:r>
      <w:r w:rsidR="006A1652">
        <w:rPr>
          <w:rFonts w:ascii="GHEA Grapalat" w:hAnsi="GHEA Grapalat"/>
          <w:b/>
          <w:lang w:val="hy-AM"/>
        </w:rPr>
        <w:t>ԱԼՖԱՌԵՆԵՍԱՆՍ</w:t>
      </w:r>
      <w:r w:rsidRPr="00651B4C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ՍԱՀՄԱՆԱՓԱԿ ՊԱՏԱՍԽԱՆԱՏՎՈՒԹՅԱՄԲ ԸՆԿԵՐՈՒԹՅԱՆ</w:t>
      </w:r>
      <w:r w:rsidRPr="00B849D6"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ԿՈՂՄԻՑ ներկայացված հայտը բավարարելու </w:t>
      </w:r>
      <w:r>
        <w:rPr>
          <w:rFonts w:ascii="GHEA Grapalat" w:hAnsi="GHEA Grapalat"/>
          <w:b/>
          <w:caps/>
          <w:lang w:val="hy-AM"/>
        </w:rPr>
        <w:t xml:space="preserve">ԵՎ ԱՐՏՈՆՈՒԹՅՈՒՆԸ ԿԻՐԱՌԵԼՈՒ </w:t>
      </w:r>
      <w:r w:rsidRPr="00B849D6">
        <w:rPr>
          <w:rFonts w:ascii="GHEA Grapalat" w:hAnsi="GHEA Grapalat"/>
          <w:b/>
          <w:caps/>
          <w:lang w:val="hy-AM"/>
        </w:rPr>
        <w:t>մասին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2313DB" w:rsidRPr="00B849D6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2313DB" w:rsidRPr="00B849D6" w:rsidRDefault="002313DB" w:rsidP="002313DB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 xml:space="preserve">Բավարարել </w:t>
      </w:r>
      <w:r w:rsidRPr="006019B8">
        <w:rPr>
          <w:rFonts w:ascii="GHEA Grapalat" w:hAnsi="GHEA Grapalat"/>
          <w:lang w:val="hy-AM"/>
        </w:rPr>
        <w:t>«</w:t>
      </w:r>
      <w:r w:rsidR="006A1652">
        <w:rPr>
          <w:rFonts w:ascii="GHEA Grapalat" w:hAnsi="GHEA Grapalat"/>
          <w:lang w:val="hy-AM"/>
        </w:rPr>
        <w:t>ԱԼՖԱՌԵՆԵՍԱՆՍ</w:t>
      </w:r>
      <w:r w:rsidRPr="006019B8">
        <w:rPr>
          <w:rFonts w:ascii="GHEA Grapalat" w:hAnsi="GHEA Grapalat"/>
          <w:lang w:val="hy-AM"/>
        </w:rPr>
        <w:t>»</w:t>
      </w:r>
      <w:r w:rsidRPr="00195F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hAnsi="GHEA Grapalat"/>
          <w:lang w:val="hy-AM"/>
        </w:rPr>
        <w:t xml:space="preserve"> կողմից ներկայացված հայտը </w:t>
      </w:r>
      <w:r>
        <w:rPr>
          <w:rFonts w:ascii="GHEA Grapalat" w:hAnsi="GHEA Grapalat"/>
          <w:lang w:val="hy-AM"/>
        </w:rPr>
        <w:t>գ</w:t>
      </w:r>
      <w:r w:rsidRPr="00EF25FE">
        <w:rPr>
          <w:rFonts w:ascii="GHEA Grapalat" w:hAnsi="GHEA Grapalat"/>
          <w:lang w:val="hy-AM"/>
        </w:rPr>
        <w:t xml:space="preserve">երակա ոլորտում իրականացվող ներդրումային ծրագրի շրջանակներում ներմուծված (ներմուծվող) </w:t>
      </w:r>
      <w:r w:rsidRPr="001B2EE6">
        <w:rPr>
          <w:rFonts w:ascii="GHEA Grapalat" w:hAnsi="GHEA Grapalat"/>
          <w:lang w:val="hy-AM"/>
        </w:rPr>
        <w:t xml:space="preserve">տեխնոլոգիական սարքավորումները, դրանց բաղկացուցիչ ու համալրող մասերը, հումքը և (կամ) նյութերը </w:t>
      </w:r>
      <w:r>
        <w:rPr>
          <w:rFonts w:ascii="GHEA Grapalat" w:hAnsi="GHEA Grapalat"/>
          <w:lang w:val="hy-AM"/>
        </w:rPr>
        <w:t>ներմուծման մաքսատուրքից ազատելու</w:t>
      </w:r>
      <w:r w:rsidRPr="00EF25FE">
        <w:rPr>
          <w:rFonts w:ascii="GHEA Grapalat" w:hAnsi="GHEA Grapalat"/>
          <w:lang w:val="hy-AM"/>
        </w:rPr>
        <w:t xml:space="preserve"> արտոնությունից օգտվելու համար </w:t>
      </w:r>
      <w:r w:rsidRPr="00B849D6">
        <w:rPr>
          <w:rFonts w:ascii="GHEA Grapalat" w:hAnsi="GHEA Grapalat"/>
          <w:lang w:val="hy-AM"/>
        </w:rPr>
        <w:t>և սահմանված կարգով կիրառել համապատասխան</w:t>
      </w:r>
      <w:r w:rsidRPr="00487217">
        <w:rPr>
          <w:rFonts w:ascii="GHEA Grapalat" w:hAnsi="GHEA Grapalat"/>
          <w:lang w:val="hy-AM"/>
        </w:rPr>
        <w:t xml:space="preserve"> արտոնությունը` համաձայն հավելվածի</w:t>
      </w:r>
      <w:r w:rsidRPr="00EF25FE">
        <w:rPr>
          <w:rFonts w:ascii="GHEA Grapalat" w:hAnsi="GHEA Grapalat"/>
          <w:lang w:val="hy-AM"/>
        </w:rPr>
        <w:t xml:space="preserve"> ներմուծված</w:t>
      </w:r>
      <w:r w:rsidRPr="00487217">
        <w:rPr>
          <w:rFonts w:ascii="GHEA Grapalat" w:hAnsi="GHEA Grapalat"/>
          <w:lang w:val="hy-AM"/>
        </w:rPr>
        <w:t xml:space="preserve"> </w:t>
      </w:r>
      <w:r w:rsidRPr="00EF25FE">
        <w:rPr>
          <w:rFonts w:ascii="GHEA Grapalat" w:hAnsi="GHEA Grapalat"/>
          <w:lang w:val="hy-AM"/>
        </w:rPr>
        <w:t>(</w:t>
      </w:r>
      <w:r w:rsidRPr="00487217">
        <w:rPr>
          <w:rFonts w:ascii="GHEA Grapalat" w:hAnsi="GHEA Grapalat"/>
          <w:lang w:val="hy-AM"/>
        </w:rPr>
        <w:t>ներմուծվող</w:t>
      </w:r>
      <w:r w:rsidRPr="00EF25FE">
        <w:rPr>
          <w:rFonts w:ascii="GHEA Grapalat" w:hAnsi="GHEA Grapalat"/>
          <w:lang w:val="hy-AM"/>
        </w:rPr>
        <w:t>)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</w:t>
      </w:r>
      <w:r>
        <w:rPr>
          <w:rFonts w:ascii="GHEA Grapalat" w:hAnsi="GHEA Grapalat"/>
          <w:lang w:val="hy-AM"/>
        </w:rPr>
        <w:t>ց բաղկացուցիչ ու համալրող մասերի,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հումքի և (կամ) նյութերի</w:t>
      </w:r>
      <w:r w:rsidRPr="00A74397">
        <w:rPr>
          <w:rFonts w:ascii="GHEA Grapalat" w:hAnsi="GHEA Grapalat"/>
          <w:lang w:val="hy-AM"/>
        </w:rPr>
        <w:t xml:space="preserve"> </w:t>
      </w:r>
      <w:r w:rsidRPr="00487217">
        <w:rPr>
          <w:rFonts w:ascii="GHEA Grapalat" w:hAnsi="GHEA Grapalat"/>
          <w:lang w:val="hy-AM"/>
        </w:rPr>
        <w:t xml:space="preserve">նկատմամբ: </w:t>
      </w: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87217">
        <w:rPr>
          <w:rFonts w:ascii="GHEA Grapalat" w:hAnsi="GHEA Grapalat"/>
          <w:lang w:val="hy-AM"/>
        </w:rPr>
        <w:t xml:space="preserve">Սահմանել, որ սույն որոշման հավելվածում նշված են </w:t>
      </w:r>
      <w:r w:rsidRPr="00EF25FE">
        <w:rPr>
          <w:rFonts w:ascii="GHEA Grapalat" w:hAnsi="GHEA Grapalat"/>
          <w:lang w:val="hy-AM"/>
        </w:rPr>
        <w:t xml:space="preserve">ներմուծված (ներմուծվող)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դրանց բաղկացուցիչ ու համ</w:t>
      </w:r>
      <w:r>
        <w:rPr>
          <w:rFonts w:ascii="GHEA Grapalat" w:hAnsi="GHEA Grapalat"/>
          <w:lang w:val="hy-AM"/>
        </w:rPr>
        <w:t>ալրող մասերի, հումքի և (կամ) նյութերի</w:t>
      </w:r>
      <w:r w:rsidRPr="00487217">
        <w:rPr>
          <w:rFonts w:ascii="GHEA Grapalat" w:hAnsi="GHEA Grapalat"/>
          <w:lang w:val="hy-AM"/>
        </w:rPr>
        <w:t xml:space="preserve"> նախնական արժեքները:</w:t>
      </w: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E82F94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Sect="00DC655B">
          <w:footerReference w:type="default" r:id="rId8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E82F94">
        <w:rPr>
          <w:rFonts w:ascii="GHEA Grapalat" w:hAnsi="GHEA Grapalat"/>
          <w:lang w:val="hy-AM"/>
        </w:rPr>
        <w:t xml:space="preserve">                   ՎԱՐՉԱՊԵՏ</w:t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ՆԻԿՈԼ</w:t>
      </w:r>
      <w:r w:rsidRPr="00BF6AC6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ՓԱՇԻՆՅԱՆ</w:t>
      </w:r>
      <w:r w:rsidRPr="00E82F94">
        <w:rPr>
          <w:rFonts w:ascii="GHEA Grapalat" w:hAnsi="GHEA Grapalat"/>
          <w:lang w:val="hy-AM"/>
        </w:rPr>
        <w:t xml:space="preserve">  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>
        <w:rPr>
          <w:rFonts w:ascii="GHEA Grapalat" w:eastAsia="Calibri" w:hAnsi="GHEA Grapalat"/>
          <w:b/>
          <w:lang w:val="hy-AM" w:eastAsia="en-US"/>
        </w:rPr>
        <w:t>20</w:t>
      </w:r>
      <w:r w:rsidRPr="00E82F94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-ի N... -Ա որոշման</w:t>
      </w:r>
    </w:p>
    <w:p w:rsidR="002313DB" w:rsidRPr="00F22F5F" w:rsidRDefault="002313DB" w:rsidP="002313DB">
      <w:pPr>
        <w:jc w:val="center"/>
        <w:rPr>
          <w:rFonts w:ascii="GHEA Grapalat" w:hAnsi="GHEA Grapalat"/>
          <w:lang w:val="hy-AM" w:eastAsia="en-US"/>
        </w:rPr>
      </w:pPr>
      <w:r w:rsidRPr="00F22F5F">
        <w:rPr>
          <w:rFonts w:ascii="GHEA Grapalat" w:hAnsi="GHEA Grapalat" w:cs="Tahoma"/>
          <w:lang w:val="hy-AM" w:eastAsia="en-US"/>
        </w:rPr>
        <w:t>Ց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Ա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Ն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Կ</w:t>
      </w:r>
    </w:p>
    <w:p w:rsidR="002313DB" w:rsidRPr="00F22F5F" w:rsidRDefault="002313DB" w:rsidP="002313DB">
      <w:pPr>
        <w:jc w:val="center"/>
        <w:rPr>
          <w:rFonts w:ascii="GHEA Grapalat" w:hAnsi="GHEA Grapalat" w:cs="Courier New"/>
          <w:lang w:val="hy-AM" w:eastAsia="en-US"/>
        </w:rPr>
      </w:pPr>
      <w:r w:rsidRPr="00F22F5F">
        <w:rPr>
          <w:rFonts w:ascii="Courier New" w:hAnsi="Courier New" w:cs="Courier New"/>
          <w:lang w:val="hy-AM" w:eastAsia="en-US"/>
        </w:rPr>
        <w:t> </w:t>
      </w:r>
    </w:p>
    <w:p w:rsidR="002313DB" w:rsidRPr="00912475" w:rsidRDefault="002313DB" w:rsidP="002313DB">
      <w:pPr>
        <w:jc w:val="center"/>
        <w:rPr>
          <w:rFonts w:eastAsia="Calibri" w:cs="Tahoma"/>
          <w:caps/>
          <w:lang w:val="hy-AM" w:eastAsia="en-US"/>
        </w:rPr>
      </w:pPr>
      <w:r w:rsidRPr="00F22F5F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22F5F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ՏԵԽՆՈԼՈԳԻԱԿԱՆ </w:t>
      </w:r>
      <w:r>
        <w:rPr>
          <w:rFonts w:ascii="GHEA Grapalat" w:eastAsia="Calibri" w:hAnsi="GHEA Grapalat" w:cs="Tahoma"/>
          <w:caps/>
          <w:lang w:val="hy-AM" w:eastAsia="en-US"/>
        </w:rPr>
        <w:t>ՍԱՐՔԱՎՈՐՈՒՄՆԵՐի,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 ԴՐԱՆՑ ԲԱՂԿԱՑՈՒՑԻՉ ՈՒ ՀԱՄԱԼՐՈՂ </w:t>
      </w:r>
      <w:r>
        <w:rPr>
          <w:rFonts w:ascii="GHEA Grapalat" w:eastAsia="Calibri" w:hAnsi="GHEA Grapalat" w:cs="Tahoma"/>
          <w:caps/>
          <w:lang w:val="hy-AM" w:eastAsia="en-US"/>
        </w:rPr>
        <w:t>ՄԱՍԵՐի, հումքի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</w:t>
      </w:r>
      <w:r>
        <w:rPr>
          <w:rFonts w:ascii="GHEA Grapalat" w:eastAsia="Calibri" w:hAnsi="GHEA Grapalat" w:cs="Tahoma"/>
          <w:caps/>
          <w:lang w:val="hy-AM" w:eastAsia="en-US"/>
        </w:rPr>
        <w:t>ԵՎ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(կամ) </w:t>
      </w:r>
      <w:r>
        <w:rPr>
          <w:rFonts w:ascii="GHEA Grapalat" w:eastAsia="Calibri" w:hAnsi="GHEA Grapalat" w:cs="Tahoma"/>
          <w:caps/>
          <w:lang w:val="hy-AM" w:eastAsia="en-US"/>
        </w:rPr>
        <w:t>նյութերի</w:t>
      </w:r>
    </w:p>
    <w:p w:rsidR="002313DB" w:rsidRPr="00194F55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</w:pPr>
    </w:p>
    <w:tbl>
      <w:tblPr>
        <w:tblW w:w="156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710"/>
        <w:gridCol w:w="3269"/>
        <w:gridCol w:w="3870"/>
        <w:gridCol w:w="720"/>
        <w:gridCol w:w="1440"/>
        <w:gridCol w:w="1890"/>
        <w:gridCol w:w="2336"/>
      </w:tblGrid>
      <w:tr w:rsidR="002313DB" w:rsidRPr="000101E0" w:rsidTr="003A3164">
        <w:trPr>
          <w:trHeight w:val="1507"/>
          <w:tblCellSpacing w:w="0" w:type="dxa"/>
          <w:jc w:val="center"/>
        </w:trPr>
        <w:tc>
          <w:tcPr>
            <w:tcW w:w="461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NN</w:t>
            </w:r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en-US" w:eastAsia="en-US"/>
              </w:rPr>
              <w:t>ը/կ</w:t>
            </w:r>
            <w:r w:rsidRPr="000101E0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71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0101E0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3269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387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72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144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9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 w:rsidRPr="000101E0">
              <w:rPr>
                <w:rFonts w:ascii="GHEA Grapalat" w:hAnsi="GHEA Grapalat" w:cs="Sylfaen"/>
                <w:lang w:val="en-US" w:eastAsia="en-US"/>
              </w:rPr>
              <w:t>Ծագման</w:t>
            </w:r>
            <w:proofErr w:type="spellEnd"/>
          </w:p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2336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313DB" w:rsidRPr="000101E0" w:rsidTr="003A3164">
        <w:trPr>
          <w:trHeight w:val="254"/>
          <w:tblCellSpacing w:w="0" w:type="dxa"/>
          <w:jc w:val="center"/>
        </w:trPr>
        <w:tc>
          <w:tcPr>
            <w:tcW w:w="461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71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3269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387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144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890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2336" w:type="dxa"/>
            <w:vAlign w:val="center"/>
          </w:tcPr>
          <w:p w:rsidR="002313DB" w:rsidRPr="000101E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0101E0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234872" w:rsidRPr="000174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Pr="000101E0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0101E0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7217101000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Սև մետաղալար ոչ ցինկապատ մինչև 0.8մմ հաստ.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</w:t>
            </w:r>
            <w:r w:rsidRPr="00234872">
              <w:rPr>
                <w:rFonts w:ascii="GHEA Grapalat" w:hAnsi="GHEA Grapalat"/>
                <w:lang w:eastAsia="en-US"/>
              </w:rPr>
              <w:t>ինչև 0.8մմ հաստության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570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 w:cs="Courier New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 w:cs="Courier New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190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722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Pr="000101E0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5515998000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Սինթետիկ կտոր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Գործվածք սինթետիկ մանրաթելերից, այլ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3A3164" w:rsidRDefault="003A3164" w:rsidP="00234872">
            <w:pPr>
              <w:spacing w:line="276" w:lineRule="auto"/>
              <w:jc w:val="center"/>
              <w:rPr>
                <w:rFonts w:ascii="GHEA Grapalat" w:hAnsi="GHEA Grapalat"/>
                <w:vertAlign w:val="superscrip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կգ / </w:t>
            </w:r>
            <w:bookmarkStart w:id="0" w:name="_GoBack"/>
            <w:bookmarkEnd w:id="0"/>
            <w:r>
              <w:rPr>
                <w:rFonts w:ascii="GHEA Grapalat" w:hAnsi="GHEA Grapalat"/>
                <w:lang w:val="hy-AM" w:eastAsia="en-US"/>
              </w:rPr>
              <w:t>մ</w:t>
            </w:r>
            <w:r>
              <w:rPr>
                <w:rFonts w:ascii="GHEA Grapalat" w:hAnsi="GHEA Grapalat"/>
                <w:vertAlign w:val="superscript"/>
                <w:lang w:val="hy-AM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3A3164" w:rsidRDefault="00234872" w:rsidP="003A3164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240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  <w:r w:rsidR="003A3164">
              <w:rPr>
                <w:rFonts w:ascii="GHEA Grapalat" w:hAnsi="GHEA Grapalat"/>
                <w:lang w:val="hy-AM" w:eastAsia="en-US"/>
              </w:rPr>
              <w:t xml:space="preserve"> / </w:t>
            </w:r>
            <w:r w:rsidR="003A3164" w:rsidRPr="003A3164">
              <w:rPr>
                <w:rFonts w:ascii="GHEA Grapalat" w:hAnsi="GHEA Grapalat"/>
                <w:lang w:val="hy-AM" w:eastAsia="en-US"/>
              </w:rPr>
              <w:t>20</w:t>
            </w:r>
            <w:r w:rsidR="003A3164">
              <w:rPr>
                <w:rFonts w:ascii="GHEA Grapalat" w:hAnsi="GHEA Grapalat"/>
                <w:lang w:val="hy-AM" w:eastAsia="en-US"/>
              </w:rPr>
              <w:t xml:space="preserve"> </w:t>
            </w:r>
            <w:r w:rsidR="003A3164" w:rsidRPr="003A3164">
              <w:rPr>
                <w:rFonts w:ascii="GHEA Grapalat" w:hAnsi="GHEA Grapalat"/>
                <w:lang w:val="hy-AM" w:eastAsia="en-US"/>
              </w:rPr>
              <w:t>689</w:t>
            </w:r>
            <w:r w:rsidR="003A3164">
              <w:rPr>
                <w:rFonts w:ascii="GHEA Grapalat" w:hAnsi="GHEA Grapalat"/>
                <w:lang w:val="hy-AM" w:eastAsia="en-US"/>
              </w:rPr>
              <w:t xml:space="preserve"> </w:t>
            </w:r>
            <w:r w:rsidR="003A3164" w:rsidRPr="003A3164">
              <w:rPr>
                <w:rFonts w:ascii="GHEA Grapalat" w:hAnsi="GHEA Grapalat"/>
                <w:lang w:val="hy-AM" w:eastAsia="en-US"/>
              </w:rPr>
              <w:t>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344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160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5305000000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Կոկոսի մանրաթելերից սալեր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Երկկողմանի երեսպատված պենոպոլեուրետան թերթերով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11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950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3921139000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Պենոպոլեուրետաներ թերթեր (լատեքս)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Ծ</w:t>
            </w:r>
            <w:r w:rsidRPr="00234872">
              <w:rPr>
                <w:rFonts w:ascii="GHEA Grapalat" w:hAnsi="GHEA Grapalat"/>
                <w:lang w:eastAsia="en-US"/>
              </w:rPr>
              <w:t>ակոտկեն, պոլիուրեթաններից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16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730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5204190000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Բամբակյա թել կարի համար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</w:t>
            </w:r>
            <w:r w:rsidRPr="00234872">
              <w:rPr>
                <w:rFonts w:ascii="GHEA Grapalat" w:hAnsi="GHEA Grapalat"/>
                <w:lang w:eastAsia="en-US"/>
              </w:rPr>
              <w:t>ամբակի մանրաթելերի 85% -ից պակաս զանգվածային բաժնի պարունակությամբ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4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780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5603119000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Ոչ գործվածքային կտոր սինթետիկ թաղանթանյութից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25գր/մ.քառ-ից ոչ ավելի մակերեսային խտությամբ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29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13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870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8305200000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Կարիչի ասեղներ (սկոբ)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eastAsia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</w:t>
            </w:r>
            <w:r w:rsidRPr="00234872">
              <w:rPr>
                <w:rFonts w:ascii="GHEA Grapalat" w:hAnsi="GHEA Grapalat"/>
                <w:color w:val="000000"/>
              </w:rPr>
              <w:t>ետաղալարային կապեր` բլոկներով, ոչ թանկարժեք մետաղներից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12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4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050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B55CC9" w:rsidTr="003A3164">
        <w:trPr>
          <w:trHeight w:val="984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3506990000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Սոսինձ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highlight w:val="yellow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Զ</w:t>
            </w:r>
            <w:r w:rsidRPr="00234872">
              <w:rPr>
                <w:rFonts w:ascii="GHEA Grapalat" w:hAnsi="GHEA Grapalat"/>
                <w:lang w:eastAsia="en-US"/>
              </w:rPr>
              <w:t>ուտ զանգվածը 1կգ-ից ոչ ավել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կգ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15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Չինաստան</w:t>
            </w:r>
          </w:p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Թուրքիա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872" w:rsidRPr="00234872" w:rsidRDefault="00234872" w:rsidP="00234872">
            <w:pPr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234872">
              <w:rPr>
                <w:rFonts w:ascii="GHEA Grapalat" w:hAnsi="GHEA Grapalat"/>
                <w:lang w:eastAsia="en-US"/>
              </w:rPr>
              <w:t>5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750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/>
                <w:lang w:eastAsia="en-US"/>
              </w:rPr>
              <w:t>000</w:t>
            </w:r>
          </w:p>
        </w:tc>
      </w:tr>
      <w:tr w:rsidR="00234872" w:rsidRPr="000101E0" w:rsidTr="00416875">
        <w:trPr>
          <w:trHeight w:val="579"/>
          <w:tblCellSpacing w:w="0" w:type="dxa"/>
          <w:jc w:val="center"/>
        </w:trPr>
        <w:tc>
          <w:tcPr>
            <w:tcW w:w="461" w:type="dxa"/>
            <w:vAlign w:val="center"/>
          </w:tcPr>
          <w:p w:rsidR="00234872" w:rsidRPr="00B55CC9" w:rsidRDefault="00234872" w:rsidP="00234872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10" w:type="dxa"/>
            <w:vAlign w:val="center"/>
          </w:tcPr>
          <w:p w:rsidR="00234872" w:rsidRPr="000101E0" w:rsidRDefault="00234872" w:rsidP="00234872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0101E0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1189" w:type="dxa"/>
            <w:gridSpan w:val="5"/>
            <w:vAlign w:val="center"/>
          </w:tcPr>
          <w:p w:rsidR="00234872" w:rsidRPr="000101E0" w:rsidRDefault="00234872" w:rsidP="00234872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336" w:type="dxa"/>
            <w:vAlign w:val="center"/>
          </w:tcPr>
          <w:p w:rsidR="00234872" w:rsidRPr="000101E0" w:rsidRDefault="00234872" w:rsidP="00234872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 w:rsidRPr="00234872">
              <w:rPr>
                <w:rFonts w:ascii="GHEA Grapalat" w:hAnsi="GHEA Grapalat" w:cs="Sylfaen"/>
                <w:b/>
                <w:lang w:val="hy-AM" w:eastAsia="en-US"/>
              </w:rPr>
              <w:t>592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 w:cs="Sylfaen"/>
                <w:b/>
                <w:lang w:val="hy-AM" w:eastAsia="en-US"/>
              </w:rPr>
              <w:t>012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234872">
              <w:rPr>
                <w:rFonts w:ascii="GHEA Grapalat" w:hAnsi="GHEA Grapalat" w:cs="Sylfaen"/>
                <w:b/>
                <w:lang w:val="hy-AM" w:eastAsia="en-US"/>
              </w:rPr>
              <w:t>000</w:t>
            </w:r>
          </w:p>
        </w:tc>
      </w:tr>
    </w:tbl>
    <w:p w:rsidR="002313DB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  <w:sectPr w:rsidR="002313DB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2313DB" w:rsidRPr="00506DA2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«</w:t>
      </w:r>
      <w:r w:rsidR="006A1652">
        <w:rPr>
          <w:rFonts w:ascii="GHEA Grapalat" w:eastAsia="Calibri" w:hAnsi="GHEA Grapalat"/>
          <w:b/>
          <w:caps/>
          <w:lang w:val="hy-AM" w:eastAsia="en-US"/>
        </w:rPr>
        <w:t>ԱԼՖԱՌԵՆԵՍԱՆՍ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074C14">
        <w:rPr>
          <w:rFonts w:ascii="GHEA Grapalat" w:hAnsi="GHEA Grapalat"/>
          <w:lang w:val="hy-AM"/>
        </w:rPr>
        <w:t>«</w:t>
      </w:r>
      <w:r w:rsidR="006A1652">
        <w:rPr>
          <w:rFonts w:ascii="GHEA Grapalat" w:hAnsi="GHEA Grapalat"/>
          <w:lang w:val="hy-AM"/>
        </w:rPr>
        <w:t>ԱԼՖԱՌԵՆԵՍԱՆՍ</w:t>
      </w:r>
      <w:r w:rsidRPr="00074C14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CE4F13">
        <w:rPr>
          <w:rFonts w:ascii="GHEA Grapalat" w:eastAsia="Calibri" w:hAnsi="GHEA Grapalat"/>
          <w:lang w:val="hy-AM" w:eastAsia="en-US"/>
        </w:rPr>
        <w:t>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>հումքը և (կամ) նյութերը</w:t>
      </w:r>
      <w:r w:rsidRPr="00B849D6">
        <w:rPr>
          <w:rFonts w:ascii="GHEA Grapalat" w:eastAsia="Calibri" w:hAnsi="GHEA Grapalat"/>
          <w:lang w:val="hy-AM" w:eastAsia="en-US"/>
        </w:rPr>
        <w:t xml:space="preserve"> ներմուծման մաքսատուրքից ազատելու անհրաժեշտությամբ`</w:t>
      </w:r>
      <w:r w:rsidRPr="00506DA2">
        <w:rPr>
          <w:rFonts w:ascii="GHEA Grapalat" w:eastAsia="Calibri" w:hAnsi="GHEA Grapalat"/>
          <w:lang w:val="hy-AM" w:eastAsia="en-US"/>
        </w:rPr>
        <w:t xml:space="preserve"> Հայաստանի Հանրապետության կառավարության 2015 թվականի սեպտեմբերի 17-ի N1118-Ն որոշման համապատասխան: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1A0417" w:rsidRDefault="002313DB" w:rsidP="002313DB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1A0417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313DB" w:rsidRPr="002B141A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27172">
        <w:rPr>
          <w:rFonts w:ascii="GHEA Grapalat" w:hAnsi="GHEA Grapalat"/>
          <w:lang w:val="hy-AM"/>
        </w:rPr>
        <w:t>«</w:t>
      </w:r>
      <w:r w:rsidR="006A1652">
        <w:rPr>
          <w:rFonts w:ascii="GHEA Grapalat" w:hAnsi="GHEA Grapalat"/>
          <w:lang w:val="hy-AM"/>
        </w:rPr>
        <w:t>ԱԼՖԱՌԵՆԵՍԱՆՍ</w:t>
      </w:r>
      <w:r w:rsidRPr="005271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527172">
        <w:rPr>
          <w:rFonts w:ascii="GHEA Grapalat" w:eastAsia="Calibri" w:hAnsi="GHEA Grapalat"/>
          <w:lang w:val="hy-AM" w:eastAsia="en-US"/>
        </w:rPr>
        <w:t xml:space="preserve"> կողմից ներմուծվող </w:t>
      </w:r>
      <w:r>
        <w:rPr>
          <w:rFonts w:ascii="GHEA Grapalat" w:eastAsia="Calibri" w:hAnsi="GHEA Grapalat"/>
          <w:lang w:val="hy-AM" w:eastAsia="en-US"/>
        </w:rPr>
        <w:t>ապրանքներն</w:t>
      </w:r>
      <w:r w:rsidRPr="00527172">
        <w:rPr>
          <w:rFonts w:ascii="GHEA Grapalat" w:eastAsia="Calibri" w:hAnsi="GHEA Grapalat"/>
          <w:lang w:val="hy-AM" w:eastAsia="en-US"/>
        </w:rPr>
        <w:t xml:space="preserve"> </w:t>
      </w:r>
      <w:r w:rsidR="00B65C43">
        <w:rPr>
          <w:rFonts w:ascii="GHEA Grapalat" w:eastAsia="Calibri" w:hAnsi="GHEA Grapalat"/>
          <w:lang w:val="hy-AM" w:eastAsia="en-US"/>
        </w:rPr>
        <w:t xml:space="preserve">օգտագործվելու են </w:t>
      </w:r>
      <w:r w:rsidR="006A1652">
        <w:rPr>
          <w:rFonts w:ascii="GHEA Grapalat" w:eastAsia="Calibri" w:hAnsi="GHEA Grapalat"/>
          <w:lang w:val="hy-AM" w:eastAsia="en-US"/>
        </w:rPr>
        <w:t>ներքնակների</w:t>
      </w:r>
      <w:r w:rsidR="008A717B">
        <w:rPr>
          <w:rFonts w:ascii="GHEA Grapalat" w:eastAsia="Calibri" w:hAnsi="GHEA Grapalat"/>
          <w:lang w:val="hy-AM" w:eastAsia="en-US"/>
        </w:rPr>
        <w:t xml:space="preserve"> </w:t>
      </w:r>
      <w:r w:rsidR="001C0FB0">
        <w:rPr>
          <w:rFonts w:ascii="GHEA Grapalat" w:eastAsia="Calibri" w:hAnsi="GHEA Grapalat"/>
          <w:lang w:val="hy-AM" w:eastAsia="en-US"/>
        </w:rPr>
        <w:t xml:space="preserve">արտադրության </w:t>
      </w:r>
      <w:r w:rsidR="00120F5B">
        <w:rPr>
          <w:rFonts w:ascii="GHEA Grapalat" w:eastAsia="Calibri" w:hAnsi="GHEA Grapalat"/>
          <w:lang w:val="hy-AM" w:eastAsia="en-US"/>
        </w:rPr>
        <w:t>համար</w:t>
      </w:r>
      <w:r w:rsidRPr="00DC43B7">
        <w:rPr>
          <w:rFonts w:ascii="GHEA Grapalat" w:eastAsia="Calibri" w:hAnsi="GHEA Grapalat"/>
          <w:lang w:val="hy-AM" w:eastAsia="en-US"/>
        </w:rPr>
        <w:t>։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131B27">
        <w:rPr>
          <w:rFonts w:ascii="GHEA Grapalat" w:eastAsia="Calibri" w:hAnsi="GHEA Grapalat"/>
          <w:lang w:val="hy-AM" w:eastAsia="en-US"/>
        </w:rPr>
        <w:t xml:space="preserve">Ներմուծվող </w:t>
      </w:r>
      <w:r>
        <w:rPr>
          <w:rFonts w:ascii="GHEA Grapalat" w:eastAsia="Calibri" w:hAnsi="GHEA Grapalat"/>
          <w:lang w:val="hy-AM" w:eastAsia="en-US"/>
        </w:rPr>
        <w:t xml:space="preserve">ապրանքները </w:t>
      </w:r>
      <w:r w:rsidRPr="00131B27">
        <w:rPr>
          <w:rFonts w:ascii="GHEA Grapalat" w:eastAsia="Calibri" w:hAnsi="GHEA Grapalat"/>
          <w:lang w:val="hy-AM" w:eastAsia="en-US"/>
        </w:rPr>
        <w:t>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ներմուծվում ԵԱՏՄ անդամ-երկրներից, քանի որ 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բավարարում ընկերության տեխնիկական պահանջներին։</w:t>
      </w:r>
    </w:p>
    <w:p w:rsidR="002313DB" w:rsidRPr="00BB17D0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911756">
        <w:rPr>
          <w:rFonts w:ascii="GHEA Grapalat" w:hAnsi="GHEA Grapalat"/>
          <w:lang w:val="hy-AM"/>
        </w:rPr>
        <w:t>«</w:t>
      </w:r>
      <w:r w:rsidR="006A1652">
        <w:rPr>
          <w:rFonts w:ascii="GHEA Grapalat" w:hAnsi="GHEA Grapalat"/>
          <w:lang w:val="hy-AM"/>
        </w:rPr>
        <w:t>ԱԼՖԱՌԵՆԵՍԱՆՍ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ներդրումային ծրագրի շրջանակներում ներմուծվող </w:t>
      </w:r>
      <w:r w:rsidRPr="00987D85">
        <w:rPr>
          <w:rFonts w:ascii="GHEA Grapalat" w:eastAsia="Calibri" w:hAnsi="GHEA Grapalat"/>
          <w:lang w:val="hy-AM" w:eastAsia="en-US"/>
        </w:rPr>
        <w:lastRenderedPageBreak/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987D85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արտոնությունից: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</w:t>
      </w:r>
      <w:r>
        <w:rPr>
          <w:rFonts w:ascii="GHEA Grapalat" w:eastAsia="Calibri" w:hAnsi="GHEA Grapalat"/>
          <w:b/>
          <w:lang w:val="hy-AM" w:eastAsia="en-US"/>
        </w:rPr>
        <w:t>ն</w:t>
      </w:r>
      <w:r w:rsidRPr="00B849D6">
        <w:rPr>
          <w:rFonts w:ascii="GHEA Grapalat" w:eastAsia="Calibri" w:hAnsi="GHEA Grapalat"/>
          <w:b/>
          <w:lang w:val="hy-AM" w:eastAsia="en-US"/>
        </w:rPr>
        <w:t>ք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>
        <w:rPr>
          <w:rFonts w:ascii="GHEA Grapalat" w:eastAsia="Calibri" w:hAnsi="GHEA Grapalat"/>
          <w:lang w:val="hy-AM" w:eastAsia="en-US"/>
        </w:rPr>
        <w:t>էկոնոմիկայի</w:t>
      </w:r>
      <w:r w:rsidRPr="00B849D6"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756">
        <w:rPr>
          <w:rFonts w:ascii="GHEA Grapalat" w:hAnsi="GHEA Grapalat"/>
          <w:lang w:val="hy-AM"/>
        </w:rPr>
        <w:t>«</w:t>
      </w:r>
      <w:r w:rsidR="006A1652">
        <w:rPr>
          <w:rFonts w:ascii="GHEA Grapalat" w:hAnsi="GHEA Grapalat"/>
          <w:lang w:val="hy-AM"/>
        </w:rPr>
        <w:t>ԱԼՖԱՌԵՆԵՍԱՆՍ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CE4F13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506DA2">
        <w:rPr>
          <w:rFonts w:ascii="GHEA Grapalat" w:eastAsia="Calibri" w:hAnsi="GHEA Grapalat"/>
          <w:lang w:val="hy-AM" w:eastAsia="en-US"/>
        </w:rPr>
        <w:t>ներմուծման մաքսատուրքից ազատելու արտոնության տրամադրում: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06DA2">
        <w:rPr>
          <w:rFonts w:ascii="GHEA Grapalat" w:eastAsia="Calibri" w:hAnsi="GHEA Grapalat"/>
          <w:lang w:val="hy-AM" w:eastAsia="en-US"/>
        </w:rPr>
        <w:t xml:space="preserve"> </w:t>
      </w:r>
      <w:r w:rsidRPr="00506DA2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</w:t>
      </w: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336A65" w:rsidRDefault="002313DB" w:rsidP="002313DB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169B0" w:rsidRDefault="006169B0" w:rsidP="00BE0E4F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6169B0" w:rsidRDefault="006169B0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A1652" w:rsidRDefault="006A1652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A1652" w:rsidRDefault="006A1652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6A1652">
        <w:rPr>
          <w:rFonts w:ascii="GHEA Grapalat" w:eastAsia="Calibri" w:hAnsi="GHEA Grapalat"/>
          <w:b/>
          <w:caps/>
          <w:lang w:val="hy-AM" w:eastAsia="en-US"/>
        </w:rPr>
        <w:t>ԱԼՖԱՌԵՆԵՍԱՆՍ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313DB" w:rsidRPr="00B849D6" w:rsidRDefault="002313DB" w:rsidP="002313DB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2313DB" w:rsidRPr="00B849D6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</w:t>
      </w:r>
      <w:r w:rsidRPr="00506DA2">
        <w:rPr>
          <w:rFonts w:ascii="GHEA Grapalat" w:eastAsia="Calibri" w:hAnsi="GHEA Grapalat"/>
          <w:lang w:val="hy-AM" w:eastAsia="en-US"/>
        </w:rPr>
        <w:t xml:space="preserve"> համապատասխանությունը.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իրազեկվել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մասնակցել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6A1652">
        <w:rPr>
          <w:rFonts w:ascii="GHEA Grapalat" w:eastAsia="Calibri" w:hAnsi="GHEA Grapalat"/>
          <w:b/>
          <w:caps/>
          <w:lang w:val="hy-AM" w:eastAsia="en-US"/>
        </w:rPr>
        <w:t>ԱԼՖԱՌԵՆԵՍԱՆՍ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2313DB" w:rsidRPr="00B849D6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2A619E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</w:t>
      </w:r>
      <w:r>
        <w:rPr>
          <w:rFonts w:ascii="GHEA Grapalat" w:hAnsi="GHEA Grapalat"/>
          <w:lang w:val="hy-AM"/>
        </w:rPr>
        <w:t>տեխնոլոգիական սարքավորումները,</w:t>
      </w:r>
      <w:r w:rsidRPr="00CE4F13">
        <w:rPr>
          <w:rFonts w:ascii="GHEA Grapalat" w:hAnsi="GHEA Grapalat"/>
          <w:lang w:val="hy-AM"/>
        </w:rPr>
        <w:t xml:space="preserve"> դրանց բաղկացուցիչ ու համալրող մասերը</w:t>
      </w:r>
      <w:r>
        <w:rPr>
          <w:rFonts w:ascii="GHEA Grapalat" w:hAnsi="GHEA Grapalat"/>
          <w:lang w:val="hy-AM"/>
        </w:rPr>
        <w:t>,</w:t>
      </w:r>
      <w:r w:rsidRPr="002A619E">
        <w:rPr>
          <w:rFonts w:ascii="GHEA Grapalat" w:hAnsi="GHEA Grapalat"/>
          <w:lang w:val="hy-AM"/>
        </w:rPr>
        <w:t xml:space="preserve"> </w:t>
      </w:r>
      <w:r w:rsidRPr="001B2EE6">
        <w:rPr>
          <w:rFonts w:ascii="GHEA Grapalat" w:hAnsi="GHEA Grapalat"/>
          <w:lang w:val="hy-AM"/>
        </w:rPr>
        <w:t xml:space="preserve">հումքը և (կամ) նյութերը </w:t>
      </w:r>
      <w:r w:rsidRPr="002A619E">
        <w:rPr>
          <w:rFonts w:ascii="GHEA Grapalat" w:hAnsi="GHEA Grapalat"/>
          <w:lang w:val="hy-AM"/>
        </w:rPr>
        <w:t xml:space="preserve">ներմուծման մաքսատուրքից ազատման արտոնությունից օգտվելու համար </w:t>
      </w:r>
      <w:r w:rsidRPr="00911756">
        <w:rPr>
          <w:rFonts w:ascii="GHEA Grapalat" w:hAnsi="GHEA Grapalat"/>
          <w:lang w:val="hy-AM"/>
        </w:rPr>
        <w:t>«</w:t>
      </w:r>
      <w:r w:rsidR="006A1652">
        <w:rPr>
          <w:rFonts w:ascii="GHEA Grapalat" w:hAnsi="GHEA Grapalat"/>
          <w:lang w:val="hy-AM"/>
        </w:rPr>
        <w:t>ԱԼՖԱՌԵՆԵՍԱՆՍ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2A619E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72534A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CD7076" w:rsidRDefault="00CD7076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CD7076" w:rsidRDefault="00CD7076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CD7076" w:rsidRDefault="00CD7076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CD7076" w:rsidRPr="00C81215" w:rsidRDefault="00CD7076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786390" w:rsidRDefault="002313DB" w:rsidP="002313DB">
      <w:pPr>
        <w:rPr>
          <w:lang w:val="hy-AM"/>
        </w:rPr>
      </w:pPr>
    </w:p>
    <w:p w:rsidR="00CD7076" w:rsidRDefault="00CD7076" w:rsidP="00CD7076">
      <w:pPr>
        <w:spacing w:line="360" w:lineRule="auto"/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ԵԶՐԱԿԱՑՈՒԹՅՈՒՆ</w:t>
      </w:r>
    </w:p>
    <w:p w:rsidR="00CD7076" w:rsidRDefault="00CD7076" w:rsidP="00CD7076">
      <w:pPr>
        <w:spacing w:line="360" w:lineRule="auto"/>
        <w:ind w:firstLine="708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«ԱԼՖԱՌԵՆԵՍԱՆՍ» ՍՊԸ </w:t>
      </w:r>
      <w:r>
        <w:rPr>
          <w:rFonts w:ascii="GHEA Grapalat" w:eastAsia="Calibri" w:hAnsi="GHEA Grapalat"/>
          <w:b/>
          <w:lang w:val="hy-AM"/>
        </w:rPr>
        <w:t>ԿՈՂՄԻՑ ՀՀ ԿԱՌԱՎԱՐՈՒԹՅԱՆ 2015 ԹՎԱԿԱՆԻ ՍԵՊՏԵՄԲԵՐԻ 17-Ի ԹԻՎ 1118-Ն ՈՐՈՇՄԱՆ ՇՐՋԱՆԱԿՆԵՐՈՒՄ ՆԵՐՄՈՒԾՄԱՆ ՄԱՔՍԱՏՈՒՐՔԻՑ ԱԶԱՏՄԱՆ ԱՐՏՈՆՈՒԹՅՈՒՆԻՑ ՕԳՏՎԵԼՈՒ ՄԱՍԻՆ ՆԵՐԿԱՅԱՑՎԱԾ ՀԱՅՏԻ ՎԵՐԱԲԵՐՅԱԼ</w:t>
      </w:r>
    </w:p>
    <w:p w:rsidR="00CD7076" w:rsidRDefault="00CD7076" w:rsidP="00CD707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D7076" w:rsidRDefault="00CD7076" w:rsidP="00CD707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N1118-Ն որոշմամբ և հաշվի առնելով «ԱԼՖԱՌԵՆԵՍԱՆՍ» ՍՊԸ կողմից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հայտն, ինչպես նաև շահագրգիռ մարմիններից ստացված կարծիքները` «ԱԼՖԱՌԵՆԵՍԱՆՍ» ՍՊԸ 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էկոնոմիկայի նախարարությունը հայտնում է հետևյալը.</w:t>
      </w:r>
    </w:p>
    <w:p w:rsidR="00CD7076" w:rsidRDefault="00CD7076" w:rsidP="00CD707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«ԱԼՖԱՌԵՆԵՍԱՆՍ» ՍՊԸ կողմից ներկայացվել են հետևյալ փաստաթղթերը`</w:t>
      </w:r>
    </w:p>
    <w:p w:rsidR="00CD7076" w:rsidRDefault="00CD7076" w:rsidP="00CD7076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</w:t>
      </w:r>
    </w:p>
    <w:p w:rsidR="00CD7076" w:rsidRDefault="00CD7076" w:rsidP="00CD7076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Ներդրումային ծրագիր` համաձայն ՀՀ կառավարության 2015 թվականի սեպտեմբերի 17-ի №1118-Ն որոշման Հավելվածի N 1 ձևի</w:t>
      </w:r>
    </w:p>
    <w:p w:rsidR="00CD7076" w:rsidRDefault="00CD7076" w:rsidP="00CD7076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Ներմուծված (ներմուծվող) հումքի ցանկը և դրա տեխնիկական բնութագիր` համաձայն ՀՀ կառավարության 2015 թվականի սեպտեմբերի 17-ի №1118-Ն որոշման Հավելվածի N 2 ձևի</w:t>
      </w:r>
    </w:p>
    <w:p w:rsidR="00CD7076" w:rsidRDefault="00CD7076" w:rsidP="00CD7076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Հայտարարություն՝ ներդրումային ծրագրի շրջանակներում ներմուծված (ներմուծվող) հումքը բացառապես Հայաստանի Հանրապետության տարածքում օգտագործելու մասին` համաձայն ՀՀ կառավարության 2015 թվականի սեպտեմբերի 17-ի №1118-Ն որոշման Հավելվածի N 3 ձևի: 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</w:t>
      </w:r>
      <w:r>
        <w:rPr>
          <w:rFonts w:ascii="GHEA Grapalat" w:hAnsi="GHEA Grapalat"/>
          <w:lang w:val="hy-AM"/>
        </w:rPr>
        <w:lastRenderedPageBreak/>
        <w:t xml:space="preserve">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է գերակա ոլորտ։ 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«ԱԼՖԱՌԵՆԵՍԱՆՍ» սահմանափակ պատասխանատվությամբ ընկերության կողմից ներմուծվող ապրանքները օգտագործվելու են ներքնակների արտադրության համար (Արարատի մարզ)։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Նախատեսվում է ծրագրի շրջանակում իրականացնել 592 մլն դրամի ներդրում ցանկում ներկայացված հումքի ձեռքբերման և շուրջ 40 մլն դրամի ներդրում` նոր սարքավորումների և արտադրական տարածքի ձեռքբերման համար: Ներկայումս առկա է 16 աշխատատեղ: Նախատեսվում է ներդրումային ծրագրի շրջանակում ստեղծել 5 նոր աշխատատեղ` 150,000 դրամ միջին աշխատավարձով։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Ծրագրով նախատեսված արտադրանքի ընդհանուր ծավալը կկազմի 730 մլն դրամ, որն ամբողջությամբ կիրացվի ՀՀ տարածքում: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Արտոնություն ստանալու համար ներկայացված ապրանքների արժեքը կազմում է             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592 մլն դրամ: Մաքսատուրքից ազատման արտոնությունը կազմում է 47 մլն դրամ: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վերոգրյալը և ամփոփելով շահագրգիռ մարմիններից </w:t>
      </w:r>
      <w:r>
        <w:rPr>
          <w:rFonts w:ascii="GHEA Grapalat" w:eastAsia="Calibri" w:hAnsi="GHEA Grapalat"/>
          <w:lang w:val="hy-AM"/>
        </w:rPr>
        <w:t>ստացված կարծիքները</w:t>
      </w:r>
      <w:r>
        <w:rPr>
          <w:rFonts w:ascii="GHEA Grapalat" w:hAnsi="GHEA Grapalat"/>
          <w:lang w:val="hy-AM"/>
        </w:rPr>
        <w:t>` նպատակահարմար ենք գտնում բավարարել «ԱԼՖԱՌԵՆԵՍԱՆՍ» ՍՊԸ 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CD7076" w:rsidRDefault="00CD7076" w:rsidP="00CD7076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</w:p>
    <w:p w:rsidR="008F3812" w:rsidRDefault="008F3812" w:rsidP="002313DB">
      <w:pPr>
        <w:rPr>
          <w:lang w:val="hy-AM"/>
        </w:rPr>
        <w:sectPr w:rsidR="008F3812">
          <w:footerReference w:type="default" r:id="rId9"/>
          <w:footerReference w:type="firs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8F3812" w:rsidRPr="0097322E" w:rsidRDefault="008F3812" w:rsidP="002313DB">
      <w:pPr>
        <w:rPr>
          <w:lang w:val="hy-AM"/>
        </w:rPr>
      </w:pPr>
    </w:p>
    <w:p w:rsidR="008F3812" w:rsidRPr="008F3812" w:rsidRDefault="008F3812" w:rsidP="008F381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8F3812">
        <w:rPr>
          <w:rFonts w:ascii="GHEA Grapalat" w:hAnsi="GHEA Grapalat"/>
          <w:lang w:val="hy-AM" w:eastAsia="en-US"/>
        </w:rPr>
        <w:t>ԱՄՓՈՓԱԹԵՐԹ</w:t>
      </w:r>
    </w:p>
    <w:p w:rsidR="008F3812" w:rsidRPr="008F3812" w:rsidRDefault="008F3812" w:rsidP="008F3812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lang w:val="af-ZA" w:eastAsia="en-US"/>
        </w:rPr>
      </w:pPr>
      <w:r w:rsidRPr="008F3812">
        <w:rPr>
          <w:rFonts w:ascii="GHEA Grapalat" w:hAnsi="GHEA Grapalat"/>
          <w:lang w:val="hy-AM" w:eastAsia="en-US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</w:t>
      </w:r>
      <w:r w:rsidRPr="008F3812">
        <w:rPr>
          <w:rFonts w:ascii="GHEA Grapalat" w:hAnsi="GHEA Grapalat" w:cs="Sylfaen"/>
          <w:szCs w:val="22"/>
          <w:lang w:val="hy-AM" w:eastAsia="en-US"/>
        </w:rPr>
        <w:t>«</w:t>
      </w:r>
      <w:r w:rsidR="006A1652">
        <w:rPr>
          <w:rFonts w:ascii="GHEA Grapalat" w:hAnsi="GHEA Grapalat" w:cs="Sylfaen"/>
          <w:szCs w:val="22"/>
          <w:lang w:val="hy-AM" w:eastAsia="en-US"/>
        </w:rPr>
        <w:t>ԱԼՖԱՌԵՆԵՍԱՆՍ</w:t>
      </w:r>
      <w:r w:rsidRPr="008F3812">
        <w:rPr>
          <w:rFonts w:ascii="GHEA Grapalat" w:hAnsi="GHEA Grapalat" w:cs="Sylfaen"/>
          <w:szCs w:val="22"/>
          <w:lang w:val="hy-AM" w:eastAsia="en-US"/>
        </w:rPr>
        <w:t>» սահմանափակ պատասխանատվությամբ ընկերության</w:t>
      </w:r>
      <w:r w:rsidRPr="008F3812">
        <w:rPr>
          <w:rFonts w:ascii="GHEA Grapalat" w:hAnsi="GHEA Grapalat"/>
          <w:lang w:val="hy-AM" w:eastAsia="en-US"/>
        </w:rPr>
        <w:t xml:space="preserve"> կողմից ներկայացված հայտը բավարարելու և արտոնությունը կիրառելու մասին»</w:t>
      </w:r>
      <w:r w:rsidRPr="008F3812">
        <w:rPr>
          <w:rFonts w:ascii="GHEA Grapalat" w:hAnsi="GHEA Grapalat"/>
          <w:b/>
          <w:lang w:val="hy-AM" w:eastAsia="en-US"/>
        </w:rPr>
        <w:t xml:space="preserve"> </w:t>
      </w:r>
      <w:r w:rsidRPr="008F3812">
        <w:rPr>
          <w:rFonts w:ascii="GHEA Grapalat" w:hAnsi="GHEA Grapalat"/>
          <w:lang w:val="af-ZA" w:eastAsia="en-US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8F3812" w:rsidRPr="008F3812" w:rsidRDefault="008F3812" w:rsidP="008F3812">
      <w:pPr>
        <w:tabs>
          <w:tab w:val="center" w:pos="4680"/>
          <w:tab w:val="right" w:pos="9360"/>
          <w:tab w:val="left" w:pos="13590"/>
        </w:tabs>
        <w:spacing w:line="360" w:lineRule="auto"/>
        <w:jc w:val="center"/>
        <w:rPr>
          <w:rFonts w:ascii="GHEA Grapalat" w:hAnsi="GHEA Grapalat"/>
          <w:lang w:val="af-ZA" w:eastAsia="en-US"/>
        </w:rPr>
      </w:pPr>
    </w:p>
    <w:tbl>
      <w:tblPr>
        <w:tblW w:w="15030" w:type="dxa"/>
        <w:tblInd w:w="-702" w:type="dxa"/>
        <w:tblLayout w:type="fixed"/>
        <w:tblLook w:val="04A0"/>
      </w:tblPr>
      <w:tblGrid>
        <w:gridCol w:w="630"/>
        <w:gridCol w:w="3960"/>
        <w:gridCol w:w="5490"/>
        <w:gridCol w:w="2160"/>
        <w:gridCol w:w="2790"/>
      </w:tblGrid>
      <w:tr w:rsidR="008F3812" w:rsidRPr="008F3812" w:rsidTr="000A0B96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8F3812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  <w:r w:rsidRPr="008F3812">
              <w:rPr>
                <w:rFonts w:ascii="GHEA Grapalat" w:eastAsia="Calibri" w:hAnsi="GHEA Grapalat"/>
                <w:color w:val="000000"/>
                <w:lang w:val="en-US" w:eastAsia="en-US"/>
              </w:rPr>
              <w:t>/</w:t>
            </w:r>
            <w:r w:rsidRPr="008F3812">
              <w:rPr>
                <w:rFonts w:ascii="GHEA Grapalat" w:eastAsia="Calibri" w:hAnsi="GHEA Grapalat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Առարկության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,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առաջարկության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հեղինակը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>¸</w:t>
            </w:r>
          </w:p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ստացման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ամսաթիվը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գրության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համարը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Առարկության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.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առաջարկության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Եզրակացություն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Կատարված</w:t>
            </w:r>
            <w:proofErr w:type="spellEnd"/>
            <w:r w:rsidRPr="008F381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eastAsia="Calibri" w:hAnsi="GHEA Grapalat"/>
                <w:lang w:val="en-US" w:eastAsia="en-US"/>
              </w:rPr>
              <w:t>փոփոխությունները</w:t>
            </w:r>
            <w:proofErr w:type="spellEnd"/>
          </w:p>
        </w:tc>
      </w:tr>
      <w:tr w:rsidR="008F3812" w:rsidRPr="008F3812" w:rsidTr="000A0B96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F3812">
              <w:rPr>
                <w:rFonts w:ascii="GHEA Grapalat" w:eastAsia="Calibri" w:hAnsi="GHEA Grapalat"/>
                <w:lang w:val="en-US" w:eastAsia="en-US"/>
              </w:rPr>
              <w:t>4</w:t>
            </w:r>
          </w:p>
        </w:tc>
      </w:tr>
      <w:tr w:rsidR="008F3812" w:rsidRPr="00EC7462" w:rsidTr="000A0B96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12" w:rsidRPr="008F3812" w:rsidRDefault="008F3812" w:rsidP="008F381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812" w:rsidRPr="008F3812" w:rsidRDefault="008F381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 xml:space="preserve">ՀՀ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ֆինանսների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նախարարություն</w:t>
            </w:r>
            <w:proofErr w:type="spellEnd"/>
          </w:p>
          <w:p w:rsidR="008F3812" w:rsidRPr="008F3812" w:rsidRDefault="00EC7462" w:rsidP="006A1652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10-0</w:t>
            </w:r>
            <w:r w:rsidR="006A1652">
              <w:rPr>
                <w:rFonts w:ascii="GHEA Grapalat" w:hAnsi="GHEA Grapalat"/>
                <w:lang w:val="hy-AM" w:eastAsia="en-US"/>
              </w:rPr>
              <w:t>3</w:t>
            </w:r>
            <w:r w:rsidR="006169B0">
              <w:rPr>
                <w:rFonts w:ascii="GHEA Grapalat" w:hAnsi="GHEA Grapalat"/>
                <w:lang w:val="hy-AM" w:eastAsia="en-US"/>
              </w:rPr>
              <w:t>-2020</w:t>
            </w:r>
            <w:r w:rsidR="008F3812" w:rsidRPr="008F3812">
              <w:rPr>
                <w:rFonts w:ascii="GHEA Grapalat" w:hAnsi="GHEA Grapalat"/>
                <w:lang w:val="en-US" w:eastAsia="en-US"/>
              </w:rPr>
              <w:t xml:space="preserve">, </w:t>
            </w:r>
            <w:r w:rsidR="006A1652" w:rsidRPr="006A1652">
              <w:rPr>
                <w:rFonts w:ascii="GHEA Grapalat" w:hAnsi="GHEA Grapalat"/>
                <w:lang w:val="en-US" w:eastAsia="en-US"/>
              </w:rPr>
              <w:t>01/2-1/3613-2020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652" w:rsidRPr="006A1652" w:rsidRDefault="006A1652" w:rsidP="006A165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Հայտին կից ներկայացված Ձև 2-ով նախատեսված ցանկում ներա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ռված՝ ԵԱՏՄ ԱՏԳ ԱԱ ծածկագրերն անհրաժեշտ է ներկայացնել 10 նիշով՝ համա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պա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տաս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խանեցնելով ՀՀ կառա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վա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րության 2015 թվականի սեպտեմ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բերի 17-ի թիվ 1118-Ն որոշ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մամբ սահմանված պահանջ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ներին:</w:t>
            </w:r>
          </w:p>
          <w:p w:rsidR="006A1652" w:rsidRPr="006A1652" w:rsidRDefault="006A1652" w:rsidP="006A165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Միաժամանակ, հայտնում ենք, որ Ձև 2-ով նախատեսված ցանկի 2-րդ տողում ներառ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ված՝ ԵԱՏՄ ԱՏԳ ԱԱ ծած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կագրին դասվող ապրանքների չափման միավորներն անհրա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ժեշտ է ներկա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յացնել քառակուսի մետրերով՝ համա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պա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տաս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խանեցնելով ԵՏՀ 2012 թվականի հուլիսի 16-ի թիվ 54 որոշ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մամբ սահմանված պահանջներին:</w:t>
            </w:r>
          </w:p>
          <w:p w:rsidR="008F3812" w:rsidRPr="008F3812" w:rsidRDefault="008F3812" w:rsidP="008F381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12" w:rsidRP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EC7462">
              <w:rPr>
                <w:rFonts w:ascii="GHEA Grapalat" w:hAnsi="GHEA Grapalat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812" w:rsidRPr="008F3812" w:rsidRDefault="00EC7462" w:rsidP="008F381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Կատարվել են համապատասխան փոփոխություններ:</w:t>
            </w:r>
          </w:p>
        </w:tc>
      </w:tr>
      <w:tr w:rsidR="006A1652" w:rsidRPr="006A1652" w:rsidTr="000A0B96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652" w:rsidRPr="008F3812" w:rsidRDefault="006A1652" w:rsidP="006A1652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52" w:rsidRPr="008F3812" w:rsidRDefault="006A1652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8F3812">
              <w:rPr>
                <w:rFonts w:ascii="GHEA Grapalat" w:hAnsi="GHEA Grapalat"/>
                <w:lang w:val="en-US" w:eastAsia="en-US"/>
              </w:rPr>
              <w:t xml:space="preserve">ՀՀ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պետական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եկամուտների</w:t>
            </w:r>
            <w:proofErr w:type="spellEnd"/>
            <w:r w:rsidRPr="008F3812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8F3812">
              <w:rPr>
                <w:rFonts w:ascii="GHEA Grapalat" w:hAnsi="GHEA Grapalat"/>
                <w:lang w:val="en-US" w:eastAsia="en-US"/>
              </w:rPr>
              <w:t>կոմիտե</w:t>
            </w:r>
            <w:proofErr w:type="spellEnd"/>
          </w:p>
          <w:p w:rsidR="006A1652" w:rsidRPr="008F3812" w:rsidRDefault="006A1652" w:rsidP="006A1652">
            <w:pPr>
              <w:tabs>
                <w:tab w:val="right" w:pos="3730"/>
              </w:tabs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12-03-2020</w:t>
            </w:r>
            <w:r w:rsidRPr="008F3812">
              <w:rPr>
                <w:rFonts w:ascii="GHEA Grapalat" w:hAnsi="GHEA Grapalat"/>
                <w:lang w:val="hy-AM" w:eastAsia="en-US"/>
              </w:rPr>
              <w:t xml:space="preserve">, </w:t>
            </w:r>
            <w:r w:rsidRPr="006A1652">
              <w:rPr>
                <w:rFonts w:ascii="GHEA Grapalat" w:hAnsi="GHEA Grapalat"/>
                <w:lang w:eastAsia="en-US"/>
              </w:rPr>
              <w:t>01/3-2/13727-2020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652" w:rsidRPr="006A1652" w:rsidRDefault="006A1652" w:rsidP="006A165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>
              <w:rPr>
                <w:rFonts w:ascii="GHEA Grapalat" w:hAnsi="GHEA Grapalat"/>
                <w:bCs/>
                <w:iCs/>
                <w:lang w:val="hy-AM" w:eastAsia="en-US"/>
              </w:rPr>
              <w:t>Դ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 xml:space="preserve">իմումին կից ներկայացված ապրանքների ցանկում առկա են ապրանքների նկարագրություններ, որոնք բավարար չեն ըստ Եվրասիական տնտեսական միության արտաքին տնտեսական գործունեության ապրանքային անվանացանկի (ԱՏԳ ԱԱ) դասակարգման ճշտության վերաբերյալ դիրքորոշում ներկայացնելու համար: </w:t>
            </w:r>
          </w:p>
          <w:p w:rsidR="006A1652" w:rsidRPr="006A1652" w:rsidRDefault="006A1652" w:rsidP="006A1652">
            <w:pPr>
              <w:jc w:val="both"/>
              <w:rPr>
                <w:rFonts w:ascii="GHEA Grapalat" w:hAnsi="GHEA Grapalat"/>
                <w:bCs/>
                <w:iCs/>
                <w:lang w:val="hy-AM" w:eastAsia="en-US"/>
              </w:rPr>
            </w:pP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Դիմումին կից ներկայացված ապրանքների ցանկում ապրանքների ծածկագրերը ներկայացված են 11 նիշի մակարդակով: Անհրաժեշտ է դրանք համապատասխանեցնել Եվրասիական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տնտեսա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softHyphen/>
              <w:t>կան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հանձնաժողովի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խորհրդի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2012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թվականի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հուլիսի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16-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ի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N 54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որոշմամբ հաստատված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ԱՏԳ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ԱԱ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ծածկագրերին:</w:t>
            </w:r>
          </w:p>
          <w:p w:rsidR="006A1652" w:rsidRPr="006A1652" w:rsidRDefault="006A1652" w:rsidP="006A1652">
            <w:pPr>
              <w:jc w:val="both"/>
              <w:rPr>
                <w:rFonts w:ascii="GHEA Grapalat" w:hAnsi="GHEA Grapalat"/>
                <w:bCs/>
                <w:iCs/>
                <w:lang w:val="af-ZA" w:eastAsia="en-US"/>
              </w:rPr>
            </w:pP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 xml:space="preserve">Նաև հայտնում ենք, որ 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>«ԱԼՖԱՌԵՆԵՍԱՆՍ»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սահմանափակ պատասխանատվությամբ ընկերությունը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(ՀՎՀՀ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04724751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)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ըստ ներկայացրած վերջին՝ 2020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թ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>-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ի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հունվար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ամսվա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եկամտային հարկի և սոցիալական վճարի ամսական հաշվարկի ունի գրանցված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 xml:space="preserve">16 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>վարձու աշխատող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ներ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, որոնց միջին աշխատավարձը կազմում է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80,262</w:t>
            </w:r>
            <w:r w:rsidRPr="006A1652">
              <w:rPr>
                <w:rFonts w:ascii="GHEA Grapalat" w:hAnsi="GHEA Grapalat"/>
                <w:bCs/>
                <w:iCs/>
                <w:lang w:val="af-ZA" w:eastAsia="en-US"/>
              </w:rPr>
              <w:t xml:space="preserve"> դրամ: Միաժամանակ՝ </w:t>
            </w:r>
            <w:r w:rsidRPr="006A1652">
              <w:rPr>
                <w:rFonts w:ascii="GHEA Grapalat" w:hAnsi="GHEA Grapalat"/>
                <w:bCs/>
                <w:iCs/>
                <w:lang w:val="hy-AM" w:eastAsia="en-US"/>
              </w:rPr>
              <w:t>09.03.2020թ-ի դրությամբ ընկերությունն ունի չկատարված հարկային պարտավորություն:</w:t>
            </w:r>
          </w:p>
          <w:p w:rsidR="006A1652" w:rsidRPr="006A1652" w:rsidRDefault="006A1652" w:rsidP="006A1652">
            <w:pPr>
              <w:jc w:val="both"/>
              <w:rPr>
                <w:rFonts w:ascii="GHEA Grapalat" w:hAnsi="GHEA Grapalat"/>
                <w:bCs/>
                <w:iCs/>
                <w:lang w:val="af-ZA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652" w:rsidRDefault="006A1652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EC7462">
              <w:rPr>
                <w:rFonts w:ascii="GHEA Grapalat" w:hAnsi="GHEA Grapalat"/>
                <w:lang w:val="hy-AM" w:eastAsia="en-US"/>
              </w:rPr>
              <w:t>Ընդունվել է:</w:t>
            </w: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</w:p>
          <w:p w:rsidR="00E973E0" w:rsidRPr="008F3812" w:rsidRDefault="00E973E0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Համաձայն ընկերության կողմից տրամադրված տեղեկատվության` վերջինս արդեն իսկ մարել է հարկային պարտավորությունները: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652" w:rsidRPr="008F3812" w:rsidRDefault="006A1652" w:rsidP="006A1652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Կատարվել են համապատասխան փոփոխություններ:</w:t>
            </w:r>
          </w:p>
        </w:tc>
      </w:tr>
    </w:tbl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  <w:r w:rsidRPr="008F3812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8F3812" w:rsidRPr="008F3812" w:rsidRDefault="008F3812" w:rsidP="008F3812">
      <w:pPr>
        <w:rPr>
          <w:rFonts w:ascii="GHEA Grapalat" w:eastAsia="Calibri" w:hAnsi="GHEA Grapalat"/>
          <w:lang w:val="hy-AM" w:eastAsia="en-US"/>
        </w:rPr>
      </w:pPr>
      <w:r w:rsidRPr="008F3812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                                        </w:t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  <w:t xml:space="preserve">ՏԻԳՐԱՆ ԽԱՉԱՏՐՅԱՆ                                                                    </w:t>
      </w:r>
      <w:r w:rsidRPr="008F3812">
        <w:rPr>
          <w:rFonts w:ascii="GHEA Grapalat" w:eastAsia="Calibri" w:hAnsi="GHEA Grapalat"/>
          <w:lang w:val="hy-AM" w:eastAsia="en-US"/>
        </w:rPr>
        <w:tab/>
      </w:r>
      <w:r w:rsidRPr="008F3812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</w:t>
      </w:r>
    </w:p>
    <w:p w:rsidR="00AC215C" w:rsidRPr="002313DB" w:rsidRDefault="00AC215C">
      <w:pPr>
        <w:rPr>
          <w:lang w:val="hy-AM"/>
        </w:rPr>
      </w:pPr>
    </w:p>
    <w:sectPr w:rsidR="00AC215C" w:rsidRPr="002313DB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42" w:rsidRDefault="00E11442">
      <w:r>
        <w:separator/>
      </w:r>
    </w:p>
  </w:endnote>
  <w:endnote w:type="continuationSeparator" w:id="0">
    <w:p w:rsidR="00E11442" w:rsidRDefault="00E1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2E" w:rsidRDefault="00E11442">
    <w:pPr>
      <w:pStyle w:val="a3"/>
    </w:pPr>
  </w:p>
  <w:p w:rsidR="0097322E" w:rsidRDefault="00E114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E11442">
    <w:pPr>
      <w:pStyle w:val="a3"/>
    </w:pPr>
  </w:p>
  <w:p w:rsidR="00D92037" w:rsidRDefault="00E1144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Pr="00453C9B" w:rsidRDefault="00E11442">
    <w:pPr>
      <w:pStyle w:val="a3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42" w:rsidRDefault="00E11442">
      <w:r>
        <w:separator/>
      </w:r>
    </w:p>
  </w:footnote>
  <w:footnote w:type="continuationSeparator" w:id="0">
    <w:p w:rsidR="00E11442" w:rsidRDefault="00E11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DB"/>
    <w:rsid w:val="000101E0"/>
    <w:rsid w:val="000174C9"/>
    <w:rsid w:val="00120F5B"/>
    <w:rsid w:val="0016196D"/>
    <w:rsid w:val="001867BB"/>
    <w:rsid w:val="001C0FB0"/>
    <w:rsid w:val="002313DB"/>
    <w:rsid w:val="00234872"/>
    <w:rsid w:val="002E18E0"/>
    <w:rsid w:val="002F2D87"/>
    <w:rsid w:val="00313964"/>
    <w:rsid w:val="0034135D"/>
    <w:rsid w:val="0034318E"/>
    <w:rsid w:val="003809E6"/>
    <w:rsid w:val="003A3164"/>
    <w:rsid w:val="003A6AEA"/>
    <w:rsid w:val="003E2190"/>
    <w:rsid w:val="00416875"/>
    <w:rsid w:val="00474173"/>
    <w:rsid w:val="004A7EE2"/>
    <w:rsid w:val="004B2802"/>
    <w:rsid w:val="0050444E"/>
    <w:rsid w:val="005911B3"/>
    <w:rsid w:val="005C21C2"/>
    <w:rsid w:val="006169B0"/>
    <w:rsid w:val="006A1652"/>
    <w:rsid w:val="006F115F"/>
    <w:rsid w:val="00730B59"/>
    <w:rsid w:val="007B63D3"/>
    <w:rsid w:val="007C46B5"/>
    <w:rsid w:val="008040A6"/>
    <w:rsid w:val="00887724"/>
    <w:rsid w:val="0089383B"/>
    <w:rsid w:val="008A717B"/>
    <w:rsid w:val="008D7D3F"/>
    <w:rsid w:val="008F3812"/>
    <w:rsid w:val="009C00FC"/>
    <w:rsid w:val="009C5259"/>
    <w:rsid w:val="009E66C8"/>
    <w:rsid w:val="009E70CD"/>
    <w:rsid w:val="009F1D27"/>
    <w:rsid w:val="00AC215C"/>
    <w:rsid w:val="00B27BA7"/>
    <w:rsid w:val="00B55CC9"/>
    <w:rsid w:val="00B65C43"/>
    <w:rsid w:val="00BB54A3"/>
    <w:rsid w:val="00BE0E4F"/>
    <w:rsid w:val="00BF7129"/>
    <w:rsid w:val="00C81EE8"/>
    <w:rsid w:val="00CD7076"/>
    <w:rsid w:val="00CE5781"/>
    <w:rsid w:val="00D33A52"/>
    <w:rsid w:val="00DF5A4D"/>
    <w:rsid w:val="00E11442"/>
    <w:rsid w:val="00E533B8"/>
    <w:rsid w:val="00E973E0"/>
    <w:rsid w:val="00EC7462"/>
    <w:rsid w:val="00F45613"/>
    <w:rsid w:val="00F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a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E1FD-778F-4BE1-96F9-E38F9FA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lastModifiedBy>WN7</cp:lastModifiedBy>
  <cp:revision>29</cp:revision>
  <dcterms:created xsi:type="dcterms:W3CDTF">2019-08-05T11:38:00Z</dcterms:created>
  <dcterms:modified xsi:type="dcterms:W3CDTF">2020-03-24T10:51:00Z</dcterms:modified>
</cp:coreProperties>
</file>