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9CC3" w14:textId="3C8E67D0" w:rsidR="000F7A73" w:rsidRPr="005804FD" w:rsidRDefault="000F7A73" w:rsidP="00D5662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804FD">
        <w:rPr>
          <w:rFonts w:ascii="GHEA Grapalat" w:hAnsi="GHEA Grapalat"/>
          <w:sz w:val="24"/>
          <w:szCs w:val="24"/>
          <w:lang w:val="hy-AM"/>
        </w:rPr>
        <w:t>ՆԱԽԱԳԻԾ</w:t>
      </w:r>
    </w:p>
    <w:p w14:paraId="4274AA4C" w14:textId="77777777" w:rsidR="000F7A73" w:rsidRPr="005804FD" w:rsidRDefault="000F7A73" w:rsidP="00D56624">
      <w:pPr>
        <w:spacing w:before="0" w:after="0" w:line="360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ԿԱՌԱՎԱՐՈՒԹՅՈՒՆ </w:t>
      </w:r>
    </w:p>
    <w:p w14:paraId="10B60E10" w14:textId="77777777" w:rsidR="000F7A73" w:rsidRPr="005804FD" w:rsidRDefault="000F7A73" w:rsidP="00D56624">
      <w:pPr>
        <w:spacing w:before="0" w:after="0" w:line="360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>ՈՐՈՇՈՒՄ</w:t>
      </w:r>
    </w:p>
    <w:p w14:paraId="3346373B" w14:textId="77777777" w:rsidR="000F7A73" w:rsidRPr="005804FD" w:rsidRDefault="000F7A73" w:rsidP="00D56624">
      <w:pPr>
        <w:spacing w:before="0" w:after="0" w:line="360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4C372863" w14:textId="6E187332" w:rsidR="000F7A73" w:rsidRPr="00D56624" w:rsidRDefault="000F7A73" w:rsidP="00D56624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es-ES"/>
        </w:rPr>
      </w:pPr>
      <w:r w:rsidRPr="005804FD">
        <w:rPr>
          <w:rFonts w:ascii="GHEA Grapalat" w:hAnsi="GHEA Grapalat" w:cs="Sylfaen"/>
          <w:sz w:val="24"/>
          <w:szCs w:val="24"/>
          <w:lang w:val="es-ES"/>
        </w:rPr>
        <w:t xml:space="preserve">«____»  «______________ »  2020 </w:t>
      </w:r>
      <w:proofErr w:type="spellStart"/>
      <w:r w:rsidRPr="005804FD">
        <w:rPr>
          <w:rFonts w:ascii="GHEA Grapalat" w:hAnsi="GHEA Grapalat" w:cs="Sylfaen"/>
          <w:sz w:val="24"/>
          <w:szCs w:val="24"/>
          <w:lang w:val="es-ES"/>
        </w:rPr>
        <w:t>թվականի</w:t>
      </w:r>
      <w:proofErr w:type="spellEnd"/>
      <w:r w:rsidRPr="005804FD">
        <w:rPr>
          <w:rFonts w:ascii="GHEA Grapalat" w:hAnsi="GHEA Grapalat" w:cs="Sylfaen"/>
          <w:sz w:val="24"/>
          <w:szCs w:val="24"/>
          <w:lang w:val="es-ES"/>
        </w:rPr>
        <w:t xml:space="preserve">  N _______ Ա</w:t>
      </w:r>
    </w:p>
    <w:p w14:paraId="7B152D89" w14:textId="0D8ECFB0" w:rsidR="000F7A73" w:rsidRPr="005804FD" w:rsidRDefault="000F7A73" w:rsidP="00AC71A7">
      <w:pPr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2020 ԹՎԱԿԱՆԻ ՊԵՏԱԿԱՆ ԲՅՈՒՋԵՈՎ </w:t>
      </w:r>
      <w:r w:rsidR="007C0DB8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ՊԵՏԱԿԱՆ ԵԿԱՄՈՒՏՆԵՐԻ ԿՈՄԻՏԵԻ </w:t>
      </w: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ՀԱՄԱՐ ՆԱԽԱՏԵՍՎԱԾ ՀԱՏԿԱՑՈՒՄՆԵՐԻ ՀԱՇՎԻՆ </w:t>
      </w:r>
      <w:r w:rsidR="001D3328" w:rsidRPr="005804FD">
        <w:rPr>
          <w:rFonts w:ascii="GHEA Grapalat" w:hAnsi="GHEA Grapalat" w:cs="Arial"/>
          <w:sz w:val="24"/>
          <w:szCs w:val="24"/>
          <w:lang w:val="af-ZA"/>
        </w:rPr>
        <w:t>ԲԱՆԿԱՅԻՆ ՎՃԱՐԱՅԻՆ ՔԱՐՏԵՐՈՎ</w:t>
      </w: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 ՇՐՋԱՆԱՌՎՈՂ ՄԻՋՈՑՆԵՐԻ ԵՎ ԿԱՆԽԻԿ ՁԵՎՈՎ ԿԱՏԱՐՎՈՂ ԾԱԽՍԵՐԻ ՉԱՓԱՔԱՆԱԿՆԵՐԸ ՀԱՍՏԱՏԵԼՈՒ  ՄԱՍԻՆ</w:t>
      </w:r>
    </w:p>
    <w:p w14:paraId="7680DD39" w14:textId="77777777" w:rsidR="000F7A73" w:rsidRPr="005804FD" w:rsidRDefault="000F7A73" w:rsidP="00D56624">
      <w:pPr>
        <w:pStyle w:val="mechtex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>--------------------------------------------------------------------------------------------------------------------</w:t>
      </w:r>
    </w:p>
    <w:p w14:paraId="48B3C8AB" w14:textId="1C5D27FF" w:rsidR="000F7A73" w:rsidRPr="005804FD" w:rsidRDefault="000F7A73" w:rsidP="00AC71A7">
      <w:pPr>
        <w:spacing w:line="360" w:lineRule="auto"/>
        <w:ind w:left="0" w:firstLine="144"/>
        <w:jc w:val="both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  <w:r w:rsidRPr="005804FD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           </w:t>
      </w:r>
      <w:r w:rsidR="00AC71A7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  </w:t>
      </w:r>
      <w:proofErr w:type="spellStart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Հայաստանի</w:t>
      </w:r>
      <w:proofErr w:type="spellEnd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proofErr w:type="spellStart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Հանրապետության</w:t>
      </w:r>
      <w:proofErr w:type="spellEnd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proofErr w:type="spellStart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կառավարության</w:t>
      </w:r>
      <w:proofErr w:type="spellEnd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2018 թվականի հունիսի 15-ի  N 706-Ն որոշման 1-ին կետով հաստատված բյուջեների կատարման կարգի 58-րդ կետի՝ Հայաստանի Հանրապետության կառավարությունը ո ր ո շ </w:t>
      </w:r>
      <w:proofErr w:type="spellStart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ու</w:t>
      </w:r>
      <w:proofErr w:type="spellEnd"/>
      <w:r w:rsidRPr="005804FD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մ  է.</w:t>
      </w:r>
    </w:p>
    <w:p w14:paraId="7B7E9D4A" w14:textId="18045031" w:rsidR="007C0DB8" w:rsidRDefault="000F7A73" w:rsidP="00854310">
      <w:pPr>
        <w:numPr>
          <w:ilvl w:val="0"/>
          <w:numId w:val="28"/>
        </w:numPr>
        <w:tabs>
          <w:tab w:val="left" w:pos="284"/>
          <w:tab w:val="left" w:pos="1134"/>
        </w:tabs>
        <w:spacing w:before="0" w:after="0" w:line="360" w:lineRule="auto"/>
        <w:ind w:left="0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Հաստատել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"/>
          <w:spacing w:val="-8"/>
          <w:sz w:val="24"/>
          <w:szCs w:val="24"/>
          <w:lang w:val="af-ZA"/>
        </w:rPr>
        <w:t>Հայաստանի</w:t>
      </w:r>
      <w:proofErr w:type="spellEnd"/>
      <w:r w:rsidRPr="005804FD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Հանրապետության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7C0DB8">
        <w:rPr>
          <w:rFonts w:ascii="GHEA Grapalat" w:hAnsi="GHEA Grapalat" w:cs="Arial Armenian"/>
          <w:sz w:val="24"/>
          <w:szCs w:val="24"/>
          <w:lang w:val="af-ZA"/>
        </w:rPr>
        <w:t>պետական</w:t>
      </w:r>
      <w:proofErr w:type="spellEnd"/>
      <w:r w:rsidR="007C0DB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7C0DB8">
        <w:rPr>
          <w:rFonts w:ascii="GHEA Grapalat" w:hAnsi="GHEA Grapalat" w:cs="Arial Armenian"/>
          <w:sz w:val="24"/>
          <w:szCs w:val="24"/>
          <w:lang w:val="af-ZA"/>
        </w:rPr>
        <w:t>եկամուտների</w:t>
      </w:r>
      <w:proofErr w:type="spellEnd"/>
      <w:r w:rsidR="007C0DB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7C0DB8">
        <w:rPr>
          <w:rFonts w:ascii="GHEA Grapalat" w:hAnsi="GHEA Grapalat" w:cs="Arial Armenian"/>
          <w:sz w:val="24"/>
          <w:szCs w:val="24"/>
          <w:lang w:val="af-ZA"/>
        </w:rPr>
        <w:t>կոմիտեի</w:t>
      </w:r>
      <w:proofErr w:type="spellEnd"/>
      <w:r w:rsidR="007C0DB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Հայաստանի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Հանրապետության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2020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թվականի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պետական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բյուջեով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նախատեսված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հատկացումների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804FD">
        <w:rPr>
          <w:rFonts w:ascii="GHEA Grapalat" w:hAnsi="GHEA Grapalat" w:cs="Arial Armenian"/>
          <w:sz w:val="24"/>
          <w:szCs w:val="24"/>
          <w:lang w:val="af-ZA"/>
        </w:rPr>
        <w:t>հաշվին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7030B3" w:rsidRPr="005804FD">
        <w:rPr>
          <w:rFonts w:ascii="GHEA Grapalat" w:eastAsia="Times New Roman" w:hAnsi="GHEA Grapalat" w:cs="Sylfaen"/>
          <w:sz w:val="24"/>
          <w:szCs w:val="24"/>
          <w:lang w:eastAsia="ru-RU"/>
        </w:rPr>
        <w:t>բանկային</w:t>
      </w:r>
      <w:proofErr w:type="spellEnd"/>
      <w:r w:rsidR="007030B3"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030B3" w:rsidRPr="005804FD">
        <w:rPr>
          <w:rFonts w:ascii="GHEA Grapalat" w:eastAsia="Times New Roman" w:hAnsi="GHEA Grapalat" w:cs="Sylfaen"/>
          <w:sz w:val="24"/>
          <w:szCs w:val="24"/>
          <w:lang w:eastAsia="ru-RU"/>
        </w:rPr>
        <w:t>վճարային</w:t>
      </w:r>
      <w:proofErr w:type="spellEnd"/>
      <w:r w:rsidR="007030B3"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030B3" w:rsidRPr="005804FD">
        <w:rPr>
          <w:rFonts w:ascii="GHEA Grapalat" w:eastAsia="Times New Roman" w:hAnsi="GHEA Grapalat" w:cs="Sylfaen"/>
          <w:sz w:val="24"/>
          <w:szCs w:val="24"/>
          <w:lang w:eastAsia="ru-RU"/>
        </w:rPr>
        <w:t>քարտերով</w:t>
      </w:r>
      <w:proofErr w:type="spellEnd"/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 շրջանառվող միջոցների </w:t>
      </w:r>
      <w:r w:rsidR="007C0DB8">
        <w:rPr>
          <w:rFonts w:ascii="GHEA Grapalat" w:hAnsi="GHEA Grapalat" w:cs="Arial Armenian"/>
          <w:sz w:val="24"/>
          <w:szCs w:val="24"/>
          <w:lang w:val="af-ZA"/>
        </w:rPr>
        <w:t xml:space="preserve">և կանխիկ ձևով կատարվող ծախսերի </w:t>
      </w:r>
      <w:r w:rsidRPr="005804FD">
        <w:rPr>
          <w:rFonts w:ascii="GHEA Grapalat" w:hAnsi="GHEA Grapalat" w:cs="Arial Armenian"/>
          <w:sz w:val="24"/>
          <w:szCs w:val="24"/>
          <w:lang w:val="af-ZA"/>
        </w:rPr>
        <w:t xml:space="preserve">չափաքանակները` համաձայն </w:t>
      </w:r>
      <w:r w:rsidR="007C0DB8">
        <w:rPr>
          <w:rFonts w:ascii="GHEA Grapalat" w:hAnsi="GHEA Grapalat" w:cs="Arial Armenian"/>
          <w:sz w:val="24"/>
          <w:szCs w:val="24"/>
          <w:lang w:val="af-ZA"/>
        </w:rPr>
        <w:t xml:space="preserve">N  1 և 2 </w:t>
      </w:r>
      <w:r w:rsidRPr="005804FD">
        <w:rPr>
          <w:rFonts w:ascii="GHEA Grapalat" w:hAnsi="GHEA Grapalat" w:cs="Arial Armenian"/>
          <w:sz w:val="24"/>
          <w:szCs w:val="24"/>
          <w:lang w:val="af-ZA"/>
        </w:rPr>
        <w:t>հավելված</w:t>
      </w:r>
      <w:r w:rsidR="007C0DB8">
        <w:rPr>
          <w:rFonts w:ascii="GHEA Grapalat" w:hAnsi="GHEA Grapalat" w:cs="Arial Armenian"/>
          <w:sz w:val="24"/>
          <w:szCs w:val="24"/>
          <w:lang w:val="af-ZA"/>
        </w:rPr>
        <w:t>ներ</w:t>
      </w:r>
      <w:r w:rsidRPr="005804FD">
        <w:rPr>
          <w:rFonts w:ascii="GHEA Grapalat" w:hAnsi="GHEA Grapalat" w:cs="Arial Armenian"/>
          <w:sz w:val="24"/>
          <w:szCs w:val="24"/>
          <w:lang w:val="af-ZA"/>
        </w:rPr>
        <w:t>ի:</w:t>
      </w:r>
    </w:p>
    <w:p w14:paraId="6839321C" w14:textId="5E6F6DB4" w:rsidR="000F7A73" w:rsidRPr="00AC71A7" w:rsidRDefault="000F1FB3" w:rsidP="00002EFB">
      <w:pPr>
        <w:numPr>
          <w:ilvl w:val="0"/>
          <w:numId w:val="28"/>
        </w:numPr>
        <w:tabs>
          <w:tab w:val="left" w:pos="284"/>
          <w:tab w:val="left" w:pos="993"/>
        </w:tabs>
        <w:spacing w:before="0"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02EFB">
        <w:rPr>
          <w:rFonts w:ascii="GHEA Grapalat" w:hAnsi="GHEA Grapalat" w:cs="Arial Armenian"/>
          <w:sz w:val="24"/>
          <w:szCs w:val="24"/>
          <w:lang w:val="af-ZA"/>
        </w:rPr>
        <w:t>Հայաստանի Հանրապետության պետական եկամուտների կոմիտեի նախագահին՝ սույն որոշումից բխող` Հայաստանի Հանրապետության կառավարության 2019 թվա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կանի դեկտեմբերի 26-ի «Հայաստանի Հանրապետության 2020 թվականի պետական բյուջեի կա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տա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րումն ապահովող միջոցառումների մասին» N 1919-Ն որոշման N 10 հավել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ված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ում կատարվող փոփո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խու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թ</w:t>
      </w:r>
      <w:r w:rsidRPr="00002EFB">
        <w:rPr>
          <w:rFonts w:ascii="GHEA Grapalat" w:hAnsi="GHEA Grapalat" w:cs="Arial Armenian"/>
          <w:sz w:val="24"/>
          <w:szCs w:val="24"/>
          <w:lang w:val="af-ZA"/>
        </w:rPr>
        <w:softHyphen/>
        <w:t>յունների մասին մեկամսյա ժամկետում տեղեկացնել Հայաստանի Հանրապետության ֆինանսների նախարարությանը:</w:t>
      </w:r>
      <w:r w:rsidR="00002EFB" w:rsidRPr="00002EF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</w:p>
    <w:p w14:paraId="754441EC" w14:textId="77777777" w:rsidR="000F7A73" w:rsidRPr="00AC71A7" w:rsidRDefault="000F7A73" w:rsidP="00D56624">
      <w:pPr>
        <w:spacing w:before="0"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14:paraId="11F19551" w14:textId="77777777" w:rsidR="00E377A6" w:rsidRPr="00AC71A7" w:rsidRDefault="00E377A6" w:rsidP="00D56624">
      <w:pPr>
        <w:rPr>
          <w:lang w:val="af-ZA"/>
        </w:rPr>
      </w:pPr>
    </w:p>
    <w:p w14:paraId="526C3516" w14:textId="77777777" w:rsidR="0095024A" w:rsidRPr="00AC71A7" w:rsidRDefault="0095024A" w:rsidP="00D56624">
      <w:pPr>
        <w:rPr>
          <w:lang w:val="af-ZA"/>
        </w:rPr>
      </w:pPr>
    </w:p>
    <w:p w14:paraId="1C3D7E36" w14:textId="77777777" w:rsidR="0095024A" w:rsidRPr="00AC71A7" w:rsidRDefault="0095024A" w:rsidP="00D56624">
      <w:pPr>
        <w:rPr>
          <w:lang w:val="af-ZA"/>
        </w:rPr>
      </w:pPr>
    </w:p>
    <w:p w14:paraId="1EB19900" w14:textId="77777777" w:rsidR="0095024A" w:rsidRPr="00AC71A7" w:rsidRDefault="0095024A" w:rsidP="0095024A">
      <w:pPr>
        <w:spacing w:before="0"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A4046A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14:paraId="7558FF3C" w14:textId="450932A1" w:rsidR="00187B2B" w:rsidRPr="005804FD" w:rsidRDefault="00187B2B" w:rsidP="00AC71A7">
      <w:pPr>
        <w:jc w:val="center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«</w:t>
      </w: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2020 ԹՎԱԿԱՆԻ ՊԵՏԱԿԱՆ ԲՅՈՒՋԵՈՎ </w:t>
      </w:r>
      <w:r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ՊԵՏԱԿԱՆ ԵԿԱՄՈՒՏՆԵՐԻ ԿՈՄԻՏԵԻ </w:t>
      </w:r>
      <w:r w:rsidRPr="005804FD">
        <w:rPr>
          <w:rFonts w:ascii="GHEA Grapalat" w:hAnsi="GHEA Grapalat" w:cs="Arial"/>
          <w:sz w:val="24"/>
          <w:szCs w:val="24"/>
          <w:lang w:val="af-ZA"/>
        </w:rPr>
        <w:t>ՀԱՄԱՐ ՆԱԽԱՏԵՍՎԱԾ ՀԱՏԿԱՑՈՒՄՆԵՐԻ ՀԱՇՎԻՆ ԲԱՆԿԱՅԻՆ ՎՃԱՐԱՅԻՆ ՔԱՐՏԵՐՈՎ ՇՐՋԱՆԱՌՎՈՂ ՄԻՋՈՑՆԵՐԻ ԵՎ ԿԱՆԽԻԿ ՁԵՎՈՎ ԿԱՏԱՐՎՈՂ ԾԱԽՍԵՐԻ ՉԱՓԱՔԱՆԱԿՆԵՐԸ ՀԱՍՏԱՏԵԼՈՒ  ՄԱՍԻՆ</w:t>
      </w:r>
      <w:r>
        <w:rPr>
          <w:rFonts w:ascii="GHEA Grapalat" w:hAnsi="GHEA Grapalat" w:cs="Arial"/>
          <w:sz w:val="24"/>
          <w:szCs w:val="24"/>
          <w:lang w:val="af-ZA"/>
        </w:rPr>
        <w:t>» ՀՀ  ԿԱՌԱՎԱՐՈՒԹՅԱՆ ՈՐՈՇՄԱՆ ՆԱԽԱԳԾԻ ԸՆԴՈՒՆՄԱՆ ԱՆՀՐԱԺԵՇՏՈՒԹՅՈՒՆԸ</w:t>
      </w:r>
    </w:p>
    <w:p w14:paraId="0F3AF2BF" w14:textId="77777777" w:rsidR="00187B2B" w:rsidRPr="00AC71A7" w:rsidRDefault="00187B2B" w:rsidP="00187B2B">
      <w:pPr>
        <w:spacing w:before="0" w:after="0" w:line="360" w:lineRule="auto"/>
        <w:ind w:firstLine="54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  </w:t>
      </w:r>
    </w:p>
    <w:p w14:paraId="063EC7E2" w14:textId="637F4B79" w:rsidR="00187B2B" w:rsidRPr="00AC71A7" w:rsidRDefault="00187B2B" w:rsidP="00AC71A7">
      <w:pPr>
        <w:spacing w:before="0" w:after="0" w:line="276" w:lineRule="auto"/>
        <w:ind w:firstLine="5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Հարցի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կարգավորմանն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ուղղված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քայլերը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պայմանավորված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են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ՀՀ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2020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բյուջեով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նախատեսված</w:t>
      </w:r>
      <w:proofErr w:type="spellEnd"/>
      <w:r w:rsidRPr="00A4046A">
        <w:rPr>
          <w:rFonts w:ascii="GHEA Grapalat" w:hAnsi="GHEA Grapalat" w:cs="GHEA Grapalat"/>
          <w:sz w:val="24"/>
          <w:szCs w:val="24"/>
        </w:rPr>
        <w:t>՝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ՀՀ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սույն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նախագծում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ներառված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ՀՀ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ՊԵԿ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գծով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նախատեսված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հատկացումների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հաշվին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ՀՀ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ՊԵԿ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կարիքների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համար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վարկային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քարտերով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շրջանառվող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միջոցների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և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կանխիկ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ձևով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կատարվող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ծա</w:t>
      </w:r>
      <w:proofErr w:type="spellEnd"/>
      <w:r w:rsidRPr="00A4046A">
        <w:rPr>
          <w:rFonts w:ascii="GHEA Grapalat" w:hAnsi="GHEA Grapalat" w:cs="GHEA Grapalat"/>
          <w:sz w:val="24"/>
          <w:szCs w:val="24"/>
          <w:lang w:val="hy-AM"/>
        </w:rPr>
        <w:t>խ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սերի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չափաքանակներ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սահմանելու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անհրաժեշտությամբ</w:t>
      </w:r>
      <w:proofErr w:type="spellEnd"/>
      <w:r w:rsidRPr="00A4046A">
        <w:rPr>
          <w:rFonts w:ascii="GHEA Grapalat" w:hAnsi="GHEA Grapalat" w:cs="GHEA Grapalat"/>
          <w:sz w:val="24"/>
          <w:szCs w:val="24"/>
        </w:rPr>
        <w:t>՝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ի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կատարումն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ՀՀ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վարչապետի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01.02.2020</w:t>
      </w:r>
      <w:r w:rsidRPr="00A4046A">
        <w:rPr>
          <w:rFonts w:ascii="GHEA Grapalat" w:hAnsi="GHEA Grapalat" w:cs="GHEA Grapalat"/>
          <w:sz w:val="24"/>
          <w:szCs w:val="24"/>
        </w:rPr>
        <w:t>թ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թիվ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02/16.10/2589-2020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հանձնարարականի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և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համաձայն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ՀՀ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15.06.2018</w:t>
      </w:r>
      <w:r w:rsidRPr="00A4046A">
        <w:rPr>
          <w:rFonts w:ascii="GHEA Grapalat" w:hAnsi="GHEA Grapalat" w:cs="GHEA Grapalat"/>
          <w:sz w:val="24"/>
          <w:szCs w:val="24"/>
        </w:rPr>
        <w:t>թ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Բյուջեների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կատարման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կարգը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հաստատելու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 w:cs="GHEA Grapalat"/>
          <w:sz w:val="24"/>
          <w:szCs w:val="24"/>
        </w:rPr>
        <w:t>և</w:t>
      </w:r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մի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շարք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որոշումներ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ուժը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կորցրած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ճանաչելու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 xml:space="preserve">» N 706 </w:t>
      </w:r>
      <w:proofErr w:type="spellStart"/>
      <w:r w:rsidRPr="00A4046A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AC71A7">
        <w:rPr>
          <w:rFonts w:ascii="GHEA Grapalat" w:hAnsi="GHEA Grapalat" w:cs="GHEA Grapalat"/>
          <w:sz w:val="24"/>
          <w:szCs w:val="24"/>
          <w:lang w:val="af-ZA"/>
        </w:rPr>
        <w:t>:</w:t>
      </w:r>
    </w:p>
    <w:p w14:paraId="3186D22A" w14:textId="77777777" w:rsidR="00187B2B" w:rsidRDefault="00187B2B" w:rsidP="00AC71A7">
      <w:pPr>
        <w:spacing w:before="0" w:after="0" w:line="276" w:lineRule="auto"/>
        <w:jc w:val="center"/>
        <w:rPr>
          <w:rFonts w:ascii="GHEA Grapalat" w:hAnsi="GHEA Grapalat" w:cs="Sylfaen"/>
          <w:sz w:val="24"/>
          <w:szCs w:val="24"/>
          <w:lang w:val="es-ES"/>
        </w:rPr>
      </w:pPr>
    </w:p>
    <w:p w14:paraId="07DF08D6" w14:textId="77777777" w:rsidR="00187B2B" w:rsidRDefault="00187B2B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    </w:t>
      </w:r>
    </w:p>
    <w:p w14:paraId="6E291430" w14:textId="77777777" w:rsidR="00187B2B" w:rsidRDefault="00187B2B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38F85A38" w14:textId="0A59BCBE" w:rsidR="00187B2B" w:rsidRDefault="00187B2B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ՏԵՂԵԿԱՆՔ</w:t>
      </w:r>
    </w:p>
    <w:p w14:paraId="2AA9D5A9" w14:textId="77777777" w:rsidR="00187B2B" w:rsidRDefault="00187B2B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0624E28B" w14:textId="1262AA39" w:rsidR="00187B2B" w:rsidRDefault="00187B2B" w:rsidP="00AC71A7">
      <w:pPr>
        <w:spacing w:before="0" w:after="0" w:line="276" w:lineRule="auto"/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    </w:t>
      </w:r>
      <w:r>
        <w:rPr>
          <w:rFonts w:ascii="GHEA Grapalat" w:hAnsi="GHEA Grapalat" w:cs="Arial"/>
          <w:sz w:val="24"/>
          <w:szCs w:val="24"/>
          <w:lang w:val="af-ZA"/>
        </w:rPr>
        <w:t>«</w:t>
      </w: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2020 ԹՎԱԿԱՆԻ ՊԵՏԱԿԱՆ ԲՅՈՒՋԵՈՎ </w:t>
      </w:r>
      <w:r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ՊԵՏԱԿԱՆ ԵԿԱՄՈՒՏՆԵՐԻ ԿՈՄԻՏԵԻ </w:t>
      </w:r>
      <w:r w:rsidRPr="005804FD">
        <w:rPr>
          <w:rFonts w:ascii="GHEA Grapalat" w:hAnsi="GHEA Grapalat" w:cs="Arial"/>
          <w:sz w:val="24"/>
          <w:szCs w:val="24"/>
          <w:lang w:val="af-ZA"/>
        </w:rPr>
        <w:t>ՀԱՄԱՐ ՆԱԽԱՏԵՍՎԱԾ ՀԱՏԿԱ</w:t>
      </w:r>
      <w:bookmarkStart w:id="0" w:name="_GoBack"/>
      <w:bookmarkEnd w:id="0"/>
      <w:r w:rsidRPr="005804FD">
        <w:rPr>
          <w:rFonts w:ascii="GHEA Grapalat" w:hAnsi="GHEA Grapalat" w:cs="Arial"/>
          <w:sz w:val="24"/>
          <w:szCs w:val="24"/>
          <w:lang w:val="af-ZA"/>
        </w:rPr>
        <w:t>ՑՈՒՄՆԵՐԻ ՀԱՇՎԻՆ ԲԱՆԿԱՅԻՆ ՎՃԱՐԱՅԻՆ ՔԱՐՏԵՐՈՎ ՇՐՋԱՆԱՌՎՈՂ ՄԻՋՈՑՆԵՐԻ ԵՎ ԿԱՆԽԻԿ ՁԵՎՈՎ ԿԱՏԱՐՎՈՂ ԾԱԽՍԵՐԻ ՉԱՓԱՔԱՆԱԿՆԵՐԸ ՀԱՍՏԱՏԵԼՈՒ  ՄԱՍԻՆ</w:t>
      </w:r>
      <w:r>
        <w:rPr>
          <w:rFonts w:ascii="GHEA Grapalat" w:hAnsi="GHEA Grapalat" w:cs="Arial"/>
          <w:sz w:val="24"/>
          <w:szCs w:val="24"/>
          <w:lang w:val="af-ZA"/>
        </w:rPr>
        <w:t>» ՀՀ  ԿԱՌԱՎԱՐՈՒԹՅԱՆ ՈՐՈՇՄԱՆ ՆԱԽԱԳԾԻ ԸՆԹԱՑԻԿ ԻՐԱՎԻՃԱԿՆ ՈՒ ԽՆԴԻՐԵՆՐԸ</w:t>
      </w:r>
    </w:p>
    <w:p w14:paraId="5013AF75" w14:textId="77777777" w:rsidR="00187B2B" w:rsidRDefault="00187B2B" w:rsidP="00AC71A7">
      <w:pPr>
        <w:spacing w:before="0" w:after="0" w:line="276" w:lineRule="auto"/>
        <w:jc w:val="center"/>
        <w:rPr>
          <w:rFonts w:ascii="GHEA Grapalat" w:hAnsi="GHEA Grapalat" w:cs="Sylfaen"/>
          <w:sz w:val="24"/>
          <w:szCs w:val="24"/>
          <w:lang w:val="es-ES"/>
        </w:rPr>
      </w:pPr>
    </w:p>
    <w:p w14:paraId="2163D740" w14:textId="77777777" w:rsidR="00187B2B" w:rsidRPr="00A4046A" w:rsidRDefault="00187B2B" w:rsidP="00AC71A7">
      <w:pPr>
        <w:spacing w:before="0" w:after="0" w:line="276" w:lineRule="auto"/>
        <w:ind w:left="4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A4046A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նախագծով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2020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առաջարկվող</w:t>
      </w:r>
      <w:proofErr w:type="spellEnd"/>
      <w:r w:rsidRPr="00A4046A">
        <w:rPr>
          <w:rFonts w:ascii="GHEA Grapalat" w:hAnsi="GHEA Grapalat"/>
          <w:sz w:val="24"/>
          <w:szCs w:val="24"/>
        </w:rPr>
        <w:t>՝</w:t>
      </w:r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վարկային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քարտային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հաշիվներով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շրջանառվող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միջոցների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կանխիկ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ձևով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կատարվող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ծախսերի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չափաքանակները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նպատակ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են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կարգավորել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նախագծում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ընդգրկված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բյուջեների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կատարման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>:</w:t>
      </w:r>
    </w:p>
    <w:p w14:paraId="0E457EAE" w14:textId="0843AF7B" w:rsidR="00187B2B" w:rsidRPr="00AC71A7" w:rsidRDefault="00187B2B" w:rsidP="00AC71A7">
      <w:pPr>
        <w:spacing w:before="0" w:after="0" w:line="276" w:lineRule="auto"/>
        <w:ind w:left="0" w:firstLine="270"/>
        <w:jc w:val="both"/>
        <w:rPr>
          <w:rFonts w:ascii="GHEA Grapalat" w:hAnsi="GHEA Grapalat"/>
          <w:sz w:val="24"/>
          <w:szCs w:val="24"/>
          <w:lang w:val="af-ZA"/>
        </w:rPr>
      </w:pPr>
      <w:r w:rsidRPr="00AB3257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A4046A">
        <w:rPr>
          <w:rFonts w:ascii="GHEA Grapalat" w:hAnsi="GHEA Grapalat"/>
          <w:sz w:val="24"/>
          <w:szCs w:val="24"/>
        </w:rPr>
        <w:t>Ըստ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ֆինանսավորվող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ծրագրերի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4046A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/>
          <w:sz w:val="24"/>
          <w:szCs w:val="24"/>
        </w:rPr>
        <w:t>և</w:t>
      </w:r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դրանք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` 2019 </w:t>
      </w:r>
      <w:proofErr w:type="spellStart"/>
      <w:r w:rsidRPr="00A4046A">
        <w:rPr>
          <w:rFonts w:ascii="GHEA Grapalat" w:hAnsi="GHEA Grapalat"/>
          <w:sz w:val="24"/>
          <w:szCs w:val="24"/>
        </w:rPr>
        <w:t>թվականի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հետ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համեմատությամբ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2020 </w:t>
      </w:r>
      <w:proofErr w:type="spellStart"/>
      <w:r w:rsidRPr="00A4046A">
        <w:rPr>
          <w:rFonts w:ascii="GHEA Grapalat" w:hAnsi="GHEA Grapalat"/>
          <w:sz w:val="24"/>
          <w:szCs w:val="24"/>
        </w:rPr>
        <w:t>թվականի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համար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առաջարկվող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վարկային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քարտային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հաշիվներով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շրջանառվող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միջոցների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չափաքանակների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ընդհանուր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գումարը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աճել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/>
          <w:sz w:val="24"/>
          <w:szCs w:val="24"/>
        </w:rPr>
        <w:t>է</w:t>
      </w:r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2.0</w:t>
      </w:r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մլն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դրամով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, </w:t>
      </w:r>
      <w:r w:rsidR="00A00F9A">
        <w:rPr>
          <w:rFonts w:ascii="GHEA Grapalat" w:hAnsi="GHEA Grapalat"/>
          <w:sz w:val="24"/>
          <w:szCs w:val="24"/>
          <w:lang w:val="af-ZA"/>
        </w:rPr>
        <w:t>230</w:t>
      </w:r>
      <w:r>
        <w:rPr>
          <w:rFonts w:ascii="GHEA Grapalat" w:hAnsi="GHEA Grapalat"/>
          <w:sz w:val="24"/>
          <w:szCs w:val="24"/>
          <w:lang w:val="af-ZA"/>
        </w:rPr>
        <w:t>.0</w:t>
      </w:r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մլն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դրամից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դառնալով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r w:rsidR="00A00F9A">
        <w:rPr>
          <w:rFonts w:ascii="GHEA Grapalat" w:hAnsi="GHEA Grapalat"/>
          <w:sz w:val="24"/>
          <w:szCs w:val="24"/>
          <w:lang w:val="af-ZA"/>
        </w:rPr>
        <w:t>232</w:t>
      </w:r>
      <w:r>
        <w:rPr>
          <w:rFonts w:ascii="GHEA Grapalat" w:hAnsi="GHEA Grapalat"/>
          <w:sz w:val="24"/>
          <w:szCs w:val="24"/>
          <w:lang w:val="af-ZA"/>
        </w:rPr>
        <w:t>.0</w:t>
      </w:r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մլն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դրամ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ընդ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որում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չափաքանակների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Arial Armenian"/>
          <w:sz w:val="24"/>
          <w:szCs w:val="24"/>
          <w:lang w:val="af-ZA"/>
        </w:rPr>
        <w:t>համադրելի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տեսակարար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կշիռը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նույն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հոդվածների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lastRenderedPageBreak/>
        <w:t>ընդհանուր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նախատեսված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հատկացումներում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4046A">
        <w:rPr>
          <w:rFonts w:ascii="GHEA Grapalat" w:hAnsi="GHEA Grapalat"/>
          <w:sz w:val="24"/>
          <w:szCs w:val="24"/>
          <w:lang w:val="af-ZA"/>
        </w:rPr>
        <w:t xml:space="preserve">2019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val="af-ZA"/>
        </w:rPr>
        <w:t>համեմատությամբ</w:t>
      </w:r>
      <w:proofErr w:type="spellEnd"/>
      <w:r w:rsidRPr="00A4046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նվազել</w:t>
      </w:r>
      <w:proofErr w:type="spellEnd"/>
      <w:r w:rsidRPr="00AB325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/>
          <w:sz w:val="24"/>
          <w:szCs w:val="24"/>
        </w:rPr>
        <w:t>է</w:t>
      </w:r>
      <w:r w:rsidRPr="00AC71A7">
        <w:rPr>
          <w:rFonts w:ascii="GHEA Grapalat" w:hAnsi="GHEA Grapalat"/>
          <w:sz w:val="24"/>
          <w:szCs w:val="24"/>
          <w:lang w:val="af-ZA"/>
        </w:rPr>
        <w:t xml:space="preserve"> 3.1 </w:t>
      </w:r>
      <w:proofErr w:type="spellStart"/>
      <w:r>
        <w:rPr>
          <w:rFonts w:ascii="GHEA Grapalat" w:hAnsi="GHEA Grapalat"/>
          <w:sz w:val="24"/>
          <w:szCs w:val="24"/>
        </w:rPr>
        <w:t>տոկոսային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</w:p>
    <w:p w14:paraId="09673E03" w14:textId="78C4090E" w:rsidR="00C109DE" w:rsidRPr="00C109DE" w:rsidRDefault="00187B2B" w:rsidP="00AC71A7">
      <w:pPr>
        <w:spacing w:before="0" w:after="0" w:line="276" w:lineRule="auto"/>
        <w:ind w:left="45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C109DE">
        <w:rPr>
          <w:rFonts w:ascii="GHEA Grapalat" w:hAnsi="GHEA Grapalat"/>
          <w:sz w:val="24"/>
          <w:szCs w:val="24"/>
          <w:lang w:val="af-ZA"/>
        </w:rPr>
        <w:t xml:space="preserve">ՀՀ ՊԵԿ-ի </w:t>
      </w:r>
      <w:proofErr w:type="spellStart"/>
      <w:r w:rsidRPr="00C109DE">
        <w:rPr>
          <w:rFonts w:ascii="GHEA Grapalat" w:hAnsi="GHEA Grapalat"/>
          <w:sz w:val="24"/>
          <w:szCs w:val="24"/>
          <w:lang w:val="af-ZA"/>
        </w:rPr>
        <w:t>կողմից</w:t>
      </w:r>
      <w:proofErr w:type="spellEnd"/>
      <w:r w:rsidR="00C109DE" w:rsidRPr="00C109DE">
        <w:rPr>
          <w:rFonts w:ascii="GHEA Grapalat" w:hAnsi="GHEA Grapalat"/>
          <w:sz w:val="24"/>
          <w:szCs w:val="24"/>
          <w:lang w:val="af-ZA"/>
        </w:rPr>
        <w:t>.</w:t>
      </w:r>
      <w:r w:rsidRPr="00C109DE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1B19972E" w14:textId="7769BFFE" w:rsidR="00187B2B" w:rsidRPr="00C109DE" w:rsidRDefault="00C109DE" w:rsidP="00AC71A7">
      <w:pPr>
        <w:spacing w:before="0" w:after="0" w:line="276" w:lineRule="auto"/>
        <w:ind w:left="0" w:firstLine="90"/>
        <w:jc w:val="both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1.</w:t>
      </w:r>
      <w:r w:rsidR="00187B2B" w:rsidRPr="00C109DE">
        <w:rPr>
          <w:rFonts w:ascii="GHEA Grapalat" w:hAnsi="GHEA Grapalat"/>
          <w:sz w:val="24"/>
          <w:szCs w:val="24"/>
          <w:lang w:val="af-ZA"/>
        </w:rPr>
        <w:t>առաջարկվ</w:t>
      </w:r>
      <w:r w:rsidR="00A00F9A">
        <w:rPr>
          <w:rFonts w:ascii="GHEA Grapalat" w:hAnsi="GHEA Grapalat"/>
          <w:sz w:val="24"/>
          <w:szCs w:val="24"/>
          <w:lang w:val="af-ZA"/>
        </w:rPr>
        <w:t>ում</w:t>
      </w:r>
      <w:r w:rsidR="00187B2B" w:rsidRPr="00C109DE">
        <w:rPr>
          <w:rFonts w:ascii="GHEA Grapalat" w:hAnsi="GHEA Grapalat"/>
          <w:sz w:val="24"/>
          <w:szCs w:val="24"/>
          <w:lang w:val="af-ZA"/>
        </w:rPr>
        <w:t xml:space="preserve"> է</w:t>
      </w:r>
      <w:r w:rsidRPr="00C109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/>
          <w:sz w:val="24"/>
          <w:szCs w:val="24"/>
          <w:lang w:val="af-ZA"/>
        </w:rPr>
        <w:t>վարկային</w:t>
      </w:r>
      <w:proofErr w:type="spellEnd"/>
      <w:r w:rsidR="00187B2B" w:rsidRPr="00C109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/>
          <w:sz w:val="24"/>
          <w:szCs w:val="24"/>
          <w:lang w:val="af-ZA"/>
        </w:rPr>
        <w:t>քարտային</w:t>
      </w:r>
      <w:proofErr w:type="spellEnd"/>
      <w:r w:rsidR="00187B2B" w:rsidRPr="00C109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/>
          <w:sz w:val="24"/>
          <w:szCs w:val="24"/>
          <w:lang w:val="af-ZA"/>
        </w:rPr>
        <w:t>հաշիվներով</w:t>
      </w:r>
      <w:proofErr w:type="spellEnd"/>
      <w:r w:rsidR="00187B2B" w:rsidRPr="00C109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/>
          <w:sz w:val="24"/>
          <w:szCs w:val="24"/>
          <w:lang w:val="af-ZA"/>
        </w:rPr>
        <w:t>շրջանառվող</w:t>
      </w:r>
      <w:proofErr w:type="spellEnd"/>
      <w:r w:rsidR="00187B2B" w:rsidRPr="00C109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/>
          <w:sz w:val="24"/>
          <w:szCs w:val="24"/>
          <w:lang w:val="af-ZA"/>
        </w:rPr>
        <w:t>միջոցների</w:t>
      </w:r>
      <w:proofErr w:type="spellEnd"/>
      <w:r w:rsidR="00187B2B" w:rsidRPr="00C109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/>
          <w:sz w:val="24"/>
          <w:szCs w:val="24"/>
        </w:rPr>
        <w:t>չափաքանակ</w:t>
      </w:r>
      <w:proofErr w:type="spellEnd"/>
      <w:r w:rsidR="00187B2B" w:rsidRPr="00C109DE">
        <w:rPr>
          <w:rFonts w:ascii="GHEA Grapalat" w:hAnsi="GHEA Grapalat"/>
          <w:sz w:val="24"/>
          <w:szCs w:val="24"/>
        </w:rPr>
        <w:t>՝</w:t>
      </w:r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ընդամենը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52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մլն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դրամ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թվով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որից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՝ 50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մլն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դրամը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Արտասահմանյան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գործուղումների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գծով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ծախսեր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»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հոդվածով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: 2019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թվականի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հետ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համեմատությամբ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2020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թվականի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համար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ներկայացված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չափաքանակը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C109DE">
        <w:rPr>
          <w:rFonts w:ascii="GHEA Grapalat" w:hAnsi="GHEA Grapalat" w:cs="Arial Armenian"/>
          <w:sz w:val="24"/>
          <w:szCs w:val="24"/>
          <w:lang w:val="af-ZA"/>
        </w:rPr>
        <w:t>ավելացվել</w:t>
      </w:r>
      <w:proofErr w:type="spellEnd"/>
      <w:r w:rsidRPr="00C109DE">
        <w:rPr>
          <w:rFonts w:ascii="GHEA Grapalat" w:hAnsi="GHEA Grapalat" w:cs="Arial Armenian"/>
          <w:sz w:val="24"/>
          <w:szCs w:val="24"/>
          <w:lang w:val="af-ZA"/>
        </w:rPr>
        <w:t xml:space="preserve"> է 2.0 </w:t>
      </w:r>
      <w:proofErr w:type="spellStart"/>
      <w:r w:rsidRPr="00C109DE">
        <w:rPr>
          <w:rFonts w:ascii="GHEA Grapalat" w:hAnsi="GHEA Grapalat" w:cs="Arial Armenian"/>
          <w:sz w:val="24"/>
          <w:szCs w:val="24"/>
          <w:lang w:val="af-ZA"/>
        </w:rPr>
        <w:t>մլն</w:t>
      </w:r>
      <w:proofErr w:type="spellEnd"/>
      <w:r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C109DE">
        <w:rPr>
          <w:rFonts w:ascii="GHEA Grapalat" w:hAnsi="GHEA Grapalat" w:cs="Arial Armenian"/>
          <w:sz w:val="24"/>
          <w:szCs w:val="24"/>
          <w:lang w:val="af-ZA"/>
        </w:rPr>
        <w:t>դրամով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սակայն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87B2B" w:rsidRPr="00C109DE">
        <w:rPr>
          <w:rFonts w:ascii="GHEA Grapalat" w:hAnsi="GHEA Grapalat" w:cs="Sylfaen"/>
          <w:sz w:val="24"/>
          <w:szCs w:val="24"/>
          <w:lang w:val="hy-AM"/>
        </w:rPr>
        <w:t>համադրելի</w:t>
      </w:r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տեսակարար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կշիռը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նվազել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է 2.3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տոկոսային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>կետով</w:t>
      </w:r>
      <w:proofErr w:type="spellEnd"/>
      <w:r w:rsidR="00187B2B" w:rsidRPr="00C109DE">
        <w:rPr>
          <w:rFonts w:ascii="GHEA Grapalat" w:hAnsi="GHEA Grapalat" w:cs="Arial Armenian"/>
          <w:sz w:val="24"/>
          <w:szCs w:val="24"/>
          <w:lang w:val="af-ZA"/>
        </w:rPr>
        <w:t xml:space="preserve">: </w:t>
      </w:r>
    </w:p>
    <w:p w14:paraId="3FC97B81" w14:textId="1FCBAE4E" w:rsidR="00187B2B" w:rsidRPr="00A4046A" w:rsidRDefault="00C109DE" w:rsidP="00AC71A7">
      <w:pPr>
        <w:tabs>
          <w:tab w:val="left" w:pos="471"/>
          <w:tab w:val="left" w:pos="613"/>
        </w:tabs>
        <w:spacing w:before="0" w:after="0" w:line="276" w:lineRule="auto"/>
        <w:ind w:left="0" w:firstLine="0"/>
        <w:jc w:val="both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2.</w:t>
      </w:r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u w:val="single"/>
          <w:lang w:val="af-ZA"/>
        </w:rPr>
        <w:t>սահման</w:t>
      </w:r>
      <w:r w:rsidR="00A00F9A">
        <w:rPr>
          <w:rFonts w:ascii="GHEA Grapalat" w:hAnsi="GHEA Grapalat" w:cs="Arial Armenian"/>
          <w:sz w:val="24"/>
          <w:szCs w:val="24"/>
          <w:u w:val="single"/>
          <w:lang w:val="af-ZA"/>
        </w:rPr>
        <w:t>վում</w:t>
      </w:r>
      <w:proofErr w:type="spellEnd"/>
      <w:r>
        <w:rPr>
          <w:rFonts w:ascii="GHEA Grapalat" w:hAnsi="GHEA Grapalat" w:cs="Arial Armenian"/>
          <w:sz w:val="24"/>
          <w:szCs w:val="24"/>
          <w:u w:val="single"/>
          <w:lang w:val="af-ZA"/>
        </w:rPr>
        <w:t xml:space="preserve"> է </w:t>
      </w:r>
      <w:proofErr w:type="spellStart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>կանխիկ</w:t>
      </w:r>
      <w:proofErr w:type="spellEnd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>ձևով</w:t>
      </w:r>
      <w:proofErr w:type="spellEnd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>կատարվող</w:t>
      </w:r>
      <w:proofErr w:type="spellEnd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>ծախսերի</w:t>
      </w:r>
      <w:proofErr w:type="spellEnd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u w:val="single"/>
          <w:lang w:val="af-ZA"/>
        </w:rPr>
        <w:t>չափաքանակ</w:t>
      </w:r>
      <w:proofErr w:type="spellEnd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lang w:val="af-ZA"/>
        </w:rPr>
        <w:t>նախորդ</w:t>
      </w:r>
      <w:proofErr w:type="spellEnd"/>
      <w:r w:rsidR="00187B2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lang w:val="af-ZA"/>
        </w:rPr>
        <w:t>տարվա</w:t>
      </w:r>
      <w:proofErr w:type="spellEnd"/>
      <w:r w:rsidR="00187B2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lang w:val="af-ZA"/>
        </w:rPr>
        <w:t>չափով</w:t>
      </w:r>
      <w:proofErr w:type="spellEnd"/>
      <w:r w:rsidR="00187B2B">
        <w:rPr>
          <w:rFonts w:ascii="GHEA Grapalat" w:hAnsi="GHEA Grapalat" w:cs="Arial Armenian"/>
          <w:sz w:val="24"/>
          <w:szCs w:val="24"/>
          <w:lang w:val="af-ZA"/>
        </w:rPr>
        <w:t xml:space="preserve">՝ </w:t>
      </w:r>
      <w:proofErr w:type="spellStart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>ընդամենը</w:t>
      </w:r>
      <w:proofErr w:type="spellEnd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87B2B">
        <w:rPr>
          <w:rFonts w:ascii="GHEA Grapalat" w:hAnsi="GHEA Grapalat" w:cs="Arial Armenian"/>
          <w:sz w:val="24"/>
          <w:szCs w:val="24"/>
          <w:lang w:val="af-ZA"/>
        </w:rPr>
        <w:t>180</w:t>
      </w:r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>մլն</w:t>
      </w:r>
      <w:proofErr w:type="spellEnd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>դրամ</w:t>
      </w:r>
      <w:r w:rsidR="00187B2B">
        <w:rPr>
          <w:rFonts w:ascii="GHEA Grapalat" w:hAnsi="GHEA Grapalat" w:cs="Arial Armenian"/>
          <w:sz w:val="24"/>
          <w:szCs w:val="24"/>
          <w:lang w:val="af-ZA"/>
        </w:rPr>
        <w:t>ի</w:t>
      </w:r>
      <w:proofErr w:type="spellEnd"/>
      <w:r w:rsidR="00187B2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>
        <w:rPr>
          <w:rFonts w:ascii="GHEA Grapalat" w:hAnsi="GHEA Grapalat" w:cs="Arial Armenian"/>
          <w:sz w:val="24"/>
          <w:szCs w:val="24"/>
          <w:lang w:val="af-ZA"/>
        </w:rPr>
        <w:t>չափով</w:t>
      </w:r>
      <w:r>
        <w:rPr>
          <w:rFonts w:ascii="GHEA Grapalat" w:hAnsi="GHEA Grapalat" w:cs="Arial Armenian"/>
          <w:sz w:val="24"/>
          <w:szCs w:val="24"/>
          <w:lang w:val="af-ZA"/>
        </w:rPr>
        <w:t>,սակայն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2019 </w:t>
      </w:r>
      <w:proofErr w:type="spellStart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հետ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համեմատությամբ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ներկայացված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չափաքանակի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7B2B" w:rsidRPr="00A4046A">
        <w:rPr>
          <w:rFonts w:ascii="GHEA Grapalat" w:hAnsi="GHEA Grapalat" w:cs="Sylfaen"/>
          <w:sz w:val="24"/>
          <w:szCs w:val="24"/>
          <w:lang w:val="hy-AM"/>
        </w:rPr>
        <w:t>համադրելի</w:t>
      </w:r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տեսակարար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կշիռը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Arial Armenian"/>
          <w:sz w:val="24"/>
          <w:szCs w:val="24"/>
        </w:rPr>
        <w:t>նվազել</w:t>
      </w:r>
      <w:proofErr w:type="spellEnd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է </w:t>
      </w:r>
      <w:r w:rsidR="00187B2B">
        <w:rPr>
          <w:rFonts w:ascii="GHEA Grapalat" w:hAnsi="GHEA Grapalat" w:cs="Arial Armenian"/>
          <w:sz w:val="24"/>
          <w:szCs w:val="24"/>
          <w:lang w:val="af-ZA"/>
        </w:rPr>
        <w:t>1.9</w:t>
      </w:r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>տոկոսային</w:t>
      </w:r>
      <w:proofErr w:type="spellEnd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187B2B" w:rsidRPr="00A4046A">
        <w:rPr>
          <w:rFonts w:ascii="GHEA Grapalat" w:hAnsi="GHEA Grapalat" w:cs="Arial Armenian"/>
          <w:sz w:val="24"/>
          <w:szCs w:val="24"/>
          <w:lang w:val="af-ZA"/>
        </w:rPr>
        <w:t>կետով</w:t>
      </w:r>
      <w:proofErr w:type="spellEnd"/>
      <w:r w:rsidR="00187B2B" w:rsidRPr="00A4046A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545EB266" w14:textId="77777777" w:rsidR="003D28FA" w:rsidRDefault="003D28FA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   </w:t>
      </w:r>
    </w:p>
    <w:p w14:paraId="18FA8A90" w14:textId="77777777" w:rsidR="003D28FA" w:rsidRDefault="003D28FA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5EA26E82" w14:textId="0E7DCD97" w:rsidR="003D28FA" w:rsidRDefault="003D28FA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ՏԵՂԵԿԱՆՔ</w:t>
      </w:r>
    </w:p>
    <w:p w14:paraId="187653E9" w14:textId="77777777" w:rsidR="003D28FA" w:rsidRDefault="003D28FA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3F8B0C2B" w14:textId="41DEB41E" w:rsidR="003D28FA" w:rsidRDefault="003D28FA" w:rsidP="00AC71A7">
      <w:pPr>
        <w:spacing w:before="0" w:after="0"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>«</w:t>
      </w:r>
      <w:r w:rsidRPr="005804FD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2020 ԹՎԱԿԱՆԻ ՊԵՏԱԿԱՆ ԲՅՈՒՋԵՈՎ </w:t>
      </w:r>
      <w:r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ՊԵՏԱԿԱՆ ԵԿԱՄՈՒՏՆԵՐԻ ԿՈՄԻՏԵԻ </w:t>
      </w:r>
      <w:r w:rsidRPr="005804FD">
        <w:rPr>
          <w:rFonts w:ascii="GHEA Grapalat" w:hAnsi="GHEA Grapalat" w:cs="Arial"/>
          <w:sz w:val="24"/>
          <w:szCs w:val="24"/>
          <w:lang w:val="af-ZA"/>
        </w:rPr>
        <w:t>ՀԱՄԱՐ ՆԱԽԱՏԵՍՎԱԾ ՀԱՏԿԱՑՈՒՄՆԵՐԻ ՀԱՇՎԻՆ ԲԱՆԿԱՅԻՆ ՎՃԱՐԱՅԻՆ ՔԱՐՏԵՐՈՎ ՇՐՋԱՆԱՌՎՈՂ ՄԻՋՈՑՆԵՐԻ ԵՎ ԿԱՆԽԻԿ ՁԵՎՈՎ ԿԱՏԱՐՎՈՂ ԾԱԽՍԵՐԻ ՉԱՓԱՔԱՆԱԿՆԵՐԸ ՀԱՍՏԱՏԵԼՈՒ  ՄԱՍԻՆ</w:t>
      </w:r>
      <w:r>
        <w:rPr>
          <w:rFonts w:ascii="GHEA Grapalat" w:hAnsi="GHEA Grapalat" w:cs="Arial"/>
          <w:sz w:val="24"/>
          <w:szCs w:val="24"/>
          <w:lang w:val="af-ZA"/>
        </w:rPr>
        <w:t xml:space="preserve">» ՀՀ  ԿԱՌԱՎԱՐՈՒԹՅԱՆ ՈՐՈՇՄԱՆ ՆԱԽԱԳԾԻ ԿԱՐԳԱՎՈՐՄԱՆ ՆՊԱՏԱԿԸ </w:t>
      </w:r>
    </w:p>
    <w:p w14:paraId="05CD8E8B" w14:textId="77777777" w:rsidR="003D28FA" w:rsidRPr="00AC71A7" w:rsidRDefault="003D28FA" w:rsidP="00AC71A7">
      <w:pPr>
        <w:spacing w:before="0" w:after="0"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14:paraId="39E20B51" w14:textId="77777777" w:rsidR="003D28FA" w:rsidRPr="00AC71A7" w:rsidRDefault="003D28FA" w:rsidP="00AC71A7">
      <w:pPr>
        <w:spacing w:before="0" w:after="0"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14:paraId="73C69F00" w14:textId="76D42E82" w:rsidR="003D28FA" w:rsidRDefault="003D28FA" w:rsidP="00AC71A7">
      <w:pPr>
        <w:spacing w:before="0" w:after="0" w:line="276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es-ES"/>
        </w:rPr>
      </w:pP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նպատակը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ծախսերի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լիարժեք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/>
          <w:sz w:val="24"/>
          <w:szCs w:val="24"/>
        </w:rPr>
        <w:t>և</w:t>
      </w:r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կատարումն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046A">
        <w:rPr>
          <w:rFonts w:ascii="GHEA Grapalat" w:hAnsi="GHEA Grapalat"/>
          <w:sz w:val="24"/>
          <w:szCs w:val="24"/>
        </w:rPr>
        <w:t>է</w:t>
      </w:r>
      <w:r w:rsidRPr="00AC71A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4046A">
        <w:rPr>
          <w:rFonts w:ascii="GHEA Grapalat" w:hAnsi="GHEA Grapalat"/>
          <w:sz w:val="24"/>
          <w:szCs w:val="24"/>
        </w:rPr>
        <w:t>ինչպես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նաև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ռեսուրսների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խնայողությանն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ուղղված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քայլերի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հետևողական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AC71A7">
        <w:rPr>
          <w:rFonts w:ascii="GHEA Grapalat" w:hAnsi="GHEA Grapalat"/>
          <w:sz w:val="24"/>
          <w:szCs w:val="24"/>
          <w:lang w:val="af-ZA"/>
        </w:rPr>
        <w:t>:</w:t>
      </w:r>
    </w:p>
    <w:p w14:paraId="1E3F07DA" w14:textId="77777777" w:rsidR="00187B2B" w:rsidRPr="00A4046A" w:rsidRDefault="00187B2B" w:rsidP="00AC71A7">
      <w:pPr>
        <w:spacing w:before="0" w:after="0" w:line="276" w:lineRule="auto"/>
        <w:jc w:val="center"/>
        <w:rPr>
          <w:rFonts w:ascii="GHEA Grapalat" w:hAnsi="GHEA Grapalat" w:cs="Sylfaen"/>
          <w:sz w:val="24"/>
          <w:szCs w:val="24"/>
          <w:lang w:val="es-ES"/>
        </w:rPr>
      </w:pPr>
    </w:p>
    <w:p w14:paraId="07273592" w14:textId="77777777" w:rsidR="00187B2B" w:rsidRPr="00AC71A7" w:rsidRDefault="00187B2B" w:rsidP="00AC71A7">
      <w:pPr>
        <w:spacing w:before="0" w:after="0"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14:paraId="2630A6D0" w14:textId="571750EC" w:rsidR="0095024A" w:rsidRPr="00AC71A7" w:rsidRDefault="00187B2B" w:rsidP="00AC71A7">
      <w:pPr>
        <w:spacing w:before="0" w:after="0"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ՏԵՂԵ</w:t>
      </w:r>
      <w:r w:rsidR="0095024A" w:rsidRPr="00A4046A">
        <w:rPr>
          <w:rFonts w:ascii="GHEA Grapalat" w:hAnsi="GHEA Grapalat" w:cs="Sylfaen"/>
          <w:sz w:val="24"/>
          <w:szCs w:val="24"/>
        </w:rPr>
        <w:t>ԿԱՆՔ</w:t>
      </w:r>
    </w:p>
    <w:p w14:paraId="0315B45E" w14:textId="38FE8041" w:rsidR="0095024A" w:rsidRPr="00A4046A" w:rsidRDefault="00703482" w:rsidP="00AC71A7">
      <w:pPr>
        <w:spacing w:before="0" w:after="0" w:line="276" w:lineRule="auto"/>
        <w:ind w:left="0" w:firstLine="234"/>
        <w:jc w:val="both"/>
        <w:rPr>
          <w:rFonts w:ascii="GHEA Grapalat" w:hAnsi="GHEA Grapalat"/>
          <w:sz w:val="24"/>
          <w:szCs w:val="24"/>
          <w:lang w:val="af-ZA"/>
        </w:rPr>
      </w:pPr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 «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2020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թվականի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բյուջեով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ՊԵԿ</w:t>
      </w:r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հատկացումների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հաշվին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վարկային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քարտային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հաշիվներով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շրջանառվող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միջոցների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4046A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hAnsi="GHEA Grapalat" w:cs="Arial Armenian"/>
          <w:sz w:val="24"/>
          <w:szCs w:val="24"/>
          <w:lang w:val="af-ZA"/>
        </w:rPr>
        <w:t>կանխիկ</w:t>
      </w:r>
      <w:proofErr w:type="spellEnd"/>
      <w:r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Arial Armenian"/>
          <w:sz w:val="24"/>
          <w:szCs w:val="24"/>
          <w:lang w:val="af-ZA"/>
        </w:rPr>
        <w:t>ձևով</w:t>
      </w:r>
      <w:proofErr w:type="spellEnd"/>
      <w:r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Arial Armenian"/>
          <w:sz w:val="24"/>
          <w:szCs w:val="24"/>
          <w:lang w:val="af-ZA"/>
        </w:rPr>
        <w:t>կատարվող</w:t>
      </w:r>
      <w:proofErr w:type="spellEnd"/>
      <w:r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Arial Armenian"/>
          <w:sz w:val="24"/>
          <w:szCs w:val="24"/>
          <w:lang w:val="af-ZA"/>
        </w:rPr>
        <w:t>ծախսերի</w:t>
      </w:r>
      <w:proofErr w:type="spellEnd"/>
      <w:r w:rsidRPr="00A4046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4046A">
        <w:rPr>
          <w:rFonts w:ascii="GHEA Grapalat" w:hAnsi="GHEA Grapalat" w:cs="Arial Armenian"/>
          <w:sz w:val="24"/>
          <w:szCs w:val="24"/>
          <w:lang w:val="af-ZA"/>
        </w:rPr>
        <w:t>չափաքանակները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հաստատելու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A4046A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proofErr w:type="spellEnd"/>
      <w:r w:rsidRPr="00AC71A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» </w:t>
      </w:r>
      <w:r w:rsidRPr="00A4046A">
        <w:rPr>
          <w:rFonts w:ascii="GHEA Grapalat" w:hAnsi="GHEA Grapalat"/>
          <w:sz w:val="24"/>
          <w:szCs w:val="24"/>
          <w:lang w:eastAsia="lv-LV"/>
        </w:rPr>
        <w:t>ՀՀ</w:t>
      </w:r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կառավարության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որոշման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նախագծի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ընդունման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կապակցությամբ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r w:rsidRPr="00A4046A">
        <w:rPr>
          <w:rFonts w:ascii="GHEA Grapalat" w:hAnsi="GHEA Grapalat"/>
          <w:sz w:val="24"/>
          <w:szCs w:val="24"/>
          <w:lang w:eastAsia="lv-LV"/>
        </w:rPr>
        <w:t>ՀՀ</w:t>
      </w:r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պետական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բյուջեում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եկամուտների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r w:rsidRPr="00A4046A">
        <w:rPr>
          <w:rFonts w:ascii="GHEA Grapalat" w:hAnsi="GHEA Grapalat"/>
          <w:sz w:val="24"/>
          <w:szCs w:val="24"/>
          <w:lang w:eastAsia="lv-LV"/>
        </w:rPr>
        <w:t>և</w:t>
      </w:r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ծախսերի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ավելացում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կամ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նվազեցում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չի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 xml:space="preserve"> </w:t>
      </w:r>
      <w:proofErr w:type="spellStart"/>
      <w:r w:rsidRPr="00A4046A">
        <w:rPr>
          <w:rFonts w:ascii="GHEA Grapalat" w:hAnsi="GHEA Grapalat"/>
          <w:sz w:val="24"/>
          <w:szCs w:val="24"/>
          <w:lang w:eastAsia="lv-LV"/>
        </w:rPr>
        <w:t>նախատեսվում</w:t>
      </w:r>
      <w:proofErr w:type="spellEnd"/>
      <w:r w:rsidRPr="00AC71A7">
        <w:rPr>
          <w:rFonts w:ascii="GHEA Grapalat" w:hAnsi="GHEA Grapalat"/>
          <w:sz w:val="24"/>
          <w:szCs w:val="24"/>
          <w:lang w:val="af-ZA" w:eastAsia="lv-LV"/>
        </w:rPr>
        <w:t>:</w:t>
      </w:r>
    </w:p>
    <w:p w14:paraId="7E1FA2B3" w14:textId="77777777" w:rsidR="0095024A" w:rsidRPr="00AC71A7" w:rsidRDefault="0095024A" w:rsidP="00D56624">
      <w:pPr>
        <w:rPr>
          <w:lang w:val="af-ZA"/>
        </w:rPr>
      </w:pPr>
    </w:p>
    <w:sectPr w:rsidR="0095024A" w:rsidRPr="00AC71A7" w:rsidSect="00AB2621">
      <w:pgSz w:w="11907" w:h="16840" w:code="9"/>
      <w:pgMar w:top="1134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Cambria"/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E2384D"/>
    <w:multiLevelType w:val="hybridMultilevel"/>
    <w:tmpl w:val="5CF234F4"/>
    <w:lvl w:ilvl="0" w:tplc="38903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A5826"/>
    <w:multiLevelType w:val="hybridMultilevel"/>
    <w:tmpl w:val="E3C6DA4C"/>
    <w:lvl w:ilvl="0" w:tplc="15A80A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213C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BD5982"/>
    <w:multiLevelType w:val="hybridMultilevel"/>
    <w:tmpl w:val="2D6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421494"/>
    <w:multiLevelType w:val="hybridMultilevel"/>
    <w:tmpl w:val="35C2B3E4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B46A9"/>
    <w:multiLevelType w:val="hybridMultilevel"/>
    <w:tmpl w:val="2C400172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80912"/>
    <w:multiLevelType w:val="hybridMultilevel"/>
    <w:tmpl w:val="1F484DA4"/>
    <w:lvl w:ilvl="0" w:tplc="D7C06B0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A05624A"/>
    <w:multiLevelType w:val="hybridMultilevel"/>
    <w:tmpl w:val="25E08586"/>
    <w:lvl w:ilvl="0" w:tplc="D5827F86">
      <w:start w:val="1"/>
      <w:numFmt w:val="decimal"/>
      <w:lvlText w:val="%1"/>
      <w:lvlJc w:val="left"/>
      <w:pPr>
        <w:ind w:left="360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75F81"/>
    <w:multiLevelType w:val="hybridMultilevel"/>
    <w:tmpl w:val="C87C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5450"/>
    <w:multiLevelType w:val="hybridMultilevel"/>
    <w:tmpl w:val="CD44513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0CE495C">
      <w:numFmt w:val="bullet"/>
      <w:lvlText w:val="-"/>
      <w:lvlJc w:val="left"/>
      <w:pPr>
        <w:ind w:left="1444" w:hanging="360"/>
      </w:pPr>
      <w:rPr>
        <w:rFonts w:ascii="GHEA Grapalat" w:eastAsia="Calibri" w:hAnsi="GHEA Grapalat" w:cs="Arial Armenian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9EF711B"/>
    <w:multiLevelType w:val="hybridMultilevel"/>
    <w:tmpl w:val="BE822856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D42AF"/>
    <w:multiLevelType w:val="hybridMultilevel"/>
    <w:tmpl w:val="83A249CA"/>
    <w:lvl w:ilvl="0" w:tplc="22AA4800">
      <w:start w:val="4"/>
      <w:numFmt w:val="bullet"/>
      <w:lvlText w:val="-"/>
      <w:lvlJc w:val="left"/>
      <w:pPr>
        <w:ind w:left="648" w:hanging="360"/>
      </w:pPr>
      <w:rPr>
        <w:rFonts w:ascii="GHEA Grapalat" w:eastAsia="Times New Roman" w:hAnsi="GHEA Grapalat" w:cs="Arial Armeni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0BB766E"/>
    <w:multiLevelType w:val="hybridMultilevel"/>
    <w:tmpl w:val="207E02F2"/>
    <w:lvl w:ilvl="0" w:tplc="AD30AF3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D1249"/>
    <w:multiLevelType w:val="hybridMultilevel"/>
    <w:tmpl w:val="7CB4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5034143D"/>
    <w:multiLevelType w:val="hybridMultilevel"/>
    <w:tmpl w:val="9DA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1B0D"/>
    <w:multiLevelType w:val="hybridMultilevel"/>
    <w:tmpl w:val="422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51BDF"/>
    <w:multiLevelType w:val="hybridMultilevel"/>
    <w:tmpl w:val="8E74868C"/>
    <w:lvl w:ilvl="0" w:tplc="BE6004B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5B4E08EF"/>
    <w:multiLevelType w:val="hybridMultilevel"/>
    <w:tmpl w:val="C540A0A2"/>
    <w:lvl w:ilvl="0" w:tplc="1B6E8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Mariam" w:eastAsia="MS Mincho" w:hAnsi="GHEA Mari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57FAB"/>
    <w:multiLevelType w:val="hybridMultilevel"/>
    <w:tmpl w:val="59C09588"/>
    <w:lvl w:ilvl="0" w:tplc="C3BE0C3A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F476912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0E865CE"/>
    <w:multiLevelType w:val="hybridMultilevel"/>
    <w:tmpl w:val="72CA1656"/>
    <w:lvl w:ilvl="0" w:tplc="2B4EB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DDE"/>
    <w:multiLevelType w:val="hybridMultilevel"/>
    <w:tmpl w:val="47BECBEC"/>
    <w:lvl w:ilvl="0" w:tplc="671C2B6C">
      <w:start w:val="1"/>
      <w:numFmt w:val="decimal"/>
      <w:lvlText w:val="%1."/>
      <w:lvlJc w:val="left"/>
      <w:pPr>
        <w:ind w:left="93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4CC391D"/>
    <w:multiLevelType w:val="hybridMultilevel"/>
    <w:tmpl w:val="20F47C98"/>
    <w:lvl w:ilvl="0" w:tplc="92C2C1B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53A368C"/>
    <w:multiLevelType w:val="hybridMultilevel"/>
    <w:tmpl w:val="F22A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64524"/>
    <w:multiLevelType w:val="hybridMultilevel"/>
    <w:tmpl w:val="274E41B2"/>
    <w:lvl w:ilvl="0" w:tplc="B73E37C6">
      <w:start w:val="4"/>
      <w:numFmt w:val="bullet"/>
      <w:lvlText w:val="-"/>
      <w:lvlJc w:val="left"/>
      <w:pPr>
        <w:ind w:left="576" w:hanging="360"/>
      </w:pPr>
      <w:rPr>
        <w:rFonts w:ascii="GHEA Grapalat" w:eastAsia="Times New Roman" w:hAnsi="GHEA Grapalat" w:cs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6ACA1A78"/>
    <w:multiLevelType w:val="hybridMultilevel"/>
    <w:tmpl w:val="AFC0EBF0"/>
    <w:lvl w:ilvl="0" w:tplc="8ECE16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BC248FC"/>
    <w:multiLevelType w:val="hybridMultilevel"/>
    <w:tmpl w:val="39D636B2"/>
    <w:lvl w:ilvl="0" w:tplc="1B6E8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Mariam" w:eastAsia="MS Mincho" w:hAnsi="GHEA Mari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57A6"/>
    <w:multiLevelType w:val="hybridMultilevel"/>
    <w:tmpl w:val="9E32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50A74"/>
    <w:multiLevelType w:val="hybridMultilevel"/>
    <w:tmpl w:val="60B0BD60"/>
    <w:lvl w:ilvl="0" w:tplc="979E0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0"/>
  </w:num>
  <w:num w:numId="6">
    <w:abstractNumId w:val="24"/>
  </w:num>
  <w:num w:numId="7">
    <w:abstractNumId w:val="3"/>
  </w:num>
  <w:num w:numId="8">
    <w:abstractNumId w:val="6"/>
  </w:num>
  <w:num w:numId="9">
    <w:abstractNumId w:val="13"/>
  </w:num>
  <w:num w:numId="10">
    <w:abstractNumId w:val="33"/>
  </w:num>
  <w:num w:numId="11">
    <w:abstractNumId w:val="7"/>
  </w:num>
  <w:num w:numId="12">
    <w:abstractNumId w:val="23"/>
  </w:num>
  <w:num w:numId="13">
    <w:abstractNumId w:val="22"/>
  </w:num>
  <w:num w:numId="14">
    <w:abstractNumId w:val="31"/>
  </w:num>
  <w:num w:numId="15">
    <w:abstractNumId w:val="10"/>
  </w:num>
  <w:num w:numId="16">
    <w:abstractNumId w:val="26"/>
  </w:num>
  <w:num w:numId="17">
    <w:abstractNumId w:val="32"/>
  </w:num>
  <w:num w:numId="18">
    <w:abstractNumId w:val="20"/>
  </w:num>
  <w:num w:numId="19">
    <w:abstractNumId w:val="25"/>
  </w:num>
  <w:num w:numId="20">
    <w:abstractNumId w:val="2"/>
  </w:num>
  <w:num w:numId="21">
    <w:abstractNumId w:val="27"/>
  </w:num>
  <w:num w:numId="22">
    <w:abstractNumId w:val="9"/>
  </w:num>
  <w:num w:numId="23">
    <w:abstractNumId w:val="29"/>
  </w:num>
  <w:num w:numId="24">
    <w:abstractNumId w:val="14"/>
  </w:num>
  <w:num w:numId="25">
    <w:abstractNumId w:val="4"/>
  </w:num>
  <w:num w:numId="26">
    <w:abstractNumId w:val="28"/>
  </w:num>
  <w:num w:numId="27">
    <w:abstractNumId w:val="1"/>
  </w:num>
  <w:num w:numId="28">
    <w:abstractNumId w:val="8"/>
  </w:num>
  <w:num w:numId="29">
    <w:abstractNumId w:val="21"/>
  </w:num>
  <w:num w:numId="30">
    <w:abstractNumId w:val="11"/>
  </w:num>
  <w:num w:numId="31">
    <w:abstractNumId w:val="11"/>
  </w:num>
  <w:num w:numId="32">
    <w:abstractNumId w:val="15"/>
  </w:num>
  <w:num w:numId="33">
    <w:abstractNumId w:val="19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6"/>
    <w:rsid w:val="00002EFB"/>
    <w:rsid w:val="00020CFD"/>
    <w:rsid w:val="00022240"/>
    <w:rsid w:val="0002542E"/>
    <w:rsid w:val="00030251"/>
    <w:rsid w:val="000401F0"/>
    <w:rsid w:val="000560C7"/>
    <w:rsid w:val="0007039F"/>
    <w:rsid w:val="000C1363"/>
    <w:rsid w:val="000D5D2C"/>
    <w:rsid w:val="000E1FAC"/>
    <w:rsid w:val="000F1FB3"/>
    <w:rsid w:val="000F5041"/>
    <w:rsid w:val="000F7A73"/>
    <w:rsid w:val="00130561"/>
    <w:rsid w:val="001441AC"/>
    <w:rsid w:val="00187B2B"/>
    <w:rsid w:val="001902FB"/>
    <w:rsid w:val="001A3FE5"/>
    <w:rsid w:val="001D1347"/>
    <w:rsid w:val="001D3328"/>
    <w:rsid w:val="001E0CCD"/>
    <w:rsid w:val="001E0DA1"/>
    <w:rsid w:val="0025631C"/>
    <w:rsid w:val="00287F91"/>
    <w:rsid w:val="003134BA"/>
    <w:rsid w:val="00314CDD"/>
    <w:rsid w:val="003547BB"/>
    <w:rsid w:val="0037616D"/>
    <w:rsid w:val="00381B71"/>
    <w:rsid w:val="003D28FA"/>
    <w:rsid w:val="003E315A"/>
    <w:rsid w:val="004141EC"/>
    <w:rsid w:val="00466808"/>
    <w:rsid w:val="00476057"/>
    <w:rsid w:val="004871F5"/>
    <w:rsid w:val="004C5342"/>
    <w:rsid w:val="004F4686"/>
    <w:rsid w:val="00502826"/>
    <w:rsid w:val="0051119E"/>
    <w:rsid w:val="0052764B"/>
    <w:rsid w:val="005804FD"/>
    <w:rsid w:val="00594888"/>
    <w:rsid w:val="00597C76"/>
    <w:rsid w:val="005A2C75"/>
    <w:rsid w:val="005B6A95"/>
    <w:rsid w:val="005D412F"/>
    <w:rsid w:val="005E7543"/>
    <w:rsid w:val="005F7955"/>
    <w:rsid w:val="00601FC8"/>
    <w:rsid w:val="00613A97"/>
    <w:rsid w:val="006349EA"/>
    <w:rsid w:val="0066465B"/>
    <w:rsid w:val="006A5DE9"/>
    <w:rsid w:val="006D52E8"/>
    <w:rsid w:val="007030B3"/>
    <w:rsid w:val="00703482"/>
    <w:rsid w:val="00712632"/>
    <w:rsid w:val="0073039D"/>
    <w:rsid w:val="00753C9E"/>
    <w:rsid w:val="007973C7"/>
    <w:rsid w:val="007C0DB8"/>
    <w:rsid w:val="007C4888"/>
    <w:rsid w:val="007E2D1F"/>
    <w:rsid w:val="007E52CE"/>
    <w:rsid w:val="007E59ED"/>
    <w:rsid w:val="007F545A"/>
    <w:rsid w:val="008226CF"/>
    <w:rsid w:val="00825448"/>
    <w:rsid w:val="00831237"/>
    <w:rsid w:val="00854310"/>
    <w:rsid w:val="008709C0"/>
    <w:rsid w:val="00881B51"/>
    <w:rsid w:val="008B4670"/>
    <w:rsid w:val="008D21B6"/>
    <w:rsid w:val="008D332A"/>
    <w:rsid w:val="008F56CD"/>
    <w:rsid w:val="008F5AC7"/>
    <w:rsid w:val="0093173F"/>
    <w:rsid w:val="00931CB5"/>
    <w:rsid w:val="00937B7B"/>
    <w:rsid w:val="009471F7"/>
    <w:rsid w:val="0095024A"/>
    <w:rsid w:val="009614FE"/>
    <w:rsid w:val="00982C26"/>
    <w:rsid w:val="009A262F"/>
    <w:rsid w:val="00A00F9A"/>
    <w:rsid w:val="00A31AA5"/>
    <w:rsid w:val="00A4588E"/>
    <w:rsid w:val="00A52788"/>
    <w:rsid w:val="00A54853"/>
    <w:rsid w:val="00A73012"/>
    <w:rsid w:val="00AA5F81"/>
    <w:rsid w:val="00AC71A7"/>
    <w:rsid w:val="00B4673F"/>
    <w:rsid w:val="00B81219"/>
    <w:rsid w:val="00B92818"/>
    <w:rsid w:val="00BF5701"/>
    <w:rsid w:val="00C109DE"/>
    <w:rsid w:val="00C3399C"/>
    <w:rsid w:val="00CD605A"/>
    <w:rsid w:val="00CE5BCB"/>
    <w:rsid w:val="00CF2FC0"/>
    <w:rsid w:val="00D56624"/>
    <w:rsid w:val="00D6655F"/>
    <w:rsid w:val="00D74C5E"/>
    <w:rsid w:val="00D96DE6"/>
    <w:rsid w:val="00DA7E08"/>
    <w:rsid w:val="00DB03C0"/>
    <w:rsid w:val="00DB5CBD"/>
    <w:rsid w:val="00DC04AD"/>
    <w:rsid w:val="00DC5D6B"/>
    <w:rsid w:val="00E01D51"/>
    <w:rsid w:val="00E324B2"/>
    <w:rsid w:val="00E377A6"/>
    <w:rsid w:val="00E423FC"/>
    <w:rsid w:val="00E771BB"/>
    <w:rsid w:val="00E913FA"/>
    <w:rsid w:val="00EA1AF5"/>
    <w:rsid w:val="00EA5E05"/>
    <w:rsid w:val="00F06FB1"/>
    <w:rsid w:val="00F11DA9"/>
    <w:rsid w:val="00F347E7"/>
    <w:rsid w:val="00F5609E"/>
    <w:rsid w:val="00F64068"/>
    <w:rsid w:val="00F83F06"/>
    <w:rsid w:val="00F97198"/>
    <w:rsid w:val="00FB06DA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CEBD"/>
  <w15:chartTrackingRefBased/>
  <w15:docId w15:val="{4D44A2A0-D4FC-4A95-B218-E6524C27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7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F7A73"/>
    <w:pPr>
      <w:keepNext/>
      <w:spacing w:before="240" w:after="60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0F7A73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0F7A73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7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0F7A73"/>
    <w:rPr>
      <w:rFonts w:ascii="Arial Armenian" w:eastAsia="Times New Roman" w:hAnsi="Arial Armeni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7A73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0F7A73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0F7A7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numbering" w:customStyle="1" w:styleId="NoList1">
    <w:name w:val="No List1"/>
    <w:next w:val="NoList"/>
    <w:semiHidden/>
    <w:rsid w:val="000F7A73"/>
  </w:style>
  <w:style w:type="paragraph" w:styleId="BodyText">
    <w:name w:val="Body Text"/>
    <w:basedOn w:val="Normal"/>
    <w:link w:val="BodyTextChar"/>
    <w:rsid w:val="000F7A73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0F7A73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BodyText3">
    <w:name w:val="Body Text 3"/>
    <w:basedOn w:val="Normal"/>
    <w:link w:val="BodyText3Char"/>
    <w:rsid w:val="000F7A73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F7A73"/>
    <w:rPr>
      <w:rFonts w:ascii="Arial Armenian" w:eastAsia="Times New Roman" w:hAnsi="Arial Armeni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0F7A73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7A73"/>
    <w:rPr>
      <w:rFonts w:ascii="Arial Armenian" w:eastAsia="Times New Roman" w:hAnsi="Arial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F7A73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basedOn w:val="DefaultParagraphFont"/>
    <w:link w:val="BodyText2"/>
    <w:rsid w:val="000F7A73"/>
    <w:rPr>
      <w:rFonts w:ascii="Arial Armenian" w:eastAsia="Times New Roman" w:hAnsi="Arial Armenian" w:cs="Times New Roman"/>
      <w:szCs w:val="20"/>
    </w:rPr>
  </w:style>
  <w:style w:type="paragraph" w:styleId="BodyTextIndent2">
    <w:name w:val="Body Text Indent 2"/>
    <w:basedOn w:val="Normal"/>
    <w:link w:val="BodyTextIndent2Char"/>
    <w:rsid w:val="000F7A73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F7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F7A73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0F7A7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0F7A7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0F7A73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0F7A7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0F7A73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0F7A73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0F7A73"/>
    <w:rPr>
      <w:rFonts w:ascii="Arial Armenian" w:eastAsia="Times New Roman" w:hAnsi="Arial Armenian" w:cs="Times New Roman"/>
      <w:lang w:eastAsia="ru-RU"/>
    </w:rPr>
  </w:style>
  <w:style w:type="paragraph" w:customStyle="1" w:styleId="a0">
    <w:name w:val="Знак Знак"/>
    <w:basedOn w:val="Normal"/>
    <w:rsid w:val="000F7A7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0F7A73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7A7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F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F7A73"/>
    <w:pPr>
      <w:spacing w:before="3480" w:after="0" w:line="360" w:lineRule="auto"/>
      <w:ind w:left="5040" w:right="-261" w:firstLine="0"/>
    </w:pPr>
    <w:rPr>
      <w:rFonts w:ascii="ArTarumianTimes" w:eastAsia="Times New Roman" w:hAnsi="ArTarumianTimes"/>
      <w:sz w:val="24"/>
      <w:szCs w:val="24"/>
    </w:rPr>
  </w:style>
  <w:style w:type="character" w:styleId="Emphasis">
    <w:name w:val="Emphasis"/>
    <w:uiPriority w:val="20"/>
    <w:qFormat/>
    <w:rsid w:val="000F7A73"/>
    <w:rPr>
      <w:i/>
      <w:iCs/>
    </w:rPr>
  </w:style>
  <w:style w:type="character" w:customStyle="1" w:styleId="z-TopofFormChar">
    <w:name w:val="z-Top of Form Char"/>
    <w:link w:val="z-TopofForm"/>
    <w:uiPriority w:val="99"/>
    <w:rsid w:val="000F7A7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F7A73"/>
    <w:pPr>
      <w:pBdr>
        <w:bottom w:val="single" w:sz="6" w:space="1" w:color="auto"/>
      </w:pBdr>
      <w:spacing w:before="0" w:after="0"/>
      <w:ind w:left="0" w:firstLine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0F7A73"/>
    <w:rPr>
      <w:rFonts w:ascii="Arial" w:eastAsia="Calibri" w:hAnsi="Arial" w:cs="Arial"/>
      <w:vanish/>
      <w:sz w:val="16"/>
      <w:szCs w:val="16"/>
    </w:rPr>
  </w:style>
  <w:style w:type="character" w:customStyle="1" w:styleId="showhide">
    <w:name w:val="showhide"/>
    <w:rsid w:val="000F7A73"/>
  </w:style>
  <w:style w:type="character" w:styleId="Strong">
    <w:name w:val="Strong"/>
    <w:uiPriority w:val="22"/>
    <w:qFormat/>
    <w:rsid w:val="000F7A73"/>
    <w:rPr>
      <w:b/>
      <w:bCs/>
    </w:rPr>
  </w:style>
  <w:style w:type="character" w:customStyle="1" w:styleId="z-BottomofFormChar">
    <w:name w:val="z-Bottom of Form Char"/>
    <w:link w:val="z-BottomofForm"/>
    <w:uiPriority w:val="99"/>
    <w:rsid w:val="000F7A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7A73"/>
    <w:pPr>
      <w:pBdr>
        <w:top w:val="single" w:sz="6" w:space="1" w:color="auto"/>
      </w:pBdr>
      <w:spacing w:before="0" w:after="0"/>
      <w:ind w:left="0" w:firstLine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rsid w:val="000F7A73"/>
    <w:rPr>
      <w:rFonts w:ascii="Arial" w:eastAsia="Calibri" w:hAnsi="Arial" w:cs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0F7A73"/>
    <w:rPr>
      <w:color w:val="800080"/>
      <w:u w:val="single"/>
    </w:rPr>
  </w:style>
  <w:style w:type="paragraph" w:customStyle="1" w:styleId="Style15">
    <w:name w:val="Style1.5"/>
    <w:basedOn w:val="Normal"/>
    <w:rsid w:val="000F7A73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customStyle="1" w:styleId="msonormal0">
    <w:name w:val="msonormal"/>
    <w:basedOn w:val="Normal"/>
    <w:rsid w:val="000F7A7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DA39-9D81-48D0-BE18-51D12212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Ghalumyan</dc:creator>
  <cp:keywords/>
  <dc:description/>
  <cp:lastModifiedBy>Arpine Martirosyan</cp:lastModifiedBy>
  <cp:revision>18</cp:revision>
  <dcterms:created xsi:type="dcterms:W3CDTF">2020-03-17T14:28:00Z</dcterms:created>
  <dcterms:modified xsi:type="dcterms:W3CDTF">2020-03-18T07:59:00Z</dcterms:modified>
</cp:coreProperties>
</file>