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4BBA" w:rsidRPr="00DE6CFA" w:rsidRDefault="00D74BBA" w:rsidP="00D74BBA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E6CFA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D74BBA" w:rsidRPr="00DE6CFA" w:rsidRDefault="00AB5FD6" w:rsidP="00AB5FD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E6CFA">
        <w:rPr>
          <w:rFonts w:ascii="GHEA Grapalat" w:hAnsi="GHEA Grapalat"/>
          <w:b/>
          <w:sz w:val="24"/>
          <w:szCs w:val="24"/>
          <w:lang w:val="hy-AM"/>
        </w:rPr>
        <w:t xml:space="preserve">«Հակոբյանը և Ամիրխանյանն ընդդեմ Հայաստանի» (թիվ 14156/07 գանգատ) </w:t>
      </w:r>
      <w:r w:rsidR="00D74BBA" w:rsidRPr="00DE6CFA">
        <w:rPr>
          <w:rFonts w:ascii="GHEA Grapalat" w:hAnsi="GHEA Grapalat"/>
          <w:b/>
          <w:sz w:val="24"/>
          <w:szCs w:val="24"/>
          <w:lang w:val="hy-AM"/>
        </w:rPr>
        <w:t xml:space="preserve">գործով Մարդու իրավունքների </w:t>
      </w:r>
      <w:proofErr w:type="spellStart"/>
      <w:r w:rsidR="00D74BBA" w:rsidRPr="00DE6CFA">
        <w:rPr>
          <w:rFonts w:ascii="GHEA Grapalat" w:hAnsi="GHEA Grapalat"/>
          <w:b/>
          <w:sz w:val="24"/>
          <w:szCs w:val="24"/>
          <w:lang w:val="hy-AM"/>
        </w:rPr>
        <w:t>եվրոպական</w:t>
      </w:r>
      <w:proofErr w:type="spellEnd"/>
      <w:r w:rsidR="00D74BBA" w:rsidRPr="00DE6CFA">
        <w:rPr>
          <w:rFonts w:ascii="GHEA Grapalat" w:hAnsi="GHEA Grapalat"/>
          <w:b/>
          <w:sz w:val="24"/>
          <w:szCs w:val="24"/>
          <w:lang w:val="hy-AM"/>
        </w:rPr>
        <w:t xml:space="preserve"> դատարանի կայացրած վճռի վերաբերյալ</w:t>
      </w:r>
    </w:p>
    <w:p w:rsidR="00D74BBA" w:rsidRPr="00DE6CFA" w:rsidRDefault="00D74BBA" w:rsidP="00D74BB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E6CFA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D74BBA" w:rsidRPr="00DE6CFA" w:rsidRDefault="00D74BBA" w:rsidP="00D74BB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74BBA" w:rsidRPr="00DE6CFA" w:rsidRDefault="00D74BBA" w:rsidP="00D74BBA">
      <w:pPr>
        <w:spacing w:line="36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DE6CFA">
        <w:rPr>
          <w:rFonts w:ascii="GHEA Grapalat" w:hAnsi="GHEA Grapalat"/>
          <w:b/>
          <w:sz w:val="24"/>
          <w:szCs w:val="24"/>
          <w:lang w:val="hy-AM"/>
        </w:rPr>
        <w:t>Գործերի ելակետային տվյալները</w:t>
      </w:r>
    </w:p>
    <w:p w:rsidR="00D74BBA" w:rsidRPr="00DE6CFA" w:rsidRDefault="00D74BBA" w:rsidP="00D74BBA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E6CFA">
        <w:rPr>
          <w:rFonts w:ascii="GHEA Grapalat" w:hAnsi="GHEA Grapalat"/>
          <w:sz w:val="24"/>
          <w:szCs w:val="24"/>
          <w:lang w:val="hy-AM"/>
        </w:rPr>
        <w:t xml:space="preserve">Մարդու իրավունքների </w:t>
      </w:r>
      <w:proofErr w:type="spellStart"/>
      <w:r w:rsidRPr="00DE6CFA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Pr="00DE6CFA">
        <w:rPr>
          <w:rFonts w:ascii="GHEA Grapalat" w:hAnsi="GHEA Grapalat"/>
          <w:sz w:val="24"/>
          <w:szCs w:val="24"/>
          <w:lang w:val="hy-AM"/>
        </w:rPr>
        <w:t xml:space="preserve"> դատարանը (այսուհետ՝ </w:t>
      </w:r>
      <w:proofErr w:type="spellStart"/>
      <w:r w:rsidRPr="00DE6CFA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Pr="00DE6CFA">
        <w:rPr>
          <w:rFonts w:ascii="GHEA Grapalat" w:hAnsi="GHEA Grapalat"/>
          <w:sz w:val="24"/>
          <w:szCs w:val="24"/>
          <w:lang w:val="hy-AM"/>
        </w:rPr>
        <w:t xml:space="preserve"> դատարան) 2019 թվականի </w:t>
      </w:r>
      <w:r w:rsidR="00AB5FD6" w:rsidRPr="00DE6CFA">
        <w:rPr>
          <w:rFonts w:ascii="GHEA Grapalat" w:hAnsi="GHEA Grapalat"/>
          <w:sz w:val="24"/>
          <w:szCs w:val="24"/>
          <w:lang w:val="hy-AM"/>
        </w:rPr>
        <w:t>հոկտեմբեր</w:t>
      </w:r>
      <w:r w:rsidRPr="00DE6CFA">
        <w:rPr>
          <w:rFonts w:ascii="GHEA Grapalat" w:hAnsi="GHEA Grapalat"/>
          <w:sz w:val="24"/>
          <w:szCs w:val="24"/>
          <w:lang w:val="hy-AM"/>
        </w:rPr>
        <w:t xml:space="preserve">ի </w:t>
      </w:r>
      <w:r w:rsidR="00AB5FD6" w:rsidRPr="00DE6CFA">
        <w:rPr>
          <w:rFonts w:ascii="GHEA Grapalat" w:hAnsi="GHEA Grapalat"/>
          <w:sz w:val="24"/>
          <w:szCs w:val="24"/>
          <w:lang w:val="hy-AM"/>
        </w:rPr>
        <w:t>17</w:t>
      </w:r>
      <w:r w:rsidRPr="00DE6CFA">
        <w:rPr>
          <w:rFonts w:ascii="GHEA Grapalat" w:hAnsi="GHEA Grapalat"/>
          <w:sz w:val="24"/>
          <w:szCs w:val="24"/>
          <w:lang w:val="hy-AM"/>
        </w:rPr>
        <w:t xml:space="preserve">-ին հրապարակել է </w:t>
      </w:r>
      <w:r w:rsidRPr="00DE6CFA">
        <w:rPr>
          <w:rFonts w:ascii="GHEA Grapalat" w:hAnsi="GHEA Grapalat"/>
          <w:i/>
          <w:sz w:val="24"/>
          <w:szCs w:val="24"/>
          <w:lang w:val="hy-AM"/>
        </w:rPr>
        <w:t>«</w:t>
      </w:r>
      <w:r w:rsidR="00AB5FD6" w:rsidRPr="00DE6CFA">
        <w:rPr>
          <w:rFonts w:ascii="GHEA Grapalat" w:hAnsi="GHEA Grapalat"/>
          <w:i/>
          <w:sz w:val="24"/>
          <w:szCs w:val="24"/>
          <w:lang w:val="hy-AM"/>
        </w:rPr>
        <w:t>Հակոբյանը և Ամիրխանյանն</w:t>
      </w:r>
      <w:r w:rsidRPr="00DE6CFA">
        <w:rPr>
          <w:rFonts w:ascii="GHEA Grapalat" w:hAnsi="GHEA Grapalat"/>
          <w:i/>
          <w:sz w:val="24"/>
          <w:szCs w:val="24"/>
          <w:lang w:val="hy-AM"/>
        </w:rPr>
        <w:t xml:space="preserve"> ընդդեմ Հայաստանի»</w:t>
      </w:r>
      <w:r w:rsidRPr="00DE6CFA">
        <w:rPr>
          <w:rFonts w:ascii="GHEA Grapalat" w:hAnsi="GHEA Grapalat"/>
          <w:sz w:val="24"/>
          <w:szCs w:val="24"/>
          <w:lang w:val="hy-AM"/>
        </w:rPr>
        <w:t xml:space="preserve"> գործով վճիռը, </w:t>
      </w:r>
      <w:r w:rsidR="00AB5FD6" w:rsidRPr="00DE6CFA">
        <w:rPr>
          <w:rFonts w:ascii="GHEA Grapalat" w:hAnsi="GHEA Grapalat"/>
          <w:sz w:val="24"/>
          <w:szCs w:val="24"/>
          <w:lang w:val="hy-AM"/>
        </w:rPr>
        <w:t>որ</w:t>
      </w:r>
      <w:r w:rsidR="00DB1A7F" w:rsidRPr="00DE6CFA">
        <w:rPr>
          <w:rFonts w:ascii="GHEA Grapalat" w:hAnsi="GHEA Grapalat"/>
          <w:sz w:val="24"/>
          <w:szCs w:val="24"/>
          <w:lang w:val="hy-AM"/>
        </w:rPr>
        <w:t>ո</w:t>
      </w:r>
      <w:r w:rsidRPr="00DE6CFA">
        <w:rPr>
          <w:rFonts w:ascii="GHEA Grapalat" w:hAnsi="GHEA Grapalat"/>
          <w:sz w:val="24"/>
          <w:szCs w:val="24"/>
          <w:lang w:val="hy-AM"/>
        </w:rPr>
        <w:t xml:space="preserve">վ արձանագրել է Մարդու իրավունքների </w:t>
      </w:r>
      <w:proofErr w:type="spellStart"/>
      <w:r w:rsidRPr="00DE6CFA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Pr="00DE6CFA">
        <w:rPr>
          <w:rFonts w:ascii="GHEA Grapalat" w:hAnsi="GHEA Grapalat"/>
          <w:sz w:val="24"/>
          <w:szCs w:val="24"/>
          <w:lang w:val="hy-AM"/>
        </w:rPr>
        <w:t xml:space="preserve"> կոնվենցիային (այսուհետ՝ Կոնվենցիա) կից թիվ 1 արձանագրության 1-ին հոդվածի խախտում: </w:t>
      </w:r>
    </w:p>
    <w:p w:rsidR="00D74BBA" w:rsidRPr="00DE6CFA" w:rsidRDefault="00D74BBA" w:rsidP="00D74BBA">
      <w:pPr>
        <w:spacing w:before="240" w:line="36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DE6CFA">
        <w:rPr>
          <w:rFonts w:ascii="GHEA Grapalat" w:hAnsi="GHEA Grapalat"/>
          <w:b/>
          <w:sz w:val="24"/>
          <w:szCs w:val="24"/>
          <w:lang w:val="hy-AM"/>
        </w:rPr>
        <w:t>Գործ</w:t>
      </w:r>
      <w:r w:rsidR="00AB222F" w:rsidRPr="00DE6CFA">
        <w:rPr>
          <w:rFonts w:ascii="GHEA Grapalat" w:hAnsi="GHEA Grapalat"/>
          <w:b/>
          <w:sz w:val="24"/>
          <w:szCs w:val="24"/>
          <w:lang w:val="hy-AM"/>
        </w:rPr>
        <w:t>եր</w:t>
      </w:r>
      <w:r w:rsidRPr="00DE6CFA">
        <w:rPr>
          <w:rFonts w:ascii="GHEA Grapalat" w:hAnsi="GHEA Grapalat"/>
          <w:b/>
          <w:sz w:val="24"/>
          <w:szCs w:val="24"/>
          <w:lang w:val="hy-AM"/>
        </w:rPr>
        <w:t>ի փաստական հանգամանքները</w:t>
      </w:r>
    </w:p>
    <w:p w:rsidR="0012790E" w:rsidRPr="00DE6CFA" w:rsidRDefault="00AB5FD6" w:rsidP="0012790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DE6CFA">
        <w:rPr>
          <w:rFonts w:ascii="GHEA Grapalat" w:hAnsi="GHEA Grapalat"/>
          <w:sz w:val="24"/>
          <w:szCs w:val="24"/>
          <w:lang w:val="hy-AM"/>
        </w:rPr>
        <w:t>Դիմումատուներ</w:t>
      </w:r>
      <w:r w:rsidR="0077588F" w:rsidRPr="00DE6CFA">
        <w:rPr>
          <w:rFonts w:ascii="GHEA Grapalat" w:hAnsi="GHEA Grapalat"/>
          <w:sz w:val="24"/>
          <w:szCs w:val="24"/>
          <w:lang w:val="hy-AM"/>
        </w:rPr>
        <w:t>ին</w:t>
      </w:r>
      <w:proofErr w:type="spellEnd"/>
      <w:r w:rsidR="0077588F" w:rsidRPr="00DE6C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E6CFA">
        <w:rPr>
          <w:rFonts w:ascii="GHEA Grapalat" w:hAnsi="GHEA Grapalat"/>
          <w:sz w:val="24"/>
          <w:szCs w:val="24"/>
          <w:lang w:val="hy-AM"/>
        </w:rPr>
        <w:t xml:space="preserve">համատեղ սեփականության իրավունքով պատկանել է </w:t>
      </w:r>
      <w:proofErr w:type="spellStart"/>
      <w:r w:rsidRPr="00DE6CFA">
        <w:rPr>
          <w:rFonts w:ascii="GHEA Grapalat" w:hAnsi="GHEA Grapalat"/>
          <w:sz w:val="24"/>
          <w:szCs w:val="24"/>
          <w:lang w:val="hy-AM"/>
        </w:rPr>
        <w:t>Եր</w:t>
      </w:r>
      <w:r w:rsidR="0077588F" w:rsidRPr="00DE6CFA">
        <w:rPr>
          <w:rFonts w:ascii="GHEA Grapalat" w:hAnsi="GHEA Grapalat"/>
          <w:sz w:val="24"/>
          <w:szCs w:val="24"/>
          <w:lang w:val="hy-AM"/>
        </w:rPr>
        <w:t>և</w:t>
      </w:r>
      <w:r w:rsidRPr="00DE6CFA">
        <w:rPr>
          <w:rFonts w:ascii="GHEA Grapalat" w:hAnsi="GHEA Grapalat"/>
          <w:sz w:val="24"/>
          <w:szCs w:val="24"/>
          <w:lang w:val="hy-AM"/>
        </w:rPr>
        <w:t>ան</w:t>
      </w:r>
      <w:proofErr w:type="spellEnd"/>
      <w:r w:rsidRPr="00DE6CFA">
        <w:rPr>
          <w:rFonts w:ascii="GHEA Grapalat" w:hAnsi="GHEA Grapalat"/>
          <w:sz w:val="24"/>
          <w:szCs w:val="24"/>
          <w:lang w:val="hy-AM"/>
        </w:rPr>
        <w:t xml:space="preserve"> քաղաքի կենտրոնում գտնվող 222 քմ մակերեսով հողամաս </w:t>
      </w:r>
      <w:r w:rsidR="0077588F" w:rsidRPr="00DE6CFA">
        <w:rPr>
          <w:rFonts w:ascii="GHEA Grapalat" w:hAnsi="GHEA Grapalat"/>
          <w:sz w:val="24"/>
          <w:szCs w:val="24"/>
          <w:lang w:val="hy-AM"/>
        </w:rPr>
        <w:t>և</w:t>
      </w:r>
      <w:r w:rsidRPr="00DE6CFA">
        <w:rPr>
          <w:rFonts w:ascii="GHEA Grapalat" w:hAnsi="GHEA Grapalat"/>
          <w:sz w:val="24"/>
          <w:szCs w:val="24"/>
          <w:lang w:val="hy-AM"/>
        </w:rPr>
        <w:t xml:space="preserve"> 124,52 քմ մակերեսով տուն</w:t>
      </w:r>
      <w:r w:rsidR="0077588F" w:rsidRPr="00DE6CFA">
        <w:rPr>
          <w:rFonts w:ascii="GHEA Grapalat" w:hAnsi="GHEA Grapalat"/>
          <w:sz w:val="24"/>
          <w:szCs w:val="24"/>
          <w:lang w:val="hy-AM"/>
        </w:rPr>
        <w:t xml:space="preserve">, որը նրանք </w:t>
      </w:r>
      <w:r w:rsidRPr="00DE6CFA">
        <w:rPr>
          <w:rFonts w:ascii="GHEA Grapalat" w:hAnsi="GHEA Grapalat"/>
          <w:sz w:val="24"/>
          <w:szCs w:val="24"/>
          <w:lang w:val="hy-AM"/>
        </w:rPr>
        <w:t>գնել են 2001 թվականի հոկտեմբերի 23-ին՝ 84 466 500 ՀՀ դրամով:</w:t>
      </w:r>
    </w:p>
    <w:p w:rsidR="0012790E" w:rsidRPr="00DE6CFA" w:rsidRDefault="0066178F" w:rsidP="0012790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E6CFA">
        <w:rPr>
          <w:rFonts w:ascii="GHEA Grapalat" w:hAnsi="GHEA Grapalat"/>
          <w:sz w:val="24"/>
          <w:szCs w:val="24"/>
          <w:lang w:val="hy-AM"/>
        </w:rPr>
        <w:t xml:space="preserve">Այդ </w:t>
      </w:r>
      <w:r w:rsidR="0012790E" w:rsidRPr="00DE6CFA">
        <w:rPr>
          <w:rFonts w:ascii="GHEA Grapalat" w:hAnsi="GHEA Grapalat"/>
          <w:sz w:val="24"/>
          <w:szCs w:val="24"/>
          <w:lang w:val="hy-AM"/>
        </w:rPr>
        <w:t>գույքն օտարվել է 2006 թվականին</w:t>
      </w:r>
      <w:r w:rsidRPr="00DE6CFA">
        <w:rPr>
          <w:rFonts w:ascii="GHEA Grapalat" w:hAnsi="GHEA Grapalat"/>
          <w:sz w:val="24"/>
          <w:szCs w:val="24"/>
          <w:lang w:val="hy-AM"/>
        </w:rPr>
        <w:t>՝</w:t>
      </w:r>
      <w:r w:rsidR="0012790E" w:rsidRPr="00DE6CFA">
        <w:rPr>
          <w:rFonts w:ascii="GHEA Grapalat" w:hAnsi="GHEA Grapalat"/>
          <w:sz w:val="24"/>
          <w:szCs w:val="24"/>
          <w:lang w:val="hy-AM"/>
        </w:rPr>
        <w:t xml:space="preserve"> 2000 թվականին սկիզբ առած սեփականության հարկադիր օտարման գործընթացի շրջանակներում</w:t>
      </w:r>
      <w:r w:rsidR="002F0893">
        <w:rPr>
          <w:rFonts w:ascii="GHEA Grapalat" w:hAnsi="GHEA Grapalat"/>
          <w:sz w:val="24"/>
          <w:szCs w:val="24"/>
          <w:lang w:val="hy-AM"/>
        </w:rPr>
        <w:t xml:space="preserve">: </w:t>
      </w:r>
      <w:r w:rsidR="0012790E" w:rsidRPr="00DE6CFA">
        <w:rPr>
          <w:rFonts w:ascii="GHEA Grapalat" w:hAnsi="GHEA Grapalat"/>
          <w:sz w:val="24"/>
          <w:szCs w:val="24"/>
          <w:lang w:val="hy-AM"/>
        </w:rPr>
        <w:t xml:space="preserve">2002 թվականի օգոստոսի 1-ին ՀՀ կառավարությունն ընդունեց թիվ 1151-Ն որոշումը, որով հաստատեց </w:t>
      </w:r>
      <w:proofErr w:type="spellStart"/>
      <w:r w:rsidR="0012790E" w:rsidRPr="00DE6CFA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="0012790E" w:rsidRPr="00DE6CFA">
        <w:rPr>
          <w:rFonts w:ascii="GHEA Grapalat" w:hAnsi="GHEA Grapalat"/>
          <w:sz w:val="24"/>
          <w:szCs w:val="24"/>
          <w:lang w:val="hy-AM"/>
        </w:rPr>
        <w:t xml:space="preserve"> «Կենտրոն» վարչական շրջանի վարչական սահմանում պետության կարիքների համար քաղաքաշինական նպատակներով վերցվող անշարժ գույքի օտարման գոտիները` 345,000 քառակուսի մետր ընդհանուր մակերեսով:  </w:t>
      </w:r>
    </w:p>
    <w:p w:rsidR="0012790E" w:rsidRPr="00DE6CFA" w:rsidRDefault="0012790E" w:rsidP="0012790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DE6CFA">
        <w:rPr>
          <w:rFonts w:ascii="GHEA Grapalat" w:hAnsi="GHEA Grapalat"/>
          <w:sz w:val="24"/>
          <w:szCs w:val="24"/>
          <w:lang w:val="hy-AM"/>
        </w:rPr>
        <w:lastRenderedPageBreak/>
        <w:t>Դիմումատուները</w:t>
      </w:r>
      <w:proofErr w:type="spellEnd"/>
      <w:r w:rsidRPr="00DE6CFA">
        <w:rPr>
          <w:rFonts w:ascii="GHEA Grapalat" w:hAnsi="GHEA Grapalat"/>
          <w:sz w:val="24"/>
          <w:szCs w:val="24"/>
          <w:lang w:val="hy-AM"/>
        </w:rPr>
        <w:t xml:space="preserve">, դիմելով </w:t>
      </w:r>
      <w:proofErr w:type="spellStart"/>
      <w:r w:rsidR="0066178F" w:rsidRPr="00DE6CFA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Pr="00DE6CFA">
        <w:rPr>
          <w:rFonts w:ascii="GHEA Grapalat" w:hAnsi="GHEA Grapalat"/>
          <w:sz w:val="24"/>
          <w:szCs w:val="24"/>
          <w:lang w:val="hy-AM"/>
        </w:rPr>
        <w:t xml:space="preserve"> դատարան, մասնավորապես պնդել են, որ իրենք անօրինական կերպով զրկվել</w:t>
      </w:r>
      <w:r w:rsidRPr="00DE6CFA">
        <w:rPr>
          <w:rFonts w:ascii="Courier New" w:hAnsi="Courier New" w:cs="Courier New"/>
          <w:sz w:val="24"/>
          <w:szCs w:val="24"/>
          <w:lang w:val="hy-AM"/>
        </w:rPr>
        <w:t> </w:t>
      </w:r>
      <w:r w:rsidRPr="00DE6CFA">
        <w:rPr>
          <w:rFonts w:ascii="GHEA Grapalat" w:hAnsi="GHEA Grapalat"/>
          <w:sz w:val="24"/>
          <w:szCs w:val="24"/>
          <w:lang w:val="hy-AM"/>
        </w:rPr>
        <w:t xml:space="preserve">են իրենց գույքից, </w:t>
      </w:r>
      <w:r w:rsidR="0066178F" w:rsidRPr="00DE6CFA">
        <w:rPr>
          <w:rFonts w:ascii="GHEA Grapalat" w:hAnsi="GHEA Grapalat" w:cs="Sylfaen"/>
          <w:sz w:val="24"/>
          <w:szCs w:val="24"/>
          <w:lang w:val="hy-AM"/>
        </w:rPr>
        <w:t>և</w:t>
      </w:r>
      <w:r w:rsidRPr="00DE6CFA">
        <w:rPr>
          <w:rFonts w:ascii="GHEA Grapalat" w:hAnsi="GHEA Grapalat"/>
          <w:sz w:val="24"/>
          <w:szCs w:val="24"/>
          <w:lang w:val="hy-AM"/>
        </w:rPr>
        <w:t xml:space="preserve"> դա </w:t>
      </w:r>
      <w:proofErr w:type="spellStart"/>
      <w:r w:rsidRPr="00DE6CFA">
        <w:rPr>
          <w:rFonts w:ascii="GHEA Grapalat" w:hAnsi="GHEA Grapalat"/>
          <w:sz w:val="24"/>
          <w:szCs w:val="24"/>
          <w:lang w:val="hy-AM"/>
        </w:rPr>
        <w:t>որ</w:t>
      </w:r>
      <w:r w:rsidR="0066178F" w:rsidRPr="00DE6CFA">
        <w:rPr>
          <w:rFonts w:ascii="GHEA Grapalat" w:hAnsi="GHEA Grapalat" w:cs="Sylfaen"/>
          <w:sz w:val="24"/>
          <w:szCs w:val="24"/>
          <w:lang w:val="hy-AM"/>
        </w:rPr>
        <w:t>և</w:t>
      </w:r>
      <w:r w:rsidRPr="00DE6CFA">
        <w:rPr>
          <w:rFonts w:ascii="GHEA Grapalat" w:hAnsi="GHEA Grapalat"/>
          <w:sz w:val="24"/>
          <w:szCs w:val="24"/>
          <w:lang w:val="hy-AM"/>
        </w:rPr>
        <w:t>է</w:t>
      </w:r>
      <w:proofErr w:type="spellEnd"/>
      <w:r w:rsidRPr="00DE6CFA">
        <w:rPr>
          <w:rFonts w:ascii="GHEA Grapalat" w:hAnsi="GHEA Grapalat"/>
          <w:sz w:val="24"/>
          <w:szCs w:val="24"/>
          <w:lang w:val="hy-AM"/>
        </w:rPr>
        <w:t xml:space="preserve"> հանրային շահ չի հետապնդել, իսկ</w:t>
      </w:r>
      <w:r w:rsidRPr="00DE6CFA">
        <w:rPr>
          <w:rFonts w:ascii="Courier New" w:hAnsi="Courier New" w:cs="Courier New"/>
          <w:sz w:val="24"/>
          <w:szCs w:val="24"/>
          <w:lang w:val="hy-AM"/>
        </w:rPr>
        <w:t> </w:t>
      </w:r>
      <w:r w:rsidRPr="00DE6CFA">
        <w:rPr>
          <w:rFonts w:ascii="GHEA Grapalat" w:hAnsi="GHEA Grapalat"/>
          <w:sz w:val="24"/>
          <w:szCs w:val="24"/>
          <w:lang w:val="hy-AM"/>
        </w:rPr>
        <w:t xml:space="preserve">շնորհված փոխհատուցումը եղել է անհամաչափ: </w:t>
      </w:r>
    </w:p>
    <w:p w:rsidR="00791003" w:rsidRPr="00DE6CFA" w:rsidRDefault="00791003" w:rsidP="00DE6CFA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p w:rsidR="00D74BBA" w:rsidRPr="00DE6CFA" w:rsidRDefault="00D74BBA" w:rsidP="00D74BBA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E6CFA">
        <w:rPr>
          <w:rFonts w:ascii="GHEA Grapalat" w:hAnsi="GHEA Grapalat"/>
          <w:b/>
          <w:sz w:val="24"/>
          <w:szCs w:val="24"/>
          <w:lang w:val="hy-AM"/>
        </w:rPr>
        <w:t xml:space="preserve">Սույն գործով </w:t>
      </w:r>
      <w:proofErr w:type="spellStart"/>
      <w:r w:rsidRPr="00DE6CFA">
        <w:rPr>
          <w:rFonts w:ascii="GHEA Grapalat" w:hAnsi="GHEA Grapalat"/>
          <w:b/>
          <w:sz w:val="24"/>
          <w:szCs w:val="24"/>
          <w:lang w:val="hy-AM"/>
        </w:rPr>
        <w:t>Եվրոպական</w:t>
      </w:r>
      <w:proofErr w:type="spellEnd"/>
      <w:r w:rsidRPr="00DE6CFA">
        <w:rPr>
          <w:rFonts w:ascii="GHEA Grapalat" w:hAnsi="GHEA Grapalat"/>
          <w:b/>
          <w:sz w:val="24"/>
          <w:szCs w:val="24"/>
          <w:lang w:val="hy-AM"/>
        </w:rPr>
        <w:t xml:space="preserve"> դատարանն արձանագրել է</w:t>
      </w:r>
      <w:r w:rsidRPr="00DE6CF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E6CFA">
        <w:rPr>
          <w:rFonts w:ascii="GHEA Grapalat" w:hAnsi="GHEA Grapalat"/>
          <w:b/>
          <w:sz w:val="24"/>
          <w:szCs w:val="24"/>
          <w:lang w:val="hy-AM"/>
        </w:rPr>
        <w:t>Կոնվենցիային կից թիվ 1 արձանագրության 1-ին հոդվածի խախտում</w:t>
      </w:r>
      <w:r w:rsidRPr="00DE6CFA">
        <w:rPr>
          <w:rFonts w:ascii="GHEA Grapalat" w:hAnsi="GHEA Grapalat"/>
          <w:sz w:val="24"/>
          <w:szCs w:val="24"/>
          <w:lang w:val="hy-AM"/>
        </w:rPr>
        <w:t>:</w:t>
      </w:r>
    </w:p>
    <w:p w:rsidR="00DF618A" w:rsidRPr="00DE6CFA" w:rsidRDefault="00DF618A" w:rsidP="00DF618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DE6CFA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Pr="00DE6CFA">
        <w:rPr>
          <w:rFonts w:ascii="GHEA Grapalat" w:hAnsi="GHEA Grapalat"/>
          <w:sz w:val="24"/>
          <w:szCs w:val="24"/>
          <w:lang w:val="hy-AM"/>
        </w:rPr>
        <w:t xml:space="preserve"> դատարանը նշել է, որ նախկինում քննել է ներպետական օրենսդրության նույն դրույթների </w:t>
      </w:r>
      <w:proofErr w:type="spellStart"/>
      <w:r w:rsidRPr="00DE6CFA">
        <w:rPr>
          <w:rFonts w:ascii="GHEA Grapalat" w:hAnsi="GHEA Grapalat"/>
          <w:sz w:val="24"/>
          <w:szCs w:val="24"/>
          <w:lang w:val="hy-AM"/>
        </w:rPr>
        <w:t>կիրառմանն</w:t>
      </w:r>
      <w:proofErr w:type="spellEnd"/>
      <w:r w:rsidRPr="00DE6CFA">
        <w:rPr>
          <w:rFonts w:ascii="GHEA Grapalat" w:hAnsi="GHEA Grapalat"/>
          <w:sz w:val="24"/>
          <w:szCs w:val="24"/>
          <w:lang w:val="hy-AM"/>
        </w:rPr>
        <w:t xml:space="preserve"> առնչվող բողոքներ Հայաստանի դեմ բերված բազմաթիվ գործերում և եկել է այն եզրահանգման, որ գույքից զրկելը չի կատարվել տվյալ ժամանակահատվածում գործող «օրենքով նախատեսված պայմանների» համաձայն։ </w:t>
      </w:r>
      <w:proofErr w:type="spellStart"/>
      <w:r w:rsidRPr="00DE6CFA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Pr="00DE6CFA">
        <w:rPr>
          <w:rFonts w:ascii="GHEA Grapalat" w:hAnsi="GHEA Grapalat"/>
          <w:sz w:val="24"/>
          <w:szCs w:val="24"/>
          <w:lang w:val="hy-AM"/>
        </w:rPr>
        <w:t xml:space="preserve"> դատարանը սույն գործ</w:t>
      </w:r>
      <w:r w:rsidR="002F0893">
        <w:rPr>
          <w:rFonts w:ascii="GHEA Grapalat" w:hAnsi="GHEA Grapalat"/>
          <w:sz w:val="24"/>
          <w:szCs w:val="24"/>
          <w:lang w:val="hy-AM"/>
        </w:rPr>
        <w:t>ում</w:t>
      </w:r>
      <w:r w:rsidRPr="00DE6CFA">
        <w:rPr>
          <w:rFonts w:ascii="GHEA Grapalat" w:hAnsi="GHEA Grapalat"/>
          <w:sz w:val="24"/>
          <w:szCs w:val="24"/>
          <w:lang w:val="hy-AM"/>
        </w:rPr>
        <w:t xml:space="preserve"> այդ </w:t>
      </w:r>
      <w:proofErr w:type="spellStart"/>
      <w:r w:rsidRPr="00DE6CFA">
        <w:rPr>
          <w:rFonts w:ascii="GHEA Grapalat" w:hAnsi="GHEA Grapalat"/>
          <w:sz w:val="24"/>
          <w:szCs w:val="24"/>
          <w:lang w:val="hy-AM"/>
        </w:rPr>
        <w:t>եզրահանգումից</w:t>
      </w:r>
      <w:proofErr w:type="spellEnd"/>
      <w:r w:rsidRPr="00DE6CFA">
        <w:rPr>
          <w:rFonts w:ascii="GHEA Grapalat" w:hAnsi="GHEA Grapalat"/>
          <w:sz w:val="24"/>
          <w:szCs w:val="24"/>
          <w:lang w:val="hy-AM"/>
        </w:rPr>
        <w:t xml:space="preserve"> </w:t>
      </w:r>
      <w:r w:rsidR="002F0893">
        <w:rPr>
          <w:rFonts w:ascii="GHEA Grapalat" w:hAnsi="GHEA Grapalat"/>
          <w:sz w:val="24"/>
          <w:szCs w:val="24"/>
          <w:lang w:val="hy-AM"/>
        </w:rPr>
        <w:t xml:space="preserve">շեղվելու </w:t>
      </w:r>
      <w:proofErr w:type="spellStart"/>
      <w:r w:rsidRPr="00DE6CFA">
        <w:rPr>
          <w:rFonts w:ascii="GHEA Grapalat" w:hAnsi="GHEA Grapalat"/>
          <w:sz w:val="24"/>
          <w:szCs w:val="24"/>
          <w:lang w:val="hy-AM"/>
        </w:rPr>
        <w:t>որևէ</w:t>
      </w:r>
      <w:proofErr w:type="spellEnd"/>
      <w:r w:rsidRPr="00DE6CFA">
        <w:rPr>
          <w:rFonts w:ascii="GHEA Grapalat" w:hAnsi="GHEA Grapalat"/>
          <w:sz w:val="24"/>
          <w:szCs w:val="24"/>
          <w:lang w:val="hy-AM"/>
        </w:rPr>
        <w:t xml:space="preserve"> պատճառ չի տեսել:</w:t>
      </w:r>
    </w:p>
    <w:p w:rsidR="00D74BBA" w:rsidRPr="00DE6CFA" w:rsidRDefault="00DF618A" w:rsidP="00DF618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DE6CFA">
        <w:rPr>
          <w:rFonts w:ascii="GHEA Grapalat" w:hAnsi="GHEA Grapalat"/>
          <w:sz w:val="24"/>
          <w:szCs w:val="24"/>
          <w:lang w:val="hy-AM"/>
        </w:rPr>
        <w:t>Հետևաբար</w:t>
      </w:r>
      <w:proofErr w:type="spellEnd"/>
      <w:r w:rsidRPr="00DE6CFA">
        <w:rPr>
          <w:rFonts w:ascii="GHEA Grapalat" w:hAnsi="GHEA Grapalat"/>
          <w:sz w:val="24"/>
          <w:szCs w:val="24"/>
          <w:lang w:val="hy-AM"/>
        </w:rPr>
        <w:t xml:space="preserve"> տեղի է ունեցել Կոնվենցիայի</w:t>
      </w:r>
      <w:r w:rsidR="0066178F" w:rsidRPr="002F0893">
        <w:rPr>
          <w:rFonts w:ascii="GHEA Grapalat" w:hAnsi="GHEA Grapalat"/>
          <w:sz w:val="24"/>
          <w:szCs w:val="24"/>
          <w:lang w:val="hy-AM"/>
        </w:rPr>
        <w:t>ն կից</w:t>
      </w:r>
      <w:r w:rsidRPr="00DE6CFA">
        <w:rPr>
          <w:rFonts w:ascii="GHEA Grapalat" w:hAnsi="GHEA Grapalat"/>
          <w:sz w:val="24"/>
          <w:szCs w:val="24"/>
          <w:lang w:val="hy-AM"/>
        </w:rPr>
        <w:t xml:space="preserve"> թիվ 1 արձանագրության 1-ին հոդվածի խախտում։</w:t>
      </w:r>
    </w:p>
    <w:p w:rsidR="00791003" w:rsidRPr="00DE6CFA" w:rsidRDefault="00791003" w:rsidP="00D74BBA">
      <w:pPr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D74BBA" w:rsidRPr="00DE6CFA" w:rsidRDefault="00D74BBA" w:rsidP="00D74BBA">
      <w:pPr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E6CFA">
        <w:rPr>
          <w:rFonts w:ascii="GHEA Grapalat" w:hAnsi="GHEA Grapalat"/>
          <w:b/>
          <w:sz w:val="24"/>
          <w:szCs w:val="24"/>
          <w:lang w:val="hy-AM"/>
        </w:rPr>
        <w:t>Արդարացի փոխհատուցում</w:t>
      </w:r>
    </w:p>
    <w:p w:rsidR="0066178F" w:rsidRPr="00DE6CFA" w:rsidRDefault="00D74BBA" w:rsidP="00DE6CFA">
      <w:pPr>
        <w:pStyle w:val="ECHRPara"/>
        <w:tabs>
          <w:tab w:val="left" w:pos="1134"/>
        </w:tabs>
        <w:spacing w:after="160" w:line="360" w:lineRule="auto"/>
        <w:ind w:firstLine="567"/>
        <w:rPr>
          <w:rFonts w:ascii="GHEA Grapalat" w:hAnsi="GHEA Grapalat"/>
          <w:b/>
          <w:szCs w:val="24"/>
        </w:rPr>
      </w:pPr>
      <w:r w:rsidRPr="00DE6CFA">
        <w:rPr>
          <w:rFonts w:ascii="GHEA Grapalat" w:hAnsi="GHEA Grapalat"/>
          <w:b/>
          <w:szCs w:val="24"/>
        </w:rPr>
        <w:t xml:space="preserve">Գործի քննության արդյունքում </w:t>
      </w:r>
      <w:proofErr w:type="spellStart"/>
      <w:r w:rsidRPr="00DE6CFA">
        <w:rPr>
          <w:rFonts w:ascii="GHEA Grapalat" w:hAnsi="GHEA Grapalat"/>
          <w:b/>
          <w:szCs w:val="24"/>
        </w:rPr>
        <w:t>Եվրոպական</w:t>
      </w:r>
      <w:proofErr w:type="spellEnd"/>
      <w:r w:rsidRPr="00DE6CFA">
        <w:rPr>
          <w:rFonts w:ascii="GHEA Grapalat" w:hAnsi="GHEA Grapalat"/>
          <w:b/>
          <w:szCs w:val="24"/>
        </w:rPr>
        <w:t xml:space="preserve"> դատարանը </w:t>
      </w:r>
      <w:r w:rsidR="003D6A6A" w:rsidRPr="00DE6CFA">
        <w:rPr>
          <w:rFonts w:ascii="GHEA Grapalat" w:hAnsi="GHEA Grapalat"/>
          <w:b/>
          <w:szCs w:val="24"/>
        </w:rPr>
        <w:t xml:space="preserve">Հայաստանի Հանրապետությանը </w:t>
      </w:r>
      <w:proofErr w:type="spellStart"/>
      <w:r w:rsidR="003D6A6A" w:rsidRPr="00DE6CFA">
        <w:rPr>
          <w:rFonts w:ascii="GHEA Grapalat" w:hAnsi="GHEA Grapalat"/>
          <w:b/>
          <w:szCs w:val="24"/>
        </w:rPr>
        <w:t>պարտավորեցրել</w:t>
      </w:r>
      <w:proofErr w:type="spellEnd"/>
      <w:r w:rsidR="003D6A6A" w:rsidRPr="00DE6CFA">
        <w:rPr>
          <w:rFonts w:ascii="GHEA Grapalat" w:hAnsi="GHEA Grapalat"/>
          <w:b/>
          <w:szCs w:val="24"/>
        </w:rPr>
        <w:t xml:space="preserve"> է </w:t>
      </w:r>
      <w:proofErr w:type="spellStart"/>
      <w:r w:rsidR="003D6A6A" w:rsidRPr="00DE6CFA">
        <w:rPr>
          <w:rFonts w:ascii="GHEA Grapalat" w:hAnsi="GHEA Grapalat"/>
          <w:b/>
          <w:szCs w:val="24"/>
        </w:rPr>
        <w:t>դիմումատու</w:t>
      </w:r>
      <w:r w:rsidR="00DF618A" w:rsidRPr="00DE6CFA">
        <w:rPr>
          <w:rFonts w:ascii="GHEA Grapalat" w:hAnsi="GHEA Grapalat"/>
          <w:b/>
          <w:szCs w:val="24"/>
        </w:rPr>
        <w:t>ներին</w:t>
      </w:r>
      <w:proofErr w:type="spellEnd"/>
      <w:r w:rsidR="00DF618A" w:rsidRPr="00DE6CFA">
        <w:rPr>
          <w:rFonts w:ascii="GHEA Grapalat" w:hAnsi="GHEA Grapalat"/>
          <w:b/>
          <w:szCs w:val="24"/>
        </w:rPr>
        <w:t xml:space="preserve"> վճարել 259 0</w:t>
      </w:r>
      <w:r w:rsidR="003D6A6A" w:rsidRPr="00DE6CFA">
        <w:rPr>
          <w:rFonts w:ascii="GHEA Grapalat" w:hAnsi="GHEA Grapalat"/>
          <w:b/>
          <w:szCs w:val="24"/>
        </w:rPr>
        <w:t xml:space="preserve">00 </w:t>
      </w:r>
      <w:proofErr w:type="spellStart"/>
      <w:r w:rsidR="003D6A6A" w:rsidRPr="00DE6CFA">
        <w:rPr>
          <w:rFonts w:ascii="GHEA Grapalat" w:hAnsi="GHEA Grapalat"/>
          <w:b/>
          <w:szCs w:val="24"/>
        </w:rPr>
        <w:t>եվրո</w:t>
      </w:r>
      <w:proofErr w:type="spellEnd"/>
      <w:r w:rsidR="003D6A6A" w:rsidRPr="00DE6CFA">
        <w:rPr>
          <w:rFonts w:ascii="GHEA Grapalat" w:hAnsi="GHEA Grapalat"/>
          <w:b/>
          <w:szCs w:val="24"/>
        </w:rPr>
        <w:t>՝ որպես նյութական և ոչ նյութական վնասի</w:t>
      </w:r>
      <w:r w:rsidR="00791003" w:rsidRPr="00DE6CFA">
        <w:rPr>
          <w:rFonts w:ascii="GHEA Grapalat" w:hAnsi="GHEA Grapalat"/>
          <w:b/>
          <w:szCs w:val="24"/>
        </w:rPr>
        <w:t>, ինչպես նաև ծախսերի և ծախքերի</w:t>
      </w:r>
      <w:r w:rsidR="003D6A6A" w:rsidRPr="00DE6CFA">
        <w:rPr>
          <w:rFonts w:ascii="GHEA Grapalat" w:hAnsi="GHEA Grapalat"/>
          <w:b/>
          <w:szCs w:val="24"/>
        </w:rPr>
        <w:t xml:space="preserve"> հատուցում:</w:t>
      </w:r>
    </w:p>
    <w:p w:rsidR="0066178F" w:rsidRPr="00DE6CFA" w:rsidRDefault="0066178F" w:rsidP="00DE6CFA">
      <w:pPr>
        <w:pStyle w:val="ECHRPara"/>
        <w:tabs>
          <w:tab w:val="left" w:pos="1134"/>
        </w:tabs>
        <w:spacing w:after="160" w:line="360" w:lineRule="auto"/>
        <w:ind w:firstLine="567"/>
        <w:rPr>
          <w:rFonts w:ascii="GHEA Grapalat" w:hAnsi="GHEA Grapalat"/>
          <w:b/>
          <w:szCs w:val="24"/>
        </w:rPr>
      </w:pPr>
    </w:p>
    <w:p w:rsidR="0066178F" w:rsidRPr="00DE6CFA" w:rsidRDefault="0066178F" w:rsidP="00DE6CFA">
      <w:pPr>
        <w:pStyle w:val="ECHRPara"/>
        <w:tabs>
          <w:tab w:val="left" w:pos="1134"/>
        </w:tabs>
        <w:spacing w:after="160" w:line="360" w:lineRule="auto"/>
        <w:ind w:firstLine="567"/>
        <w:rPr>
          <w:rFonts w:ascii="GHEA Grapalat" w:hAnsi="GHEA Grapalat"/>
          <w:b/>
          <w:szCs w:val="24"/>
        </w:rPr>
      </w:pPr>
    </w:p>
    <w:p w:rsidR="0066178F" w:rsidRDefault="0066178F" w:rsidP="00D74BBA">
      <w:pPr>
        <w:pStyle w:val="ECHRPara"/>
        <w:tabs>
          <w:tab w:val="left" w:pos="1134"/>
        </w:tabs>
        <w:spacing w:after="160" w:line="360" w:lineRule="auto"/>
        <w:ind w:firstLine="567"/>
        <w:rPr>
          <w:rFonts w:ascii="GHEA Grapalat" w:hAnsi="GHEA Grapalat"/>
          <w:b/>
          <w:szCs w:val="24"/>
        </w:rPr>
      </w:pPr>
    </w:p>
    <w:p w:rsidR="002F0893" w:rsidRPr="00DE6CFA" w:rsidRDefault="002F0893" w:rsidP="00D74BBA">
      <w:pPr>
        <w:pStyle w:val="ECHRPara"/>
        <w:tabs>
          <w:tab w:val="left" w:pos="1134"/>
        </w:tabs>
        <w:spacing w:after="160" w:line="360" w:lineRule="auto"/>
        <w:ind w:firstLine="567"/>
        <w:rPr>
          <w:rFonts w:ascii="GHEA Grapalat" w:hAnsi="GHEA Grapalat"/>
          <w:b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6178F" w:rsidRPr="002F0893" w:rsidTr="0066178F">
        <w:tc>
          <w:tcPr>
            <w:tcW w:w="9576" w:type="dxa"/>
          </w:tcPr>
          <w:p w:rsidR="0066178F" w:rsidRPr="00DE6CFA" w:rsidRDefault="0066178F" w:rsidP="00DE6CFA">
            <w:pPr>
              <w:ind w:firstLine="567"/>
              <w:jc w:val="both"/>
              <w:rPr>
                <w:rFonts w:ascii="GHEA Grapalat" w:hAnsi="GHEA Grapalat"/>
                <w:b/>
                <w:i/>
                <w:szCs w:val="24"/>
              </w:rPr>
            </w:pPr>
            <w:r w:rsidRPr="00DE6CF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lastRenderedPageBreak/>
              <w:t xml:space="preserve">ԾԱՆՈԹԱԳՐՈՒԹՅՈՒՆ. </w:t>
            </w:r>
          </w:p>
          <w:p w:rsidR="0066178F" w:rsidRPr="00DE6CFA" w:rsidRDefault="0066178F" w:rsidP="00DE6CFA">
            <w:pPr>
              <w:ind w:firstLine="567"/>
              <w:jc w:val="both"/>
              <w:rPr>
                <w:rFonts w:ascii="GHEA Grapalat" w:hAnsi="GHEA Grapalat"/>
                <w:b/>
                <w:i/>
                <w:szCs w:val="24"/>
              </w:rPr>
            </w:pPr>
          </w:p>
          <w:p w:rsidR="0066178F" w:rsidRPr="00DE6CFA" w:rsidRDefault="0066178F" w:rsidP="00DE6CFA">
            <w:pPr>
              <w:spacing w:line="360" w:lineRule="auto"/>
              <w:ind w:firstLine="540"/>
              <w:jc w:val="both"/>
              <w:rPr>
                <w:rFonts w:ascii="GHEA Grapalat" w:eastAsiaTheme="minorEastAsia" w:hAnsi="GHEA Grapalat"/>
                <w:noProof/>
                <w:sz w:val="24"/>
                <w:szCs w:val="24"/>
                <w:lang w:val="hy-AM"/>
              </w:rPr>
            </w:pPr>
            <w:r w:rsidRPr="00DE6CFA">
              <w:rPr>
                <w:rFonts w:ascii="GHEA Grapalat" w:hAnsi="GHEA Grapalat"/>
                <w:b/>
                <w:i/>
                <w:noProof/>
                <w:sz w:val="24"/>
                <w:szCs w:val="24"/>
                <w:lang w:val="hy-AM"/>
              </w:rPr>
              <w:t>«</w:t>
            </w:r>
            <w:r w:rsidRPr="00DE6CF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Հակոբյանը և Ամիրխանյանն ընդդեմ Հայաստանի</w:t>
            </w:r>
            <w:r w:rsidRPr="00DE6CFA">
              <w:rPr>
                <w:rFonts w:ascii="GHEA Grapalat" w:hAnsi="GHEA Grapalat"/>
                <w:b/>
                <w:i/>
                <w:noProof/>
                <w:sz w:val="24"/>
                <w:szCs w:val="24"/>
                <w:lang w:val="hy-AM"/>
              </w:rPr>
              <w:t>»</w:t>
            </w:r>
            <w:r w:rsidRPr="00DE6C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գործով վճռում արձանագրված խախտումն իր բնույթով կրկնվող է:</w:t>
            </w:r>
          </w:p>
          <w:p w:rsidR="0066178F" w:rsidRPr="00DE6CFA" w:rsidRDefault="0066178F" w:rsidP="00DE6CFA">
            <w:pPr>
              <w:spacing w:line="360" w:lineRule="auto"/>
              <w:ind w:firstLine="630"/>
              <w:jc w:val="both"/>
              <w:outlineLvl w:val="0"/>
              <w:rPr>
                <w:rFonts w:ascii="GHEA Grapalat" w:hAnsi="GHEA Grapalat"/>
                <w:noProof/>
                <w:sz w:val="24"/>
                <w:szCs w:val="24"/>
                <w:lang w:val="hy-AM" w:bidi="hy-AM"/>
              </w:rPr>
            </w:pPr>
            <w:r w:rsidRPr="00DE6CFA">
              <w:rPr>
                <w:rFonts w:ascii="GHEA Grapalat" w:hAnsi="GHEA Grapalat"/>
                <w:noProof/>
                <w:sz w:val="24"/>
                <w:szCs w:val="24"/>
                <w:lang w:val="hy-AM" w:bidi="hy-AM"/>
              </w:rPr>
              <w:t xml:space="preserve">Ինչպես արդեն նշվեց, Եվրոպական դատարանն արդեն իսկ հայտնաբերել է </w:t>
            </w:r>
            <w:r w:rsidRPr="00DE6CFA">
              <w:rPr>
                <w:rFonts w:ascii="GHEA Grapalat" w:hAnsi="GHEA Grapalat"/>
                <w:sz w:val="24"/>
                <w:szCs w:val="24"/>
                <w:lang w:val="hy-AM"/>
              </w:rPr>
              <w:t>Կոնվենցիայի</w:t>
            </w:r>
            <w:r w:rsidRPr="002F0893">
              <w:rPr>
                <w:rFonts w:ascii="GHEA Grapalat" w:hAnsi="GHEA Grapalat"/>
                <w:sz w:val="24"/>
                <w:szCs w:val="24"/>
                <w:lang w:val="hy-AM"/>
              </w:rPr>
              <w:t>ն կից</w:t>
            </w:r>
            <w:r w:rsidRPr="00DE6CFA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թիվ 1 արձանագրության 1-ին հոդվածի խախտում</w:t>
            </w:r>
            <w:r w:rsidRPr="00DE6CFA">
              <w:rPr>
                <w:rFonts w:ascii="GHEA Grapalat" w:hAnsi="GHEA Grapalat"/>
                <w:noProof/>
                <w:sz w:val="24"/>
                <w:szCs w:val="24"/>
                <w:lang w:val="hy-AM" w:bidi="hy-AM"/>
              </w:rPr>
              <w:t xml:space="preserve"> </w:t>
            </w:r>
            <w:r w:rsidRPr="00DE6CF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հասարակության և պետության կարիքների համար սեփականության օտարման նշված գործընթացի վերաբերյալ ներկայացված </w:t>
            </w:r>
            <w:r w:rsidRPr="002F0893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 շարք </w:t>
            </w:r>
            <w:r w:rsidRPr="00DE6CFA">
              <w:rPr>
                <w:rFonts w:ascii="GHEA Grapalat" w:hAnsi="GHEA Grapalat"/>
                <w:sz w:val="24"/>
                <w:szCs w:val="24"/>
                <w:lang w:val="hy-AM"/>
              </w:rPr>
              <w:t>գանգատներ</w:t>
            </w:r>
            <w:r w:rsidRPr="002F0893">
              <w:rPr>
                <w:rFonts w:ascii="GHEA Grapalat" w:hAnsi="GHEA Grapalat"/>
                <w:sz w:val="24"/>
                <w:szCs w:val="24"/>
                <w:lang w:val="hy-AM"/>
              </w:rPr>
              <w:t>ի քննության արդյունքում:</w:t>
            </w:r>
          </w:p>
          <w:p w:rsidR="0066178F" w:rsidRPr="00DE6CFA" w:rsidRDefault="0066178F" w:rsidP="00DE6CFA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E6CFA">
              <w:rPr>
                <w:rFonts w:ascii="GHEA Grapalat" w:hAnsi="GHEA Grapalat"/>
                <w:sz w:val="24"/>
                <w:szCs w:val="24"/>
                <w:lang w:val="hy-AM"/>
              </w:rPr>
              <w:t>Մասնավորապես,</w:t>
            </w:r>
            <w:r w:rsidRPr="00DE6CF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«</w:t>
            </w:r>
            <w:proofErr w:type="spellStart"/>
            <w:r w:rsidRPr="00DE6CF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Մինասյանն</w:t>
            </w:r>
            <w:proofErr w:type="spellEnd"/>
            <w:r w:rsidRPr="00DE6CF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ու </w:t>
            </w:r>
            <w:proofErr w:type="spellStart"/>
            <w:r w:rsidRPr="00DE6CF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Սեմերջյանն</w:t>
            </w:r>
            <w:proofErr w:type="spellEnd"/>
            <w:r w:rsidRPr="00DE6CF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ընդդեմ Հայաստանի»</w:t>
            </w:r>
            <w:r w:rsidRPr="00DE6CFA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խումբ գործերով</w:t>
            </w:r>
            <w:r w:rsidRPr="00DE6CFA">
              <w:rPr>
                <w:rStyle w:val="FootnoteReference"/>
                <w:rFonts w:ascii="GHEA Grapalat" w:hAnsi="GHEA Grapalat"/>
                <w:sz w:val="24"/>
                <w:szCs w:val="24"/>
                <w:lang w:val="hy-AM"/>
              </w:rPr>
              <w:footnoteReference w:id="1"/>
            </w:r>
            <w:r w:rsidRPr="00DE6C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E6CFA">
              <w:rPr>
                <w:rStyle w:val="document-link"/>
                <w:rFonts w:ascii="GHEA Grapalat" w:hAnsi="GHEA Grapalat"/>
                <w:sz w:val="24"/>
                <w:szCs w:val="24"/>
                <w:lang w:val="hy-AM"/>
              </w:rPr>
              <w:t>Եվրոպական</w:t>
            </w:r>
            <w:proofErr w:type="spellEnd"/>
            <w:r w:rsidRPr="00DE6CFA">
              <w:rPr>
                <w:rStyle w:val="document-link"/>
                <w:rFonts w:ascii="GHEA Grapalat" w:hAnsi="GHEA Grapalat"/>
                <w:sz w:val="24"/>
                <w:szCs w:val="24"/>
                <w:lang w:val="hy-AM"/>
              </w:rPr>
              <w:t xml:space="preserve"> դատարանն</w:t>
            </w:r>
            <w:r w:rsidRPr="00DE6CFA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արձանագրել է, որ Կոնվենցիային կից թիվ 1 </w:t>
            </w:r>
            <w:r w:rsidR="002F0893" w:rsidRPr="00DE6CFA">
              <w:rPr>
                <w:rFonts w:ascii="GHEA Grapalat" w:hAnsi="GHEA Grapalat" w:cs="Courier New"/>
                <w:sz w:val="24"/>
                <w:szCs w:val="24"/>
                <w:lang w:val="hy-AM"/>
              </w:rPr>
              <w:t>ա</w:t>
            </w:r>
            <w:r w:rsidRPr="00DE6CFA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րձանագրության 1-ին հոդվածին համապատասխան </w:t>
            </w:r>
            <w:proofErr w:type="spellStart"/>
            <w:r w:rsidRPr="00DE6CFA">
              <w:rPr>
                <w:rFonts w:ascii="GHEA Grapalat" w:hAnsi="GHEA Grapalat" w:cs="Courier New"/>
                <w:sz w:val="24"/>
                <w:szCs w:val="24"/>
                <w:lang w:val="hy-AM"/>
              </w:rPr>
              <w:t>դիմումատուներին</w:t>
            </w:r>
            <w:proofErr w:type="spellEnd"/>
            <w:r w:rsidRPr="00DE6CFA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սեփականության և օգտագործման իրավունքներով պատկանող գույքի վերաբերյալ Հայաստանի Հանրապետության Ազգային ժողովի կողմից </w:t>
            </w:r>
            <w:proofErr w:type="spellStart"/>
            <w:r w:rsidRPr="00DE6CFA">
              <w:rPr>
                <w:rFonts w:ascii="GHEA Grapalat" w:hAnsi="GHEA Grapalat" w:cs="Courier New"/>
                <w:sz w:val="24"/>
                <w:szCs w:val="24"/>
                <w:lang w:val="hy-AM"/>
              </w:rPr>
              <w:t>որևէ</w:t>
            </w:r>
            <w:proofErr w:type="spellEnd"/>
            <w:r w:rsidRPr="00DE6CFA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օրենք չէր ընդունվել, ինչպես նախատեսված էր ՀՀ Սահմանադրության 28-րդ հոդվածով, և գույքի օտարման ողջ գործընթացը` ներառյալ փոխհատուցման չափը որոշելու կարգը, կարգավորվել էր ՀՀ կառավարության որոշումներով: Հիմք ընդունելով նշվածը՝ </w:t>
            </w:r>
            <w:proofErr w:type="spellStart"/>
            <w:r w:rsidRPr="00DE6CFA">
              <w:rPr>
                <w:rStyle w:val="document-link"/>
                <w:rFonts w:ascii="GHEA Grapalat" w:hAnsi="GHEA Grapalat"/>
                <w:sz w:val="24"/>
                <w:szCs w:val="24"/>
                <w:lang w:val="hy-AM"/>
              </w:rPr>
              <w:t>Եվրոպական</w:t>
            </w:r>
            <w:proofErr w:type="spellEnd"/>
            <w:r w:rsidRPr="00DE6CFA">
              <w:rPr>
                <w:rStyle w:val="document-link"/>
                <w:rFonts w:ascii="GHEA Grapalat" w:hAnsi="GHEA Grapalat"/>
                <w:sz w:val="24"/>
                <w:szCs w:val="24"/>
                <w:lang w:val="hy-AM"/>
              </w:rPr>
              <w:t xml:space="preserve"> դատարանն</w:t>
            </w:r>
            <w:r w:rsidRPr="00DE6CFA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արձանագրել է Կոնվենցիային կից թիվ 1 Արձանագրության 1-ին հոդվածի </w:t>
            </w:r>
            <w:r w:rsidRPr="00DE6CFA">
              <w:rPr>
                <w:rFonts w:ascii="GHEA Grapalat" w:hAnsi="GHEA Grapalat" w:cstheme="minorHAnsi"/>
                <w:sz w:val="24"/>
                <w:szCs w:val="24"/>
                <w:lang w:val="hy-AM"/>
              </w:rPr>
              <w:t>խախտում:</w:t>
            </w:r>
            <w:r w:rsidRPr="00DE6CFA">
              <w:rPr>
                <w:rStyle w:val="document-link"/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</w:tbl>
    <w:p w:rsidR="0066178F" w:rsidRPr="00DE6CFA" w:rsidRDefault="0066178F" w:rsidP="00D74BBA">
      <w:pPr>
        <w:pStyle w:val="ECHRPara"/>
        <w:tabs>
          <w:tab w:val="left" w:pos="1134"/>
        </w:tabs>
        <w:spacing w:after="160" w:line="360" w:lineRule="auto"/>
        <w:ind w:firstLine="567"/>
        <w:rPr>
          <w:rFonts w:ascii="GHEA Grapalat" w:hAnsi="GHEA Grapalat"/>
          <w:b/>
          <w:szCs w:val="24"/>
        </w:rPr>
      </w:pPr>
    </w:p>
    <w:p w:rsidR="00D74BBA" w:rsidRPr="00DE6CFA" w:rsidRDefault="00D74BBA" w:rsidP="00DE6CFA">
      <w:pPr>
        <w:pStyle w:val="ECHRPara"/>
        <w:tabs>
          <w:tab w:val="left" w:pos="1134"/>
        </w:tabs>
        <w:spacing w:after="160" w:line="360" w:lineRule="auto"/>
        <w:ind w:firstLine="567"/>
        <w:rPr>
          <w:szCs w:val="24"/>
        </w:rPr>
      </w:pPr>
    </w:p>
    <w:p w:rsidR="003C30CF" w:rsidRPr="00DE6CFA" w:rsidRDefault="003C30CF">
      <w:pPr>
        <w:rPr>
          <w:rFonts w:ascii="GHEA Grapalat" w:hAnsi="GHEA Grapalat"/>
          <w:sz w:val="24"/>
          <w:szCs w:val="24"/>
          <w:lang w:val="hy-AM"/>
        </w:rPr>
      </w:pPr>
    </w:p>
    <w:sectPr w:rsidR="003C30CF" w:rsidRPr="00DE6CFA" w:rsidSect="00AA23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2E69" w:rsidRDefault="003B2E69" w:rsidP="0066178F">
      <w:pPr>
        <w:spacing w:after="0" w:line="240" w:lineRule="auto"/>
      </w:pPr>
      <w:r>
        <w:separator/>
      </w:r>
    </w:p>
  </w:endnote>
  <w:endnote w:type="continuationSeparator" w:id="0">
    <w:p w:rsidR="003B2E69" w:rsidRDefault="003B2E69" w:rsidP="00661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2E69" w:rsidRDefault="003B2E69" w:rsidP="0066178F">
      <w:pPr>
        <w:spacing w:after="0" w:line="240" w:lineRule="auto"/>
      </w:pPr>
      <w:r>
        <w:separator/>
      </w:r>
    </w:p>
  </w:footnote>
  <w:footnote w:type="continuationSeparator" w:id="0">
    <w:p w:rsidR="003B2E69" w:rsidRDefault="003B2E69" w:rsidP="0066178F">
      <w:pPr>
        <w:spacing w:after="0" w:line="240" w:lineRule="auto"/>
      </w:pPr>
      <w:r>
        <w:continuationSeparator/>
      </w:r>
    </w:p>
  </w:footnote>
  <w:footnote w:id="1">
    <w:p w:rsidR="0066178F" w:rsidRPr="002F0893" w:rsidRDefault="0066178F" w:rsidP="0066178F">
      <w:pPr>
        <w:pStyle w:val="FootnoteText"/>
        <w:jc w:val="both"/>
        <w:rPr>
          <w:rFonts w:ascii="GHEA Grapalat" w:hAnsi="GHEA Grapalat"/>
          <w:sz w:val="16"/>
          <w:szCs w:val="16"/>
          <w:lang w:val="hy-AM"/>
        </w:rPr>
      </w:pPr>
      <w:r w:rsidRPr="00DE6CFA">
        <w:rPr>
          <w:rStyle w:val="FootnoteReference"/>
          <w:rFonts w:ascii="GHEA Grapalat" w:hAnsi="GHEA Grapalat"/>
          <w:lang w:val="hy-AM"/>
        </w:rPr>
        <w:footnoteRef/>
      </w:r>
      <w:r w:rsidRPr="002F0893">
        <w:rPr>
          <w:rFonts w:ascii="GHEA Grapalat" w:hAnsi="GHEA Grapalat"/>
          <w:lang w:val="hy-AM"/>
        </w:rPr>
        <w:t xml:space="preserve"> «</w:t>
      </w:r>
      <w:proofErr w:type="spellStart"/>
      <w:r w:rsidRPr="00DE6CFA">
        <w:rPr>
          <w:rFonts w:ascii="GHEA Grapalat" w:hAnsi="GHEA Grapalat"/>
          <w:i/>
          <w:lang w:val="hy-AM"/>
        </w:rPr>
        <w:t>Մինասյանն</w:t>
      </w:r>
      <w:proofErr w:type="spellEnd"/>
      <w:r w:rsidRPr="00DE6CFA">
        <w:rPr>
          <w:rFonts w:ascii="GHEA Grapalat" w:hAnsi="GHEA Grapalat"/>
          <w:i/>
          <w:lang w:val="hy-AM"/>
        </w:rPr>
        <w:t xml:space="preserve"> ու </w:t>
      </w:r>
      <w:proofErr w:type="spellStart"/>
      <w:r w:rsidRPr="00DE6CFA">
        <w:rPr>
          <w:rFonts w:ascii="GHEA Grapalat" w:hAnsi="GHEA Grapalat"/>
          <w:i/>
          <w:lang w:val="hy-AM"/>
        </w:rPr>
        <w:t>Սեմերջյանն</w:t>
      </w:r>
      <w:proofErr w:type="spellEnd"/>
      <w:r w:rsidRPr="00DE6CFA">
        <w:rPr>
          <w:rFonts w:ascii="GHEA Grapalat" w:hAnsi="GHEA Grapalat"/>
          <w:i/>
          <w:lang w:val="hy-AM"/>
        </w:rPr>
        <w:t xml:space="preserve"> ընդդեմ Հայաստանի»</w:t>
      </w:r>
      <w:r w:rsidRPr="00DE6CFA">
        <w:rPr>
          <w:rFonts w:ascii="GHEA Grapalat" w:hAnsi="GHEA Grapalat"/>
          <w:lang w:val="hy-AM"/>
        </w:rPr>
        <w:t>, «</w:t>
      </w:r>
      <w:r w:rsidRPr="00DE6CFA">
        <w:rPr>
          <w:rFonts w:ascii="GHEA Grapalat" w:hAnsi="GHEA Grapalat"/>
          <w:i/>
          <w:lang w:val="hy-AM"/>
        </w:rPr>
        <w:t xml:space="preserve">Հովհաննիսյանն ու </w:t>
      </w:r>
      <w:proofErr w:type="spellStart"/>
      <w:r w:rsidRPr="00DE6CFA">
        <w:rPr>
          <w:rFonts w:ascii="GHEA Grapalat" w:hAnsi="GHEA Grapalat"/>
          <w:i/>
          <w:lang w:val="hy-AM"/>
        </w:rPr>
        <w:t>Շիրոյանն</w:t>
      </w:r>
      <w:proofErr w:type="spellEnd"/>
      <w:r w:rsidRPr="00DE6CFA">
        <w:rPr>
          <w:rFonts w:ascii="GHEA Grapalat" w:hAnsi="GHEA Grapalat"/>
          <w:i/>
          <w:lang w:val="hy-AM"/>
        </w:rPr>
        <w:t xml:space="preserve"> ընդդեմ Հայաստանի»</w:t>
      </w:r>
      <w:r w:rsidRPr="00DE6CFA">
        <w:rPr>
          <w:rFonts w:ascii="GHEA Grapalat" w:hAnsi="GHEA Grapalat"/>
          <w:lang w:val="hy-AM"/>
        </w:rPr>
        <w:t>, «</w:t>
      </w:r>
      <w:proofErr w:type="spellStart"/>
      <w:r w:rsidRPr="00DE6CFA">
        <w:rPr>
          <w:rFonts w:ascii="GHEA Grapalat" w:hAnsi="GHEA Grapalat"/>
          <w:i/>
          <w:lang w:val="hy-AM"/>
        </w:rPr>
        <w:t>Երանոսյանը</w:t>
      </w:r>
      <w:proofErr w:type="spellEnd"/>
      <w:r w:rsidRPr="00DE6CFA">
        <w:rPr>
          <w:rFonts w:ascii="GHEA Grapalat" w:hAnsi="GHEA Grapalat"/>
          <w:i/>
          <w:lang w:val="hy-AM"/>
        </w:rPr>
        <w:t xml:space="preserve"> և այլոք ընդդեմ Հայաստանի»</w:t>
      </w:r>
      <w:r w:rsidRPr="00DE6CFA">
        <w:rPr>
          <w:rFonts w:ascii="GHEA Grapalat" w:hAnsi="GHEA Grapalat"/>
          <w:lang w:val="hy-AM"/>
        </w:rPr>
        <w:t>, «</w:t>
      </w:r>
      <w:r w:rsidRPr="00DE6CFA">
        <w:rPr>
          <w:rFonts w:ascii="GHEA Grapalat" w:hAnsi="GHEA Grapalat"/>
          <w:i/>
          <w:lang w:val="hy-AM"/>
        </w:rPr>
        <w:t>Դանիելյանը և այլոք ընդդեմ Հայաստանի»</w:t>
      </w:r>
      <w:r w:rsidRPr="00DE6CFA">
        <w:rPr>
          <w:rFonts w:ascii="GHEA Grapalat" w:hAnsi="GHEA Grapalat"/>
          <w:lang w:val="hy-AM"/>
        </w:rPr>
        <w:t>, «</w:t>
      </w:r>
      <w:proofErr w:type="spellStart"/>
      <w:r w:rsidRPr="00DE6CFA">
        <w:rPr>
          <w:rFonts w:ascii="GHEA Grapalat" w:hAnsi="GHEA Grapalat"/>
          <w:i/>
          <w:lang w:val="hy-AM"/>
        </w:rPr>
        <w:t>Թունյանը</w:t>
      </w:r>
      <w:proofErr w:type="spellEnd"/>
      <w:r w:rsidRPr="00DE6CFA">
        <w:rPr>
          <w:rFonts w:ascii="GHEA Grapalat" w:hAnsi="GHEA Grapalat"/>
          <w:i/>
          <w:lang w:val="hy-AM"/>
        </w:rPr>
        <w:t xml:space="preserve"> և այլոք ընդդեմ Հայաստանի»</w:t>
      </w:r>
      <w:r w:rsidRPr="00DE6CFA">
        <w:rPr>
          <w:rFonts w:ascii="GHEA Grapalat" w:hAnsi="GHEA Grapalat"/>
          <w:lang w:val="hy-AM"/>
        </w:rPr>
        <w:t>, «</w:t>
      </w:r>
      <w:r w:rsidRPr="00DE6CFA">
        <w:rPr>
          <w:rFonts w:ascii="GHEA Grapalat" w:hAnsi="GHEA Grapalat"/>
          <w:i/>
          <w:lang w:val="hy-AM"/>
        </w:rPr>
        <w:t xml:space="preserve">Բաղդասարյանը և </w:t>
      </w:r>
      <w:proofErr w:type="spellStart"/>
      <w:r w:rsidRPr="00DE6CFA">
        <w:rPr>
          <w:rFonts w:ascii="GHEA Grapalat" w:hAnsi="GHEA Grapalat"/>
          <w:i/>
          <w:lang w:val="hy-AM"/>
        </w:rPr>
        <w:t>Զարիկյանցն</w:t>
      </w:r>
      <w:proofErr w:type="spellEnd"/>
      <w:r w:rsidRPr="00DE6CFA">
        <w:rPr>
          <w:rFonts w:ascii="GHEA Grapalat" w:hAnsi="GHEA Grapalat"/>
          <w:i/>
          <w:lang w:val="hy-AM"/>
        </w:rPr>
        <w:t xml:space="preserve"> ընդդեմ Հայաստանի», «Ղարիբյանը և այլք ընդդեմ Հայաստանի», «</w:t>
      </w:r>
      <w:proofErr w:type="spellStart"/>
      <w:r w:rsidRPr="00DE6CFA">
        <w:rPr>
          <w:rFonts w:ascii="GHEA Grapalat" w:eastAsia="Calibri" w:hAnsi="GHEA Grapalat"/>
          <w:i/>
          <w:lang w:val="hy-AM"/>
        </w:rPr>
        <w:t>Ղասաբյանը</w:t>
      </w:r>
      <w:proofErr w:type="spellEnd"/>
      <w:r w:rsidRPr="00DE6CFA">
        <w:rPr>
          <w:rFonts w:ascii="GHEA Grapalat" w:eastAsia="Calibri" w:hAnsi="GHEA Grapalat"/>
          <w:i/>
          <w:lang w:val="hy-AM"/>
        </w:rPr>
        <w:t xml:space="preserve"> և այլք ընդդեմ Հայաստանի»</w:t>
      </w:r>
      <w:r w:rsidRPr="002F0893">
        <w:rPr>
          <w:rFonts w:ascii="GHEA Grapalat" w:hAnsi="GHEA Grapalat"/>
          <w:lang w:val="hy-AM"/>
        </w:rPr>
        <w:t xml:space="preserve"> </w:t>
      </w:r>
      <w:r w:rsidRPr="00DE6CFA">
        <w:rPr>
          <w:rFonts w:ascii="GHEA Grapalat" w:hAnsi="GHEA Grapalat"/>
          <w:lang w:val="hy-AM"/>
        </w:rPr>
        <w:t>(թվով՝ 8 գործ)</w:t>
      </w:r>
      <w:r w:rsidRPr="00DE6CFA">
        <w:rPr>
          <w:rFonts w:ascii="GHEA Grapalat" w:hAnsi="GHEA Grapalat"/>
          <w:sz w:val="16"/>
          <w:szCs w:val="16"/>
          <w:lang w:val="hy-AM"/>
        </w:rP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BBA"/>
    <w:rsid w:val="0012790E"/>
    <w:rsid w:val="001D6C92"/>
    <w:rsid w:val="00220094"/>
    <w:rsid w:val="002E29AD"/>
    <w:rsid w:val="002F0893"/>
    <w:rsid w:val="003B2E69"/>
    <w:rsid w:val="003C30CF"/>
    <w:rsid w:val="003D6A6A"/>
    <w:rsid w:val="0066178F"/>
    <w:rsid w:val="00663FD0"/>
    <w:rsid w:val="0077588F"/>
    <w:rsid w:val="00791003"/>
    <w:rsid w:val="007B59A7"/>
    <w:rsid w:val="0092329C"/>
    <w:rsid w:val="00972FA7"/>
    <w:rsid w:val="00A02701"/>
    <w:rsid w:val="00AB222F"/>
    <w:rsid w:val="00AB5FD6"/>
    <w:rsid w:val="00B735FC"/>
    <w:rsid w:val="00B7487F"/>
    <w:rsid w:val="00BA3EE3"/>
    <w:rsid w:val="00CF092D"/>
    <w:rsid w:val="00D74BBA"/>
    <w:rsid w:val="00DB1A7F"/>
    <w:rsid w:val="00DE6CFA"/>
    <w:rsid w:val="00DF618A"/>
    <w:rsid w:val="00EC4835"/>
    <w:rsid w:val="00ED3740"/>
    <w:rsid w:val="00F54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539205C-7D40-4638-862B-C568D6E56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4BB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JuParaChar">
    <w:name w:val="Ju_Para Char"/>
    <w:basedOn w:val="DefaultParagraphFont"/>
    <w:link w:val="ECHRPara"/>
    <w:locked/>
    <w:rsid w:val="00D74BBA"/>
    <w:rPr>
      <w:rFonts w:ascii="Calibri" w:eastAsia="Times New Roman" w:hAnsi="Calibri" w:cs="Times New Roman"/>
      <w:sz w:val="24"/>
      <w:lang w:val="hy-AM" w:eastAsia="hy-AM" w:bidi="hy-AM"/>
    </w:rPr>
  </w:style>
  <w:style w:type="paragraph" w:customStyle="1" w:styleId="ECHRPara">
    <w:name w:val="ECHR_Para"/>
    <w:aliases w:val="Ju_Para,Left,First line:  0 cm"/>
    <w:basedOn w:val="Normal"/>
    <w:link w:val="JuParaChar"/>
    <w:qFormat/>
    <w:rsid w:val="00D74BBA"/>
    <w:pPr>
      <w:spacing w:after="0" w:line="240" w:lineRule="auto"/>
      <w:ind w:firstLine="284"/>
      <w:jc w:val="both"/>
    </w:pPr>
    <w:rPr>
      <w:rFonts w:eastAsia="Times New Roman"/>
      <w:sz w:val="24"/>
      <w:lang w:val="hy-AM" w:eastAsia="hy-AM" w:bidi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48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487F"/>
    <w:rPr>
      <w:rFonts w:ascii="Segoe UI" w:eastAsia="Calibri" w:hAnsi="Segoe UI" w:cs="Segoe UI"/>
      <w:sz w:val="18"/>
      <w:szCs w:val="18"/>
    </w:rPr>
  </w:style>
  <w:style w:type="character" w:customStyle="1" w:styleId="document-link">
    <w:name w:val="document-link"/>
    <w:rsid w:val="0066178F"/>
    <w:rPr>
      <w:rFonts w:ascii="Times New Roman" w:hAnsi="Times New Roman" w:cs="Times New Roman" w:hint="default"/>
    </w:rPr>
  </w:style>
  <w:style w:type="paragraph" w:styleId="FootnoteText">
    <w:name w:val="footnote text"/>
    <w:basedOn w:val="Normal"/>
    <w:link w:val="FootnoteTextChar"/>
    <w:uiPriority w:val="99"/>
    <w:unhideWhenUsed/>
    <w:rsid w:val="0066178F"/>
    <w:pPr>
      <w:spacing w:after="0"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6178F"/>
    <w:rPr>
      <w:rFonts w:eastAsiaTheme="minorEastAsia"/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66178F"/>
    <w:rPr>
      <w:vertAlign w:val="superscript"/>
    </w:rPr>
  </w:style>
  <w:style w:type="table" w:styleId="TableGrid">
    <w:name w:val="Table Grid"/>
    <w:basedOn w:val="TableNormal"/>
    <w:uiPriority w:val="59"/>
    <w:rsid w:val="00661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09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N-Mkrtchyan</dc:creator>
  <cp:keywords/>
  <dc:description/>
  <cp:lastModifiedBy>Elen Galoyan</cp:lastModifiedBy>
  <cp:revision>3</cp:revision>
  <dcterms:created xsi:type="dcterms:W3CDTF">2020-02-11T12:16:00Z</dcterms:created>
  <dcterms:modified xsi:type="dcterms:W3CDTF">2020-02-11T12:44:00Z</dcterms:modified>
</cp:coreProperties>
</file>