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right"/>
        <w:rPr>
          <w:rFonts w:ascii="GHEA Grapalat" w:hAnsi="GHEA Grapalat"/>
          <w:szCs w:val="22"/>
        </w:rPr>
      </w:pPr>
      <w:r>
        <w:rPr>
          <w:rFonts w:ascii="GHEA Grapalat" w:hAnsi="GHEA Grapalat"/>
          <w:szCs w:val="22"/>
          <w:lang w:val="hy-AM"/>
        </w:rPr>
        <w:t xml:space="preserve"> </w:t>
      </w:r>
      <w:r>
        <w:rPr>
          <w:rFonts w:ascii="GHEA Grapalat" w:hAnsi="GHEA Grapalat"/>
          <w:szCs w:val="22"/>
          <w:lang w:val="hy-AM"/>
        </w:rPr>
        <w:t>02/11.8/54743-2019</w:t>
      </w:r>
    </w:p>
    <w:p>
      <w:pPr>
        <w:pStyle w:val="Normal"/>
        <w:spacing w:lineRule="auto" w:line="276"/>
        <w:jc w:val="center"/>
        <w:rPr>
          <w:rFonts w:ascii="GHEA Grapalat" w:hAnsi="GHEA Grapalat"/>
        </w:rPr>
      </w:pPr>
      <w:r>
        <w:rPr>
          <w:rFonts w:ascii="GHEA Grapalat" w:hAnsi="GHEA Grapalat"/>
          <w:sz w:val="36"/>
          <w:szCs w:val="36"/>
        </w:rPr>
        <w:t xml:space="preserve">ՀԱՐՑ N </w:t>
      </w:r>
    </w:p>
    <w:tbl>
      <w:tblPr>
        <w:tblW w:w="11250" w:type="dxa"/>
        <w:jc w:val="left"/>
        <w:tblInd w:w="-4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198"/>
        <w:gridCol w:w="8051"/>
      </w:tblGrid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ind w:right="81" w:hang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Անվանում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Հայաստանի Հանրապետության կառավարության 2014 թվականի հունվարի 30-ի N 145-Ն որոշման մեջ լրացումներ և փոփոխություններ կատարելու մասին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Ներկայացնող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ՀՀ աշխատանքի և սոցիալական  հարցերի նախարարություն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Զեկուցող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Web"/>
              <w:spacing w:lineRule="auto" w:line="276" w:beforeAutospacing="0" w:before="280" w:afterAutospacing="0" w:after="280"/>
              <w:ind w:right="90" w:hanging="0"/>
              <w:rPr>
                <w:rFonts w:ascii="GHEA Grapalat" w:hAnsi="GHEA Grapalat"/>
              </w:rPr>
            </w:pPr>
            <w:r>
              <w:rPr>
                <w:rFonts w:eastAsia="Calibri" w:ascii="GHEA Grapalat" w:hAnsi="GHEA Grapalat"/>
                <w:shd w:fill="FFFFFF" w:val="clear"/>
                <w:lang w:val="hy-AM" w:eastAsia="en-US"/>
              </w:rPr>
              <w:t>Զարուհի Բաթոյան</w:t>
            </w:r>
          </w:p>
          <w:p>
            <w:pPr>
              <w:pStyle w:val="NormalWeb"/>
              <w:spacing w:lineRule="auto" w:line="276" w:beforeAutospacing="0" w:before="280" w:afterAutospacing="0" w:after="280"/>
              <w:ind w:right="90" w:hanging="0"/>
              <w:rPr>
                <w:rFonts w:ascii="GHEA Grapalat" w:hAnsi="GHEA Grapalat"/>
              </w:rPr>
            </w:pPr>
            <w:r>
              <w:rPr>
                <w:rFonts w:eastAsia="Calibri" w:ascii="GHEA Grapalat" w:hAnsi="GHEA Grapalat"/>
                <w:highlight w:val="white"/>
                <w:shd w:fill="FFFFFF" w:val="clear"/>
                <w:lang w:val="hy-AM" w:eastAsia="en-US"/>
              </w:rPr>
              <w:t>ՀՀ աշխատանքի և սոցիալական հարցերի նախարար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Կարգավորման առարկա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ind w:right="90" w:hang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Նախագծով առաջարկվում է «Պետական նպաստների մասին» ՀՀ օրենքի կիրարկումն ապահովելու մասին» ՀՀ կառավարության որոշման մեջ և որոշմամբ հաստատված հավելվածներում կատարել մի շարք լրացումներ և փոփոխություններ: Մասնավորապես՝</w:t>
              <w:br/>
              <w:t xml:space="preserve">1.	Առաջարկվում է գյուղատնտեսական սեզոնային ժամանակավոր աշխատանք կատարող անձանց վճարվող աշխատանքի վարձատրությանն ուղղված միջոցները ընտանիքի ամբողջական եկամտի հաշվարկի մեջ չներառելու դրույթը տարածել բոլոր սեզոնային ժամանակավոր աշխատանք կատարող անձանց վրա, և տալ հնարավորություն սեզոնային ժամանակավոր աշխատանք կատարող անձանց օգտվելու ընտանիքների անապահովության գնահատման համակարգով տրվող օգնություններից:</w:t>
              <w:br/>
              <w:t xml:space="preserve">2.	Ընտանիքի անապահովության գնահատման ժամանակ օգտագործվող բնութագրիչներում ավելացնել նաև 100 հազար դրամ և ավելի գումարով ամենամսյա վարկեր սպասարկելու վերաբերյալ դրույթ և սահմանել, որ ընտանիքի որևէ չափահաս անդամի` 100 հազար դրամ և ավելի գումարով ամենամսյա վարկեր սպասարկելու հանգամանքն ընտանիքի անապահովության միավորի վրա կարող է ունենալ ազդեցություն և սույն պայմանին բավարարող ընտանիքներում նշված բնութագրիչի գործակիցը կունենա 0-ական արժեք: </w:t>
              <w:br/>
              <w:t xml:space="preserve">3.	Ընտանիքի անդամների սոցիալական խմբի անվանումներում ավելացնել նոր հասկացություն՝ հարմար աշխատանքից հրաժարված անձ՝ համապատասխան ծածկագրով և անապահովության միավորով:</w:t>
              <w:br/>
              <w:t xml:space="preserve">4.	Ավելացնել նոր դրույթ, համաձայն որի ընտանիքի ամբողջական եկամտի հաշվարկի մեջ չեն մտնի ընտանեկան կամ սոցիալական նպաստ ստացող ընտանիքի աշխատանքի անցած անդամներին վճարվող աշխատանքի վարձատրությանն ուղղված միջոցները` գործատուի կողմից տրված տեղեկանքի հիման վրա` աշխատանքի ընդունվելու ամսվան հաջորդող վեց ամիսների համար, և տալ հնարավորություն ընտանեկան կամ սոցիալական նպաստ ստացող ընտանիքին՝ ընտանիքի աշխատունակ անդամների աշխատանքի անցնելու դեպքում 6 ամիս շարունակել ստանալ նպաստ: Սույն նորմը նույն անձի համար կրկին կարող է կիրառվել առնվազն քսանչորս ամիս անց:</w:t>
              <w:br/>
              <w:t xml:space="preserve">5.	Անասնապահությունից և հողօգտագործումից ստացվող եկամտի հաշվարկման կարգում ավելացնել նոր դրույթ, համաձայն որի ընտանիքի տնօրինած անասնատեսակի և դրա քանակի մասին տեղեկանքում չեն ներառվի անասնապահությամբ զբաղվելու համար աջակցության տրամադրման ծրագրով ձեռք բերված կենդանիների մասին տվյալներ՝ տվյալ ընտանիքի վերաբերյալ կնքված պայմանագրի գործողության ժամանակահատվածի համար և այլն:</w:t>
              <w:br/>
              <w:t xml:space="preserve"/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Քննարկվել է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ind w:right="90" w:hanging="0"/>
              <w:rPr>
                <w:rFonts w:ascii="GHEA Grapalat" w:hAnsi="GHEA Grapalat"/>
              </w:rPr>
            </w:pPr>
            <w:r>
              <w:rPr>
                <w:rFonts w:cs="Sylfaen" w:ascii="GHEA Grapalat" w:hAnsi="GHEA Grapalat"/>
                <w:sz w:val="24"/>
                <w:lang w:val="hy-AM" w:eastAsia="ru-RU"/>
              </w:rPr>
              <w:t>Սոցիալական նախարարական կոմիտեի նիստում  19/12/2019</w:t>
              <w:br/>
              <w:t xml:space="preserve">Նախանիստում  17/12/2019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Կոմիտեի հանձնարարական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ind w:right="90" w:hang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Չկա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pacing w:val="-8"/>
                <w:sz w:val="28"/>
                <w:szCs w:val="28"/>
                <w:lang w:val="hy-AM"/>
              </w:rPr>
              <w:t>Հանձնարարականի իրացվածություն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ind w:right="90" w:hanging="0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 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Հրատապություն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Չկա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Ֆինանսական գնահատական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Ֆինանսավորում չի պահանջում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Ֆինանսավորման հիմք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</w:rPr>
              <w:t> 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Համաձայնեցումներ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>ՀՀ կենտրոնական բանկ</w:t>
              <w:br/>
              <w:t xml:space="preserve">ՀՀ մարդու իրավունքների պաշտպան</w:t>
              <w:br/>
              <w:t xml:space="preserve">ՀՀ ֆինանսների նախարարություն</w:t>
              <w:br/>
              <w:t xml:space="preserve">ՀՀ արդարադատության նախարարություն</w:t>
              <w:br/>
              <w:t xml:space="preserve">Էկոնոմիկայի նախարարություն</w:t>
              <w:br/>
              <w:t xml:space="preserve">Տարածքային կառավարման եւ ենթակառուցվածքների նախարարություն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Սկզբունքային տարաձայնություններ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/>
            </w:pPr>
            <w:r>
              <w:rPr>
                <w:rFonts w:ascii="GHEA Grapalat" w:hAnsi="GHEA Grapalat"/>
                <w:sz w:val="24"/>
                <w:lang w:val="hy-AM"/>
              </w:rPr>
              <w:t>Կենտրոնական բանկի և մարդու իրավունքների պաշտպանի կողմից առկա են անհամաձայնություններ: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hy-AM"/>
              </w:rPr>
              <w:t>Այլ</w:t>
            </w:r>
          </w:p>
        </w:tc>
        <w:tc>
          <w:tcPr>
            <w:tcW w:w="8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76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sz w:val="24"/>
                <w:lang w:val="hy-AM"/>
              </w:rPr>
              <w:t/>
            </w:r>
          </w:p>
        </w:tc>
      </w:tr>
    </w:tbl>
    <w:p>
      <w:pPr>
        <w:pStyle w:val="Normal"/>
        <w:spacing w:lineRule="auto" w:line="276"/>
        <w:rPr/>
      </w:pPr>
      <w:r>
        <w:rPr>
          <w:rFonts w:ascii="GHEA Grapalat" w:hAnsi="GHEA Grapalat"/>
        </w:rPr>
        <w:t xml:space="preserve"> </w:t>
      </w:r>
    </w:p>
    <w:sectPr>
      <w:type w:val="nextPage"/>
      <w:pgSz w:w="12240" w:h="15840"/>
      <w:pgMar w:left="990" w:right="810" w:header="0" w:top="360" w:footer="0" w:bottom="45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Arial Armenian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GHEA Grapalat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e3eca"/>
    <w:pPr>
      <w:widowControl/>
      <w:bidi w:val="0"/>
      <w:jc w:val="left"/>
    </w:pPr>
    <w:rPr>
      <w:rFonts w:ascii="Arial Armenian" w:hAnsi="Arial Armenian" w:eastAsia="Times New Roman" w:cs="Times New Roman"/>
      <w:color w:val="auto"/>
      <w:kern w:val="0"/>
      <w:sz w:val="22"/>
      <w:szCs w:val="24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 w:customStyle="1">
    <w:name w:val="Internet Link"/>
    <w:uiPriority w:val="99"/>
    <w:semiHidden/>
    <w:unhideWhenUsed/>
    <w:rsid w:val="008e3eca"/>
    <w:rPr>
      <w:color w:val="757E88"/>
      <w:u w:val="single"/>
    </w:rPr>
  </w:style>
  <w:style w:type="character" w:styleId="Strong">
    <w:name w:val="Strong"/>
    <w:uiPriority w:val="22"/>
    <w:qFormat/>
    <w:rsid w:val="008e3eca"/>
    <w:rPr>
      <w:b/>
      <w:bCs/>
    </w:rPr>
  </w:style>
  <w:style w:type="character" w:styleId="MechtexChar" w:customStyle="1">
    <w:name w:val="mechtex Char"/>
    <w:qFormat/>
    <w:rsid w:val="000e7be2"/>
    <w:rPr>
      <w:rFonts w:ascii="Arial Armenian" w:hAnsi="Arial Armenian" w:eastAsia="Times New Roman"/>
      <w:sz w:val="22"/>
      <w:lang w:eastAsia="ru-RU"/>
    </w:rPr>
  </w:style>
  <w:style w:type="character" w:styleId="BodyTextChar" w:customStyle="1">
    <w:name w:val="Body Text Char"/>
    <w:uiPriority w:val="99"/>
    <w:semiHidden/>
    <w:qFormat/>
    <w:rsid w:val="00ba31cd"/>
    <w:rPr>
      <w:rFonts w:ascii="Arial Armenian" w:hAnsi="Arial Armenian" w:eastAsia="Times New Roman"/>
      <w:sz w:val="22"/>
      <w:szCs w:val="24"/>
    </w:rPr>
  </w:style>
  <w:style w:type="character" w:styleId="BodyTextChar1" w:customStyle="1">
    <w:name w:val="Body Text Char1"/>
    <w:link w:val="BodyText"/>
    <w:qFormat/>
    <w:rsid w:val="00ba31cd"/>
    <w:rPr>
      <w:rFonts w:ascii="Times New Roman" w:hAnsi="Times New Roman" w:eastAsia="Times New Roman"/>
      <w:sz w:val="24"/>
      <w:szCs w:val="24"/>
    </w:rPr>
  </w:style>
  <w:style w:type="character" w:styleId="CommentTextChar" w:customStyle="1">
    <w:name w:val="Comment Text Char"/>
    <w:link w:val="CommentText"/>
    <w:uiPriority w:val="99"/>
    <w:qFormat/>
    <w:rsid w:val="00cc102d"/>
    <w:rPr>
      <w:lang w:val="ru-RU"/>
    </w:rPr>
  </w:style>
  <w:style w:type="character" w:styleId="Annotationreference">
    <w:name w:val="annotation reference"/>
    <w:uiPriority w:val="99"/>
    <w:semiHidden/>
    <w:unhideWhenUsed/>
    <w:qFormat/>
    <w:rsid w:val="000e3ea7"/>
    <w:rPr>
      <w:sz w:val="16"/>
      <w:szCs w:val="16"/>
    </w:rPr>
  </w:style>
  <w:style w:type="character" w:styleId="CommentSubjectChar" w:customStyle="1">
    <w:name w:val="Comment Subject Char"/>
    <w:link w:val="CommentSubject"/>
    <w:uiPriority w:val="99"/>
    <w:semiHidden/>
    <w:qFormat/>
    <w:rsid w:val="000e3ea7"/>
    <w:rPr>
      <w:rFonts w:ascii="Arial Armenian" w:hAnsi="Arial Armenian" w:eastAsia="Times New Roman"/>
      <w:b/>
      <w:bCs/>
      <w:lang w:val="ru-RU"/>
    </w:rPr>
  </w:style>
  <w:style w:type="character" w:styleId="BalloonTextChar" w:customStyle="1">
    <w:name w:val="Balloon Text Char"/>
    <w:link w:val="BalloonText"/>
    <w:uiPriority w:val="99"/>
    <w:semiHidden/>
    <w:qFormat/>
    <w:rsid w:val="000e3ea7"/>
    <w:rPr>
      <w:rFonts w:ascii="Tahoma" w:hAnsi="Tahoma" w:eastAsia="Times New Roman" w:cs="Tahoma"/>
      <w:sz w:val="16"/>
      <w:szCs w:val="16"/>
    </w:rPr>
  </w:style>
  <w:style w:type="character" w:styleId="ListLabel1" w:customStyle="1">
    <w:name w:val="ListLabel 1"/>
    <w:qFormat/>
    <w:rPr>
      <w:rFonts w:cs="Times New Roman"/>
      <w:b/>
      <w:color w:val="auto"/>
    </w:rPr>
  </w:style>
  <w:style w:type="character" w:styleId="ListLabel2" w:customStyle="1">
    <w:name w:val="ListLabel 2"/>
    <w:qFormat/>
    <w:rPr>
      <w:rFonts w:cs="Times New Roman"/>
      <w:b/>
    </w:rPr>
  </w:style>
  <w:style w:type="character" w:styleId="ListLabel3" w:customStyle="1">
    <w:name w:val="ListLabel 3"/>
    <w:qFormat/>
    <w:rPr>
      <w:rFonts w:cs="Times New Roman"/>
    </w:rPr>
  </w:style>
  <w:style w:type="character" w:styleId="ListLabel4" w:customStyle="1">
    <w:name w:val="ListLabel 4"/>
    <w:qFormat/>
    <w:rPr>
      <w:rFonts w:cs="Times New Roman"/>
    </w:rPr>
  </w:style>
  <w:style w:type="character" w:styleId="ListLabel5" w:customStyle="1">
    <w:name w:val="ListLabel 5"/>
    <w:qFormat/>
    <w:rPr>
      <w:rFonts w:cs="Times New Roman"/>
    </w:rPr>
  </w:style>
  <w:style w:type="character" w:styleId="ListLabel6" w:customStyle="1">
    <w:name w:val="ListLabel 6"/>
    <w:qFormat/>
    <w:rPr>
      <w:rFonts w:cs="Times New Roman"/>
    </w:rPr>
  </w:style>
  <w:style w:type="character" w:styleId="ListLabel7" w:customStyle="1">
    <w:name w:val="ListLabel 7"/>
    <w:qFormat/>
    <w:rPr>
      <w:rFonts w:cs="Times New Roman"/>
    </w:rPr>
  </w:style>
  <w:style w:type="character" w:styleId="ListLabel8" w:customStyle="1">
    <w:name w:val="ListLabel 8"/>
    <w:qFormat/>
    <w:rPr>
      <w:rFonts w:cs="Times New Roman"/>
    </w:rPr>
  </w:style>
  <w:style w:type="character" w:styleId="ListLabel9" w:customStyle="1">
    <w:name w:val="ListLabel 9"/>
    <w:qFormat/>
    <w:rPr>
      <w:rFonts w:cs="Times New Roman"/>
    </w:rPr>
  </w:style>
  <w:style w:type="character" w:styleId="ListLabel10" w:customStyle="1">
    <w:name w:val="ListLabel 10"/>
    <w:qFormat/>
    <w:rPr>
      <w:b w:val="false"/>
    </w:rPr>
  </w:style>
  <w:style w:type="character" w:styleId="ListLabel11" w:customStyle="1">
    <w:name w:val="ListLabel 11"/>
    <w:qFormat/>
    <w:rPr>
      <w:rFonts w:eastAsia="Times New Roman" w:cs="Times New Roman"/>
    </w:rPr>
  </w:style>
  <w:style w:type="character" w:styleId="ListLabel12" w:customStyle="1">
    <w:name w:val="ListLabel 12"/>
    <w:qFormat/>
    <w:rPr>
      <w:rFonts w:cs="Courier New"/>
    </w:rPr>
  </w:style>
  <w:style w:type="character" w:styleId="ListLabel13" w:customStyle="1">
    <w:name w:val="ListLabel 13"/>
    <w:qFormat/>
    <w:rPr>
      <w:rFonts w:cs="Courier New"/>
    </w:rPr>
  </w:style>
  <w:style w:type="character" w:styleId="ListLabel14" w:customStyle="1">
    <w:name w:val="ListLabel 14"/>
    <w:qFormat/>
    <w:rPr>
      <w:rFonts w:cs="Courier New"/>
    </w:rPr>
  </w:style>
  <w:style w:type="character" w:styleId="ListLabel15" w:customStyle="1">
    <w:name w:val="ListLabel 15"/>
    <w:qFormat/>
    <w:rPr>
      <w:color w:val="000000"/>
      <w:sz w:val="28"/>
      <w:szCs w:val="28"/>
    </w:rPr>
  </w:style>
  <w:style w:type="character" w:styleId="ListLabel16" w:customStyle="1">
    <w:name w:val="ListLabel 16"/>
    <w:qFormat/>
    <w:rPr>
      <w:u w:val="none"/>
    </w:rPr>
  </w:style>
  <w:style w:type="character" w:styleId="ListLabel17" w:customStyle="1">
    <w:name w:val="ListLabel 17"/>
    <w:qFormat/>
    <w:rPr>
      <w:color w:val="000000"/>
      <w:sz w:val="28"/>
      <w:szCs w:val="28"/>
    </w:rPr>
  </w:style>
  <w:style w:type="character" w:styleId="ListLabel18" w:customStyle="1">
    <w:name w:val="ListLabel 18"/>
    <w:qFormat/>
    <w:rPr>
      <w:rFonts w:cs="Courier New"/>
    </w:rPr>
  </w:style>
  <w:style w:type="character" w:styleId="ListLabel19" w:customStyle="1">
    <w:name w:val="ListLabel 19"/>
    <w:qFormat/>
    <w:rPr>
      <w:rFonts w:cs="Courier New"/>
    </w:rPr>
  </w:style>
  <w:style w:type="character" w:styleId="ListLabel20" w:customStyle="1">
    <w:name w:val="ListLabel 20"/>
    <w:qFormat/>
    <w:rPr>
      <w:rFonts w:cs="Courier New"/>
    </w:rPr>
  </w:style>
  <w:style w:type="character" w:styleId="ListLabel21" w:customStyle="1">
    <w:name w:val="ListLabel 21"/>
    <w:qFormat/>
    <w:rPr>
      <w:rFonts w:eastAsia="Times New Roman" w:cs="Times New Roman"/>
      <w:color w:val="000000"/>
    </w:rPr>
  </w:style>
  <w:style w:type="character" w:styleId="ListLabel22" w:customStyle="1">
    <w:name w:val="ListLabel 22"/>
    <w:qFormat/>
    <w:rPr>
      <w:rFonts w:cs="Courier New"/>
    </w:rPr>
  </w:style>
  <w:style w:type="character" w:styleId="ListLabel23" w:customStyle="1">
    <w:name w:val="ListLabel 23"/>
    <w:qFormat/>
    <w:rPr>
      <w:rFonts w:cs="Courier New"/>
    </w:rPr>
  </w:style>
  <w:style w:type="character" w:styleId="ListLabel24" w:customStyle="1">
    <w:name w:val="ListLabel 24"/>
    <w:qFormat/>
    <w:rPr>
      <w:rFonts w:cs="Courier New"/>
    </w:rPr>
  </w:style>
  <w:style w:type="character" w:styleId="ListLabel25" w:customStyle="1">
    <w:name w:val="ListLabel 25"/>
    <w:qFormat/>
    <w:rPr>
      <w:rFonts w:eastAsia="Times New Roman" w:cs="Times New Roman"/>
      <w:color w:val="000000"/>
    </w:rPr>
  </w:style>
  <w:style w:type="character" w:styleId="ListLabel26" w:customStyle="1">
    <w:name w:val="ListLabel 26"/>
    <w:qFormat/>
    <w:rPr>
      <w:rFonts w:cs="Courier New"/>
    </w:rPr>
  </w:style>
  <w:style w:type="character" w:styleId="ListLabel27" w:customStyle="1">
    <w:name w:val="ListLabel 27"/>
    <w:qFormat/>
    <w:rPr>
      <w:rFonts w:cs="Courier New"/>
    </w:rPr>
  </w:style>
  <w:style w:type="character" w:styleId="ListLabel28" w:customStyle="1">
    <w:name w:val="ListLabel 28"/>
    <w:qFormat/>
    <w:rPr>
      <w:rFonts w:cs="Courier New"/>
    </w:rPr>
  </w:style>
  <w:style w:type="paragraph" w:styleId="Heading" w:customStyle="1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link w:val="BodyTextChar1"/>
    <w:rsid w:val="00ba31cd"/>
    <w:pPr>
      <w:spacing w:before="0" w:after="120"/>
    </w:pPr>
    <w:rPr>
      <w:rFonts w:ascii="Times New Roman" w:hAnsi="Times New Roman"/>
      <w:sz w:val="24"/>
      <w:lang w:val="x-none" w:eastAsia="x-none"/>
    </w:rPr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 w:customStyle="1">
    <w:name w:val="Index"/>
    <w:basedOn w:val="Normal"/>
    <w:qFormat/>
    <w:pPr>
      <w:suppressLineNumbers/>
    </w:pPr>
    <w:rPr>
      <w:rFonts w:cs="Lucida Sans"/>
    </w:rPr>
  </w:style>
  <w:style w:type="paragraph" w:styleId="Caption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styleId="NormalWeb">
    <w:name w:val="Normal (Web)"/>
    <w:basedOn w:val="Normal"/>
    <w:unhideWhenUsed/>
    <w:qFormat/>
    <w:rsid w:val="008e3eca"/>
    <w:pPr>
      <w:spacing w:beforeAutospacing="1" w:afterAutospacing="1"/>
    </w:pPr>
    <w:rPr>
      <w:rFonts w:ascii="Times New Roman" w:hAnsi="Times New Roman"/>
      <w:sz w:val="24"/>
      <w:lang w:eastAsia="ru-RU"/>
    </w:rPr>
  </w:style>
  <w:style w:type="paragraph" w:styleId="Mechtex" w:customStyle="1">
    <w:name w:val="mechtex"/>
    <w:basedOn w:val="Normal"/>
    <w:qFormat/>
    <w:rsid w:val="000e7be2"/>
    <w:pPr>
      <w:jc w:val="center"/>
    </w:pPr>
    <w:rPr>
      <w:szCs w:val="20"/>
      <w:lang w:eastAsia="ru-RU"/>
    </w:rPr>
  </w:style>
  <w:style w:type="paragraph" w:styleId="Annotationtext">
    <w:name w:val="annotation text"/>
    <w:basedOn w:val="Normal"/>
    <w:link w:val="CommentTextChar"/>
    <w:uiPriority w:val="99"/>
    <w:unhideWhenUsed/>
    <w:qFormat/>
    <w:rsid w:val="00cc102d"/>
    <w:pPr>
      <w:spacing w:before="0" w:after="200"/>
    </w:pPr>
    <w:rPr>
      <w:rFonts w:ascii="Calibri" w:hAnsi="Calibri" w:eastAsia="Calibri"/>
      <w:sz w:val="20"/>
      <w:szCs w:val="20"/>
      <w:lang w:val="ru-RU"/>
    </w:rPr>
  </w:style>
  <w:style w:type="paragraph" w:styleId="Annotationsubject">
    <w:name w:val="annotation subject"/>
    <w:basedOn w:val="Annotationtext"/>
    <w:next w:val="Annotationtext"/>
    <w:link w:val="CommentSubjectChar"/>
    <w:uiPriority w:val="99"/>
    <w:semiHidden/>
    <w:unhideWhenUsed/>
    <w:qFormat/>
    <w:rsid w:val="000e3ea7"/>
    <w:pPr>
      <w:spacing w:before="0" w:after="0"/>
    </w:pPr>
    <w:rPr>
      <w:rFonts w:ascii="Arial Armenian" w:hAnsi="Arial Armenian" w:eastAsia="Times New Roman"/>
      <w:b/>
      <w:bCs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0e3ea7"/>
    <w:pPr/>
    <w:rPr>
      <w:rFonts w:ascii="Tahoma" w:hAnsi="Tahoma" w:cs="Tahoma"/>
      <w:sz w:val="16"/>
      <w:szCs w:val="16"/>
    </w:rPr>
  </w:style>
  <w:style w:type="paragraph" w:styleId="TableContents" w:customStyle="1">
    <w:name w:val="Table Contents"/>
    <w:basedOn w:val="Normal"/>
    <w:qFormat/>
    <w:pPr>
      <w:suppressLineNumbers/>
    </w:pPr>
    <w:rPr/>
  </w:style>
  <w:style w:type="paragraph" w:styleId="TableHeading" w:customStyle="1">
    <w:name w:val="Table Heading"/>
    <w:basedOn w:val="TableContents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FF1E9-6936-41FB-89BC-C1563A927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Application>LibreOffice/6.1.3.2$Windows_x86 LibreOffice_project/86daf60bf00efa86ad547e59e09d6bb77c699acb</Application>
  <Pages>1</Pages>
  <Words>38</Words>
  <Characters>575</Characters>
  <CharactersWithSpaces>587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2019-09-10T08:30:00Z</dcterms:created>
  <dc:creator>tateviks</dc:creator>
  <dc:description/>
  <dc:language>ru-RU</dc:language>
  <cp:lastModifiedBy/>
  <cp:lastPrinted>2019-09-10T08:13:00Z</cp:lastPrinted>
  <dcterms:modified xsi:type="dcterms:W3CDTF">2019-11-15T11:43:10Z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