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F3EEAD" w14:textId="77777777" w:rsidR="00DA3179" w:rsidRPr="003A63D8" w:rsidRDefault="00DA3179" w:rsidP="008922B7">
      <w:pPr>
        <w:shd w:val="clear" w:color="auto" w:fill="FFFFFF"/>
        <w:spacing w:after="0" w:line="240" w:lineRule="auto"/>
        <w:ind w:firstLine="375"/>
        <w:jc w:val="right"/>
        <w:rPr>
          <w:rFonts w:ascii="GHEA Grapalat" w:eastAsia="Times New Roman" w:hAnsi="GHEA Grapalat" w:cs="Courier New"/>
          <w:color w:val="000000"/>
        </w:rPr>
      </w:pPr>
    </w:p>
    <w:p w14:paraId="7B185EA0" w14:textId="77777777" w:rsidR="00C03117" w:rsidRPr="003A63D8" w:rsidRDefault="00C03117" w:rsidP="008922B7">
      <w:pPr>
        <w:shd w:val="clear" w:color="auto" w:fill="FFFFFF"/>
        <w:spacing w:after="0" w:line="240" w:lineRule="auto"/>
        <w:ind w:firstLine="375"/>
        <w:jc w:val="right"/>
        <w:rPr>
          <w:rFonts w:ascii="GHEA Grapalat" w:eastAsia="Times New Roman" w:hAnsi="GHEA Grapalat"/>
          <w:color w:val="000000"/>
        </w:rPr>
      </w:pPr>
      <w:r w:rsidRPr="003A63D8">
        <w:rPr>
          <w:rFonts w:ascii="Courier New" w:eastAsia="Times New Roman" w:hAnsi="Courier New" w:cs="Courier New"/>
          <w:color w:val="000000"/>
        </w:rPr>
        <w:t>      </w:t>
      </w:r>
    </w:p>
    <w:p w14:paraId="70F32306" w14:textId="77777777" w:rsidR="00C03117" w:rsidRPr="00074781" w:rsidRDefault="00C03117" w:rsidP="00404F5D">
      <w:pPr>
        <w:shd w:val="clear" w:color="auto" w:fill="FFFFFF"/>
        <w:spacing w:after="0" w:line="240" w:lineRule="auto"/>
        <w:ind w:firstLine="375"/>
        <w:jc w:val="center"/>
        <w:rPr>
          <w:rFonts w:ascii="GHEA Grapalat" w:eastAsia="Times New Roman" w:hAnsi="GHEA Grapalat"/>
          <w:color w:val="000000"/>
          <w:sz w:val="24"/>
          <w:szCs w:val="24"/>
        </w:rPr>
      </w:pPr>
      <w:r>
        <w:rPr>
          <w:rFonts w:ascii="GHEA Grapalat" w:eastAsia="Times New Roman" w:hAnsi="GHEA Grapalat"/>
          <w:b/>
          <w:bCs/>
          <w:color w:val="000000"/>
          <w:sz w:val="24"/>
          <w:szCs w:val="24"/>
        </w:rPr>
        <w:t>ԱՄՓՈՓԱԹԵՐԹ</w:t>
      </w:r>
    </w:p>
    <w:p w14:paraId="3A93839B" w14:textId="77777777" w:rsidR="0004584D" w:rsidRPr="00C94F6B" w:rsidRDefault="004B1939" w:rsidP="00C94F6B">
      <w:pPr>
        <w:ind w:firstLine="450"/>
        <w:jc w:val="center"/>
        <w:rPr>
          <w:rFonts w:ascii="GHEA Grapalat" w:hAnsi="GHEA Grapalat"/>
          <w:b/>
          <w:sz w:val="24"/>
          <w:szCs w:val="24"/>
          <w:lang w:val="hy-AM"/>
        </w:rPr>
      </w:pPr>
      <w:r>
        <w:rPr>
          <w:rFonts w:ascii="GHEA Grapalat" w:hAnsi="GHEA Grapalat"/>
          <w:b/>
          <w:bCs/>
          <w:iCs/>
          <w:sz w:val="24"/>
          <w:szCs w:val="24"/>
          <w:lang w:val="hy-AM"/>
        </w:rPr>
        <w:t>«Հայաստանի Հանրապետության կառավարության 2023 թվականի սեպտեմբերի 22-ի N 1615-Ն և 2015 թվականի մարտի 19-ի N 596-Ն որոշումներում լրացումներ և փոփոխություն կատարելու մասին» ՀՀ կառավարության որոշման նախագծի վերաբերյալ ստացված դիտողությունների և առաջարկությունների</w:t>
      </w:r>
    </w:p>
    <w:tbl>
      <w:tblPr>
        <w:tblpPr w:leftFromText="180" w:rightFromText="180" w:vertAnchor="text" w:tblpX="285" w:tblpY="1"/>
        <w:tblOverlap w:val="never"/>
        <w:tblW w:w="1478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2"/>
        <w:gridCol w:w="7560"/>
        <w:gridCol w:w="35"/>
      </w:tblGrid>
      <w:tr w:rsidR="0004584D" w:rsidRPr="0018747A" w14:paraId="1D8482A8" w14:textId="77777777" w:rsidTr="003F294C">
        <w:trPr>
          <w:gridAfter w:val="1"/>
          <w:wAfter w:w="35" w:type="dxa"/>
          <w:trHeight w:val="420"/>
          <w:tblCellSpacing w:w="0" w:type="dxa"/>
        </w:trPr>
        <w:tc>
          <w:tcPr>
            <w:tcW w:w="7192" w:type="dxa"/>
            <w:tcBorders>
              <w:top w:val="outset" w:sz="6" w:space="0" w:color="auto"/>
              <w:left w:val="outset" w:sz="6" w:space="0" w:color="auto"/>
              <w:right w:val="outset" w:sz="6" w:space="0" w:color="auto"/>
            </w:tcBorders>
            <w:shd w:val="clear" w:color="auto" w:fill="D0D0D0"/>
            <w:hideMark/>
          </w:tcPr>
          <w:p w14:paraId="482CB6D6" w14:textId="77777777" w:rsidR="0018747A" w:rsidRPr="009B2FBB" w:rsidRDefault="0004584D" w:rsidP="0018747A">
            <w:pPr>
              <w:pStyle w:val="BodyText"/>
              <w:keepNext/>
              <w:tabs>
                <w:tab w:val="left" w:pos="4582"/>
              </w:tabs>
              <w:spacing w:line="23" w:lineRule="atLeast"/>
              <w:rPr>
                <w:rFonts w:ascii="GHEA Grapalat" w:hAnsi="GHEA Grapalat" w:cs="Arial Unicode"/>
                <w:b/>
                <w:bCs/>
                <w:color w:val="000000"/>
                <w:szCs w:val="24"/>
                <w:lang w:val="af-ZA" w:eastAsia="en-US"/>
              </w:rPr>
            </w:pPr>
            <w:r>
              <w:rPr>
                <w:rFonts w:ascii="GHEA Grapalat" w:hAnsi="GHEA Grapalat" w:cs="Arial Unicode"/>
                <w:b/>
                <w:bCs/>
                <w:color w:val="000000"/>
                <w:szCs w:val="24"/>
                <w:lang w:val="af-ZA" w:eastAsia="en-US"/>
              </w:rPr>
              <w:t>1. ՀՀ արդարադատության նախարարության իրավական ակտերի փորձաքննության գործակալություն</w:t>
            </w:r>
          </w:p>
        </w:tc>
        <w:tc>
          <w:tcPr>
            <w:tcW w:w="7560" w:type="dxa"/>
            <w:tcBorders>
              <w:top w:val="outset" w:sz="6" w:space="0" w:color="auto"/>
              <w:left w:val="outset" w:sz="6" w:space="0" w:color="auto"/>
              <w:bottom w:val="outset" w:sz="6" w:space="0" w:color="auto"/>
              <w:right w:val="outset" w:sz="6" w:space="0" w:color="auto"/>
            </w:tcBorders>
            <w:shd w:val="clear" w:color="auto" w:fill="D0D0D0"/>
          </w:tcPr>
          <w:p w14:paraId="6784E663" w14:textId="7DE87D42" w:rsidR="003F294C" w:rsidRPr="003F294C" w:rsidRDefault="003F294C" w:rsidP="003F294C">
            <w:pPr>
              <w:pStyle w:val="BodyText"/>
              <w:keepNext/>
              <w:tabs>
                <w:tab w:val="left" w:pos="4582"/>
              </w:tabs>
              <w:spacing w:line="23" w:lineRule="atLeast"/>
              <w:rPr>
                <w:rFonts w:ascii="GHEA Grapalat" w:eastAsia="Calibri" w:hAnsi="GHEA Grapalat" w:cs="Sylfaen"/>
                <w:b/>
                <w:bCs/>
                <w:szCs w:val="24"/>
                <w:lang w:val="en-US" w:eastAsia="en-US"/>
              </w:rPr>
            </w:pPr>
            <w:r w:rsidRPr="003F294C">
              <w:rPr>
                <w:rFonts w:ascii="GHEA Grapalat" w:eastAsia="Calibri" w:hAnsi="GHEA Grapalat" w:cs="Sylfaen"/>
                <w:b/>
                <w:bCs/>
                <w:szCs w:val="24"/>
                <w:lang w:val="en-US" w:eastAsia="en-US"/>
              </w:rPr>
              <w:t>N/27.4/55990-2026</w:t>
            </w:r>
          </w:p>
          <w:p w14:paraId="766F0E4C" w14:textId="58EA5F6C" w:rsidR="0004584D" w:rsidRPr="00205A43" w:rsidRDefault="003F294C" w:rsidP="003F294C">
            <w:pPr>
              <w:pStyle w:val="BodyText"/>
              <w:keepNext/>
              <w:tabs>
                <w:tab w:val="left" w:pos="4582"/>
              </w:tabs>
              <w:spacing w:line="23" w:lineRule="atLeast"/>
              <w:rPr>
                <w:rFonts w:ascii="GHEA Grapalat" w:eastAsia="Calibri" w:hAnsi="GHEA Grapalat" w:cs="Sylfaen"/>
                <w:b/>
                <w:bCs/>
                <w:szCs w:val="24"/>
                <w:lang w:val="en-US" w:eastAsia="en-US"/>
              </w:rPr>
            </w:pPr>
            <w:r w:rsidRPr="003F294C">
              <w:rPr>
                <w:rFonts w:ascii="GHEA Grapalat" w:eastAsia="Calibri" w:hAnsi="GHEA Grapalat" w:cs="Sylfaen"/>
                <w:b/>
                <w:bCs/>
                <w:szCs w:val="24"/>
                <w:lang w:val="en-US" w:eastAsia="en-US"/>
              </w:rPr>
              <w:t xml:space="preserve">«22» </w:t>
            </w:r>
            <w:r>
              <w:rPr>
                <w:rFonts w:ascii="GHEA Grapalat" w:eastAsia="Calibri" w:hAnsi="GHEA Grapalat" w:cs="Sylfaen"/>
                <w:b/>
                <w:bCs/>
                <w:szCs w:val="24"/>
                <w:lang w:val="en-US" w:eastAsia="en-US"/>
              </w:rPr>
              <w:t>հոկտեմբերի</w:t>
            </w:r>
            <w:r w:rsidRPr="003F294C">
              <w:rPr>
                <w:rFonts w:ascii="GHEA Grapalat" w:eastAsia="Calibri" w:hAnsi="GHEA Grapalat" w:cs="Sylfaen"/>
                <w:b/>
                <w:bCs/>
                <w:szCs w:val="24"/>
                <w:lang w:val="en-US" w:eastAsia="en-US"/>
              </w:rPr>
              <w:t xml:space="preserve"> 2026</w:t>
            </w:r>
            <w:r>
              <w:rPr>
                <w:rFonts w:ascii="GHEA Grapalat" w:eastAsia="Calibri" w:hAnsi="GHEA Grapalat" w:cs="Sylfaen"/>
                <w:b/>
                <w:bCs/>
                <w:szCs w:val="24"/>
                <w:lang w:val="en-US" w:eastAsia="en-US"/>
              </w:rPr>
              <w:t>թ.</w:t>
            </w:r>
          </w:p>
        </w:tc>
      </w:tr>
      <w:tr w:rsidR="00E315BC" w:rsidRPr="003F294C" w14:paraId="12C8559C" w14:textId="77777777" w:rsidTr="00501A04">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7F95230C"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1․ Նախագծով առաջարկվում է քաղաքաշինության բնագավառում լիցենզիա չպահանջող աշխատանքների և ծառայությունների ցանկում ներառել գլխավոր կապալառուի կողմից շինարարական օբյեկտների կառուցման կամ վերակառուցման աշխատանքների կազմակերպումն ու իրականացումը՝ յուրաքանչյուր առանձին դեպքում Հայաստանի Հանրապետության կառավարության թույլտվությամբ և բոլոր շինարարական աշխատանքները համապատասխան լիցենզիա ունեցող ենթակապալառուների միջոցով կատարելու պայմանով։ Այս առնչությամբ անհրաժեշտ է հստակեցնել՝ առաջարկվող բացառությունը վերաբերում է բացառապես ծրագրի կառավարման և համակարգման ծառայությունների՞ն, թե՞ նաև շինարարության իրականացման գործունեությանը։</w:t>
            </w:r>
          </w:p>
          <w:p w14:paraId="176E7028"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«Քաղաքաշինության մասին» օրենքի (այսուհետ՝ Օրենք) 10-րդ հոդվածի 1-ին մասի 22-րդ կետով Կառավարությանը վերապահված է քաղաքաշինության բնագավառում լիցենզիա չպահանջող աշխատանքների և ծառայությունների ցանկերը հաստատելու լիազորություն։ Միաժամանակ Օրենքի 21-րդ հոդվածով շինարարության իրականացումը նախատեսված է որպես քաղաքաշինության բնագավառի գործունեության առանձին տեսակ՝ համապատասխան ենթատեսակներով և դասային աստիճաններով։</w:t>
            </w:r>
          </w:p>
          <w:p w14:paraId="02D17E7C"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Նախագծի հիմնավորմամբ կարգավորման անհրաժեշտությունը պայմանավորվում է ծրագրի ընդհանուր </w:t>
            </w:r>
            <w:r>
              <w:rPr>
                <w:rFonts w:ascii="GHEA Grapalat" w:eastAsia="Times New Roman" w:hAnsi="GHEA Grapalat" w:cs="Sylfaen"/>
                <w:sz w:val="24"/>
                <w:szCs w:val="24"/>
                <w:lang w:val="hy-AM" w:eastAsia="ru-RU"/>
              </w:rPr>
              <w:lastRenderedPageBreak/>
              <w:t>պլանավորման, կազմակերպման և համակարգման կարողություններ ունեցող ընկերությունների ներգրավմամբ։ Մինչդեռ առաջարկվող նորմում «կազմակերպումն ու իրականացումը» ձևակերպման կիրառմամբ բացառության շրջանակում ներառվում է նաև շինարարության իրականացումը։ Ընդ որում, ենթակապալառուների ներգրավման հանգամանքն ինքնին չի հստակեցնում գլխավոր կապալառուի գործունեության իրավական բնույթը և նրան վերապահվող մասնագիտական գործառույթները։</w:t>
            </w:r>
          </w:p>
          <w:p w14:paraId="39EE0741"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Հետևաբար անհրաժեշտ է Նախագծում հստակ սահմանազատել ծրագրի կառավարման և համակարգման ծառայությունները շինարարության իրականացման գործունեությունից, սահմանել բացառության առարկան և հիմնավորել դրա համապատասխանությունը Օրենքով նախատեսված լիցենզավորման համակարգին։</w:t>
            </w:r>
          </w:p>
        </w:tc>
        <w:tc>
          <w:tcPr>
            <w:tcW w:w="7560" w:type="dxa"/>
            <w:tcBorders>
              <w:top w:val="outset" w:sz="6" w:space="0" w:color="auto"/>
              <w:left w:val="outset" w:sz="6" w:space="0" w:color="auto"/>
              <w:bottom w:val="outset" w:sz="6" w:space="0" w:color="auto"/>
              <w:right w:val="nil"/>
            </w:tcBorders>
            <w:hideMark/>
          </w:tcPr>
          <w:p w14:paraId="67DCAC61"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535ACCC0"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5849246E"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7B675B2B"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6B3851BF"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541B257D"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7B9928E5" w14:textId="5B1A56EB" w:rsidR="000829CA" w:rsidRPr="003F294C" w:rsidRDefault="000829CA" w:rsidP="003F294C">
            <w:pPr>
              <w:pStyle w:val="ListParagraph"/>
              <w:spacing w:after="0" w:line="259" w:lineRule="auto"/>
              <w:ind w:left="165" w:right="150"/>
              <w:jc w:val="center"/>
              <w:rPr>
                <w:rFonts w:ascii="GHEA Grapalat" w:hAnsi="GHEA Grapalat" w:cs="Sylfaen"/>
                <w:b/>
                <w:bCs/>
                <w:sz w:val="24"/>
                <w:szCs w:val="24"/>
                <w:lang w:val="hy-AM"/>
              </w:rPr>
            </w:pPr>
            <w:r w:rsidRPr="003F294C">
              <w:rPr>
                <w:rFonts w:ascii="GHEA Grapalat" w:hAnsi="GHEA Grapalat" w:cs="Sylfaen"/>
                <w:b/>
                <w:bCs/>
                <w:sz w:val="24"/>
                <w:szCs w:val="24"/>
                <w:lang w:val="hy-AM"/>
              </w:rPr>
              <w:t>Ընդունվել է</w:t>
            </w:r>
          </w:p>
          <w:p w14:paraId="3DC2D9B2" w14:textId="77777777"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Pr>
                <w:rFonts w:ascii="GHEA Grapalat" w:hAnsi="GHEA Grapalat" w:cs="Sylfaen"/>
                <w:sz w:val="24"/>
                <w:szCs w:val="24"/>
                <w:lang w:val="hy-AM"/>
              </w:rPr>
              <w:t>Նախագծի 1-ին կետով լրացվող 12.1-ին կետում լիցենզիա չպահանջող ծառայությունները սահմանազատվել են լիցենզավորման ենթակա շինարարական աշխատանքներից։ Նախատեսվել են ընդհանուր պլանավորումը, կազմակերպումը և համակարգումը՝ առանց այդ աշխատանքներն անձամբ կատարելու։ Գլխավոր կապալառուն չի փոխարինում աշխատանքներն անմիջականորեն կատարող ենթակապալառուներին։ Շինարարական աշխատանքներն անձամբ կատարելու հնարավորությունը նախատեսված է միայն համապատասխան իրավունքը ձեռք բերելու պահից և դրա սահմաններում։</w:t>
            </w:r>
          </w:p>
        </w:tc>
        <w:tc>
          <w:tcPr>
            <w:tcW w:w="35" w:type="dxa"/>
            <w:tcBorders>
              <w:top w:val="outset" w:sz="6" w:space="0" w:color="auto"/>
              <w:left w:val="nil"/>
              <w:bottom w:val="outset" w:sz="6" w:space="0" w:color="auto"/>
              <w:right w:val="outset" w:sz="6" w:space="0" w:color="auto"/>
            </w:tcBorders>
            <w:hideMark/>
          </w:tcPr>
          <w:p w14:paraId="772648EB" w14:textId="77777777" w:rsidR="00B332CA" w:rsidRPr="00074781" w:rsidRDefault="00B332CA" w:rsidP="008E3A28">
            <w:pPr>
              <w:spacing w:after="0" w:line="240" w:lineRule="auto"/>
              <w:ind w:left="-9" w:right="184" w:firstLine="598"/>
              <w:rPr>
                <w:rFonts w:ascii="GHEA Grapalat" w:eastAsia="Times New Roman" w:hAnsi="GHEA Grapalat"/>
                <w:color w:val="000000"/>
                <w:sz w:val="24"/>
                <w:szCs w:val="24"/>
                <w:lang w:val="af-ZA"/>
              </w:rPr>
            </w:pPr>
          </w:p>
        </w:tc>
      </w:tr>
      <w:tr w:rsidR="00E315BC" w:rsidRPr="008812E8" w14:paraId="2D8A84C4" w14:textId="77777777" w:rsidTr="00501A04">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2A890D47"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2. Նախագծով բացառության կիրառումը պայմանավորվում է յուրաքանչյուր առանձին դեպքում Կառավարության թույլտվությամբ՝ առանց դրա տրամադրման պայմանների և ընթացակարգի սահմանման։</w:t>
            </w:r>
          </w:p>
          <w:p w14:paraId="66CF1AD5"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Օրենքի 10-րդ հոդվածի 1-ին մասի 22-րդ կետով նախատեսված լիազորությունն ուղղված է լիցենզիա չպահանջող աշխատանքների և ծառայությունների ցանկերի հաստատմանը։ Այդ լիազորության իրացման շրջանակում անհատական թույլտվության մեխանիզմ նախատեսելիս անհրաժեշտ է հիմնավորել դրա իրավական հիմքը և ապահովել կիրառման պայմանների որոշակիությունը:</w:t>
            </w:r>
          </w:p>
          <w:p w14:paraId="32454681"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Մասնավորապես, Նախագծով սահմանված չեն թույլտվություն ստանալու համար դիմելու իրավասություն ունեցող անձանց շրջանակը, ներկայացվող փաստաթղթերը, ծրագրի և գլխավոր կապալառուի գնահատման չափանիշները, թույլտվության տրամադրման կամ մերժման հիմքերը, ինչպես նաև թույլտվության պայմանների խախտման իրավական հետևանքները։ Նշված հարցերի </w:t>
            </w:r>
            <w:r>
              <w:rPr>
                <w:rFonts w:ascii="GHEA Grapalat" w:eastAsia="Times New Roman" w:hAnsi="GHEA Grapalat" w:cs="Sylfaen"/>
                <w:sz w:val="24"/>
                <w:szCs w:val="24"/>
                <w:lang w:val="hy-AM" w:eastAsia="ru-RU"/>
              </w:rPr>
              <w:lastRenderedPageBreak/>
              <w:t>չկարգավորված լինելու պայմաններում բավարար կանխատեսելիություն չի ապահովվում բացառության կիրառման և համադրելի դեպքերում միասնական մոտեցման համար։</w:t>
            </w:r>
          </w:p>
          <w:p w14:paraId="26AE96A3"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Ուստի առաջարկվում ենք լրացուցիչ հիմնավորել անհատական թույլտվության մեխանիզմ նախատեսելու իրավասությունը և սահմանել դրա կիրառման հստակ պայմաններն ու ընթացակարգը։ Գործող օրենսդրական լիազորության անբավարարության դեպքում անհրաժեշտ կլինի քննարկել համապատասխան օրենսդրական փոփոխության հարցը։</w:t>
            </w:r>
          </w:p>
        </w:tc>
        <w:tc>
          <w:tcPr>
            <w:tcW w:w="7560" w:type="dxa"/>
            <w:tcBorders>
              <w:top w:val="outset" w:sz="6" w:space="0" w:color="auto"/>
              <w:left w:val="outset" w:sz="6" w:space="0" w:color="auto"/>
              <w:bottom w:val="outset" w:sz="6" w:space="0" w:color="auto"/>
              <w:right w:val="nil"/>
            </w:tcBorders>
            <w:hideMark/>
          </w:tcPr>
          <w:p w14:paraId="7C86EDBC"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49586A56"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7A40E888" w14:textId="5F5B36F6" w:rsidR="003F294C" w:rsidRPr="003F294C" w:rsidRDefault="000829CA" w:rsidP="003F294C">
            <w:pPr>
              <w:pStyle w:val="ListParagraph"/>
              <w:spacing w:after="0" w:line="259" w:lineRule="auto"/>
              <w:ind w:left="165" w:right="150"/>
              <w:jc w:val="center"/>
              <w:rPr>
                <w:rFonts w:ascii="GHEA Grapalat" w:hAnsi="GHEA Grapalat" w:cs="Sylfaen"/>
                <w:sz w:val="24"/>
                <w:szCs w:val="24"/>
                <w:lang w:val="hy-AM"/>
              </w:rPr>
            </w:pPr>
            <w:r w:rsidRPr="003F294C">
              <w:rPr>
                <w:rFonts w:ascii="GHEA Grapalat" w:hAnsi="GHEA Grapalat" w:cs="Sylfaen"/>
                <w:b/>
                <w:bCs/>
                <w:sz w:val="24"/>
                <w:szCs w:val="24"/>
                <w:lang w:val="hy-AM"/>
              </w:rPr>
              <w:t>Ընդունվել է՝ կարգավորման վերանայմամբ</w:t>
            </w:r>
          </w:p>
          <w:p w14:paraId="28A2F90F" w14:textId="77777777"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Pr>
                <w:rFonts w:ascii="GHEA Grapalat" w:hAnsi="GHEA Grapalat" w:cs="Sylfaen"/>
                <w:sz w:val="24"/>
                <w:szCs w:val="24"/>
                <w:lang w:val="hy-AM"/>
              </w:rPr>
              <w:t>Յուրաքանչյուր առանձին դեպքում Կառավարության թույլտվություն ստանալու պահանջը հանվել է։ Փոխարենը 12.1-ին կետով սահմանվել են բացառության կիրառման ընդհանուր պայմանները՝ ոչ ռեզիդենտ կազմակերպություն լինելը, «Լիցենզավորման մասին» օրենքի 7-րդ հոդվածի 6.1-ին կամ 6.2-րդ մասով նախատեսված համապատասխան օտարերկրյա փաստաթուղթ չունենալը և շինարարական աշխատանքները համապատասխան իրավունք ունեցող անձանց միջոցով կատարելը։ Նախագծի 2-րդ կետի 1-ին ենթակետով լրացվող 129.1-ին կետով նախատեսվել են կազմակերպության օտարերկրյա գրանցումը և բացառության կիրառման հիմքերը հավաստող փաստաթղթերը։ Անհատական թույլտվության տրամադրման ընթացակարգ չի նախատեսվում։</w:t>
            </w:r>
          </w:p>
        </w:tc>
        <w:tc>
          <w:tcPr>
            <w:tcW w:w="35" w:type="dxa"/>
            <w:tcBorders>
              <w:top w:val="outset" w:sz="6" w:space="0" w:color="auto"/>
              <w:left w:val="nil"/>
              <w:bottom w:val="outset" w:sz="6" w:space="0" w:color="auto"/>
              <w:right w:val="outset" w:sz="6" w:space="0" w:color="auto"/>
            </w:tcBorders>
            <w:hideMark/>
          </w:tcPr>
          <w:p w14:paraId="0F398AB2" w14:textId="77777777" w:rsidR="00B332CA" w:rsidRPr="00074781" w:rsidRDefault="00B332CA" w:rsidP="008E3A28">
            <w:pPr>
              <w:spacing w:after="0" w:line="240" w:lineRule="auto"/>
              <w:ind w:left="-9" w:right="184" w:firstLine="598"/>
              <w:rPr>
                <w:rFonts w:ascii="GHEA Grapalat" w:eastAsia="Times New Roman" w:hAnsi="GHEA Grapalat"/>
                <w:color w:val="000000"/>
                <w:sz w:val="24"/>
                <w:szCs w:val="24"/>
                <w:lang w:val="af-ZA"/>
              </w:rPr>
            </w:pPr>
          </w:p>
        </w:tc>
      </w:tr>
      <w:tr w:rsidR="00E315BC" w:rsidRPr="003F294C" w14:paraId="5F2C67FD" w14:textId="77777777" w:rsidTr="00501A04">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36140C39"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3. Նախագծով նախատեսվող՝ լիցենզիա չունեցող գլխավոր կապալառուի և լիցենզավորված ենթակապալառուների մասնակցությամբ մոդելը պահանջում է հստակեցնել վերջիններիս կարգավիճակը շինարարության փաստագրման և ավարտված օբյեկտի ընդունման գործընթացներում։</w:t>
            </w:r>
          </w:p>
          <w:p w14:paraId="3A25C950"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ՀՀ կառավարության 2015 թվականի մարտի 19-ի N 596-Ն որոշման N 1 հավելվածի 142-րդ կետով կատարողական փաստաթղթերի փաթեթի կազմումը վերապահված է կապալառուին՝ տեխնիկական հսկողություն և օրենքով կամ պայմանագրով նախատեսված դեպքերում՝ հեղինակային հսկողություն իրականացնող անձանց մասնակցությամբ։ Նույն հավելվածի 144-րդ կետով նախատեսված է բացակայող կատարողական փաստաթղթերը կապալառուի միջոցների հաշվին վերականգնելու պարտականություն, իսկ 147-րդ կետով կարգավորվում է ընդունող հանձնաժողովի կազմը։ Որոշման N 5 հավելվածի համապատասխան ձևերում նախատեսված է նաև գլխավոր կապալառուի և ենթակապալառուի մասնակցությունը։</w:t>
            </w:r>
          </w:p>
          <w:p w14:paraId="56A8DD66"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Նախագծից պարզ չէ՝ առաջարկվող մոդելի դեպքում որ սուբյեկտն է ապահովելու կատարողական փաստաթղթերի ամբողջականությունը, ով է համապատասխան </w:t>
            </w:r>
            <w:r>
              <w:rPr>
                <w:rFonts w:ascii="GHEA Grapalat" w:eastAsia="Times New Roman" w:hAnsi="GHEA Grapalat" w:cs="Sylfaen"/>
                <w:sz w:val="24"/>
                <w:szCs w:val="24"/>
                <w:lang w:val="hy-AM" w:eastAsia="ru-RU"/>
              </w:rPr>
              <w:lastRenderedPageBreak/>
              <w:t>փաստաթղթերը ստորագրելու իր մասնագիտական իրավասության սահմաններում, և ինչպես են բաշխվելու ամբողջ օբյեկտի ընդունմանը վերաբերող պարտականությունները։ Գլխավոր կապալառուի և ենթակապալառուների պայմանագրային հարաբերությունների առկայությունն ինքնին չի վերացնում հանրային իրավական գործառույթների ու պարտականությունների հստակեցման անհրաժեշտությունը։</w:t>
            </w:r>
          </w:p>
          <w:p w14:paraId="27427C01"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Հետևաբար անհրաժեշտ է Նախագիծը համադրել N 596-Ն որոշմամբ սահմանված ընթացակարգերի և փաստաթղթերի ձևերի հետ՝ անհրաժեշտության դեպքում իրականացնելով նաև համապատասխան փոփոխություններ այլ իրավական ակտերում։ Այս համատեքստում լրացուցիչ հիմնավորման կարիք ունի նաև հիմնավորման մեջ նշված՝ այլ իրավական ակտերում փոփոխություններ կատարելու անհրաժեշտության բացակայության վերաբերյալ եզրահանգումը։</w:t>
            </w:r>
          </w:p>
        </w:tc>
        <w:tc>
          <w:tcPr>
            <w:tcW w:w="7560" w:type="dxa"/>
            <w:tcBorders>
              <w:top w:val="outset" w:sz="6" w:space="0" w:color="auto"/>
              <w:left w:val="outset" w:sz="6" w:space="0" w:color="auto"/>
              <w:bottom w:val="outset" w:sz="6" w:space="0" w:color="auto"/>
              <w:right w:val="nil"/>
            </w:tcBorders>
            <w:hideMark/>
          </w:tcPr>
          <w:p w14:paraId="3C9C060F" w14:textId="5FF43F74" w:rsidR="000829CA" w:rsidRPr="003F294C" w:rsidRDefault="000829CA" w:rsidP="003F294C">
            <w:pPr>
              <w:pStyle w:val="ListParagraph"/>
              <w:spacing w:after="0" w:line="259" w:lineRule="auto"/>
              <w:ind w:left="165" w:right="150"/>
              <w:jc w:val="center"/>
              <w:rPr>
                <w:rFonts w:ascii="GHEA Grapalat" w:hAnsi="GHEA Grapalat" w:cs="Sylfaen"/>
                <w:b/>
                <w:bCs/>
                <w:sz w:val="24"/>
                <w:szCs w:val="24"/>
                <w:lang w:val="hy-AM"/>
              </w:rPr>
            </w:pPr>
            <w:r w:rsidRPr="003F294C">
              <w:rPr>
                <w:rFonts w:ascii="GHEA Grapalat" w:hAnsi="GHEA Grapalat" w:cs="Sylfaen"/>
                <w:b/>
                <w:bCs/>
                <w:sz w:val="24"/>
                <w:szCs w:val="24"/>
                <w:lang w:val="hy-AM"/>
              </w:rPr>
              <w:lastRenderedPageBreak/>
              <w:t>Ընդունվել է</w:t>
            </w:r>
          </w:p>
          <w:p w14:paraId="48A1432B" w14:textId="1C855EA6"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Pr>
                <w:rFonts w:ascii="GHEA Grapalat" w:hAnsi="GHEA Grapalat" w:cs="Sylfaen"/>
                <w:sz w:val="24"/>
                <w:szCs w:val="24"/>
                <w:lang w:val="hy-AM"/>
              </w:rPr>
              <w:t xml:space="preserve">Նախագծի 2-րդ կետով նախատեսվել են N 596-Ն որոշման համապատասխան լրացումներն ու փոփոխությունը։ Նոր 129.1-ին կետով կարգավորվել են ձևաթղթերի լրացումը, աշխատանքներ կատարող անձանց և նրանց գործունեության իրավունքի վերաբերյալ տվյալների ներկայացումը և փոփոխությունների մասին ծանուցումը։ Նոր 142.1-ին կետով գլխավոր կապալառուին վերապահվել են կատարողական փաստաթղթերի ամբողջական փաթեթի կազմումն ու փոխանցումը և բացակայող փաստաթղթերի վերականգնումը, իսկ աշխատանքներ կատարող անձանց ու պատասխանատու մասնագետներին՝ իրենց աշխատանքների փաստաթղթերի կազմումն ու ստորագրումը։ 147-րդ կետի լրացմամբ հստակեցվել է ընդունող հանձնաժողովում գլխավոր կապալառուի և ենթակապալառուների մասնակցությունը։ N 5 հավելվածի հղումներն ընդգրկելու են 3-րդ գլխի 6-12-րդ կետերը։ </w:t>
            </w:r>
          </w:p>
        </w:tc>
        <w:tc>
          <w:tcPr>
            <w:tcW w:w="35" w:type="dxa"/>
            <w:tcBorders>
              <w:top w:val="outset" w:sz="6" w:space="0" w:color="auto"/>
              <w:left w:val="nil"/>
              <w:bottom w:val="outset" w:sz="6" w:space="0" w:color="auto"/>
              <w:right w:val="outset" w:sz="6" w:space="0" w:color="auto"/>
            </w:tcBorders>
            <w:hideMark/>
          </w:tcPr>
          <w:p w14:paraId="6D9A9AAA" w14:textId="77777777" w:rsidR="00B332CA" w:rsidRPr="00074781" w:rsidRDefault="00B332CA" w:rsidP="008E3A28">
            <w:pPr>
              <w:spacing w:after="0" w:line="240" w:lineRule="auto"/>
              <w:ind w:left="-9" w:right="184" w:firstLine="598"/>
              <w:rPr>
                <w:rFonts w:ascii="GHEA Grapalat" w:eastAsia="Times New Roman" w:hAnsi="GHEA Grapalat"/>
                <w:color w:val="000000"/>
                <w:sz w:val="24"/>
                <w:szCs w:val="24"/>
                <w:lang w:val="af-ZA"/>
              </w:rPr>
            </w:pPr>
          </w:p>
        </w:tc>
      </w:tr>
      <w:tr w:rsidR="00E315BC" w:rsidRPr="003F294C" w14:paraId="0B5CA6DB" w14:textId="77777777" w:rsidTr="00501A04">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459E34E5"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4. Միաժամանակ հարկ է նկատի ունենալ, որ Նախագծով բոլոր շինարարական աշխատանքները լիցենզավորված ենթակապալառուների միջոցով կատարելու պահանջի սահմանմամբ ամբողջությամբ չի լուծվում օբյեկտի շինարարության ընդհանուր արդյունքի համար մասնագիտական պարտականությունների և պատասխանատվության բաշխման հարցը։</w:t>
            </w:r>
          </w:p>
          <w:p w14:paraId="616002D1"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Օրենքի 7.1-ին հոդվածի 3-րդ մասով շինարարություն իրականացնող քաղաքաշինության գործունեության սուբյեկտի համար նախատեսված են, մասնավորապես, հաստատված նախագծի և նորմատիվատեխնիկական փաստաթղթերի պահանջներն ապահովելու, ինչպես նաև իր թույլ տված խախտումների հետևանքով առաջացած թերությունները վերացնելու պարտականություններ։</w:t>
            </w:r>
          </w:p>
          <w:p w14:paraId="3B58ECA9"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Առաջարկվող կարգավորման պայմաններում անհրաժեշտ է հստակեցնել նշված պարտականությունների իրացումը՝ </w:t>
            </w:r>
            <w:r>
              <w:rPr>
                <w:rFonts w:ascii="GHEA Grapalat" w:eastAsia="Times New Roman" w:hAnsi="GHEA Grapalat" w:cs="Sylfaen"/>
                <w:sz w:val="24"/>
                <w:szCs w:val="24"/>
                <w:lang w:val="hy-AM" w:eastAsia="ru-RU"/>
              </w:rPr>
              <w:lastRenderedPageBreak/>
              <w:t>հատկապես տարբեր ենթակապալառուների աշխատանքների փոխկապակցման, դրանց կատարման ընթացքում առաջացած թերությունների և ամբողջ օբյեկտի՝ նախագծային պահանջներին համապատասխանության ապահովման առնչությամբ։ Միաժամանակ պետք է բացառվի այնպիսի մեկնաբանությունը, որի համաձայն լիցենզավորման պահանջից ազատումը կարող է հանգեցնել օրենքով սահմանված պարտականությունների կամ պատասխանատվության սահմանափակման։</w:t>
            </w:r>
          </w:p>
          <w:p w14:paraId="5D7BD5FA"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Ուստի անհրաժեշտ է հստակեցնել գլխավոր կապալառուի և ենթակապալառուների գործառույթներն ու պարտականությունները՝ ապահովելով նաև շինարարության ընթացքում թույլ տրված խախտումների համար պատասխանատու սուբյեկտների որոշակիությունը։ Մասնավորապես, օրինակ՝ եթե շինարարական աշխատանքների կատարման ընթացքում չեն պահպանվում փոշու տարածումը կանխարգելելուն կամ նվազեցնելուն ուղղված պարտադիր պահանջները, առաջարկվող կարգավորումից պետք է հստակ լինի՝ դրանց պահպանման ապահովումը վերապահված է գլխավոր կապալառուի՞ն, համապատասխան աշխատանքներն անմիջականորեն կատարող ենթակապալառուի՞ն, թե՞ յուրաքանչյուրին՝ իր պարտականությունների շրջանակում։</w:t>
            </w:r>
          </w:p>
        </w:tc>
        <w:tc>
          <w:tcPr>
            <w:tcW w:w="7560" w:type="dxa"/>
            <w:tcBorders>
              <w:top w:val="outset" w:sz="6" w:space="0" w:color="auto"/>
              <w:left w:val="outset" w:sz="6" w:space="0" w:color="auto"/>
              <w:bottom w:val="outset" w:sz="6" w:space="0" w:color="auto"/>
              <w:right w:val="nil"/>
            </w:tcBorders>
            <w:hideMark/>
          </w:tcPr>
          <w:p w14:paraId="72CCB5B4" w14:textId="161FF635" w:rsidR="000829CA" w:rsidRPr="003F294C" w:rsidRDefault="000829CA" w:rsidP="003F294C">
            <w:pPr>
              <w:pStyle w:val="ListParagraph"/>
              <w:spacing w:after="0" w:line="259" w:lineRule="auto"/>
              <w:ind w:left="165" w:right="150"/>
              <w:jc w:val="center"/>
              <w:rPr>
                <w:rFonts w:ascii="GHEA Grapalat" w:hAnsi="GHEA Grapalat" w:cs="Sylfaen"/>
                <w:b/>
                <w:bCs/>
                <w:sz w:val="24"/>
                <w:szCs w:val="24"/>
                <w:lang w:val="hy-AM"/>
              </w:rPr>
            </w:pPr>
            <w:r w:rsidRPr="003F294C">
              <w:rPr>
                <w:rFonts w:ascii="GHEA Grapalat" w:hAnsi="GHEA Grapalat" w:cs="Sylfaen"/>
                <w:b/>
                <w:bCs/>
                <w:sz w:val="24"/>
                <w:szCs w:val="24"/>
                <w:lang w:val="hy-AM"/>
              </w:rPr>
              <w:lastRenderedPageBreak/>
              <w:t>Ընդունվել է</w:t>
            </w:r>
          </w:p>
          <w:p w14:paraId="3263AB15" w14:textId="38784337"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Pr>
                <w:rFonts w:ascii="GHEA Grapalat" w:hAnsi="GHEA Grapalat" w:cs="Sylfaen"/>
                <w:sz w:val="24"/>
                <w:szCs w:val="24"/>
                <w:lang w:val="hy-AM"/>
              </w:rPr>
              <w:t>12.1-ին կետի երրորդ պարբերությամբ հստակեցվել են գլխավոր կապալառուի՝ աշխատանքների հաջորդականությունը, փոխկապակցվածությունը և կատարման ժամանակացույցը կազմակերպելու ու համակարգելու գործառույթները։ Չորրորդ պարբերությամբ ամրագրվել է, որ լիցենզիա չպահանջելը գլխավոր կապալառուին, ենթակապալառուներին և մյուս մասնակիցներին չի ազատում օրենսդրությամբ և պայմանագրերով իրենց վերապահված պարտականություններից ու պատասխանատվությունից։ Փաստաթղթերի կազմման և օբյեկտի ընդունման գործառույթները լրացուցիչ սահմանազատվել են N 596-Ն որոշման լրացումներով։ Փոշու տարածման կանխարգելման համար առանձին հատուկ նորմ չի նախատեսվել</w:t>
            </w:r>
            <w:r w:rsidR="003F294C">
              <w:rPr>
                <w:rFonts w:ascii="GHEA Grapalat" w:hAnsi="GHEA Grapalat" w:cs="Sylfaen"/>
                <w:sz w:val="24"/>
                <w:szCs w:val="24"/>
                <w:lang w:val="hy-AM"/>
              </w:rPr>
              <w:t>, քանի որ</w:t>
            </w:r>
            <w:r>
              <w:rPr>
                <w:rFonts w:ascii="GHEA Grapalat" w:hAnsi="GHEA Grapalat" w:cs="Sylfaen"/>
                <w:sz w:val="24"/>
                <w:szCs w:val="24"/>
                <w:lang w:val="hy-AM"/>
              </w:rPr>
              <w:t xml:space="preserve"> կիրառվում է պարտականությունների և պատասխանատվության պահպանման ընդհանուր դրույթը։</w:t>
            </w:r>
          </w:p>
        </w:tc>
        <w:tc>
          <w:tcPr>
            <w:tcW w:w="35" w:type="dxa"/>
            <w:tcBorders>
              <w:top w:val="outset" w:sz="6" w:space="0" w:color="auto"/>
              <w:left w:val="nil"/>
              <w:bottom w:val="outset" w:sz="6" w:space="0" w:color="auto"/>
              <w:right w:val="outset" w:sz="6" w:space="0" w:color="auto"/>
            </w:tcBorders>
            <w:hideMark/>
          </w:tcPr>
          <w:p w14:paraId="34A725A9" w14:textId="77777777" w:rsidR="00B332CA" w:rsidRPr="00074781" w:rsidRDefault="00B332CA" w:rsidP="008E3A28">
            <w:pPr>
              <w:spacing w:after="0" w:line="240" w:lineRule="auto"/>
              <w:ind w:left="-9" w:right="184" w:firstLine="598"/>
              <w:rPr>
                <w:rFonts w:ascii="GHEA Grapalat" w:eastAsia="Times New Roman" w:hAnsi="GHEA Grapalat"/>
                <w:color w:val="000000"/>
                <w:sz w:val="24"/>
                <w:szCs w:val="24"/>
                <w:lang w:val="af-ZA"/>
              </w:rPr>
            </w:pPr>
          </w:p>
        </w:tc>
      </w:tr>
      <w:tr w:rsidR="00E315BC" w:rsidRPr="003F294C" w14:paraId="716422E8" w14:textId="77777777" w:rsidTr="00501A04">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7C79C698"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5. Միաժամանակ գտնում ենք, որ Նախագծում կիրառվող՝ «համապատասխան գործունեության տեսակի լիցենզիա ունեցող ենթակապալառուներ» ձևակերպումը լրացուցիչ հստակեցման կարիք ունի։</w:t>
            </w:r>
          </w:p>
          <w:p w14:paraId="66C4A768"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Մասնավորապես՝ Օրենքի 21-րդ հոդվածով նախատեսված կարգավորումների համաձայն՝ գործունեություն իրականացնելու իրավունքը պայմանավորված է նաև համապատասխան ենթատեսակով, դասային աստիճանով և օբյեկտի ռիսկայնության աստիճանով։</w:t>
            </w:r>
          </w:p>
          <w:p w14:paraId="21573A18"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Հետևաբար միայն գործունեության տեսակի լիցենզիայի առկայության պահանջը բավարար հստակությամբ չի արտահայտում տվյալ աշխատանքն իրականացնելու իրավունքի նկատմամբ կիրառելի բոլոր պայմանները։ Չեն կարգավորվում նաև ենթակապալառուի փոխարինման, լիցենզիայի կամ համապատասխան ներդիրի գործողության կասեցման կամ դադարեցման դեպքերը։</w:t>
            </w:r>
          </w:p>
          <w:p w14:paraId="2A5C611E"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Ուստի առաջարկվում ենք պահանջը հստակեցնել՝ նախատեսելով կատարվող աշխատանքներին և օբյեկտի ռիսկայնության աստիճանին համապատասխան գործող լիցենզիայի, դասի և ներդիրի առկայությունը, ինչպես նաև այդ համապատասխանության պահպանումն աշխատանքների իրականացման ամբողջ ընթացքում։</w:t>
            </w:r>
          </w:p>
        </w:tc>
        <w:tc>
          <w:tcPr>
            <w:tcW w:w="7560" w:type="dxa"/>
            <w:tcBorders>
              <w:top w:val="outset" w:sz="6" w:space="0" w:color="auto"/>
              <w:left w:val="outset" w:sz="6" w:space="0" w:color="auto"/>
              <w:bottom w:val="outset" w:sz="6" w:space="0" w:color="auto"/>
              <w:right w:val="nil"/>
            </w:tcBorders>
            <w:hideMark/>
          </w:tcPr>
          <w:p w14:paraId="350690CB" w14:textId="3556229C" w:rsidR="000829CA" w:rsidRPr="003F294C" w:rsidRDefault="000829CA" w:rsidP="003F294C">
            <w:pPr>
              <w:pStyle w:val="ListParagraph"/>
              <w:spacing w:after="0" w:line="259" w:lineRule="auto"/>
              <w:ind w:left="165" w:right="150"/>
              <w:jc w:val="center"/>
              <w:rPr>
                <w:rFonts w:ascii="GHEA Grapalat" w:hAnsi="GHEA Grapalat" w:cs="Sylfaen"/>
                <w:b/>
                <w:bCs/>
                <w:sz w:val="24"/>
                <w:szCs w:val="24"/>
                <w:lang w:val="hy-AM"/>
              </w:rPr>
            </w:pPr>
            <w:r w:rsidRPr="003F294C">
              <w:rPr>
                <w:rFonts w:ascii="GHEA Grapalat" w:hAnsi="GHEA Grapalat" w:cs="Sylfaen"/>
                <w:b/>
                <w:bCs/>
                <w:sz w:val="24"/>
                <w:szCs w:val="24"/>
                <w:lang w:val="hy-AM"/>
              </w:rPr>
              <w:lastRenderedPageBreak/>
              <w:t>Ընդունվել է</w:t>
            </w:r>
          </w:p>
          <w:p w14:paraId="57ED8DDE" w14:textId="77777777"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Pr>
                <w:rFonts w:ascii="GHEA Grapalat" w:hAnsi="GHEA Grapalat" w:cs="Sylfaen"/>
                <w:sz w:val="24"/>
                <w:szCs w:val="24"/>
                <w:lang w:val="hy-AM"/>
              </w:rPr>
              <w:t xml:space="preserve">12.1-ին կետի երկրորդ պարբերությամբ պահանջվել են աշխատանքների ենթատեսակին և օբյեկտի ռիսկայնության աստիճանին համապատասխան դասի գործող լիցենզիա և համապատասխան ենթատեսակի գործող ներդիր։ Օրենքով կամ միջազգային պայմանագրով այլ հիմքով գործունեության իրավունք ունեցող անձինք գործում են այդ իրավունքի սահմաններում։ Համապատասխան իրավունքը պետք է պահպանվի աշխատանքների կատարման ամբողջ ընթացքում։ </w:t>
            </w:r>
            <w:r>
              <w:rPr>
                <w:rFonts w:ascii="GHEA Grapalat" w:hAnsi="GHEA Grapalat" w:cs="Sylfaen"/>
                <w:sz w:val="24"/>
                <w:szCs w:val="24"/>
                <w:lang w:val="hy-AM"/>
              </w:rPr>
              <w:lastRenderedPageBreak/>
              <w:t>N 596-Ն որոշման նոր 129.1-ին կետով նախատեսվել է աշխատանքները կատարող անձանց ու նրանց իրավունքը հավաստող փաստաթղթերի տվյալների ներկայացումը, իսկ դրանց փոփոխությունների դեպքում՝ ծանուցումը նույն կարգի 133-րդ կետով սահմանված կարգով։</w:t>
            </w:r>
          </w:p>
        </w:tc>
        <w:tc>
          <w:tcPr>
            <w:tcW w:w="35" w:type="dxa"/>
            <w:tcBorders>
              <w:top w:val="outset" w:sz="6" w:space="0" w:color="auto"/>
              <w:left w:val="nil"/>
              <w:bottom w:val="outset" w:sz="6" w:space="0" w:color="auto"/>
              <w:right w:val="outset" w:sz="6" w:space="0" w:color="auto"/>
            </w:tcBorders>
            <w:hideMark/>
          </w:tcPr>
          <w:p w14:paraId="4F685A7C" w14:textId="77777777" w:rsidR="00B332CA" w:rsidRPr="00074781" w:rsidRDefault="00B332CA" w:rsidP="008E3A28">
            <w:pPr>
              <w:spacing w:after="0" w:line="240" w:lineRule="auto"/>
              <w:ind w:left="-9" w:right="184" w:firstLine="598"/>
              <w:rPr>
                <w:rFonts w:ascii="GHEA Grapalat" w:eastAsia="Times New Roman" w:hAnsi="GHEA Grapalat"/>
                <w:color w:val="000000"/>
                <w:sz w:val="24"/>
                <w:szCs w:val="24"/>
                <w:lang w:val="af-ZA"/>
              </w:rPr>
            </w:pPr>
          </w:p>
        </w:tc>
      </w:tr>
      <w:tr w:rsidR="00E315BC" w:rsidRPr="003F294C" w14:paraId="0CDA6CDD" w14:textId="77777777" w:rsidTr="00501A04">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299C12A6"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6. Միաժամանակ հարկ է նկատի ունենալ, որ Նախագծի և հիմնավորման միջև առկա են կարգավորման շրջանակին վերաբերող անհամապատասխանություններ։</w:t>
            </w:r>
          </w:p>
          <w:p w14:paraId="6384213A"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Մասնավորապես, հիմնավորմամբ առաջարկվող բացառության անհրաժեշտությունը կապվում է խոշոր և տեխնիկապես բարդ շինարարական ծրագրերի հետ, մինչդեռ Նախագծով այդպիսի սահմանափակում նախատեսված չէ։ Բացի այդ, հիմնավորման «Կարգավորման նպատակը և բնույթը» բաժնում նշվում են նաև ընդլայնման և արդիականացման աշխատանքները, իսկ առաջարկվող նորմում՝ միայն կառուցման և վերակառուցման աշխատանքները։</w:t>
            </w:r>
          </w:p>
          <w:p w14:paraId="5EFB8D61"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Նշված անհամապատասխանությունները թույլ չեն տալիս միանշանակ որոշել կարգավորման նախատեսվող շրջանակը։ Անհրաժեշտ է համապատասխանեցնել Նախագծի և հիմնավորման բովանդակությունը, իսկ բացառությունը միայն որոշակի ծրագրերի նկատմամբ կիրառելու նպատակ ունենալու դեպքում՝ Նախագծում սահմանել այդ ծրագրերի որոշման օբյեկտիվ չափանիշները։</w:t>
            </w:r>
          </w:p>
        </w:tc>
        <w:tc>
          <w:tcPr>
            <w:tcW w:w="7560" w:type="dxa"/>
            <w:tcBorders>
              <w:top w:val="outset" w:sz="6" w:space="0" w:color="auto"/>
              <w:left w:val="outset" w:sz="6" w:space="0" w:color="auto"/>
              <w:bottom w:val="outset" w:sz="6" w:space="0" w:color="auto"/>
              <w:right w:val="nil"/>
            </w:tcBorders>
            <w:hideMark/>
          </w:tcPr>
          <w:p w14:paraId="39E55649"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69EAA75C"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6A8EEEB4"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736B9DDF" w14:textId="6A2362B7" w:rsidR="000829CA" w:rsidRPr="003F294C" w:rsidRDefault="000829CA" w:rsidP="003F294C">
            <w:pPr>
              <w:pStyle w:val="ListParagraph"/>
              <w:spacing w:after="0" w:line="259" w:lineRule="auto"/>
              <w:ind w:left="165" w:right="150"/>
              <w:jc w:val="center"/>
              <w:rPr>
                <w:rFonts w:ascii="GHEA Grapalat" w:hAnsi="GHEA Grapalat" w:cs="Sylfaen"/>
                <w:b/>
                <w:bCs/>
                <w:sz w:val="24"/>
                <w:szCs w:val="24"/>
                <w:lang w:val="hy-AM"/>
              </w:rPr>
            </w:pPr>
            <w:r w:rsidRPr="003F294C">
              <w:rPr>
                <w:rFonts w:ascii="GHEA Grapalat" w:hAnsi="GHEA Grapalat" w:cs="Sylfaen"/>
                <w:b/>
                <w:bCs/>
                <w:sz w:val="24"/>
                <w:szCs w:val="24"/>
                <w:lang w:val="hy-AM"/>
              </w:rPr>
              <w:t>Ընդունվել է մաս</w:t>
            </w:r>
            <w:r w:rsidR="003F294C" w:rsidRPr="003F294C">
              <w:rPr>
                <w:rFonts w:ascii="GHEA Grapalat" w:hAnsi="GHEA Grapalat" w:cs="Sylfaen"/>
                <w:b/>
                <w:bCs/>
                <w:sz w:val="24"/>
                <w:szCs w:val="24"/>
                <w:lang w:val="hy-AM"/>
              </w:rPr>
              <w:t>նակի</w:t>
            </w:r>
          </w:p>
          <w:p w14:paraId="029479D6" w14:textId="78B768F9"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Pr>
                <w:rFonts w:ascii="GHEA Grapalat" w:hAnsi="GHEA Grapalat" w:cs="Sylfaen"/>
                <w:sz w:val="24"/>
                <w:szCs w:val="24"/>
                <w:lang w:val="hy-AM"/>
              </w:rPr>
              <w:t xml:space="preserve">Նախագծում հստակեցվել է բացառության սուբյեկտային շրջանակը. այն վերաբերում է 12.1-ին կետում նշված պայմանները բավարարող ոչ ռեզիդենտ գլխավոր կապալառուներին։ Կարգավորումը վերաբերում է կառուցման կամ վերակառուցման աշխատանքների ընդհանուր պլանավորմանը, կազմակերպմանը և համակարգմանը։ Միայն խոշոր կամ տեխնիկապես բարդ ծրագրերով սահմանափակում չի նախատեսվել։ </w:t>
            </w:r>
          </w:p>
        </w:tc>
        <w:tc>
          <w:tcPr>
            <w:tcW w:w="35" w:type="dxa"/>
            <w:tcBorders>
              <w:top w:val="outset" w:sz="6" w:space="0" w:color="auto"/>
              <w:left w:val="nil"/>
              <w:bottom w:val="outset" w:sz="6" w:space="0" w:color="auto"/>
              <w:right w:val="outset" w:sz="6" w:space="0" w:color="auto"/>
            </w:tcBorders>
            <w:hideMark/>
          </w:tcPr>
          <w:p w14:paraId="1512C9F5" w14:textId="77777777" w:rsidR="00B332CA" w:rsidRPr="00074781" w:rsidRDefault="00B332CA" w:rsidP="008E3A28">
            <w:pPr>
              <w:spacing w:after="0" w:line="240" w:lineRule="auto"/>
              <w:ind w:left="-9" w:right="184" w:firstLine="598"/>
              <w:rPr>
                <w:rFonts w:ascii="GHEA Grapalat" w:eastAsia="Times New Roman" w:hAnsi="GHEA Grapalat"/>
                <w:color w:val="000000"/>
                <w:sz w:val="24"/>
                <w:szCs w:val="24"/>
                <w:lang w:val="af-ZA"/>
              </w:rPr>
            </w:pPr>
          </w:p>
        </w:tc>
      </w:tr>
    </w:tbl>
    <w:p w14:paraId="328F0EE3" w14:textId="77777777" w:rsidR="00E50848" w:rsidRPr="003F294C" w:rsidRDefault="00000000">
      <w:pPr>
        <w:spacing w:after="0" w:line="20" w:lineRule="exact"/>
        <w:rPr>
          <w:lang w:val="hy-AM"/>
        </w:rPr>
      </w:pPr>
      <w:r w:rsidRPr="003F294C">
        <w:rPr>
          <w:lang w:val="hy-AM"/>
        </w:rPr>
        <w:br w:type="page"/>
      </w:r>
    </w:p>
    <w:tbl>
      <w:tblPr>
        <w:tblOverlap w:val="never"/>
        <w:tblW w:w="1478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2"/>
        <w:gridCol w:w="7560"/>
        <w:gridCol w:w="35"/>
      </w:tblGrid>
      <w:tr w:rsidR="0004584D" w:rsidRPr="0018747A" w14:paraId="42EA8B73" w14:textId="77777777" w:rsidTr="003F294C">
        <w:trPr>
          <w:gridAfter w:val="1"/>
          <w:wAfter w:w="35" w:type="dxa"/>
          <w:trHeight w:val="420"/>
          <w:tblCellSpacing w:w="0" w:type="dxa"/>
        </w:trPr>
        <w:tc>
          <w:tcPr>
            <w:tcW w:w="7192" w:type="dxa"/>
            <w:tcBorders>
              <w:top w:val="outset" w:sz="6" w:space="0" w:color="auto"/>
              <w:left w:val="outset" w:sz="6" w:space="0" w:color="auto"/>
              <w:right w:val="outset" w:sz="6" w:space="0" w:color="auto"/>
            </w:tcBorders>
            <w:shd w:val="clear" w:color="auto" w:fill="D0D0D0"/>
            <w:hideMark/>
          </w:tcPr>
          <w:p w14:paraId="353AE193" w14:textId="77777777" w:rsidR="0018747A" w:rsidRPr="009B2FBB" w:rsidRDefault="0004584D" w:rsidP="0018747A">
            <w:pPr>
              <w:pStyle w:val="BodyText"/>
              <w:keepNext/>
              <w:pageBreakBefore/>
              <w:tabs>
                <w:tab w:val="left" w:pos="4582"/>
              </w:tabs>
              <w:spacing w:line="23" w:lineRule="atLeast"/>
              <w:rPr>
                <w:rFonts w:ascii="GHEA Grapalat" w:hAnsi="GHEA Grapalat" w:cs="Arial Unicode"/>
                <w:b/>
                <w:bCs/>
                <w:color w:val="000000"/>
                <w:szCs w:val="24"/>
                <w:lang w:val="af-ZA" w:eastAsia="en-US"/>
              </w:rPr>
            </w:pPr>
            <w:r>
              <w:rPr>
                <w:rFonts w:ascii="GHEA Grapalat" w:hAnsi="GHEA Grapalat" w:cs="Arial Unicode"/>
                <w:b/>
                <w:bCs/>
                <w:color w:val="000000"/>
                <w:szCs w:val="24"/>
                <w:lang w:val="af-ZA" w:eastAsia="en-US"/>
              </w:rPr>
              <w:lastRenderedPageBreak/>
              <w:t>2. ՀՀ կրթության, գիտության, մշակույթի և սպորտի նախարարություն</w:t>
            </w:r>
          </w:p>
        </w:tc>
        <w:tc>
          <w:tcPr>
            <w:tcW w:w="7560" w:type="dxa"/>
            <w:tcBorders>
              <w:top w:val="outset" w:sz="6" w:space="0" w:color="auto"/>
              <w:left w:val="outset" w:sz="6" w:space="0" w:color="auto"/>
              <w:bottom w:val="outset" w:sz="6" w:space="0" w:color="auto"/>
              <w:right w:val="outset" w:sz="6" w:space="0" w:color="auto"/>
            </w:tcBorders>
            <w:shd w:val="clear" w:color="auto" w:fill="D0D0D0"/>
          </w:tcPr>
          <w:p w14:paraId="2EEC8657" w14:textId="77777777" w:rsidR="0004584D" w:rsidRPr="00205A43" w:rsidRDefault="00205A43" w:rsidP="008E3A28">
            <w:pPr>
              <w:pStyle w:val="BodyText"/>
              <w:keepNext/>
              <w:pageBreakBefore/>
              <w:tabs>
                <w:tab w:val="left" w:pos="4582"/>
              </w:tabs>
              <w:spacing w:line="23" w:lineRule="atLeast"/>
              <w:rPr>
                <w:rFonts w:ascii="GHEA Grapalat" w:eastAsia="Calibri" w:hAnsi="GHEA Grapalat" w:cs="Sylfaen"/>
                <w:b/>
                <w:bCs/>
                <w:szCs w:val="24"/>
                <w:lang w:val="en-US" w:eastAsia="en-US"/>
              </w:rPr>
            </w:pPr>
            <w:r>
              <w:rPr>
                <w:rFonts w:ascii="GHEA Grapalat" w:eastAsia="Calibri" w:hAnsi="GHEA Grapalat" w:cs="Sylfaen"/>
                <w:b/>
                <w:bCs/>
                <w:szCs w:val="24"/>
                <w:lang w:val="en-US" w:eastAsia="en-US"/>
              </w:rPr>
              <w:t>N 01/17.2/40263-2026</w:t>
            </w:r>
          </w:p>
        </w:tc>
      </w:tr>
      <w:tr w:rsidR="00E315BC" w:rsidRPr="003F294C" w14:paraId="402A3FE9" w14:textId="77777777" w:rsidTr="00501A04">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3AF49E6F"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«Հայաստանի Հանրապետության կառավարության 2023 թվականի սեպտեմբերի 22-ի N 1615-Ն որոշման մեջ լրացում կատարելու մասին» ՀՀ կառավարության որոշման նախագծի վերաբերյալ առաջարկում եմ. հաշվի առնելով, որ նախագծով սահմանվող առանձնահատկությունը վերաբերում է այն աշխատանքներին և ծառայություններին, որոնք ներառված չեն ՀՀ կառավարության 22.09.2023թ-ի N1615-Ն որոշմամբ սահմանվող ցանկում՝ առաջարկում եմ նախագիծը շարադրել հետևյալ խմբագրությամբ.</w:t>
            </w:r>
          </w:p>
          <w:p w14:paraId="556ED221"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«Հայաստանի Հանրապետության կառավարության 2023 թվականի սեպտեմբերի 22-ի «Քաղաքաշինության բնագավառում լիցենզիա չպահանջող աշխատանքների և ծառայությունների ցանկը հաստատելու մասին» N 1615-Ն որոշումը լրացնել նոր 1.1-ին կետով՝ հետևյալ խմբագրությամբ.</w:t>
            </w:r>
          </w:p>
          <w:p w14:paraId="1780129C"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«1.1. Սույն որոշման հավելվածով հաստատված ցանկում չներառված աշխատանքների և ծառայությունների համար յուրաքանչյուր առանձին դեպքում այդ աշխատանքների կամ ծառայությունների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շինարարական օբյեկտների կառուցման կամ վերակառուցման աշխատանքների կազմակերպման ու իրականացման նպատակով գլխավոր կապալառուից լիցենզիա չպահանջելու համար՝ պայմանով, որ բոլոր շինարարական աշխատանքները կատարվեն համապատասխան գործունեության տեսակի լիցենզիա ունեցող ենթակապալառուների միջոցով։»։</w:t>
            </w:r>
          </w:p>
        </w:tc>
        <w:tc>
          <w:tcPr>
            <w:tcW w:w="7560" w:type="dxa"/>
            <w:tcBorders>
              <w:top w:val="outset" w:sz="6" w:space="0" w:color="auto"/>
              <w:left w:val="outset" w:sz="6" w:space="0" w:color="auto"/>
              <w:bottom w:val="outset" w:sz="6" w:space="0" w:color="auto"/>
              <w:right w:val="nil"/>
            </w:tcBorders>
            <w:hideMark/>
          </w:tcPr>
          <w:p w14:paraId="2E5F0C56"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4E168AC0"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0EB5E372"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1624BC54"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7888D234" w14:textId="77777777" w:rsidR="003F294C" w:rsidRDefault="003F294C" w:rsidP="003F294C">
            <w:pPr>
              <w:pStyle w:val="ListParagraph"/>
              <w:spacing w:after="0" w:line="259" w:lineRule="auto"/>
              <w:ind w:left="165" w:right="150"/>
              <w:jc w:val="center"/>
              <w:rPr>
                <w:rFonts w:ascii="GHEA Grapalat" w:hAnsi="GHEA Grapalat" w:cs="Sylfaen"/>
                <w:b/>
                <w:bCs/>
                <w:sz w:val="24"/>
                <w:szCs w:val="24"/>
                <w:lang w:val="hy-AM"/>
              </w:rPr>
            </w:pPr>
          </w:p>
          <w:p w14:paraId="27569D40" w14:textId="1A598D27"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sidRPr="003F294C">
              <w:rPr>
                <w:rFonts w:ascii="GHEA Grapalat" w:hAnsi="GHEA Grapalat" w:cs="Sylfaen"/>
                <w:b/>
                <w:bCs/>
                <w:sz w:val="24"/>
                <w:szCs w:val="24"/>
                <w:lang w:val="hy-AM"/>
              </w:rPr>
              <w:t>Չի ընդունվել՝ առաջարկվող խմբագրության մասով</w:t>
            </w:r>
          </w:p>
          <w:p w14:paraId="40DB6B07" w14:textId="77777777"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Pr>
                <w:rFonts w:ascii="GHEA Grapalat" w:hAnsi="GHEA Grapalat" w:cs="Sylfaen"/>
                <w:sz w:val="24"/>
                <w:szCs w:val="24"/>
                <w:lang w:val="hy-AM"/>
              </w:rPr>
              <w:t>Լրամշակված նախագծից հանվել է յուրաքանչյուր առանձին դեպքում Կառավարության թույլտվություն ստանալու պահանջը, ուստի պատվիրատուի դիմումով առանձին որոշման նախագիծ ներկայացնելու մեխանիզմ չի նախատեսվել։ Կարգավորումը պահպանվել է N 1615-Ն որոշման հավելվածի 3-րդ գլխում՝ որպես լիցենզիա չպահանջող ընդհանուր պլանավորման, կազմակերպման և համակարգման ծառայություն՝ 12.1-ին կետով սահմանված պայմաններով։ Լիցենզավորման ենթակա շինարարական աշխատանքներն իրականացվում են համապատասխան իրավունք ունեցող անձանց միջոցով։</w:t>
            </w:r>
          </w:p>
        </w:tc>
        <w:tc>
          <w:tcPr>
            <w:tcW w:w="35" w:type="dxa"/>
            <w:tcBorders>
              <w:top w:val="outset" w:sz="6" w:space="0" w:color="auto"/>
              <w:left w:val="nil"/>
              <w:bottom w:val="outset" w:sz="6" w:space="0" w:color="auto"/>
              <w:right w:val="outset" w:sz="6" w:space="0" w:color="auto"/>
            </w:tcBorders>
            <w:hideMark/>
          </w:tcPr>
          <w:p w14:paraId="3CA5D006" w14:textId="77777777" w:rsidR="00B332CA" w:rsidRPr="00074781" w:rsidRDefault="00B332CA" w:rsidP="008E3A28">
            <w:pPr>
              <w:spacing w:after="0" w:line="240" w:lineRule="auto"/>
              <w:ind w:left="-9" w:right="184" w:firstLine="598"/>
              <w:rPr>
                <w:rFonts w:ascii="GHEA Grapalat" w:eastAsia="Times New Roman" w:hAnsi="GHEA Grapalat"/>
                <w:color w:val="000000"/>
                <w:sz w:val="24"/>
                <w:szCs w:val="24"/>
                <w:lang w:val="af-ZA"/>
              </w:rPr>
            </w:pPr>
          </w:p>
        </w:tc>
      </w:tr>
    </w:tbl>
    <w:p w14:paraId="2FE29D4B" w14:textId="77777777" w:rsidR="00E50848" w:rsidRPr="003F294C" w:rsidRDefault="00000000">
      <w:pPr>
        <w:spacing w:after="0" w:line="20" w:lineRule="exact"/>
        <w:rPr>
          <w:lang w:val="hy-AM"/>
        </w:rPr>
      </w:pPr>
      <w:r w:rsidRPr="003F294C">
        <w:rPr>
          <w:lang w:val="hy-AM"/>
        </w:rPr>
        <w:br w:type="page"/>
      </w:r>
    </w:p>
    <w:tbl>
      <w:tblPr>
        <w:tblOverlap w:val="never"/>
        <w:tblW w:w="14787"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2"/>
        <w:gridCol w:w="7560"/>
        <w:gridCol w:w="35"/>
      </w:tblGrid>
      <w:tr w:rsidR="0004584D" w:rsidRPr="0018747A" w14:paraId="731CC571" w14:textId="77777777" w:rsidTr="003F294C">
        <w:trPr>
          <w:gridAfter w:val="1"/>
          <w:wAfter w:w="35" w:type="dxa"/>
          <w:trHeight w:val="420"/>
          <w:tblCellSpacing w:w="0" w:type="dxa"/>
        </w:trPr>
        <w:tc>
          <w:tcPr>
            <w:tcW w:w="7192" w:type="dxa"/>
            <w:tcBorders>
              <w:top w:val="outset" w:sz="6" w:space="0" w:color="auto"/>
              <w:left w:val="outset" w:sz="6" w:space="0" w:color="auto"/>
              <w:right w:val="outset" w:sz="6" w:space="0" w:color="auto"/>
            </w:tcBorders>
            <w:shd w:val="clear" w:color="auto" w:fill="D0D0D0"/>
            <w:hideMark/>
          </w:tcPr>
          <w:p w14:paraId="23B9234F" w14:textId="77777777" w:rsidR="0018747A" w:rsidRPr="009B2FBB" w:rsidRDefault="0004584D" w:rsidP="0018747A">
            <w:pPr>
              <w:pStyle w:val="BodyText"/>
              <w:keepNext/>
              <w:pageBreakBefore/>
              <w:tabs>
                <w:tab w:val="left" w:pos="4582"/>
              </w:tabs>
              <w:spacing w:line="23" w:lineRule="atLeast"/>
              <w:rPr>
                <w:rFonts w:ascii="GHEA Grapalat" w:hAnsi="GHEA Grapalat" w:cs="Arial Unicode"/>
                <w:b/>
                <w:bCs/>
                <w:color w:val="000000"/>
                <w:szCs w:val="24"/>
                <w:lang w:val="af-ZA" w:eastAsia="en-US"/>
              </w:rPr>
            </w:pPr>
            <w:r>
              <w:rPr>
                <w:rFonts w:ascii="GHEA Grapalat" w:hAnsi="GHEA Grapalat" w:cs="Arial Unicode"/>
                <w:b/>
                <w:bCs/>
                <w:color w:val="000000"/>
                <w:szCs w:val="24"/>
                <w:lang w:val="af-ZA" w:eastAsia="en-US"/>
              </w:rPr>
              <w:lastRenderedPageBreak/>
              <w:t>3. ՀՀ ֆինանսների նախարարություն</w:t>
            </w:r>
          </w:p>
        </w:tc>
        <w:tc>
          <w:tcPr>
            <w:tcW w:w="7560" w:type="dxa"/>
            <w:tcBorders>
              <w:top w:val="outset" w:sz="6" w:space="0" w:color="auto"/>
              <w:left w:val="outset" w:sz="6" w:space="0" w:color="auto"/>
              <w:bottom w:val="outset" w:sz="6" w:space="0" w:color="auto"/>
              <w:right w:val="outset" w:sz="6" w:space="0" w:color="auto"/>
            </w:tcBorders>
            <w:shd w:val="clear" w:color="auto" w:fill="D0D0D0"/>
          </w:tcPr>
          <w:p w14:paraId="108C581B" w14:textId="77777777" w:rsidR="0004584D" w:rsidRPr="00205A43" w:rsidRDefault="00205A43" w:rsidP="008E3A28">
            <w:pPr>
              <w:pStyle w:val="BodyText"/>
              <w:keepNext/>
              <w:pageBreakBefore/>
              <w:tabs>
                <w:tab w:val="left" w:pos="4582"/>
              </w:tabs>
              <w:spacing w:line="23" w:lineRule="atLeast"/>
              <w:rPr>
                <w:rFonts w:ascii="GHEA Grapalat" w:eastAsia="Calibri" w:hAnsi="GHEA Grapalat" w:cs="Sylfaen"/>
                <w:b/>
                <w:bCs/>
                <w:szCs w:val="24"/>
                <w:lang w:val="en-US" w:eastAsia="en-US"/>
              </w:rPr>
            </w:pPr>
            <w:r>
              <w:rPr>
                <w:rFonts w:ascii="GHEA Grapalat" w:eastAsia="Calibri" w:hAnsi="GHEA Grapalat" w:cs="Sylfaen"/>
                <w:b/>
                <w:bCs/>
                <w:szCs w:val="24"/>
                <w:lang w:val="en-US" w:eastAsia="en-US"/>
              </w:rPr>
              <w:t>N 01/11-4/27694-2026</w:t>
            </w:r>
          </w:p>
        </w:tc>
      </w:tr>
      <w:tr w:rsidR="00E315BC" w:rsidRPr="003F294C" w14:paraId="0A23BF27" w14:textId="77777777" w:rsidTr="00501A04">
        <w:trPr>
          <w:trHeight w:val="1425"/>
          <w:tblCellSpacing w:w="0" w:type="dxa"/>
        </w:trPr>
        <w:tc>
          <w:tcPr>
            <w:tcW w:w="7192" w:type="dxa"/>
            <w:tcBorders>
              <w:top w:val="outset" w:sz="6" w:space="0" w:color="auto"/>
              <w:left w:val="outset" w:sz="6" w:space="0" w:color="auto"/>
              <w:bottom w:val="outset" w:sz="6" w:space="0" w:color="auto"/>
              <w:right w:val="outset" w:sz="6" w:space="0" w:color="auto"/>
            </w:tcBorders>
            <w:shd w:val="clear" w:color="auto" w:fill="FFFFFF"/>
          </w:tcPr>
          <w:p w14:paraId="31CF84C0" w14:textId="77777777" w:rsidR="00205A43" w:rsidRDefault="00205A43" w:rsidP="00205A43">
            <w:pPr>
              <w:tabs>
                <w:tab w:val="left" w:pos="1276"/>
              </w:tabs>
              <w:spacing w:line="240" w:lineRule="auto"/>
              <w:ind w:left="150" w:right="180" w:firstLine="417"/>
              <w:contextualSpacing/>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Առաջարկում ենք Նախագծով նախատեսվող կարգավորումը խմբագրել այն համատեքստում, որ հնարավորությունը վերաբերում է բացառապես ոչ ռեզիդենտ հանդիսացող կազմակերպություններին և կարող է կիրառվել միայն այն դեպքում, երբ հնարավոր չէ ապահովել «Լիցենզավորման մասին» օրենքի 7-րդ հոդվածով նախատեսված մեխանիզմը:</w:t>
            </w:r>
          </w:p>
        </w:tc>
        <w:tc>
          <w:tcPr>
            <w:tcW w:w="7560" w:type="dxa"/>
            <w:tcBorders>
              <w:top w:val="outset" w:sz="6" w:space="0" w:color="auto"/>
              <w:left w:val="outset" w:sz="6" w:space="0" w:color="auto"/>
              <w:bottom w:val="outset" w:sz="6" w:space="0" w:color="auto"/>
              <w:right w:val="nil"/>
            </w:tcBorders>
            <w:hideMark/>
          </w:tcPr>
          <w:p w14:paraId="0124879B" w14:textId="33F50835" w:rsidR="000829CA" w:rsidRPr="003F294C" w:rsidRDefault="000829CA" w:rsidP="003F294C">
            <w:pPr>
              <w:pStyle w:val="ListParagraph"/>
              <w:spacing w:after="0" w:line="259" w:lineRule="auto"/>
              <w:ind w:left="165" w:right="150"/>
              <w:jc w:val="center"/>
              <w:rPr>
                <w:rFonts w:ascii="GHEA Grapalat" w:hAnsi="GHEA Grapalat" w:cs="Sylfaen"/>
                <w:b/>
                <w:bCs/>
                <w:sz w:val="24"/>
                <w:szCs w:val="24"/>
                <w:lang w:val="hy-AM"/>
              </w:rPr>
            </w:pPr>
            <w:r w:rsidRPr="003F294C">
              <w:rPr>
                <w:rFonts w:ascii="GHEA Grapalat" w:hAnsi="GHEA Grapalat" w:cs="Sylfaen"/>
                <w:b/>
                <w:bCs/>
                <w:sz w:val="24"/>
                <w:szCs w:val="24"/>
                <w:lang w:val="hy-AM"/>
              </w:rPr>
              <w:t>Ընդունվել է</w:t>
            </w:r>
          </w:p>
          <w:p w14:paraId="7172EE37" w14:textId="77777777"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Pr>
                <w:rFonts w:ascii="GHEA Grapalat" w:hAnsi="GHEA Grapalat" w:cs="Sylfaen"/>
                <w:sz w:val="24"/>
                <w:szCs w:val="24"/>
                <w:lang w:val="hy-AM"/>
              </w:rPr>
              <w:t>12.1-ին կետի առաջին պարբերությամբ կարգավորումը սահմանափակվել է ՀՀ հարկային օրենսգրքի 22-րդ հոդվածի իմաստով ոչ ռեզիդենտ կազմակերպություն հանդիսացող գլխավոր կապալառուներով, որոնք չունեն «Լիցենզավորման մասին» օրենքի 7-րդ հոդվածի 6.1-ին կամ 6.2-րդ մասով նախատեսված՝ համապատասխան գործունեության իրականացման իրավունք տրամադրելու հիմք հանդիսացող օտարերկրյա լիցենզիա կամ համապատասխան գործունեության տեսակով զբաղվելու իրավունքը հավաստող փաստաթուղթ։</w:t>
            </w:r>
          </w:p>
          <w:p w14:paraId="6129BAED" w14:textId="77777777" w:rsidR="000829CA" w:rsidRDefault="000829CA" w:rsidP="003F294C">
            <w:pPr>
              <w:pStyle w:val="ListParagraph"/>
              <w:spacing w:after="0" w:line="259" w:lineRule="auto"/>
              <w:ind w:left="165" w:right="150"/>
              <w:jc w:val="center"/>
              <w:rPr>
                <w:rFonts w:ascii="GHEA Grapalat" w:hAnsi="GHEA Grapalat" w:cs="Sylfaen"/>
                <w:sz w:val="24"/>
                <w:szCs w:val="24"/>
                <w:lang w:val="hy-AM"/>
              </w:rPr>
            </w:pPr>
            <w:r>
              <w:rPr>
                <w:rFonts w:ascii="GHEA Grapalat" w:hAnsi="GHEA Grapalat" w:cs="Sylfaen"/>
                <w:sz w:val="24"/>
                <w:szCs w:val="24"/>
                <w:lang w:val="hy-AM"/>
              </w:rPr>
              <w:t>N 596-Ն որոշման նոր 129.1-ին կետով պահանջվել են օտարերկրյա պետությունում գրանցումը հավաստող փաստաթուղթը և նշված օտարերկրյա փաստաթղթի բացակայության վերաբերյալ գրավոր հայտարարությունը՝ դրա իրավական կամ փաստական հիմքերը հաստատող տեղեկություններով։</w:t>
            </w:r>
          </w:p>
        </w:tc>
        <w:tc>
          <w:tcPr>
            <w:tcW w:w="35" w:type="dxa"/>
            <w:tcBorders>
              <w:top w:val="outset" w:sz="6" w:space="0" w:color="auto"/>
              <w:left w:val="nil"/>
              <w:bottom w:val="outset" w:sz="6" w:space="0" w:color="auto"/>
              <w:right w:val="outset" w:sz="6" w:space="0" w:color="auto"/>
            </w:tcBorders>
            <w:hideMark/>
          </w:tcPr>
          <w:p w14:paraId="18F50093" w14:textId="77777777" w:rsidR="00B332CA" w:rsidRPr="00074781" w:rsidRDefault="00B332CA" w:rsidP="008E3A28">
            <w:pPr>
              <w:spacing w:after="0" w:line="240" w:lineRule="auto"/>
              <w:ind w:left="-9" w:right="184" w:firstLine="598"/>
              <w:rPr>
                <w:rFonts w:ascii="GHEA Grapalat" w:eastAsia="Times New Roman" w:hAnsi="GHEA Grapalat"/>
                <w:color w:val="000000"/>
                <w:sz w:val="24"/>
                <w:szCs w:val="24"/>
                <w:lang w:val="af-ZA"/>
              </w:rPr>
            </w:pPr>
          </w:p>
        </w:tc>
      </w:tr>
    </w:tbl>
    <w:p w14:paraId="1868F40B" w14:textId="77777777" w:rsidR="00E1771F" w:rsidRPr="00074781" w:rsidRDefault="00E1771F" w:rsidP="00232FAB">
      <w:pPr>
        <w:ind w:left="360" w:firstLine="450"/>
        <w:rPr>
          <w:rFonts w:ascii="GHEA Grapalat" w:hAnsi="GHEA Grapalat"/>
          <w:sz w:val="24"/>
          <w:szCs w:val="24"/>
          <w:lang w:val="af-ZA"/>
        </w:rPr>
      </w:pPr>
    </w:p>
    <w:sectPr w:rsidR="00E1771F" w:rsidRPr="00074781" w:rsidSect="00D667E8">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auto"/>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2D45AA"/>
    <w:multiLevelType w:val="hybridMultilevel"/>
    <w:tmpl w:val="7FA2E0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4A055B7"/>
    <w:multiLevelType w:val="hybridMultilevel"/>
    <w:tmpl w:val="60AC0224"/>
    <w:lvl w:ilvl="0" w:tplc="3C2A9632">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25D63F48"/>
    <w:multiLevelType w:val="hybridMultilevel"/>
    <w:tmpl w:val="CADAA5D6"/>
    <w:lvl w:ilvl="0" w:tplc="CE1A74BC">
      <w:start w:val="1"/>
      <w:numFmt w:val="decimal"/>
      <w:lvlText w:val="%1."/>
      <w:lvlJc w:val="left"/>
      <w:pPr>
        <w:ind w:left="528" w:hanging="360"/>
      </w:pPr>
      <w:rPr>
        <w:rFonts w:hint="default"/>
        <w:i w:val="0"/>
      </w:rPr>
    </w:lvl>
    <w:lvl w:ilvl="1" w:tplc="04090019" w:tentative="1">
      <w:start w:val="1"/>
      <w:numFmt w:val="lowerLetter"/>
      <w:lvlText w:val="%2."/>
      <w:lvlJc w:val="left"/>
      <w:pPr>
        <w:ind w:left="1248" w:hanging="360"/>
      </w:pPr>
    </w:lvl>
    <w:lvl w:ilvl="2" w:tplc="0409001B" w:tentative="1">
      <w:start w:val="1"/>
      <w:numFmt w:val="lowerRoman"/>
      <w:lvlText w:val="%3."/>
      <w:lvlJc w:val="right"/>
      <w:pPr>
        <w:ind w:left="1968" w:hanging="180"/>
      </w:pPr>
    </w:lvl>
    <w:lvl w:ilvl="3" w:tplc="0409000F" w:tentative="1">
      <w:start w:val="1"/>
      <w:numFmt w:val="decimal"/>
      <w:lvlText w:val="%4."/>
      <w:lvlJc w:val="left"/>
      <w:pPr>
        <w:ind w:left="2688" w:hanging="360"/>
      </w:pPr>
    </w:lvl>
    <w:lvl w:ilvl="4" w:tplc="04090019" w:tentative="1">
      <w:start w:val="1"/>
      <w:numFmt w:val="lowerLetter"/>
      <w:lvlText w:val="%5."/>
      <w:lvlJc w:val="left"/>
      <w:pPr>
        <w:ind w:left="3408" w:hanging="360"/>
      </w:pPr>
    </w:lvl>
    <w:lvl w:ilvl="5" w:tplc="0409001B" w:tentative="1">
      <w:start w:val="1"/>
      <w:numFmt w:val="lowerRoman"/>
      <w:lvlText w:val="%6."/>
      <w:lvlJc w:val="right"/>
      <w:pPr>
        <w:ind w:left="4128" w:hanging="180"/>
      </w:pPr>
    </w:lvl>
    <w:lvl w:ilvl="6" w:tplc="0409000F" w:tentative="1">
      <w:start w:val="1"/>
      <w:numFmt w:val="decimal"/>
      <w:lvlText w:val="%7."/>
      <w:lvlJc w:val="left"/>
      <w:pPr>
        <w:ind w:left="4848" w:hanging="360"/>
      </w:pPr>
    </w:lvl>
    <w:lvl w:ilvl="7" w:tplc="04090019" w:tentative="1">
      <w:start w:val="1"/>
      <w:numFmt w:val="lowerLetter"/>
      <w:lvlText w:val="%8."/>
      <w:lvlJc w:val="left"/>
      <w:pPr>
        <w:ind w:left="5568" w:hanging="360"/>
      </w:pPr>
    </w:lvl>
    <w:lvl w:ilvl="8" w:tplc="0409001B" w:tentative="1">
      <w:start w:val="1"/>
      <w:numFmt w:val="lowerRoman"/>
      <w:lvlText w:val="%9."/>
      <w:lvlJc w:val="right"/>
      <w:pPr>
        <w:ind w:left="6288" w:hanging="180"/>
      </w:pPr>
    </w:lvl>
  </w:abstractNum>
  <w:abstractNum w:abstractNumId="3" w15:restartNumberingAfterBreak="0">
    <w:nsid w:val="27DD0295"/>
    <w:multiLevelType w:val="hybridMultilevel"/>
    <w:tmpl w:val="71EAC25C"/>
    <w:lvl w:ilvl="0" w:tplc="660EC412">
      <w:start w:val="1"/>
      <w:numFmt w:val="decimal"/>
      <w:lvlText w:val="%1."/>
      <w:lvlJc w:val="left"/>
      <w:pPr>
        <w:ind w:left="450"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4" w15:restartNumberingAfterBreak="0">
    <w:nsid w:val="2F4E70F7"/>
    <w:multiLevelType w:val="hybridMultilevel"/>
    <w:tmpl w:val="F5F42954"/>
    <w:lvl w:ilvl="0" w:tplc="637E47DA">
      <w:start w:val="5"/>
      <w:numFmt w:val="decimal"/>
      <w:lvlText w:val="%1."/>
      <w:lvlJc w:val="left"/>
      <w:pPr>
        <w:ind w:left="793" w:hanging="360"/>
      </w:pPr>
      <w:rPr>
        <w:rFonts w:hint="default"/>
      </w:rPr>
    </w:lvl>
    <w:lvl w:ilvl="1" w:tplc="04090019" w:tentative="1">
      <w:start w:val="1"/>
      <w:numFmt w:val="lowerLetter"/>
      <w:lvlText w:val="%2."/>
      <w:lvlJc w:val="left"/>
      <w:pPr>
        <w:ind w:left="1513" w:hanging="360"/>
      </w:pPr>
    </w:lvl>
    <w:lvl w:ilvl="2" w:tplc="0409001B" w:tentative="1">
      <w:start w:val="1"/>
      <w:numFmt w:val="lowerRoman"/>
      <w:lvlText w:val="%3."/>
      <w:lvlJc w:val="right"/>
      <w:pPr>
        <w:ind w:left="2233" w:hanging="180"/>
      </w:pPr>
    </w:lvl>
    <w:lvl w:ilvl="3" w:tplc="0409000F" w:tentative="1">
      <w:start w:val="1"/>
      <w:numFmt w:val="decimal"/>
      <w:lvlText w:val="%4."/>
      <w:lvlJc w:val="left"/>
      <w:pPr>
        <w:ind w:left="2953" w:hanging="360"/>
      </w:pPr>
    </w:lvl>
    <w:lvl w:ilvl="4" w:tplc="04090019" w:tentative="1">
      <w:start w:val="1"/>
      <w:numFmt w:val="lowerLetter"/>
      <w:lvlText w:val="%5."/>
      <w:lvlJc w:val="left"/>
      <w:pPr>
        <w:ind w:left="3673" w:hanging="360"/>
      </w:pPr>
    </w:lvl>
    <w:lvl w:ilvl="5" w:tplc="0409001B" w:tentative="1">
      <w:start w:val="1"/>
      <w:numFmt w:val="lowerRoman"/>
      <w:lvlText w:val="%6."/>
      <w:lvlJc w:val="right"/>
      <w:pPr>
        <w:ind w:left="4393" w:hanging="180"/>
      </w:pPr>
    </w:lvl>
    <w:lvl w:ilvl="6" w:tplc="0409000F" w:tentative="1">
      <w:start w:val="1"/>
      <w:numFmt w:val="decimal"/>
      <w:lvlText w:val="%7."/>
      <w:lvlJc w:val="left"/>
      <w:pPr>
        <w:ind w:left="5113" w:hanging="360"/>
      </w:pPr>
    </w:lvl>
    <w:lvl w:ilvl="7" w:tplc="04090019" w:tentative="1">
      <w:start w:val="1"/>
      <w:numFmt w:val="lowerLetter"/>
      <w:lvlText w:val="%8."/>
      <w:lvlJc w:val="left"/>
      <w:pPr>
        <w:ind w:left="5833" w:hanging="360"/>
      </w:pPr>
    </w:lvl>
    <w:lvl w:ilvl="8" w:tplc="0409001B" w:tentative="1">
      <w:start w:val="1"/>
      <w:numFmt w:val="lowerRoman"/>
      <w:lvlText w:val="%9."/>
      <w:lvlJc w:val="right"/>
      <w:pPr>
        <w:ind w:left="6553" w:hanging="180"/>
      </w:pPr>
    </w:lvl>
  </w:abstractNum>
  <w:abstractNum w:abstractNumId="5" w15:restartNumberingAfterBreak="0">
    <w:nsid w:val="3F9A3493"/>
    <w:multiLevelType w:val="hybridMultilevel"/>
    <w:tmpl w:val="44A849E4"/>
    <w:lvl w:ilvl="0" w:tplc="04102302">
      <w:start w:val="1"/>
      <w:numFmt w:val="decimal"/>
      <w:lvlText w:val="%1."/>
      <w:lvlJc w:val="left"/>
      <w:pPr>
        <w:ind w:left="528" w:hanging="360"/>
      </w:pPr>
      <w:rPr>
        <w:rFonts w:cs="Times New Roman" w:hint="default"/>
      </w:rPr>
    </w:lvl>
    <w:lvl w:ilvl="1" w:tplc="04090019" w:tentative="1">
      <w:start w:val="1"/>
      <w:numFmt w:val="lowerLetter"/>
      <w:lvlText w:val="%2."/>
      <w:lvlJc w:val="left"/>
      <w:pPr>
        <w:ind w:left="1248" w:hanging="360"/>
      </w:pPr>
    </w:lvl>
    <w:lvl w:ilvl="2" w:tplc="0409001B" w:tentative="1">
      <w:start w:val="1"/>
      <w:numFmt w:val="lowerRoman"/>
      <w:lvlText w:val="%3."/>
      <w:lvlJc w:val="right"/>
      <w:pPr>
        <w:ind w:left="1968" w:hanging="180"/>
      </w:pPr>
    </w:lvl>
    <w:lvl w:ilvl="3" w:tplc="0409000F" w:tentative="1">
      <w:start w:val="1"/>
      <w:numFmt w:val="decimal"/>
      <w:lvlText w:val="%4."/>
      <w:lvlJc w:val="left"/>
      <w:pPr>
        <w:ind w:left="2688" w:hanging="360"/>
      </w:pPr>
    </w:lvl>
    <w:lvl w:ilvl="4" w:tplc="04090019" w:tentative="1">
      <w:start w:val="1"/>
      <w:numFmt w:val="lowerLetter"/>
      <w:lvlText w:val="%5."/>
      <w:lvlJc w:val="left"/>
      <w:pPr>
        <w:ind w:left="3408" w:hanging="360"/>
      </w:pPr>
    </w:lvl>
    <w:lvl w:ilvl="5" w:tplc="0409001B" w:tentative="1">
      <w:start w:val="1"/>
      <w:numFmt w:val="lowerRoman"/>
      <w:lvlText w:val="%6."/>
      <w:lvlJc w:val="right"/>
      <w:pPr>
        <w:ind w:left="4128" w:hanging="180"/>
      </w:pPr>
    </w:lvl>
    <w:lvl w:ilvl="6" w:tplc="0409000F" w:tentative="1">
      <w:start w:val="1"/>
      <w:numFmt w:val="decimal"/>
      <w:lvlText w:val="%7."/>
      <w:lvlJc w:val="left"/>
      <w:pPr>
        <w:ind w:left="4848" w:hanging="360"/>
      </w:pPr>
    </w:lvl>
    <w:lvl w:ilvl="7" w:tplc="04090019" w:tentative="1">
      <w:start w:val="1"/>
      <w:numFmt w:val="lowerLetter"/>
      <w:lvlText w:val="%8."/>
      <w:lvlJc w:val="left"/>
      <w:pPr>
        <w:ind w:left="5568" w:hanging="360"/>
      </w:pPr>
    </w:lvl>
    <w:lvl w:ilvl="8" w:tplc="0409001B" w:tentative="1">
      <w:start w:val="1"/>
      <w:numFmt w:val="lowerRoman"/>
      <w:lvlText w:val="%9."/>
      <w:lvlJc w:val="right"/>
      <w:pPr>
        <w:ind w:left="6288" w:hanging="180"/>
      </w:pPr>
    </w:lvl>
  </w:abstractNum>
  <w:abstractNum w:abstractNumId="6" w15:restartNumberingAfterBreak="0">
    <w:nsid w:val="4D697516"/>
    <w:multiLevelType w:val="hybridMultilevel"/>
    <w:tmpl w:val="4E7E91E4"/>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15:restartNumberingAfterBreak="0">
    <w:nsid w:val="4EAC7446"/>
    <w:multiLevelType w:val="hybridMultilevel"/>
    <w:tmpl w:val="1F101D12"/>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15:restartNumberingAfterBreak="0">
    <w:nsid w:val="53A36C1A"/>
    <w:multiLevelType w:val="hybridMultilevel"/>
    <w:tmpl w:val="33C8FAE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4E28C0"/>
    <w:multiLevelType w:val="hybridMultilevel"/>
    <w:tmpl w:val="09149FA6"/>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0" w15:restartNumberingAfterBreak="0">
    <w:nsid w:val="711B78DD"/>
    <w:multiLevelType w:val="hybridMultilevel"/>
    <w:tmpl w:val="3F6ED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F27E3E"/>
    <w:multiLevelType w:val="hybridMultilevel"/>
    <w:tmpl w:val="81FAE41A"/>
    <w:lvl w:ilvl="0" w:tplc="2A4CF94C">
      <w:start w:val="2"/>
      <w:numFmt w:val="decimal"/>
      <w:lvlText w:val="%1."/>
      <w:lvlJc w:val="left"/>
      <w:pPr>
        <w:ind w:left="90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2" w15:restartNumberingAfterBreak="0">
    <w:nsid w:val="7EE90A3E"/>
    <w:multiLevelType w:val="hybridMultilevel"/>
    <w:tmpl w:val="AD8AFBC8"/>
    <w:lvl w:ilvl="0" w:tplc="C5FAA38E">
      <w:start w:val="1"/>
      <w:numFmt w:val="decimal"/>
      <w:lvlText w:val="%1."/>
      <w:lvlJc w:val="left"/>
      <w:pPr>
        <w:ind w:left="720" w:hanging="360"/>
      </w:pPr>
      <w:rPr>
        <w:rFonts w:eastAsia="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37599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8887088">
    <w:abstractNumId w:val="6"/>
  </w:num>
  <w:num w:numId="3" w16cid:durableId="15608209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72476641">
    <w:abstractNumId w:val="10"/>
  </w:num>
  <w:num w:numId="5" w16cid:durableId="1513061159">
    <w:abstractNumId w:val="8"/>
  </w:num>
  <w:num w:numId="6" w16cid:durableId="2144733290">
    <w:abstractNumId w:val="0"/>
  </w:num>
  <w:num w:numId="7" w16cid:durableId="1335912924">
    <w:abstractNumId w:val="12"/>
  </w:num>
  <w:num w:numId="8" w16cid:durableId="160775672">
    <w:abstractNumId w:val="5"/>
  </w:num>
  <w:num w:numId="9" w16cid:durableId="1892813259">
    <w:abstractNumId w:val="2"/>
  </w:num>
  <w:num w:numId="10" w16cid:durableId="751900313">
    <w:abstractNumId w:val="3"/>
  </w:num>
  <w:num w:numId="11" w16cid:durableId="1934433498">
    <w:abstractNumId w:val="1"/>
  </w:num>
  <w:num w:numId="12" w16cid:durableId="424963196">
    <w:abstractNumId w:val="4"/>
  </w:num>
  <w:num w:numId="13" w16cid:durableId="1283880341">
    <w:abstractNumId w:val="11"/>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hideSpellingError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17"/>
    <w:rsid w:val="00000FA1"/>
    <w:rsid w:val="00001DA5"/>
    <w:rsid w:val="00002593"/>
    <w:rsid w:val="00003FA9"/>
    <w:rsid w:val="0000527E"/>
    <w:rsid w:val="00007B5E"/>
    <w:rsid w:val="00010F38"/>
    <w:rsid w:val="0002536E"/>
    <w:rsid w:val="0003457F"/>
    <w:rsid w:val="00041B98"/>
    <w:rsid w:val="000438A8"/>
    <w:rsid w:val="0004584D"/>
    <w:rsid w:val="000510FA"/>
    <w:rsid w:val="0005376A"/>
    <w:rsid w:val="00053966"/>
    <w:rsid w:val="0006225D"/>
    <w:rsid w:val="000650F2"/>
    <w:rsid w:val="00065556"/>
    <w:rsid w:val="00070E46"/>
    <w:rsid w:val="00074781"/>
    <w:rsid w:val="00074B4E"/>
    <w:rsid w:val="000829CA"/>
    <w:rsid w:val="00083947"/>
    <w:rsid w:val="00087992"/>
    <w:rsid w:val="00094475"/>
    <w:rsid w:val="00097416"/>
    <w:rsid w:val="000A0875"/>
    <w:rsid w:val="000A4CB4"/>
    <w:rsid w:val="000A683A"/>
    <w:rsid w:val="000A6D07"/>
    <w:rsid w:val="000B0292"/>
    <w:rsid w:val="000B1897"/>
    <w:rsid w:val="000C15E5"/>
    <w:rsid w:val="000C1A11"/>
    <w:rsid w:val="000C1F81"/>
    <w:rsid w:val="000C407D"/>
    <w:rsid w:val="000D0EDA"/>
    <w:rsid w:val="000D3411"/>
    <w:rsid w:val="000D7C94"/>
    <w:rsid w:val="000E0A62"/>
    <w:rsid w:val="000E4030"/>
    <w:rsid w:val="000E5E71"/>
    <w:rsid w:val="000E6041"/>
    <w:rsid w:val="000E6A59"/>
    <w:rsid w:val="000E7694"/>
    <w:rsid w:val="000F0642"/>
    <w:rsid w:val="000F6CBC"/>
    <w:rsid w:val="0010121A"/>
    <w:rsid w:val="00113E49"/>
    <w:rsid w:val="00114BAC"/>
    <w:rsid w:val="001153F6"/>
    <w:rsid w:val="00116886"/>
    <w:rsid w:val="0011755D"/>
    <w:rsid w:val="00117870"/>
    <w:rsid w:val="0012679C"/>
    <w:rsid w:val="001272E1"/>
    <w:rsid w:val="00131D85"/>
    <w:rsid w:val="00135262"/>
    <w:rsid w:val="001358BA"/>
    <w:rsid w:val="00137C1B"/>
    <w:rsid w:val="00143210"/>
    <w:rsid w:val="001449D6"/>
    <w:rsid w:val="001523DE"/>
    <w:rsid w:val="00153407"/>
    <w:rsid w:val="00154A6A"/>
    <w:rsid w:val="00160511"/>
    <w:rsid w:val="00163452"/>
    <w:rsid w:val="00163531"/>
    <w:rsid w:val="00170267"/>
    <w:rsid w:val="001756DB"/>
    <w:rsid w:val="00186DFE"/>
    <w:rsid w:val="0018747A"/>
    <w:rsid w:val="001A2110"/>
    <w:rsid w:val="001A2B8C"/>
    <w:rsid w:val="001A2F92"/>
    <w:rsid w:val="001A6345"/>
    <w:rsid w:val="001B060F"/>
    <w:rsid w:val="001B084D"/>
    <w:rsid w:val="001B1079"/>
    <w:rsid w:val="001B22A8"/>
    <w:rsid w:val="001B6AF0"/>
    <w:rsid w:val="001C1761"/>
    <w:rsid w:val="001C3CF2"/>
    <w:rsid w:val="001D3B49"/>
    <w:rsid w:val="001D5E44"/>
    <w:rsid w:val="001E05E8"/>
    <w:rsid w:val="001E3D55"/>
    <w:rsid w:val="001E50DD"/>
    <w:rsid w:val="001E515C"/>
    <w:rsid w:val="001E562F"/>
    <w:rsid w:val="001E7111"/>
    <w:rsid w:val="001F02AF"/>
    <w:rsid w:val="001F2280"/>
    <w:rsid w:val="001F2D81"/>
    <w:rsid w:val="001F38C4"/>
    <w:rsid w:val="001F5B83"/>
    <w:rsid w:val="00203E1C"/>
    <w:rsid w:val="00205635"/>
    <w:rsid w:val="00205A43"/>
    <w:rsid w:val="00206041"/>
    <w:rsid w:val="00212222"/>
    <w:rsid w:val="00213098"/>
    <w:rsid w:val="002208DD"/>
    <w:rsid w:val="00220E8D"/>
    <w:rsid w:val="00224F14"/>
    <w:rsid w:val="00225446"/>
    <w:rsid w:val="00227CC1"/>
    <w:rsid w:val="0023101D"/>
    <w:rsid w:val="00231080"/>
    <w:rsid w:val="00232607"/>
    <w:rsid w:val="00232AED"/>
    <w:rsid w:val="00232FAB"/>
    <w:rsid w:val="002406BB"/>
    <w:rsid w:val="00242758"/>
    <w:rsid w:val="00244D84"/>
    <w:rsid w:val="00254397"/>
    <w:rsid w:val="00257B75"/>
    <w:rsid w:val="002660E1"/>
    <w:rsid w:val="00270B8A"/>
    <w:rsid w:val="002750F3"/>
    <w:rsid w:val="0028169B"/>
    <w:rsid w:val="00283975"/>
    <w:rsid w:val="00284ABD"/>
    <w:rsid w:val="002924EB"/>
    <w:rsid w:val="00294FBF"/>
    <w:rsid w:val="002A1DF1"/>
    <w:rsid w:val="002B2B85"/>
    <w:rsid w:val="002B4396"/>
    <w:rsid w:val="002B50F3"/>
    <w:rsid w:val="002D026F"/>
    <w:rsid w:val="002D5B7B"/>
    <w:rsid w:val="002E2ACF"/>
    <w:rsid w:val="002E672B"/>
    <w:rsid w:val="002E7242"/>
    <w:rsid w:val="002F1ED6"/>
    <w:rsid w:val="002F57E6"/>
    <w:rsid w:val="002F699E"/>
    <w:rsid w:val="002F751E"/>
    <w:rsid w:val="00303DAB"/>
    <w:rsid w:val="00304105"/>
    <w:rsid w:val="003065EE"/>
    <w:rsid w:val="003161B8"/>
    <w:rsid w:val="00317498"/>
    <w:rsid w:val="00325979"/>
    <w:rsid w:val="00327914"/>
    <w:rsid w:val="00330B22"/>
    <w:rsid w:val="00334824"/>
    <w:rsid w:val="00337F7B"/>
    <w:rsid w:val="00341951"/>
    <w:rsid w:val="00344AB8"/>
    <w:rsid w:val="00353144"/>
    <w:rsid w:val="003538B0"/>
    <w:rsid w:val="00353A3A"/>
    <w:rsid w:val="00355A2E"/>
    <w:rsid w:val="00355D17"/>
    <w:rsid w:val="0036066A"/>
    <w:rsid w:val="00360CA1"/>
    <w:rsid w:val="00364147"/>
    <w:rsid w:val="0036488E"/>
    <w:rsid w:val="003655BC"/>
    <w:rsid w:val="00366946"/>
    <w:rsid w:val="0037277F"/>
    <w:rsid w:val="00374EE8"/>
    <w:rsid w:val="00375DF3"/>
    <w:rsid w:val="00376375"/>
    <w:rsid w:val="003831BC"/>
    <w:rsid w:val="00383F7D"/>
    <w:rsid w:val="00386C50"/>
    <w:rsid w:val="00387125"/>
    <w:rsid w:val="00387529"/>
    <w:rsid w:val="0039515D"/>
    <w:rsid w:val="003A00BE"/>
    <w:rsid w:val="003A16D2"/>
    <w:rsid w:val="003A26B4"/>
    <w:rsid w:val="003A63D8"/>
    <w:rsid w:val="003B67F3"/>
    <w:rsid w:val="003C3AC8"/>
    <w:rsid w:val="003C65D9"/>
    <w:rsid w:val="003C6A9D"/>
    <w:rsid w:val="003D2021"/>
    <w:rsid w:val="003D4299"/>
    <w:rsid w:val="003D4472"/>
    <w:rsid w:val="003D4DF2"/>
    <w:rsid w:val="003D50F9"/>
    <w:rsid w:val="003D74B7"/>
    <w:rsid w:val="003D7AFF"/>
    <w:rsid w:val="003E0B60"/>
    <w:rsid w:val="003E140B"/>
    <w:rsid w:val="003F0313"/>
    <w:rsid w:val="003F0347"/>
    <w:rsid w:val="003F294C"/>
    <w:rsid w:val="003F361F"/>
    <w:rsid w:val="003F3F68"/>
    <w:rsid w:val="00404F5D"/>
    <w:rsid w:val="00410022"/>
    <w:rsid w:val="004132EB"/>
    <w:rsid w:val="00423E0A"/>
    <w:rsid w:val="00426F2E"/>
    <w:rsid w:val="00427A65"/>
    <w:rsid w:val="004302E9"/>
    <w:rsid w:val="00430DE4"/>
    <w:rsid w:val="0043119F"/>
    <w:rsid w:val="004317A1"/>
    <w:rsid w:val="00431A5F"/>
    <w:rsid w:val="00434581"/>
    <w:rsid w:val="00436111"/>
    <w:rsid w:val="004369E1"/>
    <w:rsid w:val="00443B38"/>
    <w:rsid w:val="00446317"/>
    <w:rsid w:val="00446C79"/>
    <w:rsid w:val="004543EA"/>
    <w:rsid w:val="00456D85"/>
    <w:rsid w:val="004655EA"/>
    <w:rsid w:val="00471DB3"/>
    <w:rsid w:val="00477644"/>
    <w:rsid w:val="0048065F"/>
    <w:rsid w:val="00480BFB"/>
    <w:rsid w:val="004816CF"/>
    <w:rsid w:val="004862A1"/>
    <w:rsid w:val="00486A68"/>
    <w:rsid w:val="00494CF6"/>
    <w:rsid w:val="004977D0"/>
    <w:rsid w:val="004A3C98"/>
    <w:rsid w:val="004A4D5A"/>
    <w:rsid w:val="004A6827"/>
    <w:rsid w:val="004A703A"/>
    <w:rsid w:val="004A7AF1"/>
    <w:rsid w:val="004B1939"/>
    <w:rsid w:val="004B275F"/>
    <w:rsid w:val="004B5607"/>
    <w:rsid w:val="004B6A96"/>
    <w:rsid w:val="004D009C"/>
    <w:rsid w:val="004D0D81"/>
    <w:rsid w:val="004D5982"/>
    <w:rsid w:val="004D5AD1"/>
    <w:rsid w:val="004D729C"/>
    <w:rsid w:val="004E469F"/>
    <w:rsid w:val="004E7F8B"/>
    <w:rsid w:val="004F0EA2"/>
    <w:rsid w:val="004F27E5"/>
    <w:rsid w:val="004F54BA"/>
    <w:rsid w:val="004F591C"/>
    <w:rsid w:val="004F6123"/>
    <w:rsid w:val="00501A04"/>
    <w:rsid w:val="00502C36"/>
    <w:rsid w:val="005055B1"/>
    <w:rsid w:val="00510474"/>
    <w:rsid w:val="005201A7"/>
    <w:rsid w:val="00520EFC"/>
    <w:rsid w:val="0052327A"/>
    <w:rsid w:val="00524F92"/>
    <w:rsid w:val="00525B01"/>
    <w:rsid w:val="00535E59"/>
    <w:rsid w:val="00536632"/>
    <w:rsid w:val="00540A47"/>
    <w:rsid w:val="00540CA5"/>
    <w:rsid w:val="00551A89"/>
    <w:rsid w:val="00560407"/>
    <w:rsid w:val="00562482"/>
    <w:rsid w:val="0056640E"/>
    <w:rsid w:val="005712ED"/>
    <w:rsid w:val="00572168"/>
    <w:rsid w:val="00577729"/>
    <w:rsid w:val="005802B8"/>
    <w:rsid w:val="00583B49"/>
    <w:rsid w:val="00584078"/>
    <w:rsid w:val="0058641B"/>
    <w:rsid w:val="00587993"/>
    <w:rsid w:val="00590761"/>
    <w:rsid w:val="005928F7"/>
    <w:rsid w:val="005A122E"/>
    <w:rsid w:val="005A37BE"/>
    <w:rsid w:val="005B0B67"/>
    <w:rsid w:val="005B61DB"/>
    <w:rsid w:val="005B7475"/>
    <w:rsid w:val="005C46F8"/>
    <w:rsid w:val="005C5217"/>
    <w:rsid w:val="005C607A"/>
    <w:rsid w:val="005D52C3"/>
    <w:rsid w:val="005D5C9A"/>
    <w:rsid w:val="005D64CA"/>
    <w:rsid w:val="005D7CBC"/>
    <w:rsid w:val="005E1614"/>
    <w:rsid w:val="005E1F40"/>
    <w:rsid w:val="005E2D59"/>
    <w:rsid w:val="005E39A5"/>
    <w:rsid w:val="005E5E05"/>
    <w:rsid w:val="005F044D"/>
    <w:rsid w:val="005F56E3"/>
    <w:rsid w:val="005F5769"/>
    <w:rsid w:val="005F5FCA"/>
    <w:rsid w:val="0062288F"/>
    <w:rsid w:val="006308B8"/>
    <w:rsid w:val="006310A0"/>
    <w:rsid w:val="00634F8E"/>
    <w:rsid w:val="00636D16"/>
    <w:rsid w:val="00647EA4"/>
    <w:rsid w:val="0065042F"/>
    <w:rsid w:val="00650853"/>
    <w:rsid w:val="00653A7A"/>
    <w:rsid w:val="0065474E"/>
    <w:rsid w:val="00654805"/>
    <w:rsid w:val="00670058"/>
    <w:rsid w:val="00673564"/>
    <w:rsid w:val="006809C8"/>
    <w:rsid w:val="00683985"/>
    <w:rsid w:val="0068670F"/>
    <w:rsid w:val="00690944"/>
    <w:rsid w:val="00692463"/>
    <w:rsid w:val="0069538F"/>
    <w:rsid w:val="0069783F"/>
    <w:rsid w:val="006A40A3"/>
    <w:rsid w:val="006B2FBE"/>
    <w:rsid w:val="006B314F"/>
    <w:rsid w:val="006B4782"/>
    <w:rsid w:val="006C53EE"/>
    <w:rsid w:val="006C78BA"/>
    <w:rsid w:val="006C7968"/>
    <w:rsid w:val="006D0915"/>
    <w:rsid w:val="006D3B41"/>
    <w:rsid w:val="006D54F0"/>
    <w:rsid w:val="006D553C"/>
    <w:rsid w:val="006D59FC"/>
    <w:rsid w:val="006D77EF"/>
    <w:rsid w:val="006E150D"/>
    <w:rsid w:val="006E1F3F"/>
    <w:rsid w:val="006E48AB"/>
    <w:rsid w:val="006E705F"/>
    <w:rsid w:val="006F0EA8"/>
    <w:rsid w:val="006F4EC0"/>
    <w:rsid w:val="00702C8C"/>
    <w:rsid w:val="00706A5F"/>
    <w:rsid w:val="00711B77"/>
    <w:rsid w:val="007121EA"/>
    <w:rsid w:val="0072044E"/>
    <w:rsid w:val="00720AB4"/>
    <w:rsid w:val="007230CD"/>
    <w:rsid w:val="0074051C"/>
    <w:rsid w:val="00764A9A"/>
    <w:rsid w:val="007652F9"/>
    <w:rsid w:val="00771543"/>
    <w:rsid w:val="00774DCA"/>
    <w:rsid w:val="007766C4"/>
    <w:rsid w:val="007843BB"/>
    <w:rsid w:val="00784D0D"/>
    <w:rsid w:val="00791094"/>
    <w:rsid w:val="00794F13"/>
    <w:rsid w:val="00795F66"/>
    <w:rsid w:val="007A045D"/>
    <w:rsid w:val="007A4173"/>
    <w:rsid w:val="007A72CF"/>
    <w:rsid w:val="007A7481"/>
    <w:rsid w:val="007B147B"/>
    <w:rsid w:val="007C78B9"/>
    <w:rsid w:val="007D4741"/>
    <w:rsid w:val="007D5303"/>
    <w:rsid w:val="007D56A6"/>
    <w:rsid w:val="007E65A0"/>
    <w:rsid w:val="007F2CCD"/>
    <w:rsid w:val="007F7923"/>
    <w:rsid w:val="00801689"/>
    <w:rsid w:val="00802EA9"/>
    <w:rsid w:val="0080389E"/>
    <w:rsid w:val="008058B1"/>
    <w:rsid w:val="00807923"/>
    <w:rsid w:val="008118A0"/>
    <w:rsid w:val="0081222B"/>
    <w:rsid w:val="00812BB7"/>
    <w:rsid w:val="00831E3A"/>
    <w:rsid w:val="00851DC9"/>
    <w:rsid w:val="00855421"/>
    <w:rsid w:val="00855712"/>
    <w:rsid w:val="008558A3"/>
    <w:rsid w:val="00861E63"/>
    <w:rsid w:val="00861F20"/>
    <w:rsid w:val="00862883"/>
    <w:rsid w:val="00866BB3"/>
    <w:rsid w:val="00873560"/>
    <w:rsid w:val="008740E1"/>
    <w:rsid w:val="00877BD9"/>
    <w:rsid w:val="008808C6"/>
    <w:rsid w:val="00880E9A"/>
    <w:rsid w:val="008812E8"/>
    <w:rsid w:val="00884EA7"/>
    <w:rsid w:val="00891163"/>
    <w:rsid w:val="008922B7"/>
    <w:rsid w:val="0089350F"/>
    <w:rsid w:val="00896419"/>
    <w:rsid w:val="008A1002"/>
    <w:rsid w:val="008A7047"/>
    <w:rsid w:val="008B2F19"/>
    <w:rsid w:val="008B77DF"/>
    <w:rsid w:val="008C0216"/>
    <w:rsid w:val="008C2F63"/>
    <w:rsid w:val="008C3DD3"/>
    <w:rsid w:val="008C5C9B"/>
    <w:rsid w:val="008C6FD2"/>
    <w:rsid w:val="008D0079"/>
    <w:rsid w:val="008D1DA7"/>
    <w:rsid w:val="008D290E"/>
    <w:rsid w:val="008E1E57"/>
    <w:rsid w:val="008E2727"/>
    <w:rsid w:val="008E2D83"/>
    <w:rsid w:val="008E3A28"/>
    <w:rsid w:val="008E628F"/>
    <w:rsid w:val="008F3B2A"/>
    <w:rsid w:val="009026A0"/>
    <w:rsid w:val="009100CE"/>
    <w:rsid w:val="00912CC1"/>
    <w:rsid w:val="00917A8F"/>
    <w:rsid w:val="0092029B"/>
    <w:rsid w:val="009208AB"/>
    <w:rsid w:val="009212CB"/>
    <w:rsid w:val="00923D51"/>
    <w:rsid w:val="00926CDD"/>
    <w:rsid w:val="009321E2"/>
    <w:rsid w:val="009337A5"/>
    <w:rsid w:val="009342A1"/>
    <w:rsid w:val="009403B8"/>
    <w:rsid w:val="00941F1D"/>
    <w:rsid w:val="00946015"/>
    <w:rsid w:val="00950BC6"/>
    <w:rsid w:val="00952117"/>
    <w:rsid w:val="00954456"/>
    <w:rsid w:val="00954BE3"/>
    <w:rsid w:val="00955DF0"/>
    <w:rsid w:val="00961554"/>
    <w:rsid w:val="00963254"/>
    <w:rsid w:val="00967A67"/>
    <w:rsid w:val="00971739"/>
    <w:rsid w:val="00972764"/>
    <w:rsid w:val="009734BC"/>
    <w:rsid w:val="00973E1D"/>
    <w:rsid w:val="009762DD"/>
    <w:rsid w:val="00976F0D"/>
    <w:rsid w:val="00980827"/>
    <w:rsid w:val="009910DA"/>
    <w:rsid w:val="00992BE3"/>
    <w:rsid w:val="009A1FB6"/>
    <w:rsid w:val="009A44F4"/>
    <w:rsid w:val="009A62B4"/>
    <w:rsid w:val="009B0928"/>
    <w:rsid w:val="009B2FBB"/>
    <w:rsid w:val="009C34C3"/>
    <w:rsid w:val="009C5D36"/>
    <w:rsid w:val="009C5EE0"/>
    <w:rsid w:val="009D0298"/>
    <w:rsid w:val="009D267B"/>
    <w:rsid w:val="009D3006"/>
    <w:rsid w:val="009E3A22"/>
    <w:rsid w:val="009E3C72"/>
    <w:rsid w:val="009E4787"/>
    <w:rsid w:val="009E56A4"/>
    <w:rsid w:val="009E6146"/>
    <w:rsid w:val="009E702C"/>
    <w:rsid w:val="009E7BBA"/>
    <w:rsid w:val="009F00FD"/>
    <w:rsid w:val="009F2B7E"/>
    <w:rsid w:val="009F6AF9"/>
    <w:rsid w:val="00A041AC"/>
    <w:rsid w:val="00A047D7"/>
    <w:rsid w:val="00A1577B"/>
    <w:rsid w:val="00A17637"/>
    <w:rsid w:val="00A226A8"/>
    <w:rsid w:val="00A235F3"/>
    <w:rsid w:val="00A267A0"/>
    <w:rsid w:val="00A30269"/>
    <w:rsid w:val="00A30B50"/>
    <w:rsid w:val="00A4145C"/>
    <w:rsid w:val="00A45EE3"/>
    <w:rsid w:val="00A47195"/>
    <w:rsid w:val="00A505AA"/>
    <w:rsid w:val="00A51919"/>
    <w:rsid w:val="00A562B5"/>
    <w:rsid w:val="00A563E1"/>
    <w:rsid w:val="00A566D6"/>
    <w:rsid w:val="00A604BA"/>
    <w:rsid w:val="00A706D2"/>
    <w:rsid w:val="00A72372"/>
    <w:rsid w:val="00A754EF"/>
    <w:rsid w:val="00A84D86"/>
    <w:rsid w:val="00A911A1"/>
    <w:rsid w:val="00A92D07"/>
    <w:rsid w:val="00A95B6D"/>
    <w:rsid w:val="00AA11AE"/>
    <w:rsid w:val="00AA695F"/>
    <w:rsid w:val="00AB685A"/>
    <w:rsid w:val="00AB6D32"/>
    <w:rsid w:val="00AC2F30"/>
    <w:rsid w:val="00AD110D"/>
    <w:rsid w:val="00AD1858"/>
    <w:rsid w:val="00AD4382"/>
    <w:rsid w:val="00AE1CD3"/>
    <w:rsid w:val="00AF0447"/>
    <w:rsid w:val="00AF16AA"/>
    <w:rsid w:val="00AF269C"/>
    <w:rsid w:val="00B0613C"/>
    <w:rsid w:val="00B134DF"/>
    <w:rsid w:val="00B23913"/>
    <w:rsid w:val="00B243EF"/>
    <w:rsid w:val="00B332CA"/>
    <w:rsid w:val="00B35785"/>
    <w:rsid w:val="00B37261"/>
    <w:rsid w:val="00B4230F"/>
    <w:rsid w:val="00B43B8E"/>
    <w:rsid w:val="00B4689F"/>
    <w:rsid w:val="00B47B6A"/>
    <w:rsid w:val="00B518CC"/>
    <w:rsid w:val="00B519FA"/>
    <w:rsid w:val="00B5556D"/>
    <w:rsid w:val="00B60874"/>
    <w:rsid w:val="00B73132"/>
    <w:rsid w:val="00B77C88"/>
    <w:rsid w:val="00B77E04"/>
    <w:rsid w:val="00B82D70"/>
    <w:rsid w:val="00B86AB2"/>
    <w:rsid w:val="00B91279"/>
    <w:rsid w:val="00B92030"/>
    <w:rsid w:val="00B92534"/>
    <w:rsid w:val="00B93372"/>
    <w:rsid w:val="00B938D4"/>
    <w:rsid w:val="00B964DC"/>
    <w:rsid w:val="00B97AE9"/>
    <w:rsid w:val="00BA35CC"/>
    <w:rsid w:val="00BA4E30"/>
    <w:rsid w:val="00BA6FAE"/>
    <w:rsid w:val="00BB218C"/>
    <w:rsid w:val="00BB497B"/>
    <w:rsid w:val="00BB51E9"/>
    <w:rsid w:val="00BB6DB6"/>
    <w:rsid w:val="00BC1B62"/>
    <w:rsid w:val="00BC283E"/>
    <w:rsid w:val="00BC7AD6"/>
    <w:rsid w:val="00BD49C2"/>
    <w:rsid w:val="00BD7994"/>
    <w:rsid w:val="00BE22ED"/>
    <w:rsid w:val="00BE2CF5"/>
    <w:rsid w:val="00BE35FC"/>
    <w:rsid w:val="00BE71B8"/>
    <w:rsid w:val="00BE7E01"/>
    <w:rsid w:val="00BF0385"/>
    <w:rsid w:val="00BF3278"/>
    <w:rsid w:val="00BF5293"/>
    <w:rsid w:val="00C011E5"/>
    <w:rsid w:val="00C01378"/>
    <w:rsid w:val="00C03117"/>
    <w:rsid w:val="00C10D7B"/>
    <w:rsid w:val="00C15566"/>
    <w:rsid w:val="00C15C6E"/>
    <w:rsid w:val="00C235BB"/>
    <w:rsid w:val="00C24456"/>
    <w:rsid w:val="00C25E3F"/>
    <w:rsid w:val="00C33B08"/>
    <w:rsid w:val="00C42636"/>
    <w:rsid w:val="00C44B01"/>
    <w:rsid w:val="00C453DE"/>
    <w:rsid w:val="00C466A9"/>
    <w:rsid w:val="00C46D64"/>
    <w:rsid w:val="00C47E9A"/>
    <w:rsid w:val="00C53EE9"/>
    <w:rsid w:val="00C556FB"/>
    <w:rsid w:val="00C616FD"/>
    <w:rsid w:val="00C62D9D"/>
    <w:rsid w:val="00C635CD"/>
    <w:rsid w:val="00C70929"/>
    <w:rsid w:val="00C71129"/>
    <w:rsid w:val="00C71EC1"/>
    <w:rsid w:val="00C73FB4"/>
    <w:rsid w:val="00C75A6B"/>
    <w:rsid w:val="00C84BD0"/>
    <w:rsid w:val="00C84E19"/>
    <w:rsid w:val="00C85F30"/>
    <w:rsid w:val="00C92298"/>
    <w:rsid w:val="00C94F6B"/>
    <w:rsid w:val="00C9524D"/>
    <w:rsid w:val="00CB0239"/>
    <w:rsid w:val="00CB266E"/>
    <w:rsid w:val="00CC0CEF"/>
    <w:rsid w:val="00CC1D77"/>
    <w:rsid w:val="00CC6884"/>
    <w:rsid w:val="00CD6346"/>
    <w:rsid w:val="00CD6CAD"/>
    <w:rsid w:val="00CD7077"/>
    <w:rsid w:val="00CD71E3"/>
    <w:rsid w:val="00CE1AF3"/>
    <w:rsid w:val="00CE56F1"/>
    <w:rsid w:val="00CE5A06"/>
    <w:rsid w:val="00CE5C96"/>
    <w:rsid w:val="00CE603E"/>
    <w:rsid w:val="00CE6CA8"/>
    <w:rsid w:val="00CE74C3"/>
    <w:rsid w:val="00CF1CFE"/>
    <w:rsid w:val="00CF4862"/>
    <w:rsid w:val="00CF7BE4"/>
    <w:rsid w:val="00D010C9"/>
    <w:rsid w:val="00D07526"/>
    <w:rsid w:val="00D13895"/>
    <w:rsid w:val="00D14A7C"/>
    <w:rsid w:val="00D1515B"/>
    <w:rsid w:val="00D202F7"/>
    <w:rsid w:val="00D21641"/>
    <w:rsid w:val="00D2484E"/>
    <w:rsid w:val="00D2485B"/>
    <w:rsid w:val="00D2732A"/>
    <w:rsid w:val="00D27E3E"/>
    <w:rsid w:val="00D30EF3"/>
    <w:rsid w:val="00D31C4E"/>
    <w:rsid w:val="00D40390"/>
    <w:rsid w:val="00D4383D"/>
    <w:rsid w:val="00D45C9F"/>
    <w:rsid w:val="00D45DC6"/>
    <w:rsid w:val="00D50E96"/>
    <w:rsid w:val="00D54BA5"/>
    <w:rsid w:val="00D667E8"/>
    <w:rsid w:val="00D73692"/>
    <w:rsid w:val="00D762F1"/>
    <w:rsid w:val="00D76D0E"/>
    <w:rsid w:val="00D81015"/>
    <w:rsid w:val="00D8188E"/>
    <w:rsid w:val="00D824DD"/>
    <w:rsid w:val="00D82DEA"/>
    <w:rsid w:val="00D830C0"/>
    <w:rsid w:val="00D84F2F"/>
    <w:rsid w:val="00D85217"/>
    <w:rsid w:val="00D90A23"/>
    <w:rsid w:val="00D9259E"/>
    <w:rsid w:val="00DA3179"/>
    <w:rsid w:val="00DA67C2"/>
    <w:rsid w:val="00DA67C3"/>
    <w:rsid w:val="00DA6A79"/>
    <w:rsid w:val="00DB0E80"/>
    <w:rsid w:val="00DB2CCE"/>
    <w:rsid w:val="00DB52D7"/>
    <w:rsid w:val="00DC3DBD"/>
    <w:rsid w:val="00DC600C"/>
    <w:rsid w:val="00DD0F49"/>
    <w:rsid w:val="00DD17A3"/>
    <w:rsid w:val="00DD5FFF"/>
    <w:rsid w:val="00DE32FE"/>
    <w:rsid w:val="00DE5478"/>
    <w:rsid w:val="00DF6F7C"/>
    <w:rsid w:val="00E01398"/>
    <w:rsid w:val="00E02374"/>
    <w:rsid w:val="00E06A7A"/>
    <w:rsid w:val="00E07C51"/>
    <w:rsid w:val="00E10F01"/>
    <w:rsid w:val="00E13037"/>
    <w:rsid w:val="00E1771F"/>
    <w:rsid w:val="00E2586E"/>
    <w:rsid w:val="00E25B0C"/>
    <w:rsid w:val="00E31219"/>
    <w:rsid w:val="00E315BC"/>
    <w:rsid w:val="00E36D25"/>
    <w:rsid w:val="00E40618"/>
    <w:rsid w:val="00E43972"/>
    <w:rsid w:val="00E44D94"/>
    <w:rsid w:val="00E50848"/>
    <w:rsid w:val="00E5501C"/>
    <w:rsid w:val="00E55482"/>
    <w:rsid w:val="00E559F0"/>
    <w:rsid w:val="00E561FE"/>
    <w:rsid w:val="00E56BC6"/>
    <w:rsid w:val="00E63686"/>
    <w:rsid w:val="00E6614A"/>
    <w:rsid w:val="00E6712A"/>
    <w:rsid w:val="00E67F10"/>
    <w:rsid w:val="00E859D1"/>
    <w:rsid w:val="00E93B25"/>
    <w:rsid w:val="00EA6C2A"/>
    <w:rsid w:val="00EB13DB"/>
    <w:rsid w:val="00EB2EA8"/>
    <w:rsid w:val="00EC0906"/>
    <w:rsid w:val="00EC369A"/>
    <w:rsid w:val="00EC440A"/>
    <w:rsid w:val="00ED5F1E"/>
    <w:rsid w:val="00ED72E3"/>
    <w:rsid w:val="00EE054A"/>
    <w:rsid w:val="00EE1FB0"/>
    <w:rsid w:val="00EE3687"/>
    <w:rsid w:val="00EE3FAB"/>
    <w:rsid w:val="00EE4B65"/>
    <w:rsid w:val="00EE60E4"/>
    <w:rsid w:val="00EE6D16"/>
    <w:rsid w:val="00EF4FAA"/>
    <w:rsid w:val="00EF59DA"/>
    <w:rsid w:val="00F00408"/>
    <w:rsid w:val="00F027D0"/>
    <w:rsid w:val="00F03365"/>
    <w:rsid w:val="00F04545"/>
    <w:rsid w:val="00F04A88"/>
    <w:rsid w:val="00F0514A"/>
    <w:rsid w:val="00F05332"/>
    <w:rsid w:val="00F05648"/>
    <w:rsid w:val="00F120FA"/>
    <w:rsid w:val="00F14890"/>
    <w:rsid w:val="00F16A17"/>
    <w:rsid w:val="00F23A9C"/>
    <w:rsid w:val="00F24681"/>
    <w:rsid w:val="00F3103B"/>
    <w:rsid w:val="00F367B3"/>
    <w:rsid w:val="00F368CB"/>
    <w:rsid w:val="00F36B15"/>
    <w:rsid w:val="00F41023"/>
    <w:rsid w:val="00F42690"/>
    <w:rsid w:val="00F471CB"/>
    <w:rsid w:val="00F53B1A"/>
    <w:rsid w:val="00F53E06"/>
    <w:rsid w:val="00F55419"/>
    <w:rsid w:val="00F555B4"/>
    <w:rsid w:val="00F555D4"/>
    <w:rsid w:val="00F570AE"/>
    <w:rsid w:val="00F62E7C"/>
    <w:rsid w:val="00F630DE"/>
    <w:rsid w:val="00F63BC9"/>
    <w:rsid w:val="00F718F1"/>
    <w:rsid w:val="00F734AD"/>
    <w:rsid w:val="00F776D6"/>
    <w:rsid w:val="00F80647"/>
    <w:rsid w:val="00F809D2"/>
    <w:rsid w:val="00F84276"/>
    <w:rsid w:val="00F85FB1"/>
    <w:rsid w:val="00F94288"/>
    <w:rsid w:val="00F94C7B"/>
    <w:rsid w:val="00FA0154"/>
    <w:rsid w:val="00FB063E"/>
    <w:rsid w:val="00FB27D4"/>
    <w:rsid w:val="00FB3081"/>
    <w:rsid w:val="00FB3C6F"/>
    <w:rsid w:val="00FB746D"/>
    <w:rsid w:val="00FC3F3B"/>
    <w:rsid w:val="00FD2158"/>
    <w:rsid w:val="00FD2C7B"/>
    <w:rsid w:val="00FD4993"/>
    <w:rsid w:val="00FD658D"/>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7717A"/>
  <w15:chartTrackingRefBased/>
  <w15:docId w15:val="{25C5E415-48F1-43E6-82AC-E0A3A988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5C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mechtexChar">
    <w:name w:val="mechtex Char"/>
    <w:link w:val="mechtex"/>
    <w:locked/>
    <w:rsid w:val="00A1577B"/>
    <w:rPr>
      <w:rFonts w:ascii="Arial Armenian" w:hAnsi="Arial Armenian" w:cs="Arial Armenian"/>
      <w:sz w:val="22"/>
      <w:szCs w:val="22"/>
      <w:lang w:eastAsia="ru-RU"/>
    </w:rPr>
  </w:style>
  <w:style w:type="paragraph" w:customStyle="1" w:styleId="mechtex">
    <w:name w:val="mechtex"/>
    <w:basedOn w:val="Normal"/>
    <w:link w:val="mechtexChar"/>
    <w:rsid w:val="00A1577B"/>
    <w:pPr>
      <w:spacing w:after="0" w:line="240" w:lineRule="auto"/>
      <w:jc w:val="center"/>
    </w:pPr>
    <w:rPr>
      <w:rFonts w:ascii="Arial Armenian" w:hAnsi="Arial Armenian" w:cs="Arial Armenian"/>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00408"/>
    <w:rPr>
      <w:sz w:val="22"/>
      <w:szCs w:val="22"/>
    </w:rPr>
  </w:style>
  <w:style w:type="paragraph" w:styleId="Title">
    <w:name w:val="Title"/>
    <w:basedOn w:val="Normal"/>
    <w:next w:val="Normal"/>
    <w:link w:val="TitleChar"/>
    <w:uiPriority w:val="10"/>
    <w:qFormat/>
    <w:rsid w:val="00114BAC"/>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uiPriority w:val="10"/>
    <w:rsid w:val="00114BAC"/>
    <w:rPr>
      <w:rFonts w:ascii="Calibri Light" w:eastAsia="Times New Roman" w:hAnsi="Calibri Light" w:cs="Times New Roman"/>
      <w:b/>
      <w:bCs/>
      <w:kern w:val="28"/>
      <w:sz w:val="32"/>
      <w:szCs w:val="32"/>
    </w:rPr>
  </w:style>
  <w:style w:type="paragraph" w:styleId="Subtitle">
    <w:name w:val="Subtitle"/>
    <w:basedOn w:val="Normal"/>
    <w:next w:val="Normal"/>
    <w:link w:val="SubtitleChar"/>
    <w:uiPriority w:val="11"/>
    <w:qFormat/>
    <w:rsid w:val="00114BAC"/>
    <w:pPr>
      <w:spacing w:after="60"/>
      <w:jc w:val="center"/>
      <w:outlineLvl w:val="1"/>
    </w:pPr>
    <w:rPr>
      <w:rFonts w:ascii="Calibri Light" w:eastAsia="Times New Roman" w:hAnsi="Calibri Light"/>
      <w:sz w:val="24"/>
      <w:szCs w:val="24"/>
    </w:rPr>
  </w:style>
  <w:style w:type="character" w:customStyle="1" w:styleId="SubtitleChar">
    <w:name w:val="Subtitle Char"/>
    <w:link w:val="Subtitle"/>
    <w:uiPriority w:val="11"/>
    <w:rsid w:val="00114BAC"/>
    <w:rPr>
      <w:rFonts w:ascii="Calibri Light" w:eastAsia="Times New Roman" w:hAnsi="Calibri Ligh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385729">
      <w:bodyDiv w:val="1"/>
      <w:marLeft w:val="0"/>
      <w:marRight w:val="0"/>
      <w:marTop w:val="0"/>
      <w:marBottom w:val="0"/>
      <w:divBdr>
        <w:top w:val="none" w:sz="0" w:space="0" w:color="auto"/>
        <w:left w:val="none" w:sz="0" w:space="0" w:color="auto"/>
        <w:bottom w:val="none" w:sz="0" w:space="0" w:color="auto"/>
        <w:right w:val="none" w:sz="0" w:space="0" w:color="auto"/>
      </w:divBdr>
    </w:div>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20923755">
      <w:bodyDiv w:val="1"/>
      <w:marLeft w:val="0"/>
      <w:marRight w:val="0"/>
      <w:marTop w:val="0"/>
      <w:marBottom w:val="0"/>
      <w:divBdr>
        <w:top w:val="none" w:sz="0" w:space="0" w:color="auto"/>
        <w:left w:val="none" w:sz="0" w:space="0" w:color="auto"/>
        <w:bottom w:val="none" w:sz="0" w:space="0" w:color="auto"/>
        <w:right w:val="none" w:sz="0" w:space="0" w:color="auto"/>
      </w:divBdr>
    </w:div>
    <w:div w:id="219293260">
      <w:bodyDiv w:val="1"/>
      <w:marLeft w:val="0"/>
      <w:marRight w:val="0"/>
      <w:marTop w:val="0"/>
      <w:marBottom w:val="0"/>
      <w:divBdr>
        <w:top w:val="none" w:sz="0" w:space="0" w:color="auto"/>
        <w:left w:val="none" w:sz="0" w:space="0" w:color="auto"/>
        <w:bottom w:val="none" w:sz="0" w:space="0" w:color="auto"/>
        <w:right w:val="none" w:sz="0" w:space="0" w:color="auto"/>
      </w:divBdr>
    </w:div>
    <w:div w:id="248537741">
      <w:bodyDiv w:val="1"/>
      <w:marLeft w:val="0"/>
      <w:marRight w:val="0"/>
      <w:marTop w:val="0"/>
      <w:marBottom w:val="0"/>
      <w:divBdr>
        <w:top w:val="none" w:sz="0" w:space="0" w:color="auto"/>
        <w:left w:val="none" w:sz="0" w:space="0" w:color="auto"/>
        <w:bottom w:val="none" w:sz="0" w:space="0" w:color="auto"/>
        <w:right w:val="none" w:sz="0" w:space="0" w:color="auto"/>
      </w:divBdr>
    </w:div>
    <w:div w:id="411510297">
      <w:bodyDiv w:val="1"/>
      <w:marLeft w:val="0"/>
      <w:marRight w:val="0"/>
      <w:marTop w:val="0"/>
      <w:marBottom w:val="0"/>
      <w:divBdr>
        <w:top w:val="none" w:sz="0" w:space="0" w:color="auto"/>
        <w:left w:val="none" w:sz="0" w:space="0" w:color="auto"/>
        <w:bottom w:val="none" w:sz="0" w:space="0" w:color="auto"/>
        <w:right w:val="none" w:sz="0" w:space="0" w:color="auto"/>
      </w:divBdr>
    </w:div>
    <w:div w:id="416362930">
      <w:bodyDiv w:val="1"/>
      <w:marLeft w:val="0"/>
      <w:marRight w:val="0"/>
      <w:marTop w:val="0"/>
      <w:marBottom w:val="0"/>
      <w:divBdr>
        <w:top w:val="none" w:sz="0" w:space="0" w:color="auto"/>
        <w:left w:val="none" w:sz="0" w:space="0" w:color="auto"/>
        <w:bottom w:val="none" w:sz="0" w:space="0" w:color="auto"/>
        <w:right w:val="none" w:sz="0" w:space="0" w:color="auto"/>
      </w:divBdr>
    </w:div>
    <w:div w:id="431319469">
      <w:bodyDiv w:val="1"/>
      <w:marLeft w:val="0"/>
      <w:marRight w:val="0"/>
      <w:marTop w:val="0"/>
      <w:marBottom w:val="0"/>
      <w:divBdr>
        <w:top w:val="none" w:sz="0" w:space="0" w:color="auto"/>
        <w:left w:val="none" w:sz="0" w:space="0" w:color="auto"/>
        <w:bottom w:val="none" w:sz="0" w:space="0" w:color="auto"/>
        <w:right w:val="none" w:sz="0" w:space="0" w:color="auto"/>
      </w:divBdr>
    </w:div>
    <w:div w:id="501048240">
      <w:bodyDiv w:val="1"/>
      <w:marLeft w:val="0"/>
      <w:marRight w:val="0"/>
      <w:marTop w:val="0"/>
      <w:marBottom w:val="0"/>
      <w:divBdr>
        <w:top w:val="none" w:sz="0" w:space="0" w:color="auto"/>
        <w:left w:val="none" w:sz="0" w:space="0" w:color="auto"/>
        <w:bottom w:val="none" w:sz="0" w:space="0" w:color="auto"/>
        <w:right w:val="none" w:sz="0" w:space="0" w:color="auto"/>
      </w:divBdr>
    </w:div>
    <w:div w:id="662465681">
      <w:bodyDiv w:val="1"/>
      <w:marLeft w:val="0"/>
      <w:marRight w:val="0"/>
      <w:marTop w:val="0"/>
      <w:marBottom w:val="0"/>
      <w:divBdr>
        <w:top w:val="none" w:sz="0" w:space="0" w:color="auto"/>
        <w:left w:val="none" w:sz="0" w:space="0" w:color="auto"/>
        <w:bottom w:val="none" w:sz="0" w:space="0" w:color="auto"/>
        <w:right w:val="none" w:sz="0" w:space="0" w:color="auto"/>
      </w:divBdr>
    </w:div>
    <w:div w:id="705524246">
      <w:bodyDiv w:val="1"/>
      <w:marLeft w:val="0"/>
      <w:marRight w:val="0"/>
      <w:marTop w:val="0"/>
      <w:marBottom w:val="0"/>
      <w:divBdr>
        <w:top w:val="none" w:sz="0" w:space="0" w:color="auto"/>
        <w:left w:val="none" w:sz="0" w:space="0" w:color="auto"/>
        <w:bottom w:val="none" w:sz="0" w:space="0" w:color="auto"/>
        <w:right w:val="none" w:sz="0" w:space="0" w:color="auto"/>
      </w:divBdr>
    </w:div>
    <w:div w:id="794562652">
      <w:bodyDiv w:val="1"/>
      <w:marLeft w:val="0"/>
      <w:marRight w:val="0"/>
      <w:marTop w:val="0"/>
      <w:marBottom w:val="0"/>
      <w:divBdr>
        <w:top w:val="none" w:sz="0" w:space="0" w:color="auto"/>
        <w:left w:val="none" w:sz="0" w:space="0" w:color="auto"/>
        <w:bottom w:val="none" w:sz="0" w:space="0" w:color="auto"/>
        <w:right w:val="none" w:sz="0" w:space="0" w:color="auto"/>
      </w:divBdr>
    </w:div>
    <w:div w:id="797722578">
      <w:bodyDiv w:val="1"/>
      <w:marLeft w:val="0"/>
      <w:marRight w:val="0"/>
      <w:marTop w:val="0"/>
      <w:marBottom w:val="0"/>
      <w:divBdr>
        <w:top w:val="none" w:sz="0" w:space="0" w:color="auto"/>
        <w:left w:val="none" w:sz="0" w:space="0" w:color="auto"/>
        <w:bottom w:val="none" w:sz="0" w:space="0" w:color="auto"/>
        <w:right w:val="none" w:sz="0" w:space="0" w:color="auto"/>
      </w:divBdr>
    </w:div>
    <w:div w:id="849098258">
      <w:bodyDiv w:val="1"/>
      <w:marLeft w:val="0"/>
      <w:marRight w:val="0"/>
      <w:marTop w:val="0"/>
      <w:marBottom w:val="0"/>
      <w:divBdr>
        <w:top w:val="none" w:sz="0" w:space="0" w:color="auto"/>
        <w:left w:val="none" w:sz="0" w:space="0" w:color="auto"/>
        <w:bottom w:val="none" w:sz="0" w:space="0" w:color="auto"/>
        <w:right w:val="none" w:sz="0" w:space="0" w:color="auto"/>
      </w:divBdr>
    </w:div>
    <w:div w:id="880747356">
      <w:bodyDiv w:val="1"/>
      <w:marLeft w:val="0"/>
      <w:marRight w:val="0"/>
      <w:marTop w:val="0"/>
      <w:marBottom w:val="0"/>
      <w:divBdr>
        <w:top w:val="none" w:sz="0" w:space="0" w:color="auto"/>
        <w:left w:val="none" w:sz="0" w:space="0" w:color="auto"/>
        <w:bottom w:val="none" w:sz="0" w:space="0" w:color="auto"/>
        <w:right w:val="none" w:sz="0" w:space="0" w:color="auto"/>
      </w:divBdr>
    </w:div>
    <w:div w:id="886645619">
      <w:bodyDiv w:val="1"/>
      <w:marLeft w:val="0"/>
      <w:marRight w:val="0"/>
      <w:marTop w:val="0"/>
      <w:marBottom w:val="0"/>
      <w:divBdr>
        <w:top w:val="none" w:sz="0" w:space="0" w:color="auto"/>
        <w:left w:val="none" w:sz="0" w:space="0" w:color="auto"/>
        <w:bottom w:val="none" w:sz="0" w:space="0" w:color="auto"/>
        <w:right w:val="none" w:sz="0" w:space="0" w:color="auto"/>
      </w:divBdr>
    </w:div>
    <w:div w:id="891505053">
      <w:bodyDiv w:val="1"/>
      <w:marLeft w:val="0"/>
      <w:marRight w:val="0"/>
      <w:marTop w:val="0"/>
      <w:marBottom w:val="0"/>
      <w:divBdr>
        <w:top w:val="none" w:sz="0" w:space="0" w:color="auto"/>
        <w:left w:val="none" w:sz="0" w:space="0" w:color="auto"/>
        <w:bottom w:val="none" w:sz="0" w:space="0" w:color="auto"/>
        <w:right w:val="none" w:sz="0" w:space="0" w:color="auto"/>
      </w:divBdr>
    </w:div>
    <w:div w:id="955867673">
      <w:bodyDiv w:val="1"/>
      <w:marLeft w:val="0"/>
      <w:marRight w:val="0"/>
      <w:marTop w:val="0"/>
      <w:marBottom w:val="0"/>
      <w:divBdr>
        <w:top w:val="none" w:sz="0" w:space="0" w:color="auto"/>
        <w:left w:val="none" w:sz="0" w:space="0" w:color="auto"/>
        <w:bottom w:val="none" w:sz="0" w:space="0" w:color="auto"/>
        <w:right w:val="none" w:sz="0" w:space="0" w:color="auto"/>
      </w:divBdr>
    </w:div>
    <w:div w:id="994841323">
      <w:bodyDiv w:val="1"/>
      <w:marLeft w:val="0"/>
      <w:marRight w:val="0"/>
      <w:marTop w:val="0"/>
      <w:marBottom w:val="0"/>
      <w:divBdr>
        <w:top w:val="none" w:sz="0" w:space="0" w:color="auto"/>
        <w:left w:val="none" w:sz="0" w:space="0" w:color="auto"/>
        <w:bottom w:val="none" w:sz="0" w:space="0" w:color="auto"/>
        <w:right w:val="none" w:sz="0" w:space="0" w:color="auto"/>
      </w:divBdr>
    </w:div>
    <w:div w:id="1111700366">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144663494">
      <w:bodyDiv w:val="1"/>
      <w:marLeft w:val="0"/>
      <w:marRight w:val="0"/>
      <w:marTop w:val="0"/>
      <w:marBottom w:val="0"/>
      <w:divBdr>
        <w:top w:val="none" w:sz="0" w:space="0" w:color="auto"/>
        <w:left w:val="none" w:sz="0" w:space="0" w:color="auto"/>
        <w:bottom w:val="none" w:sz="0" w:space="0" w:color="auto"/>
        <w:right w:val="none" w:sz="0" w:space="0" w:color="auto"/>
      </w:divBdr>
    </w:div>
    <w:div w:id="1194001788">
      <w:bodyDiv w:val="1"/>
      <w:marLeft w:val="0"/>
      <w:marRight w:val="0"/>
      <w:marTop w:val="0"/>
      <w:marBottom w:val="0"/>
      <w:divBdr>
        <w:top w:val="none" w:sz="0" w:space="0" w:color="auto"/>
        <w:left w:val="none" w:sz="0" w:space="0" w:color="auto"/>
        <w:bottom w:val="none" w:sz="0" w:space="0" w:color="auto"/>
        <w:right w:val="none" w:sz="0" w:space="0" w:color="auto"/>
      </w:divBdr>
    </w:div>
    <w:div w:id="1329213956">
      <w:bodyDiv w:val="1"/>
      <w:marLeft w:val="0"/>
      <w:marRight w:val="0"/>
      <w:marTop w:val="0"/>
      <w:marBottom w:val="0"/>
      <w:divBdr>
        <w:top w:val="none" w:sz="0" w:space="0" w:color="auto"/>
        <w:left w:val="none" w:sz="0" w:space="0" w:color="auto"/>
        <w:bottom w:val="none" w:sz="0" w:space="0" w:color="auto"/>
        <w:right w:val="none" w:sz="0" w:space="0" w:color="auto"/>
      </w:divBdr>
    </w:div>
    <w:div w:id="1415054389">
      <w:bodyDiv w:val="1"/>
      <w:marLeft w:val="0"/>
      <w:marRight w:val="0"/>
      <w:marTop w:val="0"/>
      <w:marBottom w:val="0"/>
      <w:divBdr>
        <w:top w:val="none" w:sz="0" w:space="0" w:color="auto"/>
        <w:left w:val="none" w:sz="0" w:space="0" w:color="auto"/>
        <w:bottom w:val="none" w:sz="0" w:space="0" w:color="auto"/>
        <w:right w:val="none" w:sz="0" w:space="0" w:color="auto"/>
      </w:divBdr>
    </w:div>
    <w:div w:id="1422995564">
      <w:bodyDiv w:val="1"/>
      <w:marLeft w:val="0"/>
      <w:marRight w:val="0"/>
      <w:marTop w:val="0"/>
      <w:marBottom w:val="0"/>
      <w:divBdr>
        <w:top w:val="none" w:sz="0" w:space="0" w:color="auto"/>
        <w:left w:val="none" w:sz="0" w:space="0" w:color="auto"/>
        <w:bottom w:val="none" w:sz="0" w:space="0" w:color="auto"/>
        <w:right w:val="none" w:sz="0" w:space="0" w:color="auto"/>
      </w:divBdr>
    </w:div>
    <w:div w:id="1505822843">
      <w:bodyDiv w:val="1"/>
      <w:marLeft w:val="0"/>
      <w:marRight w:val="0"/>
      <w:marTop w:val="0"/>
      <w:marBottom w:val="0"/>
      <w:divBdr>
        <w:top w:val="none" w:sz="0" w:space="0" w:color="auto"/>
        <w:left w:val="none" w:sz="0" w:space="0" w:color="auto"/>
        <w:bottom w:val="none" w:sz="0" w:space="0" w:color="auto"/>
        <w:right w:val="none" w:sz="0" w:space="0" w:color="auto"/>
      </w:divBdr>
    </w:div>
    <w:div w:id="1592741611">
      <w:bodyDiv w:val="1"/>
      <w:marLeft w:val="0"/>
      <w:marRight w:val="0"/>
      <w:marTop w:val="0"/>
      <w:marBottom w:val="0"/>
      <w:divBdr>
        <w:top w:val="none" w:sz="0" w:space="0" w:color="auto"/>
        <w:left w:val="none" w:sz="0" w:space="0" w:color="auto"/>
        <w:bottom w:val="none" w:sz="0" w:space="0" w:color="auto"/>
        <w:right w:val="none" w:sz="0" w:space="0" w:color="auto"/>
      </w:divBdr>
    </w:div>
    <w:div w:id="1665357790">
      <w:bodyDiv w:val="1"/>
      <w:marLeft w:val="0"/>
      <w:marRight w:val="0"/>
      <w:marTop w:val="0"/>
      <w:marBottom w:val="0"/>
      <w:divBdr>
        <w:top w:val="none" w:sz="0" w:space="0" w:color="auto"/>
        <w:left w:val="none" w:sz="0" w:space="0" w:color="auto"/>
        <w:bottom w:val="none" w:sz="0" w:space="0" w:color="auto"/>
        <w:right w:val="none" w:sz="0" w:space="0" w:color="auto"/>
      </w:divBdr>
    </w:div>
    <w:div w:id="1671177145">
      <w:bodyDiv w:val="1"/>
      <w:marLeft w:val="0"/>
      <w:marRight w:val="0"/>
      <w:marTop w:val="0"/>
      <w:marBottom w:val="0"/>
      <w:divBdr>
        <w:top w:val="none" w:sz="0" w:space="0" w:color="auto"/>
        <w:left w:val="none" w:sz="0" w:space="0" w:color="auto"/>
        <w:bottom w:val="none" w:sz="0" w:space="0" w:color="auto"/>
        <w:right w:val="none" w:sz="0" w:space="0" w:color="auto"/>
      </w:divBdr>
    </w:div>
    <w:div w:id="1708676926">
      <w:bodyDiv w:val="1"/>
      <w:marLeft w:val="0"/>
      <w:marRight w:val="0"/>
      <w:marTop w:val="0"/>
      <w:marBottom w:val="0"/>
      <w:divBdr>
        <w:top w:val="none" w:sz="0" w:space="0" w:color="auto"/>
        <w:left w:val="none" w:sz="0" w:space="0" w:color="auto"/>
        <w:bottom w:val="none" w:sz="0" w:space="0" w:color="auto"/>
        <w:right w:val="none" w:sz="0" w:space="0" w:color="auto"/>
      </w:divBdr>
    </w:div>
    <w:div w:id="1836602100">
      <w:bodyDiv w:val="1"/>
      <w:marLeft w:val="0"/>
      <w:marRight w:val="0"/>
      <w:marTop w:val="0"/>
      <w:marBottom w:val="0"/>
      <w:divBdr>
        <w:top w:val="none" w:sz="0" w:space="0" w:color="auto"/>
        <w:left w:val="none" w:sz="0" w:space="0" w:color="auto"/>
        <w:bottom w:val="none" w:sz="0" w:space="0" w:color="auto"/>
        <w:right w:val="none" w:sz="0" w:space="0" w:color="auto"/>
      </w:divBdr>
    </w:div>
    <w:div w:id="1862429734">
      <w:bodyDiv w:val="1"/>
      <w:marLeft w:val="0"/>
      <w:marRight w:val="0"/>
      <w:marTop w:val="0"/>
      <w:marBottom w:val="0"/>
      <w:divBdr>
        <w:top w:val="none" w:sz="0" w:space="0" w:color="auto"/>
        <w:left w:val="none" w:sz="0" w:space="0" w:color="auto"/>
        <w:bottom w:val="none" w:sz="0" w:space="0" w:color="auto"/>
        <w:right w:val="none" w:sz="0" w:space="0" w:color="auto"/>
      </w:divBdr>
    </w:div>
    <w:div w:id="1865710721">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2009290133">
      <w:bodyDiv w:val="1"/>
      <w:marLeft w:val="0"/>
      <w:marRight w:val="0"/>
      <w:marTop w:val="0"/>
      <w:marBottom w:val="0"/>
      <w:divBdr>
        <w:top w:val="none" w:sz="0" w:space="0" w:color="auto"/>
        <w:left w:val="none" w:sz="0" w:space="0" w:color="auto"/>
        <w:bottom w:val="none" w:sz="0" w:space="0" w:color="auto"/>
        <w:right w:val="none" w:sz="0" w:space="0" w:color="auto"/>
      </w:divBdr>
    </w:div>
    <w:div w:id="2037267575">
      <w:bodyDiv w:val="1"/>
      <w:marLeft w:val="0"/>
      <w:marRight w:val="0"/>
      <w:marTop w:val="0"/>
      <w:marBottom w:val="0"/>
      <w:divBdr>
        <w:top w:val="none" w:sz="0" w:space="0" w:color="auto"/>
        <w:left w:val="none" w:sz="0" w:space="0" w:color="auto"/>
        <w:bottom w:val="none" w:sz="0" w:space="0" w:color="auto"/>
        <w:right w:val="none" w:sz="0" w:space="0" w:color="auto"/>
      </w:divBdr>
    </w:div>
    <w:div w:id="2039891141">
      <w:bodyDiv w:val="1"/>
      <w:marLeft w:val="0"/>
      <w:marRight w:val="0"/>
      <w:marTop w:val="0"/>
      <w:marBottom w:val="0"/>
      <w:divBdr>
        <w:top w:val="none" w:sz="0" w:space="0" w:color="auto"/>
        <w:left w:val="none" w:sz="0" w:space="0" w:color="auto"/>
        <w:bottom w:val="none" w:sz="0" w:space="0" w:color="auto"/>
        <w:right w:val="none" w:sz="0" w:space="0" w:color="auto"/>
      </w:divBdr>
    </w:div>
    <w:div w:id="2068531598">
      <w:bodyDiv w:val="1"/>
      <w:marLeft w:val="0"/>
      <w:marRight w:val="0"/>
      <w:marTop w:val="0"/>
      <w:marBottom w:val="0"/>
      <w:divBdr>
        <w:top w:val="none" w:sz="0" w:space="0" w:color="auto"/>
        <w:left w:val="none" w:sz="0" w:space="0" w:color="auto"/>
        <w:bottom w:val="none" w:sz="0" w:space="0" w:color="auto"/>
        <w:right w:val="none" w:sz="0" w:space="0" w:color="auto"/>
      </w:divBdr>
    </w:div>
    <w:div w:id="212141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2EA13C-B7D5-49B5-B5D6-80F0218F8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8</Pages>
  <Words>1647</Words>
  <Characters>13522</Characters>
  <Application>Microsoft Office Word</Application>
  <DocSecurity>0</DocSecurity>
  <Lines>355</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https://mul2.gov.am/tasks/1410105/oneclick?token=9f727a4d6fc77178a4f5c6c1fa98e1c4</cp:keywords>
  <cp:lastModifiedBy>Narine Babayan</cp:lastModifiedBy>
  <cp:revision>31</cp:revision>
  <cp:lastPrinted>2025-10-05T11:22:00Z</cp:lastPrinted>
  <dcterms:created xsi:type="dcterms:W3CDTF">2026-07-29T06:07:00Z</dcterms:created>
  <dcterms:modified xsi:type="dcterms:W3CDTF">2026-11-04T14:10:00Z</dcterms:modified>
</cp:coreProperties>
</file>