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5347A9" w14:textId="77777777" w:rsidR="00E6177C" w:rsidRPr="00D83720" w:rsidRDefault="00E6177C" w:rsidP="00E6177C">
      <w:pPr>
        <w:spacing w:after="120" w:line="360" w:lineRule="auto"/>
        <w:jc w:val="center"/>
      </w:pPr>
      <w:r>
        <w:rPr>
          <w:rFonts w:ascii="GHEA Grapalat" w:eastAsia="GHEA Grapalat" w:hAnsi="GHEA Grapalat"/>
          <w:b/>
          <w:color w:val="000000"/>
          <w:sz w:val="24"/>
        </w:rPr>
        <w:t>ՀԻՄՆԱՎՈՐՈՒՄ</w:t>
      </w:r>
    </w:p>
    <w:p w14:paraId="72F0C581" w14:textId="77777777" w:rsidR="00E6177C" w:rsidRDefault="00E6177C" w:rsidP="00E6177C">
      <w:pPr>
        <w:spacing w:after="120" w:line="360" w:lineRule="auto"/>
        <w:jc w:val="center"/>
      </w:pPr>
      <w:r>
        <w:rPr>
          <w:rFonts w:ascii="GHEA Grapalat" w:eastAsia="GHEA Grapalat" w:hAnsi="GHEA Grapalat"/>
          <w:b/>
          <w:color w:val="000000"/>
          <w:sz w:val="24"/>
        </w:rPr>
        <w:t>«ՀԱՅԱՍՏԱՆԻ ՀԱՆՐԱՊԵՏՈՒԹՅԱՆ ԿԱՌԱՎԱՐՈՒԹՅԱՆ 2023 ԹՎԱԿԱՆԻ ՍԵՊՏԵՄԲԵՐԻ 22-Ի N 1615-Ն ԵՎ 2015 ԹՎԱԿԱՆԻ ՄԱՐՏԻ 19-Ի N 596-Ն ՈՐՈՇՈՒՄՆԵՐՈՒՄ ԼՐԱՑՈՒՄՆԵՐ ԵՎ ՓՈՓՈԽՈՒԹՅՈՒՆ ԿԱՏԱՐԵԼՈՒ ՄԱՍԻՆ» ՀԱՅԱՍՏԱՆԻ ՀԱՆՐԱՊԵՏՈՒԹՅԱՆ ԿԱՌԱՎԱՐՈՒԹՅԱՆ ՈՐՈՇՄԱՆ ՆԱԽԱԳԾԻ ԸՆԴՈՒՆՄԱՆ</w:t>
      </w:r>
    </w:p>
    <w:p w14:paraId="19D5DF07" w14:textId="77777777" w:rsidR="00E6177C" w:rsidRDefault="00E6177C" w:rsidP="00E6177C">
      <w:pPr>
        <w:spacing w:line="360" w:lineRule="auto"/>
        <w:ind w:firstLine="540"/>
        <w:jc w:val="both"/>
      </w:pPr>
      <w:r>
        <w:rPr>
          <w:rFonts w:ascii="GHEA Grapalat" w:eastAsia="GHEA Grapalat" w:hAnsi="GHEA Grapalat"/>
          <w:b/>
          <w:color w:val="000000"/>
          <w:sz w:val="24"/>
        </w:rPr>
        <w:t>Իրավական ակտի ընդունման անհրաժեշտությունը</w:t>
      </w:r>
    </w:p>
    <w:p w14:paraId="3CD9C39E" w14:textId="77777777" w:rsidR="00E6177C" w:rsidRDefault="00E6177C" w:rsidP="00E6177C">
      <w:pPr>
        <w:spacing w:line="360" w:lineRule="auto"/>
        <w:ind w:firstLine="540"/>
        <w:jc w:val="both"/>
      </w:pPr>
      <w:r>
        <w:rPr>
          <w:rFonts w:ascii="GHEA Grapalat" w:eastAsia="GHEA Grapalat" w:hAnsi="GHEA Grapalat"/>
          <w:color w:val="000000"/>
          <w:sz w:val="24"/>
        </w:rPr>
        <w:t>Նախագծի ընդունման անհրաժեշտությունը պայմանավորված է ոչ ռեզիդենտ կազմակերպությունների կազմակերպչական կարողությունները շինարարական ծրագրերում ներգրավելու և ընդհանուր պլանավորման, կազմակերպման ու համակարգման գործառույթները շինարարական աշխատանքների անմիջական կատարումից տարանջատելու պահանջով։ Կարգավորումը վերաբերում է այն կազմակերպություններին, որոնք չունեն օտարերկրյա լիցենզիա կամ համապատասխան գործունեության իրավունքը հավաստող փաստաթուղթ՝ «Լիցենզավորման մասին» օրենքի 7-րդ հոդվածի 6.1-ին կամ 6.2-րդ մասի մեխանիզմից օգտվելու համար։ Նրանց կողմից լիցենզավորման ենթակա աշխատանքների փաստացի կատարումը չի թույլատրվում առանց համապատասխան իրավունքի։ Նման մոդելը կիրառելի է նաև խոշոր և տեխնիկապես բարդ ծրագրերում, սակայն այդ հատկանիշները չեն սահմանափակում կարգավորման կիրառման շրջանակը։</w:t>
      </w:r>
    </w:p>
    <w:p w14:paraId="09326775" w14:textId="77777777" w:rsidR="00E6177C" w:rsidRDefault="00E6177C" w:rsidP="00E6177C">
      <w:pPr>
        <w:spacing w:line="360" w:lineRule="auto"/>
        <w:ind w:firstLine="540"/>
        <w:jc w:val="both"/>
      </w:pPr>
      <w:r>
        <w:rPr>
          <w:rFonts w:ascii="GHEA Grapalat" w:eastAsia="GHEA Grapalat" w:hAnsi="GHEA Grapalat"/>
          <w:b/>
          <w:color w:val="000000"/>
          <w:sz w:val="24"/>
        </w:rPr>
        <w:t>Ընթացիկ իրավիճակը և խնդիրները</w:t>
      </w:r>
    </w:p>
    <w:p w14:paraId="6DB7ABEC" w14:textId="77777777" w:rsidR="00E6177C" w:rsidRDefault="00E6177C" w:rsidP="00E6177C">
      <w:pPr>
        <w:spacing w:line="360" w:lineRule="auto"/>
        <w:ind w:firstLine="540"/>
        <w:jc w:val="both"/>
      </w:pPr>
      <w:r>
        <w:rPr>
          <w:rFonts w:ascii="GHEA Grapalat" w:eastAsia="GHEA Grapalat" w:hAnsi="GHEA Grapalat"/>
          <w:color w:val="000000"/>
          <w:sz w:val="24"/>
        </w:rPr>
        <w:t xml:space="preserve">Կառավարության 2023 թվականի սեպտեմբերի 22-ի N 1615-Ն որոշման հավելվածի 3-րդ գլուխը չի առանձնացնում գլխավոր կապալառուի կազմակերպչական ծառայությունները։ Քաղաքացիական օրենսգրքի 704-րդ հոդվածով ենթակապալառուներ ներգրավելու հնարավորությունը չի վերացնում լիցենզավորման պահանջները։ Միաժամանակ </w:t>
      </w:r>
      <w:r w:rsidRPr="00EE0F7B">
        <w:rPr>
          <w:rFonts w:ascii="GHEA Grapalat" w:eastAsia="GHEA Grapalat" w:hAnsi="GHEA Grapalat"/>
          <w:color w:val="000000"/>
          <w:sz w:val="24"/>
        </w:rPr>
        <w:t xml:space="preserve">2015 </w:t>
      </w:r>
      <w:r>
        <w:rPr>
          <w:rFonts w:ascii="GHEA Grapalat" w:eastAsia="GHEA Grapalat" w:hAnsi="GHEA Grapalat"/>
          <w:color w:val="000000"/>
          <w:sz w:val="24"/>
        </w:rPr>
        <w:t>թվականի մարտօ</w:t>
      </w:r>
      <w:r w:rsidRPr="00EE0F7B">
        <w:rPr>
          <w:rFonts w:ascii="GHEA Grapalat" w:eastAsia="GHEA Grapalat" w:hAnsi="GHEA Grapalat"/>
          <w:color w:val="000000"/>
          <w:sz w:val="24"/>
        </w:rPr>
        <w:t xml:space="preserve"> 19-</w:t>
      </w:r>
      <w:r>
        <w:rPr>
          <w:rFonts w:ascii="GHEA Grapalat" w:eastAsia="GHEA Grapalat" w:hAnsi="GHEA Grapalat"/>
          <w:color w:val="000000"/>
          <w:sz w:val="24"/>
        </w:rPr>
        <w:t>ի N 596-Ն որոշման ձևերում գլխավոր կապալառուի լիցենզիայի տվյալներ պահանջող դաշտերը և որոշ տվյալներ չլրացնելու ընդհանուր հղումները պետք է համապատասխանեցվեն նոր բացառությանը։</w:t>
      </w:r>
    </w:p>
    <w:p w14:paraId="3A4B7452" w14:textId="77777777" w:rsidR="00E6177C" w:rsidRDefault="00E6177C" w:rsidP="00E6177C">
      <w:pPr>
        <w:spacing w:line="360" w:lineRule="auto"/>
        <w:ind w:firstLine="540"/>
        <w:jc w:val="both"/>
        <w:rPr>
          <w:rFonts w:ascii="GHEA Grapalat" w:eastAsia="GHEA Grapalat" w:hAnsi="GHEA Grapalat"/>
          <w:b/>
          <w:color w:val="000000"/>
          <w:sz w:val="24"/>
        </w:rPr>
      </w:pPr>
    </w:p>
    <w:p w14:paraId="7BBA43BA" w14:textId="77777777" w:rsidR="00E6177C" w:rsidRDefault="00E6177C" w:rsidP="00E6177C">
      <w:pPr>
        <w:spacing w:line="360" w:lineRule="auto"/>
        <w:ind w:firstLine="540"/>
        <w:jc w:val="both"/>
        <w:rPr>
          <w:rFonts w:ascii="GHEA Grapalat" w:eastAsia="GHEA Grapalat" w:hAnsi="GHEA Grapalat"/>
          <w:b/>
          <w:color w:val="000000"/>
          <w:sz w:val="24"/>
        </w:rPr>
      </w:pPr>
    </w:p>
    <w:p w14:paraId="33C543E3" w14:textId="77777777" w:rsidR="00E6177C" w:rsidRDefault="00E6177C" w:rsidP="00E6177C">
      <w:pPr>
        <w:spacing w:line="360" w:lineRule="auto"/>
        <w:ind w:firstLine="540"/>
        <w:jc w:val="both"/>
      </w:pPr>
      <w:r>
        <w:rPr>
          <w:rFonts w:ascii="GHEA Grapalat" w:eastAsia="GHEA Grapalat" w:hAnsi="GHEA Grapalat"/>
          <w:b/>
          <w:color w:val="000000"/>
          <w:sz w:val="24"/>
        </w:rPr>
        <w:t>Իրավական հիմքը</w:t>
      </w:r>
    </w:p>
    <w:p w14:paraId="31CA251F" w14:textId="77777777" w:rsidR="00E6177C" w:rsidRDefault="00E6177C" w:rsidP="00E6177C">
      <w:pPr>
        <w:spacing w:line="360" w:lineRule="auto"/>
        <w:ind w:firstLine="540"/>
        <w:jc w:val="both"/>
      </w:pPr>
      <w:r>
        <w:rPr>
          <w:rFonts w:ascii="GHEA Grapalat" w:eastAsia="GHEA Grapalat" w:hAnsi="GHEA Grapalat"/>
          <w:color w:val="000000"/>
          <w:sz w:val="24"/>
        </w:rPr>
        <w:t xml:space="preserve">Կարգավորման հիմքն են «Քաղաքաշինության մասին» օրենքի 10-րդ հոդվածի 1-ին մասի 11-րդ, 12-րդ և 22-րդ կետերը՝ «Լիցենզավորման մասին» օրենքի 43-րդ հոդվածի 2-րդ մասի աղյուսակի 17-րդ բաժնի 6-8-րդ կետերի հետ համակցությամբ։ Փաստացի կատարողների նկատմամբ պահպանվում են «Քաղաքաշինության մասին» օրենքի 21-րդ հոդվածի և </w:t>
      </w:r>
      <w:r w:rsidRPr="00EE0F7B">
        <w:rPr>
          <w:rFonts w:ascii="GHEA Grapalat" w:eastAsia="GHEA Grapalat" w:hAnsi="GHEA Grapalat"/>
          <w:color w:val="000000"/>
          <w:sz w:val="24"/>
        </w:rPr>
        <w:t>30 նոյեմբերի 2023 թվականի</w:t>
      </w:r>
      <w:r>
        <w:rPr>
          <w:rFonts w:ascii="GHEA Grapalat" w:eastAsia="GHEA Grapalat" w:hAnsi="GHEA Grapalat"/>
          <w:color w:val="000000"/>
          <w:sz w:val="24"/>
        </w:rPr>
        <w:t xml:space="preserve"> N 2106-Ն որոշման պահանջները, ինչպես նաև օրենքով ու միջազգային պայմանագրերով նախատեսված՝ գործունեության իրավունքի այլ հիմքերը։ Օտարերկրյա անձանց նկատմամբ կիրառելի են նաև «Լիցենզավորման մասին» օրենքի 7-րդ հոդվածի և դրա հիման վրա ընդունված N 79-Ն որոշման համապատասխան դրույթները։</w:t>
      </w:r>
    </w:p>
    <w:p w14:paraId="32FEDEF1" w14:textId="77777777" w:rsidR="00E6177C" w:rsidRDefault="00E6177C" w:rsidP="00E6177C">
      <w:pPr>
        <w:spacing w:line="360" w:lineRule="auto"/>
        <w:ind w:firstLine="540"/>
        <w:jc w:val="both"/>
      </w:pPr>
      <w:r>
        <w:rPr>
          <w:rFonts w:ascii="GHEA Grapalat" w:eastAsia="GHEA Grapalat" w:hAnsi="GHEA Grapalat"/>
          <w:b/>
          <w:color w:val="000000"/>
          <w:sz w:val="24"/>
        </w:rPr>
        <w:t>Կարգավորման նպատակը և բնույթը</w:t>
      </w:r>
    </w:p>
    <w:p w14:paraId="76BBA4BB" w14:textId="77777777" w:rsidR="00E6177C" w:rsidRDefault="00E6177C" w:rsidP="00E6177C">
      <w:pPr>
        <w:spacing w:line="360" w:lineRule="auto"/>
        <w:ind w:firstLine="540"/>
        <w:jc w:val="both"/>
      </w:pPr>
      <w:r>
        <w:rPr>
          <w:rFonts w:ascii="GHEA Grapalat" w:eastAsia="GHEA Grapalat" w:hAnsi="GHEA Grapalat"/>
          <w:color w:val="000000"/>
          <w:sz w:val="24"/>
        </w:rPr>
        <w:t>Նախագծով 2023 թվականի սեպտեմբերի 22-ի N 1615-Ն որոշման հավելվածը լրացվում է 12.1-ին կետով։ Բացառությունը վերաբերում է կառուցման կամ վերակառուցման աշխատանքների ընդհանուր պլանավորմանը, կազմակերպմանը և համակարգմանը։ Այն կիրառվում է առանց անհատական թույլտվության՝ միայն Հարկային օրենսգրքի 22-րդ հոդվածի իմաստով ոչ ռեզիդենտ կազմակերպության նկատմամբ և օտարերկրյա լիցենզիայի կամ համապատասխան իրավունքը հավաստող փաստաթղթի բացակայության դեպքում։ Այդ փաստաթուղթն ունեցող անձի՝ ճանաչման կամ թույլտվության համար չդիմելը բացառության հիմք չէ։ Ռեզիդենտ կազմակերպությունները շարունակում են գործել ընդհանուր կարգով։ Լիցենզավորման ենթակա աշխատանքներն անձամբ կարող են կատարվել միայն համապատասխան իրավունքի առկայության դեպքում։ Գլխավոր կապալառուի կողմից այդ իրավունքի ձեռքբերումը ծրագրի ընթացքում չի արգելվում։ Կարգավորումը նորմատիվ է՝ անորոշ թվով անձանց համար բազմակի կիրառվող կանոններ սահմանելու պատճառով։</w:t>
      </w:r>
    </w:p>
    <w:p w14:paraId="17AB8A54" w14:textId="77777777" w:rsidR="00E6177C" w:rsidRDefault="00E6177C" w:rsidP="00E6177C">
      <w:pPr>
        <w:spacing w:line="360" w:lineRule="auto"/>
        <w:ind w:firstLine="540"/>
        <w:jc w:val="both"/>
      </w:pPr>
      <w:r>
        <w:rPr>
          <w:rFonts w:ascii="GHEA Grapalat" w:eastAsia="GHEA Grapalat" w:hAnsi="GHEA Grapalat"/>
          <w:b/>
          <w:color w:val="000000"/>
          <w:sz w:val="24"/>
        </w:rPr>
        <w:t>Պատասխանատվության և փաստագրման ապահովումը</w:t>
      </w:r>
    </w:p>
    <w:p w14:paraId="2AE67DAD" w14:textId="77777777" w:rsidR="00E6177C" w:rsidRDefault="00E6177C" w:rsidP="00E6177C">
      <w:pPr>
        <w:spacing w:line="360" w:lineRule="auto"/>
        <w:ind w:firstLine="540"/>
        <w:jc w:val="both"/>
      </w:pPr>
      <w:r>
        <w:rPr>
          <w:rFonts w:ascii="GHEA Grapalat" w:eastAsia="GHEA Grapalat" w:hAnsi="GHEA Grapalat"/>
          <w:color w:val="000000"/>
          <w:sz w:val="24"/>
        </w:rPr>
        <w:t xml:space="preserve">Քաղաքացիական օրենսգրքի 704-րդ հոդվածի 3-րդ կետով գլխավոր կապալառուն պահպանում է պատվիրատուի առջև պատասխանատվությունը ենթակապալառուների պարտավորությունների չկատարման կամ անպատշաճ կատարման համար։ Պահպանվում են նաև նույն օրենսգրքի 749-րդ հոդվածով և </w:t>
      </w:r>
      <w:r>
        <w:rPr>
          <w:rFonts w:ascii="GHEA Grapalat" w:eastAsia="GHEA Grapalat" w:hAnsi="GHEA Grapalat"/>
          <w:color w:val="000000"/>
          <w:sz w:val="24"/>
        </w:rPr>
        <w:lastRenderedPageBreak/>
        <w:t xml:space="preserve">քաղաքաշինական օրենսդրությամբ սահմանված բնապահպանական ու անվտանգության պարտականությունները։ </w:t>
      </w:r>
      <w:r w:rsidRPr="00EE0F7B">
        <w:rPr>
          <w:rFonts w:ascii="GHEA Grapalat" w:eastAsia="GHEA Grapalat" w:hAnsi="GHEA Grapalat"/>
          <w:color w:val="000000"/>
          <w:sz w:val="24"/>
        </w:rPr>
        <w:t xml:space="preserve">2015 </w:t>
      </w:r>
      <w:r>
        <w:rPr>
          <w:rFonts w:ascii="GHEA Grapalat" w:eastAsia="GHEA Grapalat" w:hAnsi="GHEA Grapalat"/>
          <w:color w:val="000000"/>
          <w:sz w:val="24"/>
        </w:rPr>
        <w:t>թվականի մարտօ</w:t>
      </w:r>
      <w:r w:rsidRPr="00EE0F7B">
        <w:rPr>
          <w:rFonts w:ascii="GHEA Grapalat" w:eastAsia="GHEA Grapalat" w:hAnsi="GHEA Grapalat"/>
          <w:color w:val="000000"/>
          <w:sz w:val="24"/>
        </w:rPr>
        <w:t xml:space="preserve"> 19-</w:t>
      </w:r>
      <w:r>
        <w:rPr>
          <w:rFonts w:ascii="GHEA Grapalat" w:eastAsia="GHEA Grapalat" w:hAnsi="GHEA Grapalat"/>
          <w:color w:val="000000"/>
          <w:sz w:val="24"/>
        </w:rPr>
        <w:t>ի N 596-Ն որոշման լրացումներով գլխավոր կապալառուն ապահովում է կատարողական փաստաթղթերի ամբողջական փաթեթը և դրանց վերականգնումը, իսկ փաստացի կատարողները և մասնագետները փաստաթղթերը կազմում ու ստորագրում են իրենց իրավասության սահմաններում։ Ընդունող հանձնաժողովում պահպանվում է փաստացի կատարողների մասնակցությունը։ Կառուցապատողը ներկայացնում է աշխատանքներն իրականացնող անձանց և նրանց գործունեության իրավունքի տվյալները, ինչպես նաև ոչ ռեզիդենտ գլխավոր կապալառուի պետական գրանցումը և հատուկ բացառության պայմանը հիմնավորող տեղեկությունները։ Փոփոխությունների մասին ծանուցվում է գործող կարգով։</w:t>
      </w:r>
    </w:p>
    <w:p w14:paraId="6770226C" w14:textId="77777777" w:rsidR="00E6177C" w:rsidRDefault="00E6177C" w:rsidP="00E6177C">
      <w:pPr>
        <w:spacing w:line="360" w:lineRule="auto"/>
        <w:ind w:firstLine="540"/>
        <w:jc w:val="both"/>
      </w:pPr>
      <w:r>
        <w:rPr>
          <w:rFonts w:ascii="GHEA Grapalat" w:eastAsia="GHEA Grapalat" w:hAnsi="GHEA Grapalat"/>
          <w:b/>
          <w:color w:val="000000"/>
          <w:sz w:val="24"/>
        </w:rPr>
        <w:t>Նախագծի մշակման գործընթացում ներգրավված ինստիտուտները և անձինք</w:t>
      </w:r>
    </w:p>
    <w:p w14:paraId="53E57B80" w14:textId="77777777" w:rsidR="00E6177C" w:rsidRDefault="00E6177C" w:rsidP="00E6177C">
      <w:pPr>
        <w:spacing w:line="360" w:lineRule="auto"/>
        <w:ind w:firstLine="540"/>
        <w:jc w:val="both"/>
      </w:pPr>
      <w:r>
        <w:rPr>
          <w:rFonts w:ascii="GHEA Grapalat" w:eastAsia="GHEA Grapalat" w:hAnsi="GHEA Grapalat"/>
          <w:color w:val="000000"/>
          <w:sz w:val="24"/>
        </w:rPr>
        <w:t xml:space="preserve">Նախագիծը մշակվել է Հայաստանի Հանրապետության քաղաքաշինության կոմիտեի կողմից։ </w:t>
      </w:r>
    </w:p>
    <w:p w14:paraId="25BFB76A" w14:textId="77777777" w:rsidR="00E6177C" w:rsidRDefault="00E6177C" w:rsidP="00E6177C">
      <w:pPr>
        <w:spacing w:line="360" w:lineRule="auto"/>
        <w:ind w:firstLine="540"/>
        <w:jc w:val="both"/>
      </w:pPr>
      <w:r>
        <w:rPr>
          <w:rFonts w:ascii="GHEA Grapalat" w:eastAsia="GHEA Grapalat" w:hAnsi="GHEA Grapalat"/>
          <w:b/>
          <w:color w:val="000000"/>
          <w:sz w:val="24"/>
        </w:rPr>
        <w:t>Իրավական ակտի կիրարկման դեպքում ակնկալվող արդյունքը</w:t>
      </w:r>
    </w:p>
    <w:p w14:paraId="46EC3626" w14:textId="77777777" w:rsidR="00E6177C" w:rsidRDefault="00E6177C" w:rsidP="00E6177C">
      <w:pPr>
        <w:spacing w:line="360" w:lineRule="auto"/>
        <w:ind w:firstLine="540"/>
        <w:jc w:val="both"/>
      </w:pPr>
      <w:r>
        <w:rPr>
          <w:rFonts w:ascii="GHEA Grapalat" w:eastAsia="GHEA Grapalat" w:hAnsi="GHEA Grapalat"/>
          <w:color w:val="000000"/>
          <w:sz w:val="24"/>
        </w:rPr>
        <w:t>Կհստակեցվի գլխավոր կապալառուի կազմակերպչական դերը՝ պահպանելով աշխատանքներն անմիջականորեն կատարողների մասնագիտական պահանջները, կառուցապատման թույլտվությունները, հսկողությունը, փաստագրումն ու պատասխանատվությունը։ Կազմակերպչական կարողությունների ներգրավումը չի ստեղծի գնումների ընթացակարգերից կամ մասնակիցների նկատմամբ օրինական պահանջներից բացառություն։</w:t>
      </w:r>
    </w:p>
    <w:p w14:paraId="6EE62512" w14:textId="77777777" w:rsidR="00E6177C" w:rsidRDefault="00E6177C" w:rsidP="00E6177C">
      <w:pPr>
        <w:spacing w:line="360" w:lineRule="auto"/>
        <w:ind w:firstLine="540"/>
        <w:jc w:val="both"/>
      </w:pPr>
      <w:r>
        <w:rPr>
          <w:rFonts w:ascii="GHEA Grapalat" w:eastAsia="GHEA Grapalat" w:hAnsi="GHEA Grapalat"/>
          <w:b/>
          <w:color w:val="000000"/>
          <w:sz w:val="24"/>
        </w:rPr>
        <w:t>Բյուջետային ազդեցությունը</w:t>
      </w:r>
    </w:p>
    <w:p w14:paraId="0E291881" w14:textId="77777777" w:rsidR="00E6177C" w:rsidRPr="00B15474" w:rsidRDefault="00E6177C" w:rsidP="00E6177C">
      <w:pPr>
        <w:spacing w:line="360" w:lineRule="auto"/>
        <w:ind w:firstLine="540"/>
        <w:jc w:val="both"/>
        <w:rPr>
          <w:rFonts w:ascii="GHEA Grapalat" w:eastAsia="GHEA Grapalat" w:hAnsi="GHEA Grapalat"/>
          <w:color w:val="000000"/>
          <w:sz w:val="24"/>
        </w:rPr>
      </w:pPr>
      <w:r w:rsidRPr="00B15474">
        <w:rPr>
          <w:rFonts w:ascii="GHEA Grapalat" w:eastAsia="GHEA Grapalat" w:hAnsi="GHEA Grapalat"/>
          <w:bCs/>
          <w:color w:val="000000"/>
          <w:sz w:val="24"/>
          <w:lang w:val="hy-AM"/>
        </w:rPr>
        <w:t>Նախագծի ընդունումը պետական բյուջեից լրացուցիչ ծախսեր չի պահանջում</w:t>
      </w:r>
      <w:r>
        <w:rPr>
          <w:rFonts w:ascii="GHEA Grapalat" w:eastAsia="GHEA Grapalat" w:hAnsi="GHEA Grapalat"/>
          <w:color w:val="000000"/>
          <w:sz w:val="24"/>
        </w:rPr>
        <w:t>։</w:t>
      </w:r>
    </w:p>
    <w:p w14:paraId="599DD52B" w14:textId="77777777" w:rsidR="00E6177C" w:rsidRDefault="00E6177C" w:rsidP="00E6177C">
      <w:pPr>
        <w:spacing w:line="360" w:lineRule="auto"/>
        <w:ind w:firstLine="540"/>
        <w:jc w:val="both"/>
      </w:pPr>
      <w:r>
        <w:rPr>
          <w:rFonts w:ascii="GHEA Grapalat" w:eastAsia="GHEA Grapalat" w:hAnsi="GHEA Grapalat"/>
          <w:b/>
          <w:color w:val="000000"/>
          <w:sz w:val="24"/>
        </w:rPr>
        <w:t>Կապը ռազմավարական փաստաթղթերի հետ</w:t>
      </w:r>
    </w:p>
    <w:p w14:paraId="1707B754" w14:textId="77777777" w:rsidR="00E6177C" w:rsidRPr="00B15474" w:rsidRDefault="00E6177C" w:rsidP="00E6177C">
      <w:pPr>
        <w:spacing w:line="360" w:lineRule="auto"/>
        <w:ind w:firstLine="540"/>
        <w:jc w:val="both"/>
        <w:rPr>
          <w:lang w:val="hy-AM"/>
        </w:rPr>
      </w:pPr>
      <w:r w:rsidRPr="00B15474">
        <w:rPr>
          <w:rFonts w:ascii="GHEA Grapalat" w:eastAsia="GHEA Grapalat" w:hAnsi="GHEA Grapalat"/>
          <w:color w:val="000000"/>
          <w:sz w:val="24"/>
        </w:rPr>
        <w:t xml:space="preserve">Նախագիծը համահունչ է Հայաստանի Հանրապետության կառավարության 2021 թվականի ապրիլի 8-ի N 531-Լ որոշման N 1 հավելվածով հաստատված՝ Քաղաքաշինության բնագավառի զարգացման ռազմավարական ծրագրի՝ գործարար միջավայրի բարելավման և ներդրումների խթանման նպատակին։ Ոչ ռեզիդենտ գլխավոր կապալառուների ներգրավման և նրանց կողմից պատշաճ լիցենզիա ձեռք բերելու դեպքում որոշ աշխատանքներ սեփական ուժերով իրականացնելու </w:t>
      </w:r>
      <w:r w:rsidRPr="00B15474">
        <w:rPr>
          <w:rFonts w:ascii="GHEA Grapalat" w:eastAsia="GHEA Grapalat" w:hAnsi="GHEA Grapalat"/>
          <w:color w:val="000000"/>
          <w:sz w:val="24"/>
        </w:rPr>
        <w:lastRenderedPageBreak/>
        <w:t>հնարավորությունը նպաստում է օտարերկրյա փորձի և մասնագիտական կարողությունների ներգրավմանը։</w:t>
      </w:r>
    </w:p>
    <w:p w14:paraId="1E10C9CA" w14:textId="77777777" w:rsidR="00E6177C" w:rsidRPr="00E6177C" w:rsidRDefault="00E6177C" w:rsidP="00E6177C">
      <w:pPr>
        <w:spacing w:line="360" w:lineRule="auto"/>
        <w:ind w:firstLine="540"/>
        <w:jc w:val="both"/>
        <w:rPr>
          <w:lang w:val="hy-AM"/>
        </w:rPr>
      </w:pPr>
      <w:r w:rsidRPr="00E6177C">
        <w:rPr>
          <w:rFonts w:ascii="GHEA Grapalat" w:eastAsia="GHEA Grapalat" w:hAnsi="GHEA Grapalat"/>
          <w:b/>
          <w:color w:val="000000"/>
          <w:sz w:val="24"/>
          <w:lang w:val="hy-AM"/>
        </w:rPr>
        <w:t>Այլ իրավական ակտերի ընդունման անհրաժեշտությունը և կիրարկման ժամկետը</w:t>
      </w:r>
    </w:p>
    <w:p w14:paraId="051A0DAC" w14:textId="77777777" w:rsidR="00E6177C" w:rsidRPr="00E6177C" w:rsidRDefault="00E6177C" w:rsidP="00E6177C">
      <w:pPr>
        <w:spacing w:line="360" w:lineRule="auto"/>
        <w:ind w:firstLine="540"/>
        <w:jc w:val="both"/>
        <w:rPr>
          <w:lang w:val="hy-AM"/>
        </w:rPr>
      </w:pPr>
      <w:r w:rsidRPr="00E6177C">
        <w:rPr>
          <w:rFonts w:ascii="GHEA Grapalat" w:eastAsia="GHEA Grapalat" w:hAnsi="GHEA Grapalat"/>
          <w:color w:val="000000"/>
          <w:sz w:val="24"/>
          <w:lang w:val="hy-AM"/>
        </w:rPr>
        <w:t xml:space="preserve">2015 թվականի մարտօ 19-ի N 596-Ն որոշման անհրաժեշտ լրացումներն ու փոփոխությունը ներառվել են նույն նախագծում։ </w:t>
      </w:r>
    </w:p>
    <w:p w14:paraId="538B374E" w14:textId="77777777" w:rsidR="00E6177C" w:rsidRPr="00E6177C" w:rsidRDefault="00E6177C" w:rsidP="00E6177C">
      <w:pPr>
        <w:spacing w:line="360" w:lineRule="auto"/>
        <w:ind w:firstLine="540"/>
        <w:jc w:val="both"/>
        <w:rPr>
          <w:lang w:val="hy-AM"/>
        </w:rPr>
      </w:pPr>
    </w:p>
    <w:p w14:paraId="4BDDA555" w14:textId="44B8D1BE" w:rsidR="00E04B16" w:rsidRPr="00E6177C" w:rsidRDefault="00E04B16" w:rsidP="00E6177C">
      <w:pPr>
        <w:rPr>
          <w:lang w:val="hy-AM"/>
        </w:rPr>
      </w:pPr>
      <w:bookmarkStart w:id="0" w:name="_GoBack"/>
      <w:bookmarkEnd w:id="0"/>
    </w:p>
    <w:sectPr w:rsidR="00E04B16" w:rsidRPr="00E6177C" w:rsidSect="00983859">
      <w:headerReference w:type="even" r:id="rId8"/>
      <w:footerReference w:type="default" r:id="rId9"/>
      <w:pgSz w:w="11907" w:h="16840" w:code="9"/>
      <w:pgMar w:top="851" w:right="1107" w:bottom="426" w:left="1138" w:header="450" w:footer="40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8D1622" w14:textId="77777777" w:rsidR="00646F45" w:rsidRDefault="00646F45" w:rsidP="0022587F">
      <w:r>
        <w:separator/>
      </w:r>
    </w:p>
  </w:endnote>
  <w:endnote w:type="continuationSeparator" w:id="0">
    <w:p w14:paraId="17F71717" w14:textId="77777777" w:rsidR="00646F45" w:rsidRDefault="00646F45" w:rsidP="00225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Math">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D3341A" w14:textId="77777777"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0E828E75" w14:textId="77777777"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419FDD25" w14:textId="77777777"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121B7F" w14:textId="77777777" w:rsidR="00646F45" w:rsidRDefault="00646F45" w:rsidP="0022587F">
      <w:r>
        <w:separator/>
      </w:r>
    </w:p>
  </w:footnote>
  <w:footnote w:type="continuationSeparator" w:id="0">
    <w:p w14:paraId="4CDE8E5E" w14:textId="77777777" w:rsidR="00646F45" w:rsidRDefault="00646F45" w:rsidP="0022587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958A9B" w14:textId="77777777" w:rsidR="0091552E" w:rsidRDefault="0091552E">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15:restartNumberingAfterBreak="0">
    <w:nsid w:val="0FE02F81"/>
    <w:multiLevelType w:val="hybridMultilevel"/>
    <w:tmpl w:val="2D905EA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12E50F46"/>
    <w:multiLevelType w:val="hybridMultilevel"/>
    <w:tmpl w:val="60A64534"/>
    <w:lvl w:ilvl="0" w:tplc="B49C6D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1D840922"/>
    <w:multiLevelType w:val="hybridMultilevel"/>
    <w:tmpl w:val="A6685EF8"/>
    <w:lvl w:ilvl="0" w:tplc="BAB2DCEA">
      <w:numFmt w:val="bullet"/>
      <w:lvlText w:val="-"/>
      <w:lvlJc w:val="left"/>
      <w:pPr>
        <w:ind w:left="1069" w:hanging="360"/>
      </w:pPr>
      <w:rPr>
        <w:rFonts w:ascii="GHEA Grapalat" w:eastAsia="Times New Roman" w:hAnsi="GHEA Grapalat"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7FE67CA"/>
    <w:multiLevelType w:val="hybridMultilevel"/>
    <w:tmpl w:val="EC34317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290E4908"/>
    <w:multiLevelType w:val="hybridMultilevel"/>
    <w:tmpl w:val="BCAE08F0"/>
    <w:lvl w:ilvl="0" w:tplc="0419000F">
      <w:start w:val="1"/>
      <w:numFmt w:val="decimal"/>
      <w:lvlText w:val="%1."/>
      <w:lvlJc w:val="left"/>
      <w:pPr>
        <w:ind w:left="1069" w:hanging="360"/>
      </w:pPr>
      <w:rPr>
        <w:rFonts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38BD7214"/>
    <w:multiLevelType w:val="hybridMultilevel"/>
    <w:tmpl w:val="749A9518"/>
    <w:lvl w:ilvl="0" w:tplc="750E120A">
      <w:numFmt w:val="bullet"/>
      <w:lvlText w:val="-"/>
      <w:lvlJc w:val="left"/>
      <w:pPr>
        <w:ind w:left="1069" w:hanging="360"/>
      </w:pPr>
      <w:rPr>
        <w:rFonts w:ascii="GHEA Grapalat" w:eastAsia="Times New Roman" w:hAnsi="GHEA Grapalat"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7" w15:restartNumberingAfterBreak="0">
    <w:nsid w:val="3FCA7B51"/>
    <w:multiLevelType w:val="hybridMultilevel"/>
    <w:tmpl w:val="99B66CB0"/>
    <w:lvl w:ilvl="0" w:tplc="0834FE26">
      <w:start w:val="5"/>
      <w:numFmt w:val="bullet"/>
      <w:lvlText w:val="-"/>
      <w:lvlJc w:val="left"/>
      <w:pPr>
        <w:ind w:left="1080" w:hanging="360"/>
      </w:pPr>
      <w:rPr>
        <w:rFonts w:ascii="GHEA Grapalat" w:eastAsia="Times New Roman" w:hAnsi="GHEA Grapalat"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D9E59C0"/>
    <w:multiLevelType w:val="hybridMultilevel"/>
    <w:tmpl w:val="BC6E432C"/>
    <w:lvl w:ilvl="0" w:tplc="067AF6C0">
      <w:start w:val="5"/>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15:restartNumberingAfterBreak="0">
    <w:nsid w:val="5F562355"/>
    <w:multiLevelType w:val="hybridMultilevel"/>
    <w:tmpl w:val="061A5486"/>
    <w:lvl w:ilvl="0" w:tplc="12A832A4">
      <w:start w:val="10"/>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15:restartNumberingAfterBreak="0">
    <w:nsid w:val="683C0AAE"/>
    <w:multiLevelType w:val="hybridMultilevel"/>
    <w:tmpl w:val="EBBC4DFA"/>
    <w:lvl w:ilvl="0" w:tplc="834EB562">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8"/>
  </w:num>
  <w:num w:numId="4">
    <w:abstractNumId w:val="9"/>
  </w:num>
  <w:num w:numId="5">
    <w:abstractNumId w:val="5"/>
  </w:num>
  <w:num w:numId="6">
    <w:abstractNumId w:val="2"/>
  </w:num>
  <w:num w:numId="7">
    <w:abstractNumId w:val="4"/>
  </w:num>
  <w:num w:numId="8">
    <w:abstractNumId w:val="3"/>
  </w:num>
  <w:num w:numId="9">
    <w:abstractNumId w:val="10"/>
  </w:num>
  <w:num w:numId="10">
    <w:abstractNumId w:val="7"/>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2239C0"/>
    <w:rsid w:val="00001F43"/>
    <w:rsid w:val="000054A9"/>
    <w:rsid w:val="000062C3"/>
    <w:rsid w:val="000068B6"/>
    <w:rsid w:val="00014794"/>
    <w:rsid w:val="00016C22"/>
    <w:rsid w:val="00017E5B"/>
    <w:rsid w:val="00022D3B"/>
    <w:rsid w:val="00024D9C"/>
    <w:rsid w:val="00025F19"/>
    <w:rsid w:val="000308F5"/>
    <w:rsid w:val="000332B1"/>
    <w:rsid w:val="00033B83"/>
    <w:rsid w:val="00033CB0"/>
    <w:rsid w:val="000342CC"/>
    <w:rsid w:val="00045A6E"/>
    <w:rsid w:val="0005261F"/>
    <w:rsid w:val="000539DB"/>
    <w:rsid w:val="0006233F"/>
    <w:rsid w:val="000711D3"/>
    <w:rsid w:val="00077E07"/>
    <w:rsid w:val="000823F0"/>
    <w:rsid w:val="00082A06"/>
    <w:rsid w:val="00082B3F"/>
    <w:rsid w:val="00087420"/>
    <w:rsid w:val="00090F85"/>
    <w:rsid w:val="000A12D0"/>
    <w:rsid w:val="000A7E77"/>
    <w:rsid w:val="000B06F5"/>
    <w:rsid w:val="000B5BA4"/>
    <w:rsid w:val="000C4C6A"/>
    <w:rsid w:val="000C4D8F"/>
    <w:rsid w:val="000D0887"/>
    <w:rsid w:val="000D3D08"/>
    <w:rsid w:val="000E6424"/>
    <w:rsid w:val="000E6C90"/>
    <w:rsid w:val="000F7CEF"/>
    <w:rsid w:val="00100EE8"/>
    <w:rsid w:val="00103F10"/>
    <w:rsid w:val="0011343B"/>
    <w:rsid w:val="001159EA"/>
    <w:rsid w:val="00121F32"/>
    <w:rsid w:val="001301B3"/>
    <w:rsid w:val="0013022A"/>
    <w:rsid w:val="0013754C"/>
    <w:rsid w:val="00141B55"/>
    <w:rsid w:val="00143BB1"/>
    <w:rsid w:val="0014414F"/>
    <w:rsid w:val="001465A1"/>
    <w:rsid w:val="00150B20"/>
    <w:rsid w:val="0015321B"/>
    <w:rsid w:val="00155FAD"/>
    <w:rsid w:val="00160C07"/>
    <w:rsid w:val="0016409B"/>
    <w:rsid w:val="00165A09"/>
    <w:rsid w:val="00167189"/>
    <w:rsid w:val="00167F6C"/>
    <w:rsid w:val="001723A4"/>
    <w:rsid w:val="0018120A"/>
    <w:rsid w:val="00183AF0"/>
    <w:rsid w:val="00184861"/>
    <w:rsid w:val="0018492B"/>
    <w:rsid w:val="001A1862"/>
    <w:rsid w:val="001A2F4C"/>
    <w:rsid w:val="001B2B21"/>
    <w:rsid w:val="001B2EA3"/>
    <w:rsid w:val="001C4B74"/>
    <w:rsid w:val="001C6B3C"/>
    <w:rsid w:val="001D0144"/>
    <w:rsid w:val="001E09D5"/>
    <w:rsid w:val="001E0CF4"/>
    <w:rsid w:val="001E27EC"/>
    <w:rsid w:val="001F17D4"/>
    <w:rsid w:val="001F247D"/>
    <w:rsid w:val="001F30CA"/>
    <w:rsid w:val="001F421A"/>
    <w:rsid w:val="001F5A34"/>
    <w:rsid w:val="001F7A59"/>
    <w:rsid w:val="00200975"/>
    <w:rsid w:val="002039E0"/>
    <w:rsid w:val="00207F82"/>
    <w:rsid w:val="00213987"/>
    <w:rsid w:val="00221172"/>
    <w:rsid w:val="002239C0"/>
    <w:rsid w:val="0022587F"/>
    <w:rsid w:val="00227CC6"/>
    <w:rsid w:val="00241D10"/>
    <w:rsid w:val="002449BE"/>
    <w:rsid w:val="00245CCF"/>
    <w:rsid w:val="00250191"/>
    <w:rsid w:val="0025235D"/>
    <w:rsid w:val="002535AB"/>
    <w:rsid w:val="002543E6"/>
    <w:rsid w:val="00260FF6"/>
    <w:rsid w:val="00270E61"/>
    <w:rsid w:val="002766A7"/>
    <w:rsid w:val="00282DBB"/>
    <w:rsid w:val="00285F9B"/>
    <w:rsid w:val="00287656"/>
    <w:rsid w:val="00292EE5"/>
    <w:rsid w:val="0029613B"/>
    <w:rsid w:val="002A03DB"/>
    <w:rsid w:val="002A4E4F"/>
    <w:rsid w:val="002A51A1"/>
    <w:rsid w:val="002B1065"/>
    <w:rsid w:val="002B471D"/>
    <w:rsid w:val="002B5E69"/>
    <w:rsid w:val="002D0696"/>
    <w:rsid w:val="002D1748"/>
    <w:rsid w:val="002D452D"/>
    <w:rsid w:val="002D4A58"/>
    <w:rsid w:val="002E0D8D"/>
    <w:rsid w:val="002E2473"/>
    <w:rsid w:val="002E6146"/>
    <w:rsid w:val="002E6465"/>
    <w:rsid w:val="00300DAC"/>
    <w:rsid w:val="003033C4"/>
    <w:rsid w:val="00305B74"/>
    <w:rsid w:val="00313A12"/>
    <w:rsid w:val="00314B59"/>
    <w:rsid w:val="003214B4"/>
    <w:rsid w:val="0032468A"/>
    <w:rsid w:val="0033397D"/>
    <w:rsid w:val="00334CB4"/>
    <w:rsid w:val="00337DE5"/>
    <w:rsid w:val="0034220A"/>
    <w:rsid w:val="0034534B"/>
    <w:rsid w:val="0035352B"/>
    <w:rsid w:val="003557C3"/>
    <w:rsid w:val="00362111"/>
    <w:rsid w:val="00365075"/>
    <w:rsid w:val="003656A2"/>
    <w:rsid w:val="00365ADF"/>
    <w:rsid w:val="00370D35"/>
    <w:rsid w:val="00370F71"/>
    <w:rsid w:val="00377F7F"/>
    <w:rsid w:val="0038278A"/>
    <w:rsid w:val="00382F76"/>
    <w:rsid w:val="00384639"/>
    <w:rsid w:val="0038573C"/>
    <w:rsid w:val="00386D37"/>
    <w:rsid w:val="003900F5"/>
    <w:rsid w:val="0039153D"/>
    <w:rsid w:val="00392353"/>
    <w:rsid w:val="00393239"/>
    <w:rsid w:val="003A3666"/>
    <w:rsid w:val="003A6419"/>
    <w:rsid w:val="003A65BF"/>
    <w:rsid w:val="003B725C"/>
    <w:rsid w:val="003C19B7"/>
    <w:rsid w:val="003C1BF1"/>
    <w:rsid w:val="003C2E9C"/>
    <w:rsid w:val="003C3B38"/>
    <w:rsid w:val="003C7203"/>
    <w:rsid w:val="003C74CE"/>
    <w:rsid w:val="003D2B76"/>
    <w:rsid w:val="003D69CC"/>
    <w:rsid w:val="003E392D"/>
    <w:rsid w:val="003E4D47"/>
    <w:rsid w:val="003E585C"/>
    <w:rsid w:val="003E6DC9"/>
    <w:rsid w:val="003F2E85"/>
    <w:rsid w:val="003F7D89"/>
    <w:rsid w:val="00400522"/>
    <w:rsid w:val="004059F1"/>
    <w:rsid w:val="00411A98"/>
    <w:rsid w:val="00413348"/>
    <w:rsid w:val="00414273"/>
    <w:rsid w:val="00416F14"/>
    <w:rsid w:val="0042188F"/>
    <w:rsid w:val="00424C0B"/>
    <w:rsid w:val="0043599A"/>
    <w:rsid w:val="004362C0"/>
    <w:rsid w:val="00437E15"/>
    <w:rsid w:val="00437ED2"/>
    <w:rsid w:val="004408C9"/>
    <w:rsid w:val="00444286"/>
    <w:rsid w:val="00445810"/>
    <w:rsid w:val="00453A07"/>
    <w:rsid w:val="00464D08"/>
    <w:rsid w:val="00465DAA"/>
    <w:rsid w:val="004735C5"/>
    <w:rsid w:val="00476702"/>
    <w:rsid w:val="00484935"/>
    <w:rsid w:val="00490BF3"/>
    <w:rsid w:val="00492E60"/>
    <w:rsid w:val="004A2EF8"/>
    <w:rsid w:val="004A403A"/>
    <w:rsid w:val="004A725E"/>
    <w:rsid w:val="004A7619"/>
    <w:rsid w:val="004B31BE"/>
    <w:rsid w:val="004B44B2"/>
    <w:rsid w:val="004B790F"/>
    <w:rsid w:val="004C3CF0"/>
    <w:rsid w:val="004D0EA4"/>
    <w:rsid w:val="004D59D1"/>
    <w:rsid w:val="004D6124"/>
    <w:rsid w:val="004E136C"/>
    <w:rsid w:val="004E185C"/>
    <w:rsid w:val="004E19A0"/>
    <w:rsid w:val="004E2CFA"/>
    <w:rsid w:val="004E7DA6"/>
    <w:rsid w:val="004F148A"/>
    <w:rsid w:val="004F2A2D"/>
    <w:rsid w:val="004F3744"/>
    <w:rsid w:val="004F6E15"/>
    <w:rsid w:val="004F7002"/>
    <w:rsid w:val="00501204"/>
    <w:rsid w:val="00505370"/>
    <w:rsid w:val="005143D9"/>
    <w:rsid w:val="00515A94"/>
    <w:rsid w:val="005168DE"/>
    <w:rsid w:val="00516F86"/>
    <w:rsid w:val="0052127D"/>
    <w:rsid w:val="00525256"/>
    <w:rsid w:val="0052736E"/>
    <w:rsid w:val="00527D52"/>
    <w:rsid w:val="00530BBF"/>
    <w:rsid w:val="00531555"/>
    <w:rsid w:val="00531E80"/>
    <w:rsid w:val="00532883"/>
    <w:rsid w:val="00540461"/>
    <w:rsid w:val="005408CC"/>
    <w:rsid w:val="00550C18"/>
    <w:rsid w:val="0055339A"/>
    <w:rsid w:val="005576F9"/>
    <w:rsid w:val="0056134C"/>
    <w:rsid w:val="00562F00"/>
    <w:rsid w:val="005630F1"/>
    <w:rsid w:val="0056311C"/>
    <w:rsid w:val="0056580D"/>
    <w:rsid w:val="00565851"/>
    <w:rsid w:val="0056605F"/>
    <w:rsid w:val="00567F6F"/>
    <w:rsid w:val="00571292"/>
    <w:rsid w:val="005723F6"/>
    <w:rsid w:val="00583E26"/>
    <w:rsid w:val="0058546D"/>
    <w:rsid w:val="00590149"/>
    <w:rsid w:val="005922B3"/>
    <w:rsid w:val="005A0157"/>
    <w:rsid w:val="005A0B6C"/>
    <w:rsid w:val="005A1A8E"/>
    <w:rsid w:val="005A3413"/>
    <w:rsid w:val="005B21B7"/>
    <w:rsid w:val="005B2564"/>
    <w:rsid w:val="005C1025"/>
    <w:rsid w:val="005C1E42"/>
    <w:rsid w:val="005C53BF"/>
    <w:rsid w:val="005C7396"/>
    <w:rsid w:val="005D1D7B"/>
    <w:rsid w:val="005D2AF5"/>
    <w:rsid w:val="005D2B5D"/>
    <w:rsid w:val="005D2FAB"/>
    <w:rsid w:val="005D57FE"/>
    <w:rsid w:val="005E1620"/>
    <w:rsid w:val="005E6520"/>
    <w:rsid w:val="005F0367"/>
    <w:rsid w:val="005F5762"/>
    <w:rsid w:val="00604A8F"/>
    <w:rsid w:val="00607475"/>
    <w:rsid w:val="00610EFC"/>
    <w:rsid w:val="006147DF"/>
    <w:rsid w:val="006268E7"/>
    <w:rsid w:val="00630AE8"/>
    <w:rsid w:val="00634996"/>
    <w:rsid w:val="0063628D"/>
    <w:rsid w:val="0064005F"/>
    <w:rsid w:val="00641A0F"/>
    <w:rsid w:val="00643803"/>
    <w:rsid w:val="00646F45"/>
    <w:rsid w:val="00650944"/>
    <w:rsid w:val="00655FFA"/>
    <w:rsid w:val="00656F19"/>
    <w:rsid w:val="00663476"/>
    <w:rsid w:val="006641A9"/>
    <w:rsid w:val="0067075C"/>
    <w:rsid w:val="00681FEB"/>
    <w:rsid w:val="00695B9F"/>
    <w:rsid w:val="00696438"/>
    <w:rsid w:val="006A1777"/>
    <w:rsid w:val="006A503A"/>
    <w:rsid w:val="006A68FB"/>
    <w:rsid w:val="006B054C"/>
    <w:rsid w:val="006B0A80"/>
    <w:rsid w:val="006B7F12"/>
    <w:rsid w:val="006C06AB"/>
    <w:rsid w:val="006C1CBC"/>
    <w:rsid w:val="006C6577"/>
    <w:rsid w:val="006C7FB7"/>
    <w:rsid w:val="006E1FD6"/>
    <w:rsid w:val="006E3026"/>
    <w:rsid w:val="006E50FA"/>
    <w:rsid w:val="006E523A"/>
    <w:rsid w:val="006E7290"/>
    <w:rsid w:val="006F0212"/>
    <w:rsid w:val="00700CD3"/>
    <w:rsid w:val="00712CA3"/>
    <w:rsid w:val="00716546"/>
    <w:rsid w:val="00722880"/>
    <w:rsid w:val="00722B3A"/>
    <w:rsid w:val="00723332"/>
    <w:rsid w:val="00723963"/>
    <w:rsid w:val="00724E18"/>
    <w:rsid w:val="00727E67"/>
    <w:rsid w:val="00730416"/>
    <w:rsid w:val="0073110B"/>
    <w:rsid w:val="007418EE"/>
    <w:rsid w:val="00741C07"/>
    <w:rsid w:val="007447DF"/>
    <w:rsid w:val="007465AF"/>
    <w:rsid w:val="00747E34"/>
    <w:rsid w:val="00756A97"/>
    <w:rsid w:val="00763638"/>
    <w:rsid w:val="00771F43"/>
    <w:rsid w:val="00772C97"/>
    <w:rsid w:val="00775E3D"/>
    <w:rsid w:val="00777A19"/>
    <w:rsid w:val="007822C5"/>
    <w:rsid w:val="007835C4"/>
    <w:rsid w:val="00792D40"/>
    <w:rsid w:val="007A3A1E"/>
    <w:rsid w:val="007B4D12"/>
    <w:rsid w:val="007C617F"/>
    <w:rsid w:val="007D3C13"/>
    <w:rsid w:val="007D61E8"/>
    <w:rsid w:val="007D6A3E"/>
    <w:rsid w:val="007E13C7"/>
    <w:rsid w:val="007E3A71"/>
    <w:rsid w:val="007E4EBC"/>
    <w:rsid w:val="007E6450"/>
    <w:rsid w:val="007F31E4"/>
    <w:rsid w:val="007F6A64"/>
    <w:rsid w:val="008010BE"/>
    <w:rsid w:val="008014BE"/>
    <w:rsid w:val="00805686"/>
    <w:rsid w:val="008062B5"/>
    <w:rsid w:val="00817E42"/>
    <w:rsid w:val="0082348B"/>
    <w:rsid w:val="00823FCD"/>
    <w:rsid w:val="00826420"/>
    <w:rsid w:val="0083425F"/>
    <w:rsid w:val="00836247"/>
    <w:rsid w:val="00840E2B"/>
    <w:rsid w:val="00852385"/>
    <w:rsid w:val="00853830"/>
    <w:rsid w:val="00854850"/>
    <w:rsid w:val="008578CF"/>
    <w:rsid w:val="00860CC3"/>
    <w:rsid w:val="0086192F"/>
    <w:rsid w:val="00863907"/>
    <w:rsid w:val="00866F00"/>
    <w:rsid w:val="00871805"/>
    <w:rsid w:val="00872C64"/>
    <w:rsid w:val="0087668F"/>
    <w:rsid w:val="00896DEA"/>
    <w:rsid w:val="00897F88"/>
    <w:rsid w:val="008A101B"/>
    <w:rsid w:val="008A1E4D"/>
    <w:rsid w:val="008A21CA"/>
    <w:rsid w:val="008A6DE6"/>
    <w:rsid w:val="008B372B"/>
    <w:rsid w:val="008C1393"/>
    <w:rsid w:val="008C56AB"/>
    <w:rsid w:val="008C6A10"/>
    <w:rsid w:val="008D1D75"/>
    <w:rsid w:val="008D4198"/>
    <w:rsid w:val="008D4367"/>
    <w:rsid w:val="008D5984"/>
    <w:rsid w:val="008D7F0B"/>
    <w:rsid w:val="008F0008"/>
    <w:rsid w:val="008F012F"/>
    <w:rsid w:val="008F2ED5"/>
    <w:rsid w:val="008F5B21"/>
    <w:rsid w:val="008F611A"/>
    <w:rsid w:val="008F7581"/>
    <w:rsid w:val="00910C8C"/>
    <w:rsid w:val="00911523"/>
    <w:rsid w:val="00911F90"/>
    <w:rsid w:val="00912780"/>
    <w:rsid w:val="0091552E"/>
    <w:rsid w:val="0092542E"/>
    <w:rsid w:val="00925D01"/>
    <w:rsid w:val="00927205"/>
    <w:rsid w:val="009340CD"/>
    <w:rsid w:val="00935826"/>
    <w:rsid w:val="009436FA"/>
    <w:rsid w:val="00943D05"/>
    <w:rsid w:val="009515A1"/>
    <w:rsid w:val="00953CD4"/>
    <w:rsid w:val="009546C6"/>
    <w:rsid w:val="00957A4B"/>
    <w:rsid w:val="009637B5"/>
    <w:rsid w:val="00964558"/>
    <w:rsid w:val="00965D9F"/>
    <w:rsid w:val="00965EA2"/>
    <w:rsid w:val="0097176B"/>
    <w:rsid w:val="00974C88"/>
    <w:rsid w:val="00980D49"/>
    <w:rsid w:val="009818CE"/>
    <w:rsid w:val="0098235F"/>
    <w:rsid w:val="00983859"/>
    <w:rsid w:val="00986904"/>
    <w:rsid w:val="00987B72"/>
    <w:rsid w:val="009964EF"/>
    <w:rsid w:val="00997ADF"/>
    <w:rsid w:val="009A2A27"/>
    <w:rsid w:val="009C105A"/>
    <w:rsid w:val="009C2427"/>
    <w:rsid w:val="009C563C"/>
    <w:rsid w:val="009D7E45"/>
    <w:rsid w:val="009E1221"/>
    <w:rsid w:val="009E2743"/>
    <w:rsid w:val="009E39FE"/>
    <w:rsid w:val="009E3E27"/>
    <w:rsid w:val="009E6DF8"/>
    <w:rsid w:val="009E775C"/>
    <w:rsid w:val="009E7E33"/>
    <w:rsid w:val="009F1E69"/>
    <w:rsid w:val="00A054ED"/>
    <w:rsid w:val="00A061F6"/>
    <w:rsid w:val="00A12B75"/>
    <w:rsid w:val="00A155AD"/>
    <w:rsid w:val="00A2347B"/>
    <w:rsid w:val="00A30790"/>
    <w:rsid w:val="00A33CF1"/>
    <w:rsid w:val="00A34B69"/>
    <w:rsid w:val="00A35418"/>
    <w:rsid w:val="00A36270"/>
    <w:rsid w:val="00A41468"/>
    <w:rsid w:val="00A428EC"/>
    <w:rsid w:val="00A45627"/>
    <w:rsid w:val="00A45D40"/>
    <w:rsid w:val="00A476FD"/>
    <w:rsid w:val="00A52341"/>
    <w:rsid w:val="00A52A2D"/>
    <w:rsid w:val="00A60FF1"/>
    <w:rsid w:val="00A700F5"/>
    <w:rsid w:val="00A74B43"/>
    <w:rsid w:val="00A774D8"/>
    <w:rsid w:val="00A944F4"/>
    <w:rsid w:val="00A95C2D"/>
    <w:rsid w:val="00A96DF6"/>
    <w:rsid w:val="00AA32CE"/>
    <w:rsid w:val="00AA7553"/>
    <w:rsid w:val="00AA76EB"/>
    <w:rsid w:val="00AB3F34"/>
    <w:rsid w:val="00AB43B2"/>
    <w:rsid w:val="00AC1EF5"/>
    <w:rsid w:val="00AC248F"/>
    <w:rsid w:val="00AC4187"/>
    <w:rsid w:val="00AC4B4C"/>
    <w:rsid w:val="00AD06B7"/>
    <w:rsid w:val="00AD6E0F"/>
    <w:rsid w:val="00AE10DA"/>
    <w:rsid w:val="00AF024B"/>
    <w:rsid w:val="00AF0B09"/>
    <w:rsid w:val="00B03A9C"/>
    <w:rsid w:val="00B04EDA"/>
    <w:rsid w:val="00B168D1"/>
    <w:rsid w:val="00B22B99"/>
    <w:rsid w:val="00B266C0"/>
    <w:rsid w:val="00B3116A"/>
    <w:rsid w:val="00B3117C"/>
    <w:rsid w:val="00B35DDC"/>
    <w:rsid w:val="00B4175B"/>
    <w:rsid w:val="00B477F1"/>
    <w:rsid w:val="00B633A1"/>
    <w:rsid w:val="00B63CB5"/>
    <w:rsid w:val="00B77AB2"/>
    <w:rsid w:val="00B90CE8"/>
    <w:rsid w:val="00B96F18"/>
    <w:rsid w:val="00BA4E8F"/>
    <w:rsid w:val="00BA5BCA"/>
    <w:rsid w:val="00BA6AE7"/>
    <w:rsid w:val="00BA77CB"/>
    <w:rsid w:val="00BA7CE7"/>
    <w:rsid w:val="00BB149C"/>
    <w:rsid w:val="00BB1717"/>
    <w:rsid w:val="00BB20B4"/>
    <w:rsid w:val="00BB3D18"/>
    <w:rsid w:val="00BB6B6E"/>
    <w:rsid w:val="00BB7CED"/>
    <w:rsid w:val="00BC0EBB"/>
    <w:rsid w:val="00BC1936"/>
    <w:rsid w:val="00BC5473"/>
    <w:rsid w:val="00BC5590"/>
    <w:rsid w:val="00BC59B4"/>
    <w:rsid w:val="00BC5AC0"/>
    <w:rsid w:val="00BD0946"/>
    <w:rsid w:val="00BE16E8"/>
    <w:rsid w:val="00BE41F7"/>
    <w:rsid w:val="00BE6AD8"/>
    <w:rsid w:val="00BF0A1F"/>
    <w:rsid w:val="00C00226"/>
    <w:rsid w:val="00C27B2E"/>
    <w:rsid w:val="00C314EE"/>
    <w:rsid w:val="00C318E0"/>
    <w:rsid w:val="00C328D3"/>
    <w:rsid w:val="00C35C68"/>
    <w:rsid w:val="00C376B4"/>
    <w:rsid w:val="00C435EB"/>
    <w:rsid w:val="00C4600E"/>
    <w:rsid w:val="00C51BAB"/>
    <w:rsid w:val="00C52C7F"/>
    <w:rsid w:val="00C56EA4"/>
    <w:rsid w:val="00C745B3"/>
    <w:rsid w:val="00C76AF3"/>
    <w:rsid w:val="00C93253"/>
    <w:rsid w:val="00C93396"/>
    <w:rsid w:val="00C93429"/>
    <w:rsid w:val="00C947CE"/>
    <w:rsid w:val="00CA0FE5"/>
    <w:rsid w:val="00CA38AD"/>
    <w:rsid w:val="00CA6DEE"/>
    <w:rsid w:val="00CB2589"/>
    <w:rsid w:val="00CB4707"/>
    <w:rsid w:val="00CB5556"/>
    <w:rsid w:val="00CB6EB1"/>
    <w:rsid w:val="00CC290C"/>
    <w:rsid w:val="00CC33AA"/>
    <w:rsid w:val="00CC7933"/>
    <w:rsid w:val="00CD0474"/>
    <w:rsid w:val="00CD6951"/>
    <w:rsid w:val="00CE1E31"/>
    <w:rsid w:val="00CE5143"/>
    <w:rsid w:val="00CF0BFF"/>
    <w:rsid w:val="00CF2275"/>
    <w:rsid w:val="00CF62D9"/>
    <w:rsid w:val="00CF73A5"/>
    <w:rsid w:val="00D01FC2"/>
    <w:rsid w:val="00D063CA"/>
    <w:rsid w:val="00D07AB8"/>
    <w:rsid w:val="00D15C3F"/>
    <w:rsid w:val="00D15F57"/>
    <w:rsid w:val="00D1612A"/>
    <w:rsid w:val="00D16432"/>
    <w:rsid w:val="00D24D4B"/>
    <w:rsid w:val="00D33734"/>
    <w:rsid w:val="00D40D55"/>
    <w:rsid w:val="00D42E71"/>
    <w:rsid w:val="00D4458C"/>
    <w:rsid w:val="00D44D60"/>
    <w:rsid w:val="00D46BAE"/>
    <w:rsid w:val="00D472BA"/>
    <w:rsid w:val="00D50C8E"/>
    <w:rsid w:val="00D513EE"/>
    <w:rsid w:val="00D77DAC"/>
    <w:rsid w:val="00D81333"/>
    <w:rsid w:val="00D854B8"/>
    <w:rsid w:val="00D961A8"/>
    <w:rsid w:val="00DB23FC"/>
    <w:rsid w:val="00DB3D57"/>
    <w:rsid w:val="00DB7E97"/>
    <w:rsid w:val="00DC0D29"/>
    <w:rsid w:val="00DC231E"/>
    <w:rsid w:val="00DD634F"/>
    <w:rsid w:val="00DD732B"/>
    <w:rsid w:val="00DD7FB0"/>
    <w:rsid w:val="00DE3D48"/>
    <w:rsid w:val="00DF103D"/>
    <w:rsid w:val="00DF2686"/>
    <w:rsid w:val="00DF3B53"/>
    <w:rsid w:val="00DF67BA"/>
    <w:rsid w:val="00E04B16"/>
    <w:rsid w:val="00E057FE"/>
    <w:rsid w:val="00E0642B"/>
    <w:rsid w:val="00E06D44"/>
    <w:rsid w:val="00E079A1"/>
    <w:rsid w:val="00E10250"/>
    <w:rsid w:val="00E17D20"/>
    <w:rsid w:val="00E24E04"/>
    <w:rsid w:val="00E26989"/>
    <w:rsid w:val="00E27200"/>
    <w:rsid w:val="00E371FC"/>
    <w:rsid w:val="00E376C5"/>
    <w:rsid w:val="00E37FED"/>
    <w:rsid w:val="00E40146"/>
    <w:rsid w:val="00E453DD"/>
    <w:rsid w:val="00E47280"/>
    <w:rsid w:val="00E50E09"/>
    <w:rsid w:val="00E5771A"/>
    <w:rsid w:val="00E6136F"/>
    <w:rsid w:val="00E6177C"/>
    <w:rsid w:val="00E6227C"/>
    <w:rsid w:val="00E66372"/>
    <w:rsid w:val="00E709AE"/>
    <w:rsid w:val="00E824DC"/>
    <w:rsid w:val="00E827FE"/>
    <w:rsid w:val="00E82C6F"/>
    <w:rsid w:val="00E866A0"/>
    <w:rsid w:val="00E87DDD"/>
    <w:rsid w:val="00E90025"/>
    <w:rsid w:val="00E90C21"/>
    <w:rsid w:val="00E93E2B"/>
    <w:rsid w:val="00E9538A"/>
    <w:rsid w:val="00E96514"/>
    <w:rsid w:val="00E975DA"/>
    <w:rsid w:val="00EB2835"/>
    <w:rsid w:val="00EC1882"/>
    <w:rsid w:val="00EC72B8"/>
    <w:rsid w:val="00EC76C7"/>
    <w:rsid w:val="00EF0B99"/>
    <w:rsid w:val="00EF4CF7"/>
    <w:rsid w:val="00F028F5"/>
    <w:rsid w:val="00F03ADB"/>
    <w:rsid w:val="00F0557D"/>
    <w:rsid w:val="00F05E39"/>
    <w:rsid w:val="00F06429"/>
    <w:rsid w:val="00F076AF"/>
    <w:rsid w:val="00F13EC7"/>
    <w:rsid w:val="00F146C1"/>
    <w:rsid w:val="00F17488"/>
    <w:rsid w:val="00F17884"/>
    <w:rsid w:val="00F2653C"/>
    <w:rsid w:val="00F300F5"/>
    <w:rsid w:val="00F3525D"/>
    <w:rsid w:val="00F362E5"/>
    <w:rsid w:val="00F40CD4"/>
    <w:rsid w:val="00F44793"/>
    <w:rsid w:val="00F44C97"/>
    <w:rsid w:val="00F4539C"/>
    <w:rsid w:val="00F50B2D"/>
    <w:rsid w:val="00F51BC3"/>
    <w:rsid w:val="00F51D42"/>
    <w:rsid w:val="00F52FFD"/>
    <w:rsid w:val="00F54979"/>
    <w:rsid w:val="00F5721F"/>
    <w:rsid w:val="00F6074A"/>
    <w:rsid w:val="00F60970"/>
    <w:rsid w:val="00F629D6"/>
    <w:rsid w:val="00F85F00"/>
    <w:rsid w:val="00F97AB8"/>
    <w:rsid w:val="00F97EA2"/>
    <w:rsid w:val="00FA07FF"/>
    <w:rsid w:val="00FA3664"/>
    <w:rsid w:val="00FA5D27"/>
    <w:rsid w:val="00FA6DC5"/>
    <w:rsid w:val="00FA7462"/>
    <w:rsid w:val="00FB0AE8"/>
    <w:rsid w:val="00FB3D71"/>
    <w:rsid w:val="00FB4DEE"/>
    <w:rsid w:val="00FB7ECA"/>
    <w:rsid w:val="00FC3CFA"/>
    <w:rsid w:val="00FC666F"/>
    <w:rsid w:val="00FC7327"/>
    <w:rsid w:val="00FD3307"/>
    <w:rsid w:val="00FD529B"/>
    <w:rsid w:val="00FD60D5"/>
    <w:rsid w:val="00FD6C33"/>
    <w:rsid w:val="00FE0781"/>
    <w:rsid w:val="00FE6240"/>
    <w:rsid w:val="00FF66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81399"/>
  <w15:docId w15:val="{D3D0AC38-0143-4B1D-85F8-8DEAF0172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39C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2239C0"/>
    <w:pPr>
      <w:spacing w:after="120"/>
      <w:ind w:left="283"/>
    </w:pPr>
    <w:rPr>
      <w:sz w:val="16"/>
      <w:szCs w:val="16"/>
    </w:rPr>
  </w:style>
  <w:style w:type="character" w:customStyle="1" w:styleId="BodyTextIndent3Char">
    <w:name w:val="Body Text Indent 3 Char"/>
    <w:basedOn w:val="DefaultParagraphFont"/>
    <w:link w:val="BodyTextIndent3"/>
    <w:rsid w:val="002239C0"/>
    <w:rPr>
      <w:rFonts w:ascii="Times New Roman" w:eastAsia="Times New Roman" w:hAnsi="Times New Roman" w:cs="Times New Roman"/>
      <w:sz w:val="16"/>
      <w:szCs w:val="16"/>
      <w:lang w:val="en-GB" w:eastAsia="ru-RU"/>
    </w:rPr>
  </w:style>
  <w:style w:type="paragraph" w:styleId="ListParagraph">
    <w:name w:val="List Paragraph"/>
    <w:basedOn w:val="Normal"/>
    <w:uiPriority w:val="34"/>
    <w:qFormat/>
    <w:rsid w:val="002239C0"/>
    <w:pPr>
      <w:ind w:left="720"/>
    </w:pPr>
    <w:rPr>
      <w:sz w:val="24"/>
      <w:szCs w:val="24"/>
      <w:lang w:val="en-US" w:eastAsia="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Char Char Char,Char Char Char Char,Char Char Char1"/>
    <w:basedOn w:val="Normal"/>
    <w:link w:val="NormalWebChar"/>
    <w:uiPriority w:val="1"/>
    <w:unhideWhenUsed/>
    <w:qFormat/>
    <w:rsid w:val="002239C0"/>
    <w:pPr>
      <w:spacing w:before="100" w:beforeAutospacing="1" w:after="100" w:afterAutospacing="1"/>
    </w:pPr>
    <w:rPr>
      <w:sz w:val="24"/>
      <w:szCs w:val="24"/>
      <w:lang w:val="en-US" w:eastAsia="en-US"/>
    </w:rPr>
  </w:style>
  <w:style w:type="table" w:styleId="TableGrid">
    <w:name w:val="Table Grid"/>
    <w:basedOn w:val="TableNormal"/>
    <w:uiPriority w:val="59"/>
    <w:rsid w:val="00C460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Char Char Char Char1"/>
    <w:link w:val="NormalWeb"/>
    <w:uiPriority w:val="1"/>
    <w:locked/>
    <w:rsid w:val="001159EA"/>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4E2CFA"/>
    <w:rPr>
      <w:color w:val="0000FF" w:themeColor="hyperlink"/>
      <w:u w:val="single"/>
    </w:rPr>
  </w:style>
  <w:style w:type="character" w:customStyle="1" w:styleId="UnresolvedMention">
    <w:name w:val="Unresolved Mention"/>
    <w:basedOn w:val="DefaultParagraphFont"/>
    <w:uiPriority w:val="99"/>
    <w:semiHidden/>
    <w:unhideWhenUsed/>
    <w:rsid w:val="004E2CFA"/>
    <w:rPr>
      <w:color w:val="605E5C"/>
      <w:shd w:val="clear" w:color="auto" w:fill="E1DFDD"/>
    </w:rPr>
  </w:style>
  <w:style w:type="paragraph" w:styleId="BalloonText">
    <w:name w:val="Balloon Text"/>
    <w:basedOn w:val="Normal"/>
    <w:link w:val="BalloonTextChar"/>
    <w:uiPriority w:val="99"/>
    <w:semiHidden/>
    <w:unhideWhenUsed/>
    <w:rsid w:val="008A1E4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1E4D"/>
    <w:rPr>
      <w:rFonts w:ascii="Segoe UI" w:eastAsia="Times New Roman" w:hAnsi="Segoe UI" w:cs="Segoe UI"/>
      <w:sz w:val="18"/>
      <w:szCs w:val="18"/>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18400">
      <w:bodyDiv w:val="1"/>
      <w:marLeft w:val="0"/>
      <w:marRight w:val="0"/>
      <w:marTop w:val="0"/>
      <w:marBottom w:val="0"/>
      <w:divBdr>
        <w:top w:val="none" w:sz="0" w:space="0" w:color="auto"/>
        <w:left w:val="none" w:sz="0" w:space="0" w:color="auto"/>
        <w:bottom w:val="none" w:sz="0" w:space="0" w:color="auto"/>
        <w:right w:val="none" w:sz="0" w:space="0" w:color="auto"/>
      </w:divBdr>
    </w:div>
    <w:div w:id="142747429">
      <w:bodyDiv w:val="1"/>
      <w:marLeft w:val="0"/>
      <w:marRight w:val="0"/>
      <w:marTop w:val="0"/>
      <w:marBottom w:val="0"/>
      <w:divBdr>
        <w:top w:val="none" w:sz="0" w:space="0" w:color="auto"/>
        <w:left w:val="none" w:sz="0" w:space="0" w:color="auto"/>
        <w:bottom w:val="none" w:sz="0" w:space="0" w:color="auto"/>
        <w:right w:val="none" w:sz="0" w:space="0" w:color="auto"/>
      </w:divBdr>
      <w:divsChild>
        <w:div w:id="1718049168">
          <w:marLeft w:val="0"/>
          <w:marRight w:val="0"/>
          <w:marTop w:val="0"/>
          <w:marBottom w:val="0"/>
          <w:divBdr>
            <w:top w:val="none" w:sz="0" w:space="0" w:color="auto"/>
            <w:left w:val="none" w:sz="0" w:space="0" w:color="auto"/>
            <w:bottom w:val="none" w:sz="0" w:space="0" w:color="auto"/>
            <w:right w:val="none" w:sz="0" w:space="0" w:color="auto"/>
          </w:divBdr>
          <w:divsChild>
            <w:div w:id="473628">
              <w:marLeft w:val="0"/>
              <w:marRight w:val="0"/>
              <w:marTop w:val="0"/>
              <w:marBottom w:val="0"/>
              <w:divBdr>
                <w:top w:val="none" w:sz="0" w:space="0" w:color="auto"/>
                <w:left w:val="none" w:sz="0" w:space="0" w:color="auto"/>
                <w:bottom w:val="none" w:sz="0" w:space="0" w:color="auto"/>
                <w:right w:val="none" w:sz="0" w:space="0" w:color="auto"/>
              </w:divBdr>
              <w:divsChild>
                <w:div w:id="2125730574">
                  <w:marLeft w:val="0"/>
                  <w:marRight w:val="0"/>
                  <w:marTop w:val="0"/>
                  <w:marBottom w:val="0"/>
                  <w:divBdr>
                    <w:top w:val="none" w:sz="0" w:space="0" w:color="auto"/>
                    <w:left w:val="none" w:sz="0" w:space="0" w:color="auto"/>
                    <w:bottom w:val="none" w:sz="0" w:space="0" w:color="auto"/>
                    <w:right w:val="none" w:sz="0" w:space="0" w:color="auto"/>
                  </w:divBdr>
                  <w:divsChild>
                    <w:div w:id="2004122112">
                      <w:marLeft w:val="0"/>
                      <w:marRight w:val="0"/>
                      <w:marTop w:val="0"/>
                      <w:marBottom w:val="0"/>
                      <w:divBdr>
                        <w:top w:val="none" w:sz="0" w:space="0" w:color="auto"/>
                        <w:left w:val="none" w:sz="0" w:space="0" w:color="auto"/>
                        <w:bottom w:val="none" w:sz="0" w:space="0" w:color="auto"/>
                        <w:right w:val="none" w:sz="0" w:space="0" w:color="auto"/>
                      </w:divBdr>
                      <w:divsChild>
                        <w:div w:id="1386178260">
                          <w:marLeft w:val="0"/>
                          <w:marRight w:val="0"/>
                          <w:marTop w:val="0"/>
                          <w:marBottom w:val="0"/>
                          <w:divBdr>
                            <w:top w:val="none" w:sz="0" w:space="0" w:color="auto"/>
                            <w:left w:val="none" w:sz="0" w:space="0" w:color="auto"/>
                            <w:bottom w:val="none" w:sz="0" w:space="0" w:color="auto"/>
                            <w:right w:val="none" w:sz="0" w:space="0" w:color="auto"/>
                          </w:divBdr>
                          <w:divsChild>
                            <w:div w:id="1301761909">
                              <w:marLeft w:val="0"/>
                              <w:marRight w:val="0"/>
                              <w:marTop w:val="0"/>
                              <w:marBottom w:val="0"/>
                              <w:divBdr>
                                <w:top w:val="none" w:sz="0" w:space="0" w:color="auto"/>
                                <w:left w:val="none" w:sz="0" w:space="0" w:color="auto"/>
                                <w:bottom w:val="none" w:sz="0" w:space="0" w:color="auto"/>
                                <w:right w:val="none" w:sz="0" w:space="0" w:color="auto"/>
                              </w:divBdr>
                              <w:divsChild>
                                <w:div w:id="317223302">
                                  <w:marLeft w:val="0"/>
                                  <w:marRight w:val="0"/>
                                  <w:marTop w:val="0"/>
                                  <w:marBottom w:val="0"/>
                                  <w:divBdr>
                                    <w:top w:val="none" w:sz="0" w:space="0" w:color="auto"/>
                                    <w:left w:val="none" w:sz="0" w:space="0" w:color="auto"/>
                                    <w:bottom w:val="none" w:sz="0" w:space="0" w:color="auto"/>
                                    <w:right w:val="none" w:sz="0" w:space="0" w:color="auto"/>
                                  </w:divBdr>
                                  <w:divsChild>
                                    <w:div w:id="1784494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1332842">
      <w:bodyDiv w:val="1"/>
      <w:marLeft w:val="0"/>
      <w:marRight w:val="0"/>
      <w:marTop w:val="0"/>
      <w:marBottom w:val="0"/>
      <w:divBdr>
        <w:top w:val="none" w:sz="0" w:space="0" w:color="auto"/>
        <w:left w:val="none" w:sz="0" w:space="0" w:color="auto"/>
        <w:bottom w:val="none" w:sz="0" w:space="0" w:color="auto"/>
        <w:right w:val="none" w:sz="0" w:space="0" w:color="auto"/>
      </w:divBdr>
    </w:div>
    <w:div w:id="630675388">
      <w:bodyDiv w:val="1"/>
      <w:marLeft w:val="0"/>
      <w:marRight w:val="0"/>
      <w:marTop w:val="0"/>
      <w:marBottom w:val="0"/>
      <w:divBdr>
        <w:top w:val="none" w:sz="0" w:space="0" w:color="auto"/>
        <w:left w:val="none" w:sz="0" w:space="0" w:color="auto"/>
        <w:bottom w:val="none" w:sz="0" w:space="0" w:color="auto"/>
        <w:right w:val="none" w:sz="0" w:space="0" w:color="auto"/>
      </w:divBdr>
    </w:div>
    <w:div w:id="745417576">
      <w:bodyDiv w:val="1"/>
      <w:marLeft w:val="0"/>
      <w:marRight w:val="0"/>
      <w:marTop w:val="0"/>
      <w:marBottom w:val="0"/>
      <w:divBdr>
        <w:top w:val="none" w:sz="0" w:space="0" w:color="auto"/>
        <w:left w:val="none" w:sz="0" w:space="0" w:color="auto"/>
        <w:bottom w:val="none" w:sz="0" w:space="0" w:color="auto"/>
        <w:right w:val="none" w:sz="0" w:space="0" w:color="auto"/>
      </w:divBdr>
    </w:div>
    <w:div w:id="962077533">
      <w:bodyDiv w:val="1"/>
      <w:marLeft w:val="0"/>
      <w:marRight w:val="0"/>
      <w:marTop w:val="0"/>
      <w:marBottom w:val="0"/>
      <w:divBdr>
        <w:top w:val="none" w:sz="0" w:space="0" w:color="auto"/>
        <w:left w:val="none" w:sz="0" w:space="0" w:color="auto"/>
        <w:bottom w:val="none" w:sz="0" w:space="0" w:color="auto"/>
        <w:right w:val="none" w:sz="0" w:space="0" w:color="auto"/>
      </w:divBdr>
    </w:div>
    <w:div w:id="1328485569">
      <w:bodyDiv w:val="1"/>
      <w:marLeft w:val="0"/>
      <w:marRight w:val="0"/>
      <w:marTop w:val="0"/>
      <w:marBottom w:val="0"/>
      <w:divBdr>
        <w:top w:val="none" w:sz="0" w:space="0" w:color="auto"/>
        <w:left w:val="none" w:sz="0" w:space="0" w:color="auto"/>
        <w:bottom w:val="none" w:sz="0" w:space="0" w:color="auto"/>
        <w:right w:val="none" w:sz="0" w:space="0" w:color="auto"/>
      </w:divBdr>
    </w:div>
    <w:div w:id="1347823610">
      <w:bodyDiv w:val="1"/>
      <w:marLeft w:val="0"/>
      <w:marRight w:val="0"/>
      <w:marTop w:val="0"/>
      <w:marBottom w:val="0"/>
      <w:divBdr>
        <w:top w:val="none" w:sz="0" w:space="0" w:color="auto"/>
        <w:left w:val="none" w:sz="0" w:space="0" w:color="auto"/>
        <w:bottom w:val="none" w:sz="0" w:space="0" w:color="auto"/>
        <w:right w:val="none" w:sz="0" w:space="0" w:color="auto"/>
      </w:divBdr>
    </w:div>
    <w:div w:id="1368602688">
      <w:bodyDiv w:val="1"/>
      <w:marLeft w:val="0"/>
      <w:marRight w:val="0"/>
      <w:marTop w:val="0"/>
      <w:marBottom w:val="0"/>
      <w:divBdr>
        <w:top w:val="none" w:sz="0" w:space="0" w:color="auto"/>
        <w:left w:val="none" w:sz="0" w:space="0" w:color="auto"/>
        <w:bottom w:val="none" w:sz="0" w:space="0" w:color="auto"/>
        <w:right w:val="none" w:sz="0" w:space="0" w:color="auto"/>
      </w:divBdr>
    </w:div>
    <w:div w:id="1404524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EFCF4-6C23-4DD4-A1DC-5D1DC179A4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2785</TotalTime>
  <Pages>4</Pages>
  <Words>617</Words>
  <Characters>4808</Characters>
  <Application>Microsoft Office Word</Application>
  <DocSecurity>0</DocSecurity>
  <Lines>98</Lines>
  <Paragraphs>22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https://mul2.gov.am/tasks/1403396/oneclick?token=13ba7bf6f199493e4fb8c9165fe3d8cc</cp:keywords>
  <dc:description/>
  <cp:lastModifiedBy>Jemma Dadoyan</cp:lastModifiedBy>
  <cp:revision>408</cp:revision>
  <cp:lastPrinted>2021-10-28T15:04:00Z</cp:lastPrinted>
  <dcterms:created xsi:type="dcterms:W3CDTF">2021-02-09T16:30:00Z</dcterms:created>
  <dcterms:modified xsi:type="dcterms:W3CDTF">2026-11-05T05:56:00Z</dcterms:modified>
</cp:coreProperties>
</file>