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57A814" w14:textId="77777777" w:rsidR="00ED7A92" w:rsidRPr="005A5425" w:rsidRDefault="00ED7A92" w:rsidP="00F80128">
      <w:pPr>
        <w:spacing w:line="360" w:lineRule="auto"/>
        <w:jc w:val="center"/>
        <w:rPr>
          <w:rFonts w:ascii="GHEA Grapalat" w:hAnsi="GHEA Grapalat"/>
          <w:b/>
          <w:bCs/>
          <w:color w:val="171717" w:themeColor="background2" w:themeShade="1A"/>
        </w:rPr>
      </w:pPr>
      <w:r w:rsidRPr="005A5425">
        <w:rPr>
          <w:rFonts w:ascii="GHEA Grapalat" w:hAnsi="GHEA Grapalat"/>
          <w:b/>
          <w:bCs/>
          <w:color w:val="171717" w:themeColor="background2" w:themeShade="1A"/>
        </w:rPr>
        <w:t>ՀԻՄՆԱՎՈՐՈՒՄ</w:t>
      </w:r>
    </w:p>
    <w:p w14:paraId="23D7DBA3" w14:textId="77777777" w:rsidR="00ED7A92" w:rsidRPr="005A5425" w:rsidRDefault="00ED7A92" w:rsidP="00F80128">
      <w:pPr>
        <w:spacing w:line="360" w:lineRule="auto"/>
        <w:jc w:val="center"/>
        <w:rPr>
          <w:rFonts w:ascii="GHEA Grapalat" w:hAnsi="GHEA Grapalat"/>
          <w:b/>
          <w:bCs/>
          <w:color w:val="171717" w:themeColor="background2" w:themeShade="1A"/>
        </w:rPr>
      </w:pPr>
      <w:r w:rsidRPr="005A5425">
        <w:rPr>
          <w:rFonts w:ascii="GHEA Grapalat" w:hAnsi="GHEA Grapalat"/>
          <w:b/>
          <w:bCs/>
          <w:color w:val="171717" w:themeColor="background2" w:themeShade="1A"/>
        </w:rPr>
        <w:t>«63–72 ՏԱՐԵԿԱՆ ՔԱՂԱՔԱՑԻՆԵՐԻ ՏՆՏԵՍԱԿԱՆ ՆԵՐՈՒԺԻ ԻՐԱՑՄԱՆ ԵՎ ԲԻԶՆԵՍ ՆԱԽԱՁԵՌՆՈՒԹՅՈՒՆՆԵՐԻ ԱՋԱԿՑՈՒԹՅԱՆ ԾՐԱԳԻՐԸ ՀԱՍՏԱՏԵԼՈՒ ՄԱՍԻՆ» ՀԱՅԱՍՏԱՆԻ ՀԱՆՐԱՊԵՏՈՒԹՅԱՆ ԿԱՌԱՎԱՐՈՒԹՅԱՆ ՈՐՈՇՄԱՆ ՆԱԽԱԳԾԻ</w:t>
      </w:r>
    </w:p>
    <w:p w14:paraId="2B11C3EC" w14:textId="77777777" w:rsidR="003768FD" w:rsidRPr="005A5425" w:rsidRDefault="003768FD" w:rsidP="00F80128">
      <w:pPr>
        <w:spacing w:line="360" w:lineRule="auto"/>
        <w:jc w:val="center"/>
        <w:rPr>
          <w:rFonts w:ascii="GHEA Grapalat" w:hAnsi="GHEA Grapalat"/>
          <w:b/>
          <w:bCs/>
          <w:color w:val="171717" w:themeColor="background2" w:themeShade="1A"/>
        </w:rPr>
      </w:pPr>
    </w:p>
    <w:p w14:paraId="6396080E" w14:textId="77777777" w:rsidR="00ED7A92" w:rsidRPr="005A5425" w:rsidRDefault="00ED7A92" w:rsidP="00F80128">
      <w:pPr>
        <w:spacing w:line="360" w:lineRule="auto"/>
        <w:jc w:val="center"/>
        <w:rPr>
          <w:rFonts w:ascii="GHEA Grapalat" w:hAnsi="GHEA Grapalat"/>
          <w:b/>
          <w:bCs/>
          <w:color w:val="171717" w:themeColor="background2" w:themeShade="1A"/>
        </w:rPr>
      </w:pPr>
      <w:r w:rsidRPr="005A5425">
        <w:rPr>
          <w:rFonts w:ascii="GHEA Grapalat" w:hAnsi="GHEA Grapalat"/>
          <w:b/>
          <w:bCs/>
          <w:color w:val="171717" w:themeColor="background2" w:themeShade="1A"/>
        </w:rPr>
        <w:t>1. ԱՌԿԱ ԻՐԱՎԻՃԱԿԸ ԵՎ ՆԱԽԱԳԾՈՎ ԿԱՐԳԱՎՈՐՄԱՆ ԵՆԹԱԿԱ ԽՆԴԻՐՆԵՐԸ</w:t>
      </w:r>
    </w:p>
    <w:p w14:paraId="0DBFDA54" w14:textId="77777777" w:rsidR="00ED7A92" w:rsidRPr="005A5425" w:rsidRDefault="00ED7A92" w:rsidP="003768FD">
      <w:pPr>
        <w:spacing w:before="40" w:line="360" w:lineRule="auto"/>
        <w:ind w:firstLine="426"/>
        <w:jc w:val="both"/>
        <w:rPr>
          <w:rFonts w:ascii="GHEA Grapalat" w:hAnsi="GHEA Grapalat"/>
          <w:color w:val="171717" w:themeColor="background2" w:themeShade="1A"/>
        </w:rPr>
      </w:pPr>
      <w:proofErr w:type="spellStart"/>
      <w:r w:rsidRPr="005A5425">
        <w:rPr>
          <w:rFonts w:ascii="GHEA Grapalat" w:hAnsi="GHEA Grapalat"/>
          <w:color w:val="171717" w:themeColor="background2" w:themeShade="1A"/>
        </w:rPr>
        <w:t>Նախագծի</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մշակումը</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պայմանավորված</w:t>
      </w:r>
      <w:proofErr w:type="spellEnd"/>
      <w:r w:rsidRPr="005A5425">
        <w:rPr>
          <w:rFonts w:ascii="GHEA Grapalat" w:hAnsi="GHEA Grapalat"/>
          <w:color w:val="171717" w:themeColor="background2" w:themeShade="1A"/>
        </w:rPr>
        <w:t xml:space="preserve"> է Ֆինանսատնտեսական նախարարական կոմիտեի 2026 թվականի հունվարի 9-ի N ԿԱ/2-2026 նիստի արձանագրության 8.1-ին կետով տրված հանձնարարականի կատարման անհրաժեշտությամբ, որով առաջարկվել է մշակել և ներկայացնել ավագ սերնդի անձանց զբաղվածության և տնտեսական ակտիվության խթանմանն ուղղված գործնական նշանակություն ունեցող առաջարկություններ՝ վարչապետի հանձնարարականի նպատակային կատարումն ապահովելու համար: </w:t>
      </w:r>
    </w:p>
    <w:p w14:paraId="142788CF" w14:textId="77777777" w:rsidR="003F2C26" w:rsidRPr="005A5425" w:rsidRDefault="003F2C26" w:rsidP="00ED7A92">
      <w:pPr>
        <w:spacing w:line="360" w:lineRule="auto"/>
        <w:ind w:firstLine="567"/>
        <w:jc w:val="both"/>
        <w:rPr>
          <w:rFonts w:ascii="GHEA Grapalat" w:hAnsi="GHEA Grapalat"/>
          <w:color w:val="171717" w:themeColor="background2" w:themeShade="1A"/>
          <w:sz w:val="14"/>
          <w:szCs w:val="14"/>
        </w:rPr>
      </w:pPr>
    </w:p>
    <w:p w14:paraId="4BB81AD5" w14:textId="77777777" w:rsidR="00ED7A92" w:rsidRPr="005A5425" w:rsidRDefault="00ED7A92" w:rsidP="00ED7A92">
      <w:pPr>
        <w:spacing w:line="360" w:lineRule="auto"/>
        <w:ind w:firstLine="567"/>
        <w:jc w:val="both"/>
        <w:rPr>
          <w:rFonts w:ascii="GHEA Grapalat" w:hAnsi="GHEA Grapalat"/>
          <w:b/>
          <w:bCs/>
          <w:color w:val="171717" w:themeColor="background2" w:themeShade="1A"/>
        </w:rPr>
      </w:pPr>
      <w:r w:rsidRPr="005A5425">
        <w:rPr>
          <w:rFonts w:ascii="GHEA Grapalat" w:hAnsi="GHEA Grapalat"/>
          <w:b/>
          <w:bCs/>
          <w:color w:val="171717" w:themeColor="background2" w:themeShade="1A"/>
        </w:rPr>
        <w:t>2. ԸՆԹԱՑԻԿ ԻՐԱՎԻՃԱԿԸ ԵՎ ԱՌԿԱ ԽՆԴԻՐՆԵՐԸ</w:t>
      </w:r>
    </w:p>
    <w:p w14:paraId="70EA289B" w14:textId="77777777" w:rsidR="00ED7A92" w:rsidRPr="005A5425" w:rsidRDefault="00ED7A92" w:rsidP="00B018F9">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 xml:space="preserve">Ժողովրդագրական կառուցվածքի փոփոխության, բնակչության ծերացման միտումների, ինչպես նաև ավագ սերնդի մասնագիտական փորձի, գիտելիքների և հմտությունների արդյունավետ օգտագործման կարևորության պայմաններում անհրաժեշտ է ձևավորել պետական աջակցության համապատասխան գործիքակազմ՝ ուղղված նրանց տնտեսական ներգրավվածության ընդլայնմանը: </w:t>
      </w:r>
    </w:p>
    <w:p w14:paraId="6224AA3B" w14:textId="77777777" w:rsidR="00ED7A92" w:rsidRPr="005A5425" w:rsidRDefault="00ED7A92" w:rsidP="00B018F9">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 xml:space="preserve">Աշխատանքի և սոցիալական հարցերի նախարարության տրամադրած տվյալների համաձայն՝ Հայաստանի Հանրապետությունում 63–75 տարեկան կենսաթոշակառուների ընդհանուր թիվը կազմում է 343,702 անձ, որոնցից 199,013-ը կանայք են, իսկ 144,689-ը՝ տղամարդիկ: Նշված տարիքային խմբում կանանց թվային գերակշռությունը վկայում է, որ ավագ սերնդի անձանց տնտեսական ակտիվության խթանմանն ուղղված ցանկացած աջակցության գործիք ունենալու է նաև գենդերային նշանակություն: Նույն տարիքային խմբում սոցիալապես անապահով անձանց թիվը կազմում է 17,925, միայնակ բնակվող անձանց թիվը՝ 13,243, տեղահանված անձանց թիվը՝ 21,266, իսկ հաշմանդամություն ունեցող անձանց թիվը՝ շուրջ 79,625: </w:t>
      </w:r>
    </w:p>
    <w:p w14:paraId="33A3973D" w14:textId="77777777" w:rsidR="00ED7A92" w:rsidRPr="005A5425" w:rsidRDefault="00ED7A92" w:rsidP="00B018F9">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 xml:space="preserve">Նշված տվյալները վերաբերում են 63–75 տարեկան տարիքային խմբին և օգտագործվել են որպես Ծրագրի մշակման նախնական տեղեկատվական և սոցիալ-ժողովրդագրական հիմք: Ծրագրի վերջնական տարբերակով թիրախային շահառուները սահմանվել են 63–72 տարեկան քաղաքացիները՝ պայմանավորված տվյալ տարիքային խմբում տնտեսական </w:t>
      </w:r>
      <w:r w:rsidRPr="005A5425">
        <w:rPr>
          <w:rFonts w:ascii="GHEA Grapalat" w:hAnsi="GHEA Grapalat"/>
          <w:color w:val="171717" w:themeColor="background2" w:themeShade="1A"/>
          <w:lang w:val="hy-AM"/>
        </w:rPr>
        <w:lastRenderedPageBreak/>
        <w:t xml:space="preserve">ակտիվության պահպանման, ինքնուրույն ձեռնարկատիրական գործունեություն ծավալելու գործնական կարողությունների, ինչպես նաև Ծրագրի արդյունավետ և ռիսկակառավարվող իրականացման ապահովման անհրաժեշտությամբ:  Ավագ սերնդի անձանց տնտեսական ակտիվության մակարդակը շարունակում է մնալ սահմանափակ՝ պայմանավորված տարիքային առանձնահատկություններով, աշխատաշուկայի փոփոխվող պահանջներով, թվային և տեխնոլոգիական հմտությունների պակասով, ֆինանսական միջոցների սահմանափակ հասանելիությամբ, ինչպես նաև մրցունակության ապահովման հետ կապված դժվարություններով: Միջազգային փորձի, այդ թվում՝ OECD-ի, Աշխատանքի միջազգային կազմակերպության (ILO) և Եվրոպական միության (EU) համապատասխան քաղաքականություններն ու մոտեցումների ուսումնասիրությունը ցույց է տալիս, որ բնակչության ծերացման պայմաններում մի շարք երկրներում ակտիվ ծերացման քաղաքականությունների շրջանակում ավագ սերնդի անձանց տնտեսական և սոցիալական ներգրավվածության պահպանմանն ուղղված ծրագրեր արդյունավետ են կիրառվում: </w:t>
      </w:r>
    </w:p>
    <w:p w14:paraId="25EDD807" w14:textId="77777777" w:rsidR="003F2C26" w:rsidRPr="005A5425" w:rsidRDefault="003F2C26" w:rsidP="00ED7A92">
      <w:pPr>
        <w:spacing w:before="40" w:line="360" w:lineRule="auto"/>
        <w:ind w:firstLine="567"/>
        <w:jc w:val="both"/>
        <w:rPr>
          <w:rFonts w:ascii="GHEA Grapalat" w:hAnsi="GHEA Grapalat"/>
          <w:color w:val="171717" w:themeColor="background2" w:themeShade="1A"/>
          <w:sz w:val="14"/>
          <w:szCs w:val="14"/>
          <w:lang w:val="hy-AM"/>
        </w:rPr>
      </w:pPr>
    </w:p>
    <w:p w14:paraId="3085485B" w14:textId="77777777" w:rsidR="00ED7A92" w:rsidRPr="005A5425" w:rsidRDefault="00ED7A92" w:rsidP="00ED7A92">
      <w:pPr>
        <w:spacing w:before="40" w:line="360" w:lineRule="auto"/>
        <w:ind w:firstLine="567"/>
        <w:jc w:val="both"/>
        <w:rPr>
          <w:rFonts w:ascii="GHEA Grapalat" w:hAnsi="GHEA Grapalat"/>
          <w:b/>
          <w:bCs/>
          <w:color w:val="171717" w:themeColor="background2" w:themeShade="1A"/>
          <w:lang w:val="hy-AM"/>
        </w:rPr>
      </w:pPr>
      <w:r w:rsidRPr="005A5425">
        <w:rPr>
          <w:rFonts w:ascii="GHEA Grapalat" w:hAnsi="GHEA Grapalat"/>
          <w:b/>
          <w:bCs/>
          <w:color w:val="171717" w:themeColor="background2" w:themeShade="1A"/>
          <w:lang w:val="hy-AM"/>
        </w:rPr>
        <w:t>3. ԿԱՐԳԱՎՈՐՄԱՆ ԱՌԱՐԿԱՆ ԵՎ ԱՌԱՋԱՐԿՎՈՂ ԼՈՒԾՈՒՄՆԵՐԸ</w:t>
      </w:r>
    </w:p>
    <w:p w14:paraId="04358D4D" w14:textId="77777777" w:rsidR="00ED7A92" w:rsidRPr="005A5425" w:rsidRDefault="00ED7A92" w:rsidP="00B018F9">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Նախագծով առաջարկվում է սահմանել 63–72 տարեկան քաղաքացիների տնտեսական ակտիվության խթանմանն ու գործարար նախաձեռնությունների իրականացմանն ուղղված աջակցության նոր գործիք՝ համադրելով ձեռնարկատիրական ուսուցումը, գործարար ծրագրի մշակումը և ֆինանսական կազմակերպությունների միջոցով տրամադրվող նպատակային ֆինանսավորումը։</w:t>
      </w:r>
    </w:p>
    <w:p w14:paraId="157A65F8" w14:textId="77777777" w:rsidR="00ED7A92" w:rsidRPr="005A5425" w:rsidRDefault="00ED7A92" w:rsidP="00B018F9">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Ծրագրի հիմնական բաղադրիչներն են՝</w:t>
      </w:r>
    </w:p>
    <w:p w14:paraId="13A687E7" w14:textId="77777777" w:rsidR="00ED7A92" w:rsidRPr="005A5425" w:rsidRDefault="00ED7A92" w:rsidP="003768FD">
      <w:pPr>
        <w:numPr>
          <w:ilvl w:val="0"/>
          <w:numId w:val="8"/>
        </w:numPr>
        <w:tabs>
          <w:tab w:val="clear" w:pos="720"/>
          <w:tab w:val="num" w:pos="360"/>
        </w:tabs>
        <w:spacing w:before="40" w:line="360" w:lineRule="auto"/>
        <w:ind w:left="0"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Ծրագիրը նախատեսված է Հայաստանի Հանրապետության 63–72 տարեկան քաղաքացիների համար, որոնք իրականացնում են տնտեսական (ձեռնարկատիրական) գործունեություն կամ Ծրագրով ընտրվելու դեպքում պարտավորվում են մինչև աջակցության տրամադրման մասին պայմանագրի կնքումը ձեռք բերել Ծրագրով պահանջվող կարգավիճակը,</w:t>
      </w:r>
    </w:p>
    <w:p w14:paraId="76B87438" w14:textId="77777777" w:rsidR="00ED7A92" w:rsidRPr="005A5425" w:rsidRDefault="00ED7A92" w:rsidP="003768FD">
      <w:pPr>
        <w:numPr>
          <w:ilvl w:val="0"/>
          <w:numId w:val="8"/>
        </w:numPr>
        <w:tabs>
          <w:tab w:val="clear" w:pos="720"/>
          <w:tab w:val="num" w:pos="360"/>
        </w:tabs>
        <w:spacing w:before="40" w:line="360" w:lineRule="auto"/>
        <w:ind w:left="0"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աջակցության համար կարող են դիմել Ծրագրի պահանջներին համապատասխանող կրթական ծրագիր անցած, դրա շրջանակում գործարար ծրագիր մշակած և ձեռնարկատիրական հմտությունների առկայությունը հավաստող վավեր հավաստագիր ստացած անձինք,</w:t>
      </w:r>
    </w:p>
    <w:p w14:paraId="1D4F773D" w14:textId="77777777" w:rsidR="00ED7A92" w:rsidRPr="005A5425" w:rsidRDefault="00ED7A92" w:rsidP="003768FD">
      <w:pPr>
        <w:numPr>
          <w:ilvl w:val="0"/>
          <w:numId w:val="8"/>
        </w:numPr>
        <w:tabs>
          <w:tab w:val="clear" w:pos="720"/>
          <w:tab w:val="num" w:pos="360"/>
        </w:tabs>
        <w:spacing w:before="40" w:line="360" w:lineRule="auto"/>
        <w:ind w:left="0"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lastRenderedPageBreak/>
        <w:t>մեկ շահառուի համար աջակցության առավելագույն չափը կազմում է մինչև 2,000,000 դրամ, իսկ Ծրագրի առավելագույն ընդգրկվածությունը՝ մինչև 200 շահառու,</w:t>
      </w:r>
    </w:p>
    <w:p w14:paraId="0C9E3269" w14:textId="77777777" w:rsidR="00ED7A92" w:rsidRPr="005A5425" w:rsidRDefault="00ED7A92" w:rsidP="003768FD">
      <w:pPr>
        <w:numPr>
          <w:ilvl w:val="0"/>
          <w:numId w:val="8"/>
        </w:numPr>
        <w:tabs>
          <w:tab w:val="clear" w:pos="720"/>
          <w:tab w:val="num" w:pos="360"/>
        </w:tabs>
        <w:spacing w:before="40" w:line="360" w:lineRule="auto"/>
        <w:ind w:left="0"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շահառուների ընտրությունն ու ֆինանսավորումն իրականացվում են Ծրագրով սահմանված տարածքային առաջնահերթությունների, յուրաքանչյուր խմբի ներսում նախատեսված նախապատվության և առկա բյուջետային հատկացումների հաշվառմամբ,</w:t>
      </w:r>
    </w:p>
    <w:p w14:paraId="2C00920E" w14:textId="77777777" w:rsidR="00ED7A92" w:rsidRPr="005A5425" w:rsidRDefault="00ED7A92" w:rsidP="003768FD">
      <w:pPr>
        <w:numPr>
          <w:ilvl w:val="0"/>
          <w:numId w:val="8"/>
        </w:numPr>
        <w:tabs>
          <w:tab w:val="clear" w:pos="720"/>
          <w:tab w:val="num" w:pos="360"/>
        </w:tabs>
        <w:spacing w:before="40" w:line="360" w:lineRule="auto"/>
        <w:ind w:left="0"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աջակցությունը տրամադրվում է Ծրագրին մասնակցող՝ լիազոր մարմնի հետ Ծրագրի իրականացման վերաբերյալ պայմանագիր կնքած բանկերի և վարկային կազմակերպությունների միջոցով, իսկ հաստատված միջոցները հաշվառվում են շահառուի համար նախատեսված հատուկ նպատակային հաշվով և վճարվում անմիջապես ապրանք մատակարարողին, աշխատանք կատարողին կամ ծառայություն մատուցողին՝ համապատասխան հաշվարկային փաստաթղթերի հիման վրա։</w:t>
      </w:r>
    </w:p>
    <w:p w14:paraId="2CEFE77F" w14:textId="77777777" w:rsidR="00695DB8" w:rsidRPr="005A5425" w:rsidRDefault="001B4178" w:rsidP="00B018F9">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Ծրագրի շահառու կարող են հանդիսանալ Հայաստանի Հանրապետության օրենսդրությամբ սահմանված կարգով որպես անհատ ձեռնարկատեր հաշվառված անձինք կամ իրավաբանական անձի հիմնադիրները կամ գործադիր մարմնի ղեկավարները, որոնք տվյալ իրավաբանական անձի միջոցով փաստացի իրականացնում են տնտեսական (ձեռնարկատիրական) գործունեություն։ Դիմել կարող են նաև այն քաղաքացիները, որոնք Ծրագրով ընտրվելու դեպքում պարտավորվում են մինչև աջակցության տրամադրման մասին պայմանագրի կնքումը ձեռք բերել նշված կարգավիճակներից որևէ մեկը։ Այս պահանջը նպատակ ունի ապահովելու դիմողի իրական ներգրավվածությունը գործարար ծրագրի իրականացման և տնտեսական գործունեության կառավարման գործընթացում։ Գործող անհատ ձեռնարկատիրոջ կամ իրավաբանական անձի համար նախատեսվում է հետևյալ պայմաններից առնվազն մեկին համապատասխանելու պահանջ՝ հայտը ներկայացնելուն նախորդող 365 օրվա ընթացքում չկատարված հարկային պարտավորությունների գանձման վերաբերյալ վարչական վարույթ հարուցված չլինելը, հայտը ներկայացնելու օրվա դրությամբ հարկային մարմնի կողմից վերահսկվող եկամուտների գծով ժամկետանց պարտավորություններ չունենալը կամ վարկային զեկույցով, ըստ ԱՔՌԱ տեղեկատվության, դիմումի ներկայացմանը նախորդող 12 ամսվա ընթացքում հանրագումարային 90 օր և ավելի ժամկետով ժամկետանց վարկային պարտավորություններ չունենալը։ Պայմանները սահմանվում են որպես այլընտրանքային հիմքեր՝ դիմողի մասնակցության հնարավորությունը գնահատելու համար հարկային կամ վարկային կարգապահության առնվազն մեկ չափանիշով՝ առանց բոլոր պահանջների միաժամանակյա բավարարման պարտադրանքի։</w:t>
      </w:r>
    </w:p>
    <w:p w14:paraId="0A90C6C3" w14:textId="77777777" w:rsidR="007F74D6" w:rsidRPr="005A5425" w:rsidRDefault="007F74D6" w:rsidP="007F74D6">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lastRenderedPageBreak/>
        <w:t>Կրթական ծրագրին մասնակցելու հայտը քաղաքացին ներկայացնում է լիազոր մարմին։ Լիազոր մարմինը ստացված հայտերը փոխանցում է համապատասխան կրթական ծրագիր իրականացնող կազմակերպությանը և հայտ ներկայացրած անձանց տեղեկացնում կրթական ծրագրի իրականացման վայրի, ժամկետների, մասնակցության պայմանների և հետադարձ կապի տվյալների մասին։ Կրթական ծրագրի շրջանակում մասնակիցը զարգացնում է ձեռնարկատիրական հմտությունները և մշակում գործարար ծրագիր։</w:t>
      </w:r>
    </w:p>
    <w:p w14:paraId="6F25CF39" w14:textId="77777777" w:rsidR="007F74D6" w:rsidRPr="005A5425" w:rsidRDefault="007F74D6" w:rsidP="007F74D6">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Կրթական ծրագիր իրականացնող կազմակերպությունը պետք է համապատասխանի Ծրագրով սահմանված փորձառության և մասնագիտական կարողությունների պահանջներին։ Կրթական ծրագրի գնահատման կարգը, չափանիշները և հավաստագրման գործընթացը սահմանվում են կրթական ծրագիր իրականացնող կազմակերպության կողմից, իսկ հավաստագիրը տրամադրվում է առնվազն 60 տոկոս ավարտական գնահատական ստացած մասնակցին և վավեր է 12 ամիս։</w:t>
      </w:r>
    </w:p>
    <w:p w14:paraId="188BBA3E" w14:textId="77777777" w:rsidR="00567362" w:rsidRPr="005A5425" w:rsidRDefault="007F74D6" w:rsidP="00BE5315">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Վավեր հավաստագիր ստացած անձն ինքնուրույն ընտրում է լիազոր մարմնի պաշտոնական կայքում հրապարակված ցանկում ներառված ֆինանսական կազմակերպություններից որևէ մեկը և վերջինիս ներկայացնում աջակցության դիմումը, գործարար ծրագիրը և Ծրագրով պահանջվող փաստաթղթերը։</w:t>
      </w:r>
    </w:p>
    <w:p w14:paraId="43748BCE" w14:textId="65E37220" w:rsidR="001B10AB" w:rsidRPr="005A5425" w:rsidRDefault="001B10AB" w:rsidP="00BE5315">
      <w:pPr>
        <w:spacing w:before="40" w:line="360" w:lineRule="auto"/>
        <w:ind w:firstLine="567"/>
        <w:jc w:val="both"/>
        <w:rPr>
          <w:rFonts w:ascii="GHEA Grapalat" w:hAnsi="GHEA Grapalat"/>
          <w:color w:val="171717" w:themeColor="background2" w:themeShade="1A"/>
        </w:rPr>
      </w:pPr>
      <w:proofErr w:type="spellStart"/>
      <w:r w:rsidRPr="005A5425">
        <w:rPr>
          <w:rFonts w:ascii="GHEA Grapalat" w:hAnsi="GHEA Grapalat"/>
          <w:color w:val="171717" w:themeColor="background2" w:themeShade="1A"/>
        </w:rPr>
        <w:t>Կրթական</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ծրագրերի</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իրականացումը</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նախատեսվում</w:t>
      </w:r>
      <w:proofErr w:type="spellEnd"/>
      <w:r w:rsidRPr="005A5425">
        <w:rPr>
          <w:rFonts w:ascii="GHEA Grapalat" w:hAnsi="GHEA Grapalat"/>
          <w:color w:val="171717" w:themeColor="background2" w:themeShade="1A"/>
        </w:rPr>
        <w:t xml:space="preserve"> է կազմակերպել միջազգային կազմակերպությունների, զարգացման գործընկերների կամ այլ դոնոր կառույցների աջակցությամբ։ Կրթական ծառայությունների ձեռքբերման կամ փոխհատուցման համար պետական բյուջեից միջոցներ չեն նախատեսվում, ինչը հնարավորություն է տալիս առկա մասնագիտական և մեթոդական ներուժն օգտագործել առանց նույնաբովանդակ գործառույթների բյուջետային ֆինանսավորման։</w:t>
      </w:r>
    </w:p>
    <w:p w14:paraId="692428E9" w14:textId="77777777" w:rsidR="00C42FAA" w:rsidRPr="005A5425" w:rsidRDefault="001B10AB" w:rsidP="00BE5315">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Լիազոր մարմինը կարող է համագործակցել համապատասխան գործընկերների հետ՝ կրթական բաղադրիչի կազմակերպման, տեղեկատվության փոխանակման և ուսուցման հասանելիության ապահովման նպատակով։ Այս կառուցակարգը միաժամանակ պահպանում է լիազոր մարմնի՝ Ծրագրի ընդհանուր կառավարման և կրթական կազմակերպության՝ ուսուցման, գնահատման ու հավաստագրման գործառույթների հստակ սահմանազատումը։</w:t>
      </w:r>
    </w:p>
    <w:p w14:paraId="1CA3E960" w14:textId="6125097B" w:rsidR="00696E7B" w:rsidRPr="005A5425" w:rsidRDefault="00696E7B" w:rsidP="00E54F93">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Միաժամանակ, Դ</w:t>
      </w:r>
      <w:r w:rsidRPr="005A5425">
        <w:rPr>
          <w:rFonts w:ascii="GHEA Grapalat" w:hAnsi="GHEA Grapalat"/>
          <w:color w:val="171717" w:themeColor="background2" w:themeShade="1A"/>
          <w:lang w:val="hy-AM"/>
        </w:rPr>
        <w:t>իմողների ֆինանսավորման հերթականությունը որոշվում է նախ՝ ըստ Ծրագր</w:t>
      </w:r>
      <w:r w:rsidRPr="005A5425">
        <w:rPr>
          <w:rFonts w:ascii="GHEA Grapalat" w:hAnsi="GHEA Grapalat"/>
          <w:color w:val="171717" w:themeColor="background2" w:themeShade="1A"/>
          <w:lang w:val="hy-AM"/>
        </w:rPr>
        <w:t xml:space="preserve">ով </w:t>
      </w:r>
      <w:r w:rsidRPr="005A5425">
        <w:rPr>
          <w:rFonts w:ascii="GHEA Grapalat" w:hAnsi="GHEA Grapalat"/>
          <w:color w:val="171717" w:themeColor="background2" w:themeShade="1A"/>
          <w:lang w:val="hy-AM"/>
        </w:rPr>
        <w:t xml:space="preserve">սահմանված առաջնահերթության խմբերի, այնուհետև՝ միևնույն խմբում նախապատվություն տալով կրթական ծրագրին մասնակցելու հայտը ներկայացնելու օրվա դրությամբ կենսաթոշակ ստացող և վարձու աշխատող չհանդիսացող դիմողներին, իսկ նշված </w:t>
      </w:r>
      <w:r w:rsidRPr="005A5425">
        <w:rPr>
          <w:rFonts w:ascii="GHEA Grapalat" w:hAnsi="GHEA Grapalat"/>
          <w:color w:val="171717" w:themeColor="background2" w:themeShade="1A"/>
          <w:lang w:val="hy-AM"/>
        </w:rPr>
        <w:lastRenderedPageBreak/>
        <w:t>չափանիշների հավասարության դեպքում՝ դիմումն ավելի վաղ ամբողջական ներկայացրած դիմողներին։ Հերթականությունը ձևավորվում է Ծրագրին մասնակցող բոլոր ֆինանսական կազմակերպությունների համար միասնական՝ անկախ դիմումը ներկայացնելու ֆինանսական կազմակերպությունից։</w:t>
      </w:r>
    </w:p>
    <w:p w14:paraId="36108CF2" w14:textId="08E38CF9" w:rsidR="00E54F93" w:rsidRPr="005A5425" w:rsidRDefault="00ED7A92" w:rsidP="00E54F93">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 xml:space="preserve">Ծրագրով սահմանված տարածքային առաջնահերթությունները ծառայում են աջակցության հասցեականության ապահովմանը՝ նախապատվություն տալով սահմանամերձ, ապա լեռնային և բարձրլեռնային, այնուհետև այլ գյուղական և քաղաքային բնակավայրերի դիմողներին։ Տարածքային առաջնահերթությունները կիրառվում են կրթական ծրագրին մասնակցության կազմակերպման, շահառուների ընտրության և ֆինանսավորման ընթացքում, իսկ բոլոր առաջնահերթությունների խմբերի համար հայտերն ու դիմումներն ընդունվում են միաժամանակ։ </w:t>
      </w:r>
      <w:r w:rsidR="00E54F93" w:rsidRPr="005A5425">
        <w:rPr>
          <w:rFonts w:ascii="GHEA Grapalat" w:hAnsi="GHEA Grapalat"/>
          <w:color w:val="171717" w:themeColor="background2" w:themeShade="1A"/>
          <w:lang w:val="hy-AM"/>
        </w:rPr>
        <w:t>Աջակցությունը տրամադրվում է հավաստագիր ստացած դիմողներին՝ Ծրագրին մասնակցող ֆինանսական կազմակերպությունների միջոցով։ Նախապատվությունը կտրվի կենսաթոշակի անցնելու կապակցությամբ աշխատանքային գործունեությունը դադարեցրած և ուսուցման ծրագրին մասնակցելու հայտի ներկայացման օրվա դրությամբ վարձու աշխատող չհանդիսացող անձանց՝ Ծրագրի Աղյուսակ N 1-ով սահմանված առաջնահերթությունների հաշվառմամբ և մինչև Ծրագրի համար նախատեսված ֆինանսական միջոցների սպառումը։ Դիմումների գրանցման, ամբողջականացման ամսաթվի արձանագրման ու տեղեկությունների փոխանցման ընթացակարգերը սահմանվում են լիազոր մարմնի և ֆինանսական կազմակերպությունների միջև կնքված պայմանագրերով՝ միասնական պահանջների կիրառմամբ։</w:t>
      </w:r>
    </w:p>
    <w:p w14:paraId="2F42803F" w14:textId="77777777" w:rsidR="00ED7A92" w:rsidRPr="005A5425" w:rsidRDefault="00ED7A92" w:rsidP="00BE5315">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 xml:space="preserve">Աջակցության դիմումների ընդունումը, փաստաթղթերի ամբողջականության և դիմողի համապատասխանության ստուգումը, գործարար ծրագրի ֆինանսատնտեսական գնահատումը, ինչպես նաև օրենքով նախատեսված նույնականացման ու համապատասխանության ստուգումներն իրականացնում է դիմողի ընտրած ֆինանսական կազմակերպությունը։ Գործարար ծրագրերը գնահատվում են լիազոր մարմնի և ֆինանսական կազմակերպությունների միջև կնքված պայմանագրերով սահմանված միասնական մեթոդաբանությամբ։ Դրական գնահատված դիմումների հիման վրա ֆինանսական կազմակերպությունները լիազոր մարմին են ներկայացնում շահառուների ցանկերն ու ֆինանսավորման հայտերը, իսկ լիազոր մարմինը տարածքային առաջնահերթությունների, յուրաքանչյուր խմբի ներսում նախատեսված նախապատվության և առկա բյուջետային </w:t>
      </w:r>
      <w:r w:rsidRPr="005A5425">
        <w:rPr>
          <w:rFonts w:ascii="GHEA Grapalat" w:hAnsi="GHEA Grapalat"/>
          <w:color w:val="171717" w:themeColor="background2" w:themeShade="1A"/>
          <w:lang w:val="hy-AM"/>
        </w:rPr>
        <w:lastRenderedPageBreak/>
        <w:t>հատկացումների հաշվառմամբ հաստատում է ֆինանսավորման ենթակա շահառուների վերջնական ցանկը։</w:t>
      </w:r>
    </w:p>
    <w:p w14:paraId="73A6A23E" w14:textId="77777777" w:rsidR="00BE5315" w:rsidRPr="005A5425" w:rsidRDefault="00ED7A92" w:rsidP="00BE5315">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Աջակցության միջոցների նպատակային օգտագործման ռիսկերը սահմանափակվում են անկանխիկ և վերահսկելի վճարումների մեխանիզմով։ Լիազոր մարմնի փոխանցած միջոցները ֆինանսական կազմակերպությունը հաշվառում է շահառուի հատուկ նպատակային հաշվով և հաստատված գործարար ծրագրին համապատասխան վճարում անմիջապես մատակարարին, աշխատանք կատարողին կամ ծառայություն մատուցողին։ Միջոցները չեն կարող օգտագործվել շահառուի այլ պարտավորությունների մարման, հաշվանցման կամ Ծրագրով չնախատեսված նպատակների համար։</w:t>
      </w:r>
    </w:p>
    <w:p w14:paraId="5AAB0F98" w14:textId="77777777" w:rsidR="00ED7A92" w:rsidRPr="005A5425" w:rsidRDefault="00ED7A92" w:rsidP="00BE5315">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Ֆինանսական կազմակերպությունն իրականացնում է փաստաթղթային ուսումնասիրություն, ռիսկահեն ընտրանքային մշտադիտարկում և անհրաժեշտության դեպքում տեղայց՝ գնահատելով աջակցության նպատակային օգտագործումը, գործարար ծրագրով նախատեսված գործունեության իրականացումը և դրա առնվազն 12-ամսյա շարունակականությունը։ Ֆինանսական կազմակերպությունը մշտադիտարկման արդյունքները ներկայացնում է լիազոր մարմնին, իսկ լիազոր մարմինը իրականացնում է Ծրագրի ընդհանուր մշտադիտարկումն ու արդյունավետության գնահատումը և վերահսկում ֆինանսական կազմակերպությունների պայմանագրային պարտավորությունների կատարումը։</w:t>
      </w:r>
    </w:p>
    <w:p w14:paraId="6F8229C9" w14:textId="77777777" w:rsidR="00ED7A92" w:rsidRPr="005A5425" w:rsidRDefault="00ED7A92" w:rsidP="00BE5315">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Ոչ նպատակային օգտագործման, կեղծ կամ ոչ արժանահավատ տվյալների ներկայացման, Ծրագրով կամ աջակցության տրամադրման մասին պայմանագրով սահմանված պարտավորությունների խախտման, տնտեսական գործունեության դադարեցման կամ գործարար ծրագրով նախատեսված գործունեության չիրականացման դեպքում աջակցության գումարը ենթակա է ամբողջական կամ մասնակի վերադարձման Հայաստանի Հանրապետության պետական բյուջե՝ Ծրագրով և լիազոր մարմնի ու ֆինանսական կազմակերպության միջև կնքված պայմանագրով սահմանված կարգով։</w:t>
      </w:r>
    </w:p>
    <w:p w14:paraId="6F89EF9D" w14:textId="77777777" w:rsidR="003F2C26" w:rsidRPr="005A5425" w:rsidRDefault="003F2C26" w:rsidP="00ED7A92">
      <w:pPr>
        <w:spacing w:before="40" w:line="360" w:lineRule="auto"/>
        <w:ind w:firstLine="567"/>
        <w:jc w:val="both"/>
        <w:rPr>
          <w:rFonts w:ascii="GHEA Grapalat" w:hAnsi="GHEA Grapalat"/>
          <w:color w:val="171717" w:themeColor="background2" w:themeShade="1A"/>
          <w:sz w:val="14"/>
          <w:szCs w:val="14"/>
          <w:lang w:val="hy-AM"/>
        </w:rPr>
      </w:pPr>
    </w:p>
    <w:p w14:paraId="19BA53F2" w14:textId="77777777" w:rsidR="00ED7A92" w:rsidRPr="005A5425" w:rsidRDefault="00ED7A92" w:rsidP="00ED7A92">
      <w:pPr>
        <w:spacing w:before="40" w:line="360" w:lineRule="auto"/>
        <w:ind w:firstLine="567"/>
        <w:jc w:val="both"/>
        <w:rPr>
          <w:rFonts w:ascii="GHEA Grapalat" w:hAnsi="GHEA Grapalat"/>
          <w:b/>
          <w:bCs/>
          <w:color w:val="171717" w:themeColor="background2" w:themeShade="1A"/>
          <w:lang w:val="hy-AM"/>
        </w:rPr>
      </w:pPr>
      <w:r w:rsidRPr="005A5425">
        <w:rPr>
          <w:rFonts w:ascii="GHEA Grapalat" w:hAnsi="GHEA Grapalat"/>
          <w:b/>
          <w:bCs/>
          <w:color w:val="171717" w:themeColor="background2" w:themeShade="1A"/>
          <w:lang w:val="hy-AM"/>
        </w:rPr>
        <w:t>4. ԱԿՆԿԱԼՎՈՂ ԱՐԴՅՈՒՆՔՆԵՐԸ</w:t>
      </w:r>
    </w:p>
    <w:p w14:paraId="1C3332C6" w14:textId="77777777" w:rsidR="00ED7A92" w:rsidRPr="005A5425" w:rsidRDefault="00ED7A92" w:rsidP="00ED7A92">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 xml:space="preserve">Ծրագրի իրականացմամբ ակնկալվում է ձեռնարկատիրական հմտությունների զարգացմանն ուղղված կրթական ծրագրերում ապահովել առնվազն 400 քաղաքացու մասնակցություն և նպաստել նրանց գործարար գիտելիքների ու հմտությունների զարգացմանը։ Կրթական փուլը ձևավորում է գործարար գաղափարների և ծրագրերի </w:t>
      </w:r>
      <w:r w:rsidRPr="005A5425">
        <w:rPr>
          <w:rFonts w:ascii="GHEA Grapalat" w:hAnsi="GHEA Grapalat"/>
          <w:color w:val="171717" w:themeColor="background2" w:themeShade="1A"/>
          <w:lang w:val="hy-AM"/>
        </w:rPr>
        <w:lastRenderedPageBreak/>
        <w:t>նախնական հոսք, որից Ծրագրով սահմանված պահանջները բավարարող և ֆինանսական կազմակերպությունների կողմից դրական գնահատված դիմումների շրջանակում աջակցություն կտրամադրվի առավելագույնը 200 շահառուի։ Այսպիսով, Ծրագիրն ունի երկու փոխկապակցված արդյունք՝ թիրախային խմբի կարողությունների զարգացում և կենսունակ գործարար նախաձեռնությունների նպատակային ֆինանսավորում։</w:t>
      </w:r>
    </w:p>
    <w:p w14:paraId="732F90D2" w14:textId="77777777" w:rsidR="00ED7A92" w:rsidRPr="005A5425" w:rsidRDefault="00ED7A92" w:rsidP="00ED7A92">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 xml:space="preserve">Ծրագիրը միտված է համայնքային մակարդակում տնտեսական շրջանառության աշխուժացմանը, քանի որ աջակցությունը կարող է ուղղվել տեղական պահանջարկ ունեցող փոքրածավալ արտադրական, ծառայությունների, արհեստագործական և գյուղատնտեսական գործունեությունների իրականացմանը: Ծրագրի սոցիալական ազդեցությունը պայմանավորված է նրանով, որ թիրախային խմբում ներառված են նաև սոցիալապես խոցելի, միայնակ բնակվող, տեղահանված, ինչպես նաև հաշմանդամություն ունեցող անձինք: Ծրագիրը կնպաստի նաև կանանց տնտեսական ակտիվության բարձրացմանը՝ հաշվի առնելով, որ 63–75 տարեկան կենսաթոշակառուների ընդհանուր կազմում կանայք կազմում են 58 տոկոս: </w:t>
      </w:r>
    </w:p>
    <w:p w14:paraId="02D3BFA7" w14:textId="77777777" w:rsidR="00ED7A92" w:rsidRPr="005A5425" w:rsidRDefault="00ED7A92" w:rsidP="00ED7A92">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Ծրագրի արդյունավետության գնահատման շրջանակում դիտարկվելու են հետևյալ հիմնական ցուցանիշները՝</w:t>
      </w:r>
    </w:p>
    <w:p w14:paraId="106C2AC9" w14:textId="77777777" w:rsidR="00ED7A92" w:rsidRPr="005A5425" w:rsidRDefault="00ED7A92" w:rsidP="003F2C26">
      <w:pPr>
        <w:numPr>
          <w:ilvl w:val="0"/>
          <w:numId w:val="9"/>
        </w:numPr>
        <w:tabs>
          <w:tab w:val="clear" w:pos="720"/>
          <w:tab w:val="num" w:pos="567"/>
        </w:tabs>
        <w:spacing w:before="40" w:line="360" w:lineRule="auto"/>
        <w:ind w:left="0" w:firstLine="284"/>
        <w:jc w:val="both"/>
        <w:rPr>
          <w:rFonts w:ascii="GHEA Grapalat" w:hAnsi="GHEA Grapalat"/>
          <w:color w:val="171717" w:themeColor="background2" w:themeShade="1A"/>
          <w:lang w:val="hy-AM"/>
        </w:rPr>
      </w:pPr>
      <w:r w:rsidRPr="005A5425">
        <w:rPr>
          <w:color w:val="171717" w:themeColor="background2" w:themeShade="1A"/>
          <w:lang w:val="hy-AM"/>
        </w:rPr>
        <w:t>կրթական ծրագրերին մասնակցած և ձեռնարկատիրական գիտելիքներ ու հմտություններ զարգացրած քաղաքացիների թիվը՝ առնվազն 400,</w:t>
      </w:r>
    </w:p>
    <w:p w14:paraId="20B20E95" w14:textId="77777777" w:rsidR="00ED7A92" w:rsidRPr="005A5425" w:rsidRDefault="00ED7A92" w:rsidP="003F2C26">
      <w:pPr>
        <w:numPr>
          <w:ilvl w:val="0"/>
          <w:numId w:val="9"/>
        </w:numPr>
        <w:tabs>
          <w:tab w:val="clear" w:pos="720"/>
          <w:tab w:val="num" w:pos="567"/>
        </w:tabs>
        <w:spacing w:before="40" w:line="360" w:lineRule="auto"/>
        <w:ind w:left="0" w:firstLine="284"/>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շահառուների կողմից տնտեսական (ձեռնարկատիրական) գործունեության շարունակականության ապահովումը՝ առնվազն 12 ամիս ժամկետով,</w:t>
      </w:r>
    </w:p>
    <w:p w14:paraId="69E61F07" w14:textId="77777777" w:rsidR="00ED7A92" w:rsidRPr="005A5425" w:rsidRDefault="00ED7A92" w:rsidP="003F2C26">
      <w:pPr>
        <w:numPr>
          <w:ilvl w:val="0"/>
          <w:numId w:val="9"/>
        </w:numPr>
        <w:tabs>
          <w:tab w:val="clear" w:pos="720"/>
          <w:tab w:val="num" w:pos="567"/>
        </w:tabs>
        <w:spacing w:before="40" w:line="360" w:lineRule="auto"/>
        <w:ind w:left="0" w:firstLine="284"/>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նոր ստեղծված կամ պահպանված ինքնազբաղվածության դեպքերի թիվը,</w:t>
      </w:r>
    </w:p>
    <w:p w14:paraId="3C413286" w14:textId="77777777" w:rsidR="00ED7A92" w:rsidRPr="005A5425" w:rsidRDefault="00ED7A92" w:rsidP="003F2C26">
      <w:pPr>
        <w:numPr>
          <w:ilvl w:val="0"/>
          <w:numId w:val="9"/>
        </w:numPr>
        <w:tabs>
          <w:tab w:val="clear" w:pos="720"/>
          <w:tab w:val="num" w:pos="567"/>
        </w:tabs>
        <w:spacing w:before="40" w:line="360" w:lineRule="auto"/>
        <w:ind w:left="0" w:firstLine="284"/>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տնտեսական (ձեռնարկատիրական) գործունեությունից առաջացող հարկային պարտավորությունների ձևավորումը,</w:t>
      </w:r>
    </w:p>
    <w:p w14:paraId="2C3C167F" w14:textId="77777777" w:rsidR="00ED7A92" w:rsidRPr="005A5425" w:rsidRDefault="00ED7A92" w:rsidP="003F2C26">
      <w:pPr>
        <w:numPr>
          <w:ilvl w:val="0"/>
          <w:numId w:val="9"/>
        </w:numPr>
        <w:tabs>
          <w:tab w:val="clear" w:pos="720"/>
          <w:tab w:val="num" w:pos="567"/>
        </w:tabs>
        <w:spacing w:before="40" w:line="360" w:lineRule="auto"/>
        <w:ind w:left="0" w:firstLine="284"/>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մեկ շահառուի հաշվով աջակցության և արձանագրված արդյունքների հարաբերակցությունը։</w:t>
      </w:r>
    </w:p>
    <w:p w14:paraId="1837DB7C" w14:textId="77777777" w:rsidR="00ED7A92" w:rsidRPr="005A5425" w:rsidRDefault="00ED7A92" w:rsidP="00ED7A92">
      <w:pPr>
        <w:spacing w:before="40" w:line="360" w:lineRule="auto"/>
        <w:ind w:firstLine="567"/>
        <w:jc w:val="both"/>
        <w:rPr>
          <w:rFonts w:ascii="GHEA Grapalat" w:hAnsi="GHEA Grapalat"/>
          <w:color w:val="171717" w:themeColor="background2" w:themeShade="1A"/>
          <w:lang w:val="hy-AM"/>
        </w:rPr>
      </w:pPr>
      <w:r w:rsidRPr="005A5425">
        <w:rPr>
          <w:rFonts w:ascii="GHEA Grapalat" w:hAnsi="GHEA Grapalat"/>
          <w:color w:val="171717" w:themeColor="background2" w:themeShade="1A"/>
          <w:lang w:val="hy-AM"/>
        </w:rPr>
        <w:t>Հաշվի առնելով Ծրագրի պիլոտային բնույթը և թիրախային խմբի համար համադրելի նախորդ ծրագրային տվյալների բացակայությունը՝ տնտեսական ակտիվության, ինքնազբաղվածության, գործունեության շարունակականության և հարկային ազդեցության ցուցանիշները ենթակա են փաստացի մշտադիտարկման։ Հավաքագրված տվյալները հիմք կհանդիսանան Ծրագրի հետագա շարունակության, պայմանների կամ ֆինանսավորման ծավալների վերանայման համար։</w:t>
      </w:r>
    </w:p>
    <w:p w14:paraId="31EBD341" w14:textId="77777777" w:rsidR="003F2C26" w:rsidRPr="005A5425" w:rsidRDefault="003F2C26" w:rsidP="00ED7A92">
      <w:pPr>
        <w:spacing w:before="40" w:line="360" w:lineRule="auto"/>
        <w:ind w:firstLine="567"/>
        <w:jc w:val="both"/>
        <w:rPr>
          <w:rFonts w:ascii="GHEA Grapalat" w:hAnsi="GHEA Grapalat"/>
          <w:color w:val="171717" w:themeColor="background2" w:themeShade="1A"/>
          <w:sz w:val="14"/>
          <w:szCs w:val="14"/>
          <w:lang w:val="hy-AM"/>
        </w:rPr>
      </w:pPr>
    </w:p>
    <w:p w14:paraId="3F1428B9" w14:textId="77777777" w:rsidR="00ED7A92" w:rsidRPr="005A5425" w:rsidRDefault="00ED7A92" w:rsidP="00ED7A92">
      <w:pPr>
        <w:spacing w:before="40" w:line="360" w:lineRule="auto"/>
        <w:ind w:firstLine="567"/>
        <w:jc w:val="both"/>
        <w:rPr>
          <w:rFonts w:ascii="GHEA Grapalat" w:hAnsi="GHEA Grapalat"/>
          <w:b/>
          <w:bCs/>
          <w:color w:val="171717" w:themeColor="background2" w:themeShade="1A"/>
          <w:lang w:val="hy-AM"/>
        </w:rPr>
      </w:pPr>
      <w:r w:rsidRPr="005A5425">
        <w:rPr>
          <w:rFonts w:ascii="GHEA Grapalat" w:hAnsi="GHEA Grapalat"/>
          <w:b/>
          <w:bCs/>
          <w:color w:val="171717" w:themeColor="background2" w:themeShade="1A"/>
          <w:lang w:val="hy-AM"/>
        </w:rPr>
        <w:t>5. ՖԻՆԱՆՍԱԿԱՆ ԳՆԱՀԱՏԱԿԱՆ</w:t>
      </w:r>
    </w:p>
    <w:p w14:paraId="036B1F52" w14:textId="77777777" w:rsidR="00ED7A92" w:rsidRPr="005A5425" w:rsidRDefault="00ED7A92" w:rsidP="00ED7A92">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lang w:val="hy-AM"/>
        </w:rPr>
        <w:t xml:space="preserve">Ֆինանսական գնահատականը ձևավորվել է՝ հաշվի առնելով Ծրագրի պիլոտային բնույթը, մեկ շահառուի համար սահմանված աջակցության առավելագույն չափը և առաջին փուլի համար կառավարելի շահառուական ընդգրկվածություն ապահովելու անհրաժեշտությունը։ </w:t>
      </w:r>
      <w:proofErr w:type="spellStart"/>
      <w:r w:rsidRPr="005A5425">
        <w:rPr>
          <w:rFonts w:ascii="GHEA Grapalat" w:hAnsi="GHEA Grapalat"/>
          <w:color w:val="171717" w:themeColor="background2" w:themeShade="1A"/>
        </w:rPr>
        <w:t>Թիրախային</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խմբի</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սոցիալ-ժողովրդագրական</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տվյալները</w:t>
      </w:r>
      <w:proofErr w:type="spellEnd"/>
      <w:r w:rsidRPr="005A5425">
        <w:rPr>
          <w:rFonts w:ascii="GHEA Grapalat" w:hAnsi="GHEA Grapalat"/>
          <w:color w:val="171717" w:themeColor="background2" w:themeShade="1A"/>
        </w:rPr>
        <w:t xml:space="preserve"> ներկայացված են ստորև։</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6"/>
        <w:gridCol w:w="1491"/>
        <w:gridCol w:w="5070"/>
      </w:tblGrid>
      <w:tr w:rsidR="005A5425" w:rsidRPr="005A5425" w14:paraId="03F72B88" w14:textId="77777777" w:rsidTr="000A477B">
        <w:trPr>
          <w:tblHeader/>
          <w:jc w:val="center"/>
        </w:trPr>
        <w:tc>
          <w:tcPr>
            <w:tcW w:w="4066" w:type="dxa"/>
            <w:shd w:val="clear" w:color="auto" w:fill="2F5597"/>
            <w:tcMar>
              <w:top w:w="100" w:type="dxa"/>
              <w:left w:w="120" w:type="dxa"/>
              <w:bottom w:w="100" w:type="dxa"/>
              <w:right w:w="120" w:type="dxa"/>
            </w:tcMar>
            <w:vAlign w:val="center"/>
          </w:tcPr>
          <w:p w14:paraId="3F9D45A9" w14:textId="77777777" w:rsidR="000131A4" w:rsidRPr="005A5425" w:rsidRDefault="001B4178" w:rsidP="000A477B">
            <w:pPr>
              <w:spacing w:line="276" w:lineRule="auto"/>
              <w:jc w:val="center"/>
              <w:rPr>
                <w:color w:val="171717" w:themeColor="background2" w:themeShade="1A"/>
                <w:sz w:val="22"/>
                <w:szCs w:val="22"/>
              </w:rPr>
            </w:pPr>
            <w:bookmarkStart w:id="0" w:name="_Hlk234292128"/>
            <w:r w:rsidRPr="005A5425">
              <w:rPr>
                <w:rFonts w:ascii="GHEA Grapalat" w:eastAsia="GHEA Grapalat" w:hAnsi="GHEA Grapalat" w:cs="GHEA Grapalat"/>
                <w:color w:val="171717" w:themeColor="background2" w:themeShade="1A"/>
                <w:sz w:val="22"/>
                <w:szCs w:val="22"/>
              </w:rPr>
              <w:t>Տեղեկատվության բնույթ</w:t>
            </w:r>
          </w:p>
        </w:tc>
        <w:tc>
          <w:tcPr>
            <w:tcW w:w="1491" w:type="dxa"/>
            <w:shd w:val="clear" w:color="auto" w:fill="2F5597"/>
            <w:tcMar>
              <w:top w:w="100" w:type="dxa"/>
              <w:left w:w="120" w:type="dxa"/>
              <w:bottom w:w="100" w:type="dxa"/>
              <w:right w:w="120" w:type="dxa"/>
            </w:tcMar>
            <w:vAlign w:val="center"/>
          </w:tcPr>
          <w:p w14:paraId="0F863911" w14:textId="77777777" w:rsidR="000131A4" w:rsidRPr="005A5425" w:rsidRDefault="001B4178" w:rsidP="000A477B">
            <w:pPr>
              <w:spacing w:line="276" w:lineRule="auto"/>
              <w:jc w:val="center"/>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Ցուցանիշ</w:t>
            </w:r>
          </w:p>
        </w:tc>
        <w:tc>
          <w:tcPr>
            <w:tcW w:w="5070" w:type="dxa"/>
            <w:shd w:val="clear" w:color="auto" w:fill="2F5597"/>
            <w:tcMar>
              <w:top w:w="100" w:type="dxa"/>
              <w:left w:w="120" w:type="dxa"/>
              <w:bottom w:w="100" w:type="dxa"/>
              <w:right w:w="120" w:type="dxa"/>
            </w:tcMar>
            <w:vAlign w:val="center"/>
          </w:tcPr>
          <w:p w14:paraId="2B47FE65" w14:textId="77777777" w:rsidR="000131A4" w:rsidRPr="005A5425" w:rsidRDefault="001B4178" w:rsidP="000A477B">
            <w:pPr>
              <w:spacing w:line="276" w:lineRule="auto"/>
              <w:jc w:val="center"/>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Մեկնաբանություն / նշում</w:t>
            </w:r>
          </w:p>
        </w:tc>
      </w:tr>
      <w:tr w:rsidR="005A5425" w:rsidRPr="005A5425" w14:paraId="3B141173" w14:textId="77777777" w:rsidTr="000A477B">
        <w:trPr>
          <w:jc w:val="center"/>
        </w:trPr>
        <w:tc>
          <w:tcPr>
            <w:tcW w:w="4066" w:type="dxa"/>
            <w:tcMar>
              <w:top w:w="90" w:type="dxa"/>
              <w:left w:w="120" w:type="dxa"/>
              <w:bottom w:w="90" w:type="dxa"/>
              <w:right w:w="120" w:type="dxa"/>
            </w:tcMar>
            <w:vAlign w:val="center"/>
          </w:tcPr>
          <w:p w14:paraId="3C4DB4C8" w14:textId="77777777" w:rsidR="000131A4" w:rsidRPr="005A5425" w:rsidRDefault="001B4178" w:rsidP="000A477B">
            <w:pPr>
              <w:spacing w:line="276" w:lineRule="auto"/>
              <w:jc w:val="both"/>
              <w:rPr>
                <w:color w:val="171717" w:themeColor="background2" w:themeShade="1A"/>
                <w:sz w:val="22"/>
                <w:szCs w:val="22"/>
              </w:rPr>
            </w:pPr>
            <w:proofErr w:type="spellStart"/>
            <w:r w:rsidRPr="005A5425">
              <w:rPr>
                <w:rFonts w:ascii="GHEA Grapalat" w:eastAsia="GHEA Grapalat" w:hAnsi="GHEA Grapalat" w:cs="GHEA Grapalat"/>
                <w:color w:val="171717" w:themeColor="background2" w:themeShade="1A"/>
                <w:sz w:val="22"/>
                <w:szCs w:val="22"/>
              </w:rPr>
              <w:t>Կենսաթոշակառուների</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ընդհանուր</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թիվ</w:t>
            </w:r>
            <w:proofErr w:type="spellEnd"/>
            <w:r w:rsidRPr="005A5425">
              <w:rPr>
                <w:rFonts w:ascii="GHEA Grapalat" w:eastAsia="GHEA Grapalat" w:hAnsi="GHEA Grapalat" w:cs="GHEA Grapalat"/>
                <w:color w:val="171717" w:themeColor="background2" w:themeShade="1A"/>
                <w:sz w:val="22"/>
                <w:szCs w:val="22"/>
              </w:rPr>
              <w:t xml:space="preserve"> (63–75 տ.)</w:t>
            </w:r>
          </w:p>
        </w:tc>
        <w:tc>
          <w:tcPr>
            <w:tcW w:w="1491" w:type="dxa"/>
            <w:tcMar>
              <w:top w:w="90" w:type="dxa"/>
              <w:left w:w="120" w:type="dxa"/>
              <w:bottom w:w="90" w:type="dxa"/>
              <w:right w:w="120" w:type="dxa"/>
            </w:tcMar>
            <w:vAlign w:val="center"/>
          </w:tcPr>
          <w:p w14:paraId="0C1D353A" w14:textId="77777777" w:rsidR="000131A4" w:rsidRPr="005A5425" w:rsidRDefault="001B4178" w:rsidP="000A477B">
            <w:pPr>
              <w:spacing w:line="276" w:lineRule="auto"/>
              <w:jc w:val="center"/>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343,702</w:t>
            </w:r>
          </w:p>
        </w:tc>
        <w:tc>
          <w:tcPr>
            <w:tcW w:w="5070" w:type="dxa"/>
            <w:tcMar>
              <w:top w:w="90" w:type="dxa"/>
              <w:left w:w="120" w:type="dxa"/>
              <w:bottom w:w="90" w:type="dxa"/>
              <w:right w:w="120" w:type="dxa"/>
            </w:tcMar>
            <w:vAlign w:val="center"/>
          </w:tcPr>
          <w:p w14:paraId="578F9A02" w14:textId="77777777" w:rsidR="000131A4" w:rsidRPr="005A5425" w:rsidRDefault="001B4178" w:rsidP="003F2C26">
            <w:pPr>
              <w:spacing w:line="276" w:lineRule="auto"/>
              <w:jc w:val="both"/>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ԱՍՀՆ տվյալների համաձայն՝ 63–75 տարեկան կենսաթոշակառուների ընդհանուր թվից 199,013-ը կանայք են, իսկ 144,689-ը՝ տղամարդիկ</w:t>
            </w:r>
          </w:p>
        </w:tc>
      </w:tr>
      <w:tr w:rsidR="005A5425" w:rsidRPr="005A5425" w14:paraId="6E8EC805" w14:textId="77777777" w:rsidTr="000A477B">
        <w:trPr>
          <w:jc w:val="center"/>
        </w:trPr>
        <w:tc>
          <w:tcPr>
            <w:tcW w:w="4066" w:type="dxa"/>
            <w:shd w:val="clear" w:color="auto" w:fill="F2F2F2"/>
            <w:tcMar>
              <w:top w:w="90" w:type="dxa"/>
              <w:left w:w="120" w:type="dxa"/>
              <w:bottom w:w="90" w:type="dxa"/>
              <w:right w:w="120" w:type="dxa"/>
            </w:tcMar>
            <w:vAlign w:val="center"/>
          </w:tcPr>
          <w:p w14:paraId="0BEE30A3" w14:textId="77777777" w:rsidR="000131A4" w:rsidRPr="005A5425" w:rsidRDefault="001B4178" w:rsidP="000A477B">
            <w:pPr>
              <w:spacing w:line="276" w:lineRule="auto"/>
              <w:jc w:val="both"/>
              <w:rPr>
                <w:color w:val="171717" w:themeColor="background2" w:themeShade="1A"/>
                <w:sz w:val="22"/>
                <w:szCs w:val="22"/>
              </w:rPr>
            </w:pPr>
            <w:proofErr w:type="spellStart"/>
            <w:r w:rsidRPr="005A5425">
              <w:rPr>
                <w:rFonts w:ascii="GHEA Grapalat" w:eastAsia="GHEA Grapalat" w:hAnsi="GHEA Grapalat" w:cs="GHEA Grapalat"/>
                <w:color w:val="171717" w:themeColor="background2" w:themeShade="1A"/>
                <w:sz w:val="22"/>
                <w:szCs w:val="22"/>
              </w:rPr>
              <w:t>Սոցիալապես</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անապահով</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անձինք</w:t>
            </w:r>
            <w:proofErr w:type="spellEnd"/>
          </w:p>
        </w:tc>
        <w:tc>
          <w:tcPr>
            <w:tcW w:w="1491" w:type="dxa"/>
            <w:shd w:val="clear" w:color="auto" w:fill="F2F2F2"/>
            <w:tcMar>
              <w:top w:w="90" w:type="dxa"/>
              <w:left w:w="120" w:type="dxa"/>
              <w:bottom w:w="90" w:type="dxa"/>
              <w:right w:w="120" w:type="dxa"/>
            </w:tcMar>
            <w:vAlign w:val="center"/>
          </w:tcPr>
          <w:p w14:paraId="4BCC981C" w14:textId="77777777" w:rsidR="000131A4" w:rsidRPr="005A5425" w:rsidRDefault="001B4178" w:rsidP="000A477B">
            <w:pPr>
              <w:spacing w:line="276" w:lineRule="auto"/>
              <w:jc w:val="center"/>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17,925</w:t>
            </w:r>
          </w:p>
        </w:tc>
        <w:tc>
          <w:tcPr>
            <w:tcW w:w="5070" w:type="dxa"/>
            <w:shd w:val="clear" w:color="auto" w:fill="F2F2F2"/>
            <w:tcMar>
              <w:top w:w="90" w:type="dxa"/>
              <w:left w:w="120" w:type="dxa"/>
              <w:bottom w:w="90" w:type="dxa"/>
              <w:right w:w="120" w:type="dxa"/>
            </w:tcMar>
            <w:vAlign w:val="center"/>
          </w:tcPr>
          <w:p w14:paraId="02F43B2C" w14:textId="77777777" w:rsidR="000131A4" w:rsidRPr="005A5425" w:rsidRDefault="001B4178" w:rsidP="003F2C26">
            <w:pPr>
              <w:spacing w:line="276" w:lineRule="auto"/>
              <w:jc w:val="both"/>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Վերջին հասանելի գնահատման հիման վրա</w:t>
            </w:r>
          </w:p>
        </w:tc>
      </w:tr>
      <w:bookmarkEnd w:id="0"/>
      <w:tr w:rsidR="005A5425" w:rsidRPr="005A5425" w14:paraId="57CC2520" w14:textId="77777777" w:rsidTr="000A477B">
        <w:trPr>
          <w:jc w:val="center"/>
        </w:trPr>
        <w:tc>
          <w:tcPr>
            <w:tcW w:w="4066" w:type="dxa"/>
            <w:tcMar>
              <w:top w:w="90" w:type="dxa"/>
              <w:left w:w="120" w:type="dxa"/>
              <w:bottom w:w="90" w:type="dxa"/>
              <w:right w:w="120" w:type="dxa"/>
            </w:tcMar>
            <w:vAlign w:val="center"/>
          </w:tcPr>
          <w:p w14:paraId="769C5B21" w14:textId="77777777" w:rsidR="000131A4" w:rsidRPr="005A5425" w:rsidRDefault="001B4178" w:rsidP="000A477B">
            <w:pPr>
              <w:spacing w:line="276" w:lineRule="auto"/>
              <w:jc w:val="both"/>
              <w:rPr>
                <w:color w:val="171717" w:themeColor="background2" w:themeShade="1A"/>
                <w:sz w:val="22"/>
                <w:szCs w:val="22"/>
              </w:rPr>
            </w:pPr>
            <w:proofErr w:type="spellStart"/>
            <w:r w:rsidRPr="005A5425">
              <w:rPr>
                <w:rFonts w:ascii="GHEA Grapalat" w:eastAsia="GHEA Grapalat" w:hAnsi="GHEA Grapalat" w:cs="GHEA Grapalat"/>
                <w:color w:val="171717" w:themeColor="background2" w:themeShade="1A"/>
                <w:sz w:val="22"/>
                <w:szCs w:val="22"/>
              </w:rPr>
              <w:t>Միայնակ</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բնակվող</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անձինք</w:t>
            </w:r>
            <w:proofErr w:type="spellEnd"/>
          </w:p>
        </w:tc>
        <w:tc>
          <w:tcPr>
            <w:tcW w:w="1491" w:type="dxa"/>
            <w:tcMar>
              <w:top w:w="90" w:type="dxa"/>
              <w:left w:w="120" w:type="dxa"/>
              <w:bottom w:w="90" w:type="dxa"/>
              <w:right w:w="120" w:type="dxa"/>
            </w:tcMar>
            <w:vAlign w:val="center"/>
          </w:tcPr>
          <w:p w14:paraId="676106BC" w14:textId="77777777" w:rsidR="000131A4" w:rsidRPr="005A5425" w:rsidRDefault="001B4178" w:rsidP="000A477B">
            <w:pPr>
              <w:spacing w:line="276" w:lineRule="auto"/>
              <w:jc w:val="center"/>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13,243</w:t>
            </w:r>
          </w:p>
        </w:tc>
        <w:tc>
          <w:tcPr>
            <w:tcW w:w="5070" w:type="dxa"/>
            <w:tcMar>
              <w:top w:w="90" w:type="dxa"/>
              <w:left w:w="120" w:type="dxa"/>
              <w:bottom w:w="90" w:type="dxa"/>
              <w:right w:w="120" w:type="dxa"/>
            </w:tcMar>
            <w:vAlign w:val="center"/>
          </w:tcPr>
          <w:p w14:paraId="104C3CFB" w14:textId="77777777" w:rsidR="000131A4" w:rsidRPr="005A5425" w:rsidRDefault="001B4178" w:rsidP="003F2C26">
            <w:pPr>
              <w:spacing w:line="276" w:lineRule="auto"/>
              <w:jc w:val="both"/>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ԱՍՀՆ գնահատման համաձայն</w:t>
            </w:r>
          </w:p>
        </w:tc>
      </w:tr>
      <w:tr w:rsidR="005A5425" w:rsidRPr="005A5425" w14:paraId="1C1EC45F" w14:textId="77777777" w:rsidTr="000A477B">
        <w:trPr>
          <w:jc w:val="center"/>
        </w:trPr>
        <w:tc>
          <w:tcPr>
            <w:tcW w:w="4066" w:type="dxa"/>
            <w:shd w:val="clear" w:color="auto" w:fill="F2F2F2"/>
            <w:tcMar>
              <w:top w:w="90" w:type="dxa"/>
              <w:left w:w="120" w:type="dxa"/>
              <w:bottom w:w="90" w:type="dxa"/>
              <w:right w:w="120" w:type="dxa"/>
            </w:tcMar>
            <w:vAlign w:val="center"/>
          </w:tcPr>
          <w:p w14:paraId="4DB92274" w14:textId="77777777" w:rsidR="000131A4" w:rsidRPr="005A5425" w:rsidRDefault="001B4178" w:rsidP="000A477B">
            <w:pPr>
              <w:spacing w:line="276" w:lineRule="auto"/>
              <w:jc w:val="both"/>
              <w:rPr>
                <w:color w:val="171717" w:themeColor="background2" w:themeShade="1A"/>
                <w:sz w:val="22"/>
                <w:szCs w:val="22"/>
              </w:rPr>
            </w:pPr>
            <w:proofErr w:type="spellStart"/>
            <w:r w:rsidRPr="005A5425">
              <w:rPr>
                <w:rFonts w:ascii="GHEA Grapalat" w:eastAsia="GHEA Grapalat" w:hAnsi="GHEA Grapalat" w:cs="GHEA Grapalat"/>
                <w:color w:val="171717" w:themeColor="background2" w:themeShade="1A"/>
                <w:sz w:val="22"/>
                <w:szCs w:val="22"/>
              </w:rPr>
              <w:t>Հաշմանդամություն</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ունեցող</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անձինք</w:t>
            </w:r>
            <w:proofErr w:type="spellEnd"/>
          </w:p>
        </w:tc>
        <w:tc>
          <w:tcPr>
            <w:tcW w:w="1491" w:type="dxa"/>
            <w:shd w:val="clear" w:color="auto" w:fill="F2F2F2"/>
            <w:tcMar>
              <w:top w:w="90" w:type="dxa"/>
              <w:left w:w="120" w:type="dxa"/>
              <w:bottom w:w="90" w:type="dxa"/>
              <w:right w:w="120" w:type="dxa"/>
            </w:tcMar>
            <w:vAlign w:val="center"/>
          </w:tcPr>
          <w:p w14:paraId="526B9036" w14:textId="77777777" w:rsidR="000131A4" w:rsidRPr="005A5425" w:rsidRDefault="001B4178" w:rsidP="000A477B">
            <w:pPr>
              <w:spacing w:line="276" w:lineRule="auto"/>
              <w:jc w:val="center"/>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79,625</w:t>
            </w:r>
          </w:p>
        </w:tc>
        <w:tc>
          <w:tcPr>
            <w:tcW w:w="5070" w:type="dxa"/>
            <w:shd w:val="clear" w:color="auto" w:fill="F2F2F2"/>
            <w:tcMar>
              <w:top w:w="90" w:type="dxa"/>
              <w:left w:w="120" w:type="dxa"/>
              <w:bottom w:w="90" w:type="dxa"/>
              <w:right w:w="120" w:type="dxa"/>
            </w:tcMar>
            <w:vAlign w:val="center"/>
          </w:tcPr>
          <w:p w14:paraId="038839D1" w14:textId="77777777" w:rsidR="000131A4" w:rsidRPr="005A5425" w:rsidRDefault="001B4178" w:rsidP="003F2C26">
            <w:pPr>
              <w:spacing w:line="276" w:lineRule="auto"/>
              <w:jc w:val="both"/>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63–75 տարիքային խմբի ընդհանուր թիվ</w:t>
            </w:r>
          </w:p>
        </w:tc>
      </w:tr>
      <w:tr w:rsidR="005A5425" w:rsidRPr="005A5425" w14:paraId="0C59D1F1" w14:textId="77777777" w:rsidTr="000A477B">
        <w:trPr>
          <w:jc w:val="center"/>
        </w:trPr>
        <w:tc>
          <w:tcPr>
            <w:tcW w:w="4066" w:type="dxa"/>
            <w:tcMar>
              <w:top w:w="90" w:type="dxa"/>
              <w:left w:w="120" w:type="dxa"/>
              <w:bottom w:w="90" w:type="dxa"/>
              <w:right w:w="120" w:type="dxa"/>
            </w:tcMar>
            <w:vAlign w:val="center"/>
          </w:tcPr>
          <w:p w14:paraId="636021E3" w14:textId="77777777" w:rsidR="000131A4" w:rsidRPr="005A5425" w:rsidRDefault="001B4178" w:rsidP="000A477B">
            <w:pPr>
              <w:spacing w:line="276" w:lineRule="auto"/>
              <w:jc w:val="both"/>
              <w:rPr>
                <w:color w:val="171717" w:themeColor="background2" w:themeShade="1A"/>
                <w:sz w:val="22"/>
                <w:szCs w:val="22"/>
              </w:rPr>
            </w:pPr>
            <w:proofErr w:type="spellStart"/>
            <w:r w:rsidRPr="005A5425">
              <w:rPr>
                <w:rFonts w:ascii="GHEA Grapalat" w:eastAsia="GHEA Grapalat" w:hAnsi="GHEA Grapalat" w:cs="GHEA Grapalat"/>
                <w:color w:val="171717" w:themeColor="background2" w:themeShade="1A"/>
                <w:sz w:val="22"/>
                <w:szCs w:val="22"/>
              </w:rPr>
              <w:t>Տեղահանված</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անձինք</w:t>
            </w:r>
            <w:proofErr w:type="spellEnd"/>
          </w:p>
        </w:tc>
        <w:tc>
          <w:tcPr>
            <w:tcW w:w="1491" w:type="dxa"/>
            <w:tcMar>
              <w:top w:w="90" w:type="dxa"/>
              <w:left w:w="120" w:type="dxa"/>
              <w:bottom w:w="90" w:type="dxa"/>
              <w:right w:w="120" w:type="dxa"/>
            </w:tcMar>
            <w:vAlign w:val="center"/>
          </w:tcPr>
          <w:p w14:paraId="7A00F633" w14:textId="77777777" w:rsidR="000131A4" w:rsidRPr="005A5425" w:rsidRDefault="001B4178" w:rsidP="000A477B">
            <w:pPr>
              <w:spacing w:line="276" w:lineRule="auto"/>
              <w:jc w:val="center"/>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21,266</w:t>
            </w:r>
          </w:p>
        </w:tc>
        <w:tc>
          <w:tcPr>
            <w:tcW w:w="5070" w:type="dxa"/>
            <w:tcMar>
              <w:top w:w="90" w:type="dxa"/>
              <w:left w:w="120" w:type="dxa"/>
              <w:bottom w:w="90" w:type="dxa"/>
              <w:right w:w="120" w:type="dxa"/>
            </w:tcMar>
            <w:vAlign w:val="center"/>
          </w:tcPr>
          <w:p w14:paraId="11F20295" w14:textId="77777777" w:rsidR="000131A4" w:rsidRPr="005A5425" w:rsidRDefault="001B4178" w:rsidP="003F2C26">
            <w:pPr>
              <w:spacing w:line="276" w:lineRule="auto"/>
              <w:jc w:val="both"/>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63–75 տարիքային խմբում</w:t>
            </w:r>
          </w:p>
        </w:tc>
      </w:tr>
      <w:tr w:rsidR="005A5425" w:rsidRPr="005A5425" w14:paraId="005B018F" w14:textId="77777777" w:rsidTr="000A477B">
        <w:trPr>
          <w:jc w:val="center"/>
        </w:trPr>
        <w:tc>
          <w:tcPr>
            <w:tcW w:w="4066" w:type="dxa"/>
            <w:shd w:val="clear" w:color="auto" w:fill="F2F2F2"/>
            <w:tcMar>
              <w:top w:w="90" w:type="dxa"/>
              <w:left w:w="120" w:type="dxa"/>
              <w:bottom w:w="90" w:type="dxa"/>
              <w:right w:w="120" w:type="dxa"/>
            </w:tcMar>
            <w:vAlign w:val="center"/>
          </w:tcPr>
          <w:p w14:paraId="6CD7CCC9" w14:textId="77777777" w:rsidR="000131A4" w:rsidRPr="005A5425" w:rsidRDefault="001B4178" w:rsidP="000A477B">
            <w:pPr>
              <w:spacing w:line="276" w:lineRule="auto"/>
              <w:jc w:val="both"/>
              <w:rPr>
                <w:color w:val="171717" w:themeColor="background2" w:themeShade="1A"/>
                <w:sz w:val="22"/>
                <w:szCs w:val="22"/>
              </w:rPr>
            </w:pPr>
            <w:proofErr w:type="spellStart"/>
            <w:r w:rsidRPr="005A5425">
              <w:rPr>
                <w:rFonts w:ascii="GHEA Grapalat" w:eastAsia="GHEA Grapalat" w:hAnsi="GHEA Grapalat" w:cs="GHEA Grapalat"/>
                <w:color w:val="171717" w:themeColor="background2" w:themeShade="1A"/>
                <w:sz w:val="22"/>
                <w:szCs w:val="22"/>
              </w:rPr>
              <w:t>Ծերության</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հաշմանդամության</w:t>
            </w:r>
            <w:proofErr w:type="spellEnd"/>
            <w:r w:rsidRPr="005A5425">
              <w:rPr>
                <w:rFonts w:ascii="GHEA Grapalat" w:eastAsia="GHEA Grapalat" w:hAnsi="GHEA Grapalat" w:cs="GHEA Grapalat"/>
                <w:color w:val="171717" w:themeColor="background2" w:themeShade="1A"/>
                <w:sz w:val="22"/>
                <w:szCs w:val="22"/>
              </w:rPr>
              <w:t xml:space="preserve"> և </w:t>
            </w:r>
            <w:proofErr w:type="spellStart"/>
            <w:r w:rsidRPr="005A5425">
              <w:rPr>
                <w:rFonts w:ascii="GHEA Grapalat" w:eastAsia="GHEA Grapalat" w:hAnsi="GHEA Grapalat" w:cs="GHEA Grapalat"/>
                <w:color w:val="171717" w:themeColor="background2" w:themeShade="1A"/>
                <w:sz w:val="22"/>
                <w:szCs w:val="22"/>
              </w:rPr>
              <w:t>կերակրողին</w:t>
            </w:r>
            <w:proofErr w:type="spellEnd"/>
            <w:r w:rsidRPr="005A5425">
              <w:rPr>
                <w:rFonts w:ascii="GHEA Grapalat" w:eastAsia="GHEA Grapalat" w:hAnsi="GHEA Grapalat" w:cs="GHEA Grapalat"/>
                <w:color w:val="171717" w:themeColor="background2" w:themeShade="1A"/>
                <w:sz w:val="22"/>
                <w:szCs w:val="22"/>
              </w:rPr>
              <w:t xml:space="preserve"> կորցնելու դեպքում նպաստ ստացող անձինք</w:t>
            </w:r>
          </w:p>
        </w:tc>
        <w:tc>
          <w:tcPr>
            <w:tcW w:w="1491" w:type="dxa"/>
            <w:shd w:val="clear" w:color="auto" w:fill="F2F2F2"/>
            <w:tcMar>
              <w:top w:w="90" w:type="dxa"/>
              <w:left w:w="120" w:type="dxa"/>
              <w:bottom w:w="90" w:type="dxa"/>
              <w:right w:w="120" w:type="dxa"/>
            </w:tcMar>
            <w:vAlign w:val="center"/>
          </w:tcPr>
          <w:p w14:paraId="2DD82ABD" w14:textId="77777777" w:rsidR="000131A4" w:rsidRPr="005A5425" w:rsidRDefault="001B4178" w:rsidP="000A477B">
            <w:pPr>
              <w:spacing w:line="276" w:lineRule="auto"/>
              <w:jc w:val="center"/>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47,865</w:t>
            </w:r>
          </w:p>
        </w:tc>
        <w:tc>
          <w:tcPr>
            <w:tcW w:w="5070" w:type="dxa"/>
            <w:shd w:val="clear" w:color="auto" w:fill="F2F2F2"/>
            <w:tcMar>
              <w:top w:w="90" w:type="dxa"/>
              <w:left w:w="120" w:type="dxa"/>
              <w:bottom w:w="90" w:type="dxa"/>
              <w:right w:w="120" w:type="dxa"/>
            </w:tcMar>
            <w:vAlign w:val="center"/>
          </w:tcPr>
          <w:p w14:paraId="58EC67E7" w14:textId="77777777" w:rsidR="000131A4" w:rsidRPr="005A5425" w:rsidRDefault="001B4178" w:rsidP="003F2C26">
            <w:pPr>
              <w:spacing w:line="276" w:lineRule="auto"/>
              <w:jc w:val="both"/>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33,651 կին, 14,214 տղամարդ</w:t>
            </w:r>
          </w:p>
        </w:tc>
      </w:tr>
      <w:tr w:rsidR="005A5425" w:rsidRPr="005A5425" w14:paraId="0B6528E9" w14:textId="77777777" w:rsidTr="000A477B">
        <w:trPr>
          <w:jc w:val="center"/>
        </w:trPr>
        <w:tc>
          <w:tcPr>
            <w:tcW w:w="4066" w:type="dxa"/>
            <w:tcMar>
              <w:top w:w="90" w:type="dxa"/>
              <w:left w:w="120" w:type="dxa"/>
              <w:bottom w:w="90" w:type="dxa"/>
              <w:right w:w="120" w:type="dxa"/>
            </w:tcMar>
            <w:vAlign w:val="center"/>
          </w:tcPr>
          <w:p w14:paraId="3E5768FF" w14:textId="77777777" w:rsidR="000131A4" w:rsidRPr="005A5425" w:rsidRDefault="001B4178" w:rsidP="003F2C26">
            <w:pPr>
              <w:spacing w:line="276" w:lineRule="auto"/>
              <w:jc w:val="both"/>
              <w:rPr>
                <w:color w:val="171717" w:themeColor="background2" w:themeShade="1A"/>
                <w:sz w:val="22"/>
                <w:szCs w:val="22"/>
              </w:rPr>
            </w:pPr>
            <w:proofErr w:type="spellStart"/>
            <w:r w:rsidRPr="005A5425">
              <w:rPr>
                <w:rFonts w:ascii="GHEA Grapalat" w:eastAsia="GHEA Grapalat" w:hAnsi="GHEA Grapalat" w:cs="GHEA Grapalat"/>
                <w:color w:val="171717" w:themeColor="background2" w:themeShade="1A"/>
                <w:sz w:val="22"/>
                <w:szCs w:val="22"/>
              </w:rPr>
              <w:t>Ծրագրի</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թիրախային</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խմբի</w:t>
            </w:r>
            <w:proofErr w:type="spellEnd"/>
            <w:r w:rsidRPr="005A5425">
              <w:rPr>
                <w:rFonts w:ascii="GHEA Grapalat" w:eastAsia="GHEA Grapalat" w:hAnsi="GHEA Grapalat" w:cs="GHEA Grapalat"/>
                <w:color w:val="171717" w:themeColor="background2" w:themeShade="1A"/>
                <w:sz w:val="22"/>
                <w:szCs w:val="22"/>
              </w:rPr>
              <w:t xml:space="preserve"> </w:t>
            </w:r>
            <w:proofErr w:type="spellStart"/>
            <w:r w:rsidRPr="005A5425">
              <w:rPr>
                <w:rFonts w:ascii="GHEA Grapalat" w:eastAsia="GHEA Grapalat" w:hAnsi="GHEA Grapalat" w:cs="GHEA Grapalat"/>
                <w:color w:val="171717" w:themeColor="background2" w:themeShade="1A"/>
                <w:sz w:val="22"/>
                <w:szCs w:val="22"/>
              </w:rPr>
              <w:t>վիճակագրական</w:t>
            </w:r>
            <w:proofErr w:type="spellEnd"/>
            <w:r w:rsidRPr="005A5425">
              <w:rPr>
                <w:rFonts w:ascii="GHEA Grapalat" w:eastAsia="GHEA Grapalat" w:hAnsi="GHEA Grapalat" w:cs="GHEA Grapalat"/>
                <w:color w:val="171717" w:themeColor="background2" w:themeShade="1A"/>
                <w:sz w:val="22"/>
                <w:szCs w:val="22"/>
              </w:rPr>
              <w:t xml:space="preserve"> կանխատեսվող կազմ (63–72 տարեկան)</w:t>
            </w:r>
          </w:p>
        </w:tc>
        <w:tc>
          <w:tcPr>
            <w:tcW w:w="1491" w:type="dxa"/>
            <w:tcMar>
              <w:top w:w="90" w:type="dxa"/>
              <w:left w:w="120" w:type="dxa"/>
              <w:bottom w:w="90" w:type="dxa"/>
              <w:right w:w="120" w:type="dxa"/>
            </w:tcMar>
            <w:vAlign w:val="center"/>
          </w:tcPr>
          <w:p w14:paraId="3A63D242" w14:textId="77777777" w:rsidR="000131A4" w:rsidRPr="005A5425" w:rsidRDefault="001B4178" w:rsidP="003F2C26">
            <w:pPr>
              <w:spacing w:line="276" w:lineRule="auto"/>
              <w:jc w:val="both"/>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~264,000</w:t>
            </w:r>
          </w:p>
        </w:tc>
        <w:tc>
          <w:tcPr>
            <w:tcW w:w="5070" w:type="dxa"/>
            <w:tcMar>
              <w:top w:w="90" w:type="dxa"/>
              <w:left w:w="120" w:type="dxa"/>
              <w:bottom w:w="90" w:type="dxa"/>
              <w:right w:w="120" w:type="dxa"/>
            </w:tcMar>
            <w:vAlign w:val="center"/>
          </w:tcPr>
          <w:p w14:paraId="22860B1D" w14:textId="77777777" w:rsidR="000131A4" w:rsidRPr="005A5425" w:rsidRDefault="00DC38A7" w:rsidP="003F2C26">
            <w:pPr>
              <w:spacing w:line="276" w:lineRule="auto"/>
              <w:jc w:val="both"/>
              <w:rPr>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 xml:space="preserve">ԱՍՀՆ-ի ամփոփ վիճակագրական տվյալներում 63–72 տարեկան տարիքային խմբի վերաբերյալ առանձնացված տվյալներ առկա չեն։ Հետևաբար, ծրագրի ֆինանսական գնահատման նպատակով 63–72 տարեկան քաղաքացիների գնահատվող թվաքանակը հաշվարկվել է՝ հիմք ընդունելով 63–75 տարեկան կենսաթոշակառուների ընդհանուր թվաքանակը և կիրառելով տարիքային խմբերի հարաբերակցությունը (10/13) (343,702 × 10/13 ≈ 264,000 </w:t>
            </w:r>
            <w:proofErr w:type="gramStart"/>
            <w:r w:rsidRPr="005A5425">
              <w:rPr>
                <w:rFonts w:ascii="GHEA Grapalat" w:eastAsia="GHEA Grapalat" w:hAnsi="GHEA Grapalat" w:cs="GHEA Grapalat"/>
                <w:color w:val="171717" w:themeColor="background2" w:themeShade="1A"/>
                <w:sz w:val="22"/>
                <w:szCs w:val="22"/>
              </w:rPr>
              <w:t>անձ)։</w:t>
            </w:r>
            <w:proofErr w:type="gramEnd"/>
          </w:p>
        </w:tc>
      </w:tr>
    </w:tbl>
    <w:p w14:paraId="42DF3029" w14:textId="77777777" w:rsidR="00D43B16" w:rsidRPr="005A5425" w:rsidRDefault="00553C55" w:rsidP="007B7E27">
      <w:pPr>
        <w:spacing w:before="240" w:line="360" w:lineRule="auto"/>
        <w:ind w:firstLine="567"/>
        <w:jc w:val="both"/>
        <w:rPr>
          <w:rFonts w:ascii="GHEA Grapalat" w:hAnsi="GHEA Grapalat"/>
          <w:color w:val="171717" w:themeColor="background2" w:themeShade="1A"/>
        </w:rPr>
      </w:pPr>
      <w:proofErr w:type="spellStart"/>
      <w:r w:rsidRPr="005A5425">
        <w:rPr>
          <w:rFonts w:ascii="GHEA Grapalat" w:hAnsi="GHEA Grapalat"/>
          <w:color w:val="171717" w:themeColor="background2" w:themeShade="1A"/>
        </w:rPr>
        <w:t>Կրթական</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ծրագրերին</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նախատեսվում</w:t>
      </w:r>
      <w:proofErr w:type="spellEnd"/>
      <w:r w:rsidRPr="005A5425">
        <w:rPr>
          <w:rFonts w:ascii="GHEA Grapalat" w:hAnsi="GHEA Grapalat"/>
          <w:color w:val="171717" w:themeColor="background2" w:themeShade="1A"/>
        </w:rPr>
        <w:t xml:space="preserve"> է ներգրավել առնվազն 400 քաղաքացու, իսկ աջակցության առավելագույն ընդգրկվածությունը սահմանվում է մինչև 200 շահառու։ Կրթական և ֆինանսավորման թիրախների այս հարաբերակցությունը հնարավորություն է տալիս ձևավորել նախապատրաստված դիմողների բավարար շրջանակ և ֆինանսավորման փուլում ընտրել Ծրագրի պահանջներին համապատասխանող ու ֆինանսատնտեսական </w:t>
      </w:r>
      <w:r w:rsidRPr="005A5425">
        <w:rPr>
          <w:rFonts w:ascii="GHEA Grapalat" w:hAnsi="GHEA Grapalat"/>
          <w:color w:val="171717" w:themeColor="background2" w:themeShade="1A"/>
        </w:rPr>
        <w:lastRenderedPageBreak/>
        <w:t>առումով դրական գնահատված գործարար ծրագրերը։ Միաժամանակ, կրթական ծրագրի մասնակցությունն ինքնուրույն արդյունք է, քանի որ գործարար գիտելիքներն ու հմտությունները կարող են կիրառվել նաև սեփական միջոցներով տնտեսական գործունեություն սկսելու կամ գործող գործունեությունը բարելավելու համար։</w:t>
      </w:r>
    </w:p>
    <w:p w14:paraId="0747739C" w14:textId="77777777" w:rsidR="00D43B16" w:rsidRPr="005A5425" w:rsidRDefault="00D43B16" w:rsidP="00D43B16">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Մինչև 200 շահառուի սահմանաչափը հաշվի է առնում Ծրագրի նոր ներդրվող բնույթը, թիրախային խմբի հնարավոր դիմելիությունը, կրթական ծրագիրն ավարտելու և վավեր հավաստագիր ստանալու պահանջը, գործարար ծրագրերի ֆինանսատնտեսական գնահատումը, տարածքային առաջնահերթությունները և առկա բյուջետային հնարավորությունները։ Սահմանաչափը չի ենթադրում բոլոր դիմողների ֆինանսավորում․ աջակցություն կտրամադրվի միայն Ծրագրի պահանջներին համապատասխանող և դրական գնահատված դիմումների շրջանակում՝ մինչև նախատեսված միջոցների սպառումը։</w:t>
      </w:r>
    </w:p>
    <w:p w14:paraId="5B2ACB90" w14:textId="77777777" w:rsidR="00D43B16" w:rsidRPr="005A5425" w:rsidRDefault="00D43B16" w:rsidP="00D43B16">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Մեկ շահառուի համար մինչև 2,000,000 դրամ աջակցության և առավելագույնը 200 շահառուի հաշվարկով Ծրագրի շրջանակում տրամադրվող աջակցության առավելագույն ընդհանուր չափը կազմում է 400,000,000 (չորս հարյուր միլիոն) դրամ։ Ծրագրի ֆինանսավորումն իրականացվելու է Հայաստանի Հանրապետության 2027 թվականի պետական բյուջեով այդ նպատակով նախատեսված հատկացումների սահմաններում՝ 2026 թվականին ներկայացված դիմումների հիման վրա ընտրված շահառուներին աջակցության տրամադրման համար։ 2027 թվականին նոր դիմումների ընդունում և նոր շահառուների ընտրություն չի իրականացվելու։</w:t>
      </w:r>
    </w:p>
    <w:p w14:paraId="13D02D61" w14:textId="77777777" w:rsidR="00ED7A92" w:rsidRPr="005A5425" w:rsidRDefault="00ED7A92" w:rsidP="00521E36">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Մեկ շահառուի համար 2,000,000 դրամ առավելագույն աջակցության չափը սահմանվել է փոքրածավալ տնտեսական գործունեության մեկնարկի, վերականգնման, շարունակման կամ ընդլայնման համար անհրաժեշտ հիմնական ծախսային ուղղությունների համախառն գնահատման հիման վրա։ Գործարար ծրագրի ընդհանուր արժեքը կարող է գերազանցել աջակցության չափը՝ շահառուի սեփական միջոցների և (կամ) ֆինանսական կազմակերպության կողմից կամավոր տրամադրվող լրացուցիչ վարկի կամ լիզինգի հաշվին։ Ստորև ներկայացված է հնարավոր ծախսային ուղղությունների ցուցիչ կառուցվածքը։</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1963"/>
        <w:gridCol w:w="4558"/>
      </w:tblGrid>
      <w:tr w:rsidR="005A5425" w:rsidRPr="005A5425" w14:paraId="03B662A6" w14:textId="77777777" w:rsidTr="000A477B">
        <w:trPr>
          <w:tblHeader/>
          <w:jc w:val="center"/>
        </w:trPr>
        <w:tc>
          <w:tcPr>
            <w:tcW w:w="4106" w:type="dxa"/>
            <w:shd w:val="clear" w:color="auto" w:fill="2F5597"/>
            <w:tcMar>
              <w:top w:w="100" w:type="dxa"/>
              <w:left w:w="120" w:type="dxa"/>
              <w:bottom w:w="100" w:type="dxa"/>
              <w:right w:w="120" w:type="dxa"/>
            </w:tcMar>
            <w:vAlign w:val="center"/>
          </w:tcPr>
          <w:p w14:paraId="3469A274" w14:textId="77777777" w:rsidR="003F2C26" w:rsidRPr="005A5425" w:rsidRDefault="003F2C26" w:rsidP="00AC155D">
            <w:pPr>
              <w:spacing w:line="276" w:lineRule="auto"/>
              <w:jc w:val="center"/>
              <w:rPr>
                <w:rFonts w:ascii="GHEA Grapalat" w:hAnsi="GHEA Grapalat"/>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Ծախսի ուղղություն</w:t>
            </w:r>
          </w:p>
        </w:tc>
        <w:tc>
          <w:tcPr>
            <w:tcW w:w="1963" w:type="dxa"/>
            <w:shd w:val="clear" w:color="auto" w:fill="2F5597"/>
            <w:tcMar>
              <w:top w:w="100" w:type="dxa"/>
              <w:left w:w="120" w:type="dxa"/>
              <w:bottom w:w="100" w:type="dxa"/>
              <w:right w:w="120" w:type="dxa"/>
            </w:tcMar>
            <w:vAlign w:val="center"/>
          </w:tcPr>
          <w:p w14:paraId="538A092B" w14:textId="77777777" w:rsidR="00DC3666" w:rsidRPr="005A5425" w:rsidRDefault="00000000">
            <w:pPr>
              <w:rPr>
                <w:color w:val="171717" w:themeColor="background2" w:themeShade="1A"/>
              </w:rPr>
            </w:pPr>
            <w:r w:rsidRPr="005A5425">
              <w:rPr>
                <w:color w:val="171717" w:themeColor="background2" w:themeShade="1A"/>
              </w:rPr>
              <w:t>Առավելագույն</w:t>
            </w:r>
            <w:r w:rsidRPr="005A5425">
              <w:rPr>
                <w:color w:val="171717" w:themeColor="background2" w:themeShade="1A"/>
              </w:rPr>
              <w:t xml:space="preserve"> </w:t>
            </w:r>
            <w:r w:rsidRPr="005A5425">
              <w:rPr>
                <w:color w:val="171717" w:themeColor="background2" w:themeShade="1A"/>
              </w:rPr>
              <w:t>չափը</w:t>
            </w:r>
            <w:r w:rsidRPr="005A5425">
              <w:rPr>
                <w:color w:val="171717" w:themeColor="background2" w:themeShade="1A"/>
              </w:rPr>
              <w:t xml:space="preserve"> (</w:t>
            </w:r>
            <w:r w:rsidRPr="005A5425">
              <w:rPr>
                <w:color w:val="171717" w:themeColor="background2" w:themeShade="1A"/>
              </w:rPr>
              <w:t>դրամ</w:t>
            </w:r>
            <w:r w:rsidRPr="005A5425">
              <w:rPr>
                <w:color w:val="171717" w:themeColor="background2" w:themeShade="1A"/>
              </w:rPr>
              <w:t>)</w:t>
            </w:r>
          </w:p>
        </w:tc>
        <w:tc>
          <w:tcPr>
            <w:tcW w:w="4558" w:type="dxa"/>
            <w:shd w:val="clear" w:color="auto" w:fill="2F5597"/>
            <w:tcMar>
              <w:top w:w="100" w:type="dxa"/>
              <w:left w:w="120" w:type="dxa"/>
              <w:bottom w:w="100" w:type="dxa"/>
              <w:right w:w="120" w:type="dxa"/>
            </w:tcMar>
            <w:vAlign w:val="center"/>
          </w:tcPr>
          <w:p w14:paraId="718E85F8" w14:textId="77777777" w:rsidR="003F2C26" w:rsidRPr="005A5425" w:rsidRDefault="003F2C26" w:rsidP="00AC155D">
            <w:pPr>
              <w:spacing w:line="276" w:lineRule="auto"/>
              <w:jc w:val="center"/>
              <w:rPr>
                <w:rFonts w:ascii="GHEA Grapalat" w:hAnsi="GHEA Grapalat"/>
                <w:color w:val="171717" w:themeColor="background2" w:themeShade="1A"/>
                <w:sz w:val="22"/>
                <w:szCs w:val="22"/>
              </w:rPr>
            </w:pPr>
            <w:r w:rsidRPr="005A5425">
              <w:rPr>
                <w:rFonts w:ascii="GHEA Grapalat" w:eastAsia="GHEA Grapalat" w:hAnsi="GHEA Grapalat" w:cs="GHEA Grapalat"/>
                <w:color w:val="171717" w:themeColor="background2" w:themeShade="1A"/>
                <w:sz w:val="22"/>
                <w:szCs w:val="22"/>
              </w:rPr>
              <w:t>Մեկնաբանություն / նշում</w:t>
            </w:r>
          </w:p>
        </w:tc>
      </w:tr>
      <w:tr w:rsidR="005A5425" w:rsidRPr="005A5425" w14:paraId="454E63C0" w14:textId="77777777" w:rsidTr="000A477B">
        <w:trPr>
          <w:jc w:val="center"/>
        </w:trPr>
        <w:tc>
          <w:tcPr>
            <w:tcW w:w="4106" w:type="dxa"/>
            <w:tcMar>
              <w:top w:w="90" w:type="dxa"/>
              <w:left w:w="120" w:type="dxa"/>
              <w:bottom w:w="90" w:type="dxa"/>
              <w:right w:w="120" w:type="dxa"/>
            </w:tcMar>
            <w:vAlign w:val="center"/>
          </w:tcPr>
          <w:p w14:paraId="06F32EFC" w14:textId="77777777" w:rsidR="003F2C26" w:rsidRPr="005A5425" w:rsidRDefault="003F2C26" w:rsidP="003F2C26">
            <w:pPr>
              <w:spacing w:line="276" w:lineRule="auto"/>
              <w:jc w:val="both"/>
              <w:rPr>
                <w:rFonts w:ascii="GHEA Grapalat" w:hAnsi="GHEA Grapalat"/>
                <w:color w:val="171717" w:themeColor="background2" w:themeShade="1A"/>
                <w:sz w:val="22"/>
                <w:szCs w:val="22"/>
              </w:rPr>
            </w:pPr>
            <w:proofErr w:type="spellStart"/>
            <w:r w:rsidRPr="005A5425">
              <w:rPr>
                <w:rFonts w:ascii="GHEA Grapalat" w:hAnsi="GHEA Grapalat"/>
                <w:color w:val="171717" w:themeColor="background2" w:themeShade="1A"/>
                <w:sz w:val="22"/>
                <w:szCs w:val="22"/>
              </w:rPr>
              <w:t>Սարքավորումներ</w:t>
            </w:r>
            <w:proofErr w:type="spellEnd"/>
            <w:r w:rsidRPr="005A5425">
              <w:rPr>
                <w:rFonts w:ascii="GHEA Grapalat" w:hAnsi="GHEA Grapalat"/>
                <w:color w:val="171717" w:themeColor="background2" w:themeShade="1A"/>
                <w:sz w:val="22"/>
                <w:szCs w:val="22"/>
              </w:rPr>
              <w:t xml:space="preserve"> և </w:t>
            </w:r>
            <w:proofErr w:type="spellStart"/>
            <w:r w:rsidRPr="005A5425">
              <w:rPr>
                <w:rFonts w:ascii="GHEA Grapalat" w:hAnsi="GHEA Grapalat"/>
                <w:color w:val="171717" w:themeColor="background2" w:themeShade="1A"/>
                <w:sz w:val="22"/>
                <w:szCs w:val="22"/>
              </w:rPr>
              <w:t>հիմնական</w:t>
            </w:r>
            <w:proofErr w:type="spellEnd"/>
            <w:r w:rsidRPr="005A5425">
              <w:rPr>
                <w:rFonts w:ascii="GHEA Grapalat" w:hAnsi="GHEA Grapalat"/>
                <w:color w:val="171717" w:themeColor="background2" w:themeShade="1A"/>
                <w:sz w:val="22"/>
                <w:szCs w:val="22"/>
              </w:rPr>
              <w:t xml:space="preserve"> </w:t>
            </w:r>
            <w:proofErr w:type="spellStart"/>
            <w:r w:rsidRPr="005A5425">
              <w:rPr>
                <w:rFonts w:ascii="GHEA Grapalat" w:hAnsi="GHEA Grapalat"/>
                <w:color w:val="171717" w:themeColor="background2" w:themeShade="1A"/>
                <w:sz w:val="22"/>
                <w:szCs w:val="22"/>
              </w:rPr>
              <w:t>միջոցներ</w:t>
            </w:r>
            <w:proofErr w:type="spellEnd"/>
          </w:p>
        </w:tc>
        <w:tc>
          <w:tcPr>
            <w:tcW w:w="1963" w:type="dxa"/>
            <w:tcMar>
              <w:top w:w="90" w:type="dxa"/>
              <w:left w:w="120" w:type="dxa"/>
              <w:bottom w:w="90" w:type="dxa"/>
              <w:right w:w="120" w:type="dxa"/>
            </w:tcMar>
            <w:vAlign w:val="center"/>
          </w:tcPr>
          <w:p w14:paraId="3A5E2142" w14:textId="77777777" w:rsidR="003F2C26" w:rsidRPr="005A5425" w:rsidRDefault="003F2C26" w:rsidP="003F2C26">
            <w:pPr>
              <w:spacing w:line="276" w:lineRule="auto"/>
              <w:jc w:val="center"/>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մինչև 1,000,000</w:t>
            </w:r>
          </w:p>
        </w:tc>
        <w:tc>
          <w:tcPr>
            <w:tcW w:w="4558" w:type="dxa"/>
            <w:tcMar>
              <w:top w:w="90" w:type="dxa"/>
              <w:left w:w="120" w:type="dxa"/>
              <w:bottom w:w="90" w:type="dxa"/>
              <w:right w:w="120" w:type="dxa"/>
            </w:tcMar>
            <w:vAlign w:val="center"/>
          </w:tcPr>
          <w:p w14:paraId="482EC528" w14:textId="77777777" w:rsidR="003F2C26" w:rsidRPr="005A5425" w:rsidRDefault="003F2C26" w:rsidP="003F2C26">
            <w:pPr>
              <w:spacing w:line="276" w:lineRule="auto"/>
              <w:jc w:val="both"/>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 xml:space="preserve">Արտադրական սարքավորումներ, տեխնիկա և մասնագիտական գործիքներ </w:t>
            </w:r>
          </w:p>
        </w:tc>
      </w:tr>
      <w:tr w:rsidR="005A5425" w:rsidRPr="005A5425" w14:paraId="007E7FC2" w14:textId="77777777" w:rsidTr="000A477B">
        <w:trPr>
          <w:jc w:val="center"/>
        </w:trPr>
        <w:tc>
          <w:tcPr>
            <w:tcW w:w="4106" w:type="dxa"/>
            <w:shd w:val="clear" w:color="auto" w:fill="F2F2F2"/>
            <w:tcMar>
              <w:top w:w="90" w:type="dxa"/>
              <w:left w:w="120" w:type="dxa"/>
              <w:bottom w:w="90" w:type="dxa"/>
              <w:right w:w="120" w:type="dxa"/>
            </w:tcMar>
            <w:vAlign w:val="center"/>
          </w:tcPr>
          <w:p w14:paraId="6B559CE1" w14:textId="77777777" w:rsidR="00AC155D" w:rsidRPr="005A5425" w:rsidRDefault="00AC155D" w:rsidP="00AC155D">
            <w:pPr>
              <w:spacing w:line="276" w:lineRule="auto"/>
              <w:jc w:val="both"/>
              <w:rPr>
                <w:rFonts w:ascii="GHEA Grapalat" w:hAnsi="GHEA Grapalat"/>
                <w:color w:val="171717" w:themeColor="background2" w:themeShade="1A"/>
                <w:sz w:val="22"/>
                <w:szCs w:val="22"/>
              </w:rPr>
            </w:pPr>
            <w:proofErr w:type="spellStart"/>
            <w:r w:rsidRPr="005A5425">
              <w:rPr>
                <w:rFonts w:ascii="GHEA Grapalat" w:hAnsi="GHEA Grapalat"/>
                <w:color w:val="171717" w:themeColor="background2" w:themeShade="1A"/>
                <w:sz w:val="22"/>
                <w:szCs w:val="22"/>
              </w:rPr>
              <w:t>Շրջանառու</w:t>
            </w:r>
            <w:proofErr w:type="spellEnd"/>
            <w:r w:rsidRPr="005A5425">
              <w:rPr>
                <w:rFonts w:ascii="GHEA Grapalat" w:hAnsi="GHEA Grapalat"/>
                <w:color w:val="171717" w:themeColor="background2" w:themeShade="1A"/>
                <w:sz w:val="22"/>
                <w:szCs w:val="22"/>
              </w:rPr>
              <w:t xml:space="preserve"> </w:t>
            </w:r>
            <w:proofErr w:type="spellStart"/>
            <w:r w:rsidRPr="005A5425">
              <w:rPr>
                <w:rFonts w:ascii="GHEA Grapalat" w:hAnsi="GHEA Grapalat"/>
                <w:color w:val="171717" w:themeColor="background2" w:themeShade="1A"/>
                <w:sz w:val="22"/>
                <w:szCs w:val="22"/>
              </w:rPr>
              <w:t>միջոցներ</w:t>
            </w:r>
            <w:proofErr w:type="spellEnd"/>
            <w:r w:rsidRPr="005A5425">
              <w:rPr>
                <w:rFonts w:ascii="GHEA Grapalat" w:hAnsi="GHEA Grapalat"/>
                <w:color w:val="171717" w:themeColor="background2" w:themeShade="1A"/>
                <w:sz w:val="22"/>
                <w:szCs w:val="22"/>
              </w:rPr>
              <w:t xml:space="preserve"> և </w:t>
            </w:r>
            <w:proofErr w:type="spellStart"/>
            <w:r w:rsidRPr="005A5425">
              <w:rPr>
                <w:rFonts w:ascii="GHEA Grapalat" w:hAnsi="GHEA Grapalat"/>
                <w:color w:val="171717" w:themeColor="background2" w:themeShade="1A"/>
                <w:sz w:val="22"/>
                <w:szCs w:val="22"/>
              </w:rPr>
              <w:t>հումք</w:t>
            </w:r>
            <w:proofErr w:type="spellEnd"/>
          </w:p>
          <w:p w14:paraId="4E7065AA" w14:textId="77777777" w:rsidR="00AC155D" w:rsidRPr="005A5425" w:rsidRDefault="00AC155D" w:rsidP="00AC155D">
            <w:pPr>
              <w:spacing w:line="276" w:lineRule="auto"/>
              <w:jc w:val="both"/>
              <w:rPr>
                <w:rFonts w:ascii="GHEA Grapalat" w:hAnsi="GHEA Grapalat"/>
                <w:color w:val="171717" w:themeColor="background2" w:themeShade="1A"/>
                <w:sz w:val="22"/>
                <w:szCs w:val="22"/>
              </w:rPr>
            </w:pPr>
          </w:p>
        </w:tc>
        <w:tc>
          <w:tcPr>
            <w:tcW w:w="1963" w:type="dxa"/>
            <w:shd w:val="clear" w:color="auto" w:fill="F2F2F2"/>
            <w:tcMar>
              <w:top w:w="90" w:type="dxa"/>
              <w:left w:w="120" w:type="dxa"/>
              <w:bottom w:w="90" w:type="dxa"/>
              <w:right w:w="120" w:type="dxa"/>
            </w:tcMar>
            <w:vAlign w:val="center"/>
          </w:tcPr>
          <w:p w14:paraId="48F90366" w14:textId="77777777" w:rsidR="00AC155D" w:rsidRPr="005A5425" w:rsidRDefault="00AC155D" w:rsidP="00AC155D">
            <w:pPr>
              <w:spacing w:line="276" w:lineRule="auto"/>
              <w:jc w:val="center"/>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մինչև 300,000</w:t>
            </w:r>
          </w:p>
        </w:tc>
        <w:tc>
          <w:tcPr>
            <w:tcW w:w="4558" w:type="dxa"/>
            <w:shd w:val="clear" w:color="auto" w:fill="F2F2F2"/>
            <w:tcMar>
              <w:top w:w="90" w:type="dxa"/>
              <w:left w:w="120" w:type="dxa"/>
              <w:bottom w:w="90" w:type="dxa"/>
              <w:right w:w="120" w:type="dxa"/>
            </w:tcMar>
            <w:vAlign w:val="center"/>
          </w:tcPr>
          <w:p w14:paraId="14043553" w14:textId="77777777" w:rsidR="00AC155D" w:rsidRPr="005A5425" w:rsidRDefault="00AC155D" w:rsidP="00AC155D">
            <w:pPr>
              <w:spacing w:line="276" w:lineRule="auto"/>
              <w:jc w:val="both"/>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 xml:space="preserve">Հումք, նյութեր և մեկնարկային պաշարներ </w:t>
            </w:r>
          </w:p>
        </w:tc>
      </w:tr>
      <w:tr w:rsidR="005A5425" w:rsidRPr="005A5425" w14:paraId="3FCB04DD" w14:textId="77777777" w:rsidTr="000A477B">
        <w:trPr>
          <w:jc w:val="center"/>
        </w:trPr>
        <w:tc>
          <w:tcPr>
            <w:tcW w:w="4106" w:type="dxa"/>
            <w:shd w:val="clear" w:color="auto" w:fill="auto"/>
            <w:tcMar>
              <w:top w:w="90" w:type="dxa"/>
              <w:left w:w="120" w:type="dxa"/>
              <w:bottom w:w="90" w:type="dxa"/>
              <w:right w:w="120" w:type="dxa"/>
            </w:tcMar>
          </w:tcPr>
          <w:p w14:paraId="0FF7D759" w14:textId="77777777" w:rsidR="00AC155D" w:rsidRPr="005A5425" w:rsidRDefault="00AC155D" w:rsidP="00AC155D">
            <w:pPr>
              <w:spacing w:line="276" w:lineRule="auto"/>
              <w:jc w:val="both"/>
              <w:rPr>
                <w:rFonts w:ascii="GHEA Grapalat" w:hAnsi="GHEA Grapalat"/>
                <w:color w:val="171717" w:themeColor="background2" w:themeShade="1A"/>
                <w:sz w:val="22"/>
                <w:szCs w:val="22"/>
              </w:rPr>
            </w:pPr>
            <w:proofErr w:type="spellStart"/>
            <w:r w:rsidRPr="005A5425">
              <w:rPr>
                <w:rFonts w:ascii="GHEA Grapalat" w:hAnsi="GHEA Grapalat"/>
                <w:color w:val="171717" w:themeColor="background2" w:themeShade="1A"/>
                <w:sz w:val="22"/>
                <w:szCs w:val="22"/>
              </w:rPr>
              <w:lastRenderedPageBreak/>
              <w:t>Տարածքի</w:t>
            </w:r>
            <w:proofErr w:type="spellEnd"/>
            <w:r w:rsidRPr="005A5425">
              <w:rPr>
                <w:rFonts w:ascii="GHEA Grapalat" w:hAnsi="GHEA Grapalat"/>
                <w:color w:val="171717" w:themeColor="background2" w:themeShade="1A"/>
                <w:sz w:val="22"/>
                <w:szCs w:val="22"/>
              </w:rPr>
              <w:t xml:space="preserve"> </w:t>
            </w:r>
            <w:proofErr w:type="spellStart"/>
            <w:r w:rsidRPr="005A5425">
              <w:rPr>
                <w:rFonts w:ascii="GHEA Grapalat" w:hAnsi="GHEA Grapalat"/>
                <w:color w:val="171717" w:themeColor="background2" w:themeShade="1A"/>
                <w:sz w:val="22"/>
                <w:szCs w:val="22"/>
              </w:rPr>
              <w:t>հարմարեցում</w:t>
            </w:r>
            <w:proofErr w:type="spellEnd"/>
            <w:r w:rsidRPr="005A5425">
              <w:rPr>
                <w:rFonts w:ascii="GHEA Grapalat" w:hAnsi="GHEA Grapalat"/>
                <w:color w:val="171717" w:themeColor="background2" w:themeShade="1A"/>
                <w:sz w:val="22"/>
                <w:szCs w:val="22"/>
              </w:rPr>
              <w:t xml:space="preserve"> և </w:t>
            </w:r>
            <w:proofErr w:type="spellStart"/>
            <w:r w:rsidRPr="005A5425">
              <w:rPr>
                <w:rFonts w:ascii="GHEA Grapalat" w:hAnsi="GHEA Grapalat"/>
                <w:color w:val="171717" w:themeColor="background2" w:themeShade="1A"/>
                <w:sz w:val="22"/>
                <w:szCs w:val="22"/>
              </w:rPr>
              <w:t>տեխնիկական</w:t>
            </w:r>
            <w:proofErr w:type="spellEnd"/>
            <w:r w:rsidRPr="005A5425">
              <w:rPr>
                <w:rFonts w:ascii="GHEA Grapalat" w:hAnsi="GHEA Grapalat"/>
                <w:color w:val="171717" w:themeColor="background2" w:themeShade="1A"/>
                <w:sz w:val="22"/>
                <w:szCs w:val="22"/>
              </w:rPr>
              <w:t xml:space="preserve"> ապահովում</w:t>
            </w:r>
          </w:p>
        </w:tc>
        <w:tc>
          <w:tcPr>
            <w:tcW w:w="1963" w:type="dxa"/>
            <w:shd w:val="clear" w:color="auto" w:fill="auto"/>
            <w:tcMar>
              <w:top w:w="90" w:type="dxa"/>
              <w:left w:w="120" w:type="dxa"/>
              <w:bottom w:w="90" w:type="dxa"/>
              <w:right w:w="120" w:type="dxa"/>
            </w:tcMar>
          </w:tcPr>
          <w:p w14:paraId="320D28B5" w14:textId="77777777" w:rsidR="00AC155D" w:rsidRPr="005A5425" w:rsidRDefault="00AC155D" w:rsidP="00AC155D">
            <w:pPr>
              <w:spacing w:line="276" w:lineRule="auto"/>
              <w:jc w:val="center"/>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մինչև 400,000</w:t>
            </w:r>
          </w:p>
        </w:tc>
        <w:tc>
          <w:tcPr>
            <w:tcW w:w="4558" w:type="dxa"/>
            <w:shd w:val="clear" w:color="auto" w:fill="auto"/>
            <w:tcMar>
              <w:top w:w="90" w:type="dxa"/>
              <w:left w:w="120" w:type="dxa"/>
              <w:bottom w:w="90" w:type="dxa"/>
              <w:right w:w="120" w:type="dxa"/>
            </w:tcMar>
          </w:tcPr>
          <w:p w14:paraId="3DDF6FA6" w14:textId="77777777" w:rsidR="00AC155D" w:rsidRPr="005A5425" w:rsidRDefault="00AC155D" w:rsidP="00AC155D">
            <w:pPr>
              <w:spacing w:line="276" w:lineRule="auto"/>
              <w:jc w:val="both"/>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 xml:space="preserve">Տարածքի վերանորոգում, հարմարեցում և տեխնիկական ապահովում </w:t>
            </w:r>
          </w:p>
        </w:tc>
      </w:tr>
      <w:tr w:rsidR="005A5425" w:rsidRPr="005A5425" w14:paraId="7BBD1EBB" w14:textId="77777777" w:rsidTr="000A477B">
        <w:trPr>
          <w:jc w:val="center"/>
        </w:trPr>
        <w:tc>
          <w:tcPr>
            <w:tcW w:w="4106" w:type="dxa"/>
            <w:shd w:val="clear" w:color="auto" w:fill="F2F2F2"/>
            <w:tcMar>
              <w:top w:w="90" w:type="dxa"/>
              <w:left w:w="120" w:type="dxa"/>
              <w:bottom w:w="90" w:type="dxa"/>
              <w:right w:w="120" w:type="dxa"/>
            </w:tcMar>
          </w:tcPr>
          <w:p w14:paraId="6A867470" w14:textId="77777777" w:rsidR="00AC155D" w:rsidRPr="005A5425" w:rsidRDefault="00AC155D" w:rsidP="00AC155D">
            <w:pPr>
              <w:spacing w:line="276" w:lineRule="auto"/>
              <w:jc w:val="both"/>
              <w:rPr>
                <w:rFonts w:ascii="GHEA Grapalat" w:hAnsi="GHEA Grapalat"/>
                <w:color w:val="171717" w:themeColor="background2" w:themeShade="1A"/>
                <w:sz w:val="22"/>
                <w:szCs w:val="22"/>
              </w:rPr>
            </w:pPr>
            <w:proofErr w:type="spellStart"/>
            <w:r w:rsidRPr="005A5425">
              <w:rPr>
                <w:rFonts w:ascii="GHEA Grapalat" w:hAnsi="GHEA Grapalat"/>
                <w:color w:val="171717" w:themeColor="background2" w:themeShade="1A"/>
                <w:sz w:val="22"/>
                <w:szCs w:val="22"/>
              </w:rPr>
              <w:t>Մարքեթինգային</w:t>
            </w:r>
            <w:proofErr w:type="spellEnd"/>
            <w:r w:rsidRPr="005A5425">
              <w:rPr>
                <w:rFonts w:ascii="GHEA Grapalat" w:hAnsi="GHEA Grapalat"/>
                <w:color w:val="171717" w:themeColor="background2" w:themeShade="1A"/>
                <w:sz w:val="22"/>
                <w:szCs w:val="22"/>
              </w:rPr>
              <w:t xml:space="preserve"> և </w:t>
            </w:r>
            <w:proofErr w:type="spellStart"/>
            <w:r w:rsidRPr="005A5425">
              <w:rPr>
                <w:rFonts w:ascii="GHEA Grapalat" w:hAnsi="GHEA Grapalat"/>
                <w:color w:val="171717" w:themeColor="background2" w:themeShade="1A"/>
                <w:sz w:val="22"/>
                <w:szCs w:val="22"/>
              </w:rPr>
              <w:t>թվային</w:t>
            </w:r>
            <w:proofErr w:type="spellEnd"/>
            <w:r w:rsidRPr="005A5425">
              <w:rPr>
                <w:rFonts w:ascii="GHEA Grapalat" w:hAnsi="GHEA Grapalat"/>
                <w:color w:val="171717" w:themeColor="background2" w:themeShade="1A"/>
                <w:sz w:val="22"/>
                <w:szCs w:val="22"/>
              </w:rPr>
              <w:t xml:space="preserve"> </w:t>
            </w:r>
            <w:proofErr w:type="spellStart"/>
            <w:r w:rsidRPr="005A5425">
              <w:rPr>
                <w:rFonts w:ascii="GHEA Grapalat" w:hAnsi="GHEA Grapalat"/>
                <w:color w:val="171717" w:themeColor="background2" w:themeShade="1A"/>
                <w:sz w:val="22"/>
                <w:szCs w:val="22"/>
              </w:rPr>
              <w:t>գործիքներ</w:t>
            </w:r>
            <w:proofErr w:type="spellEnd"/>
          </w:p>
        </w:tc>
        <w:tc>
          <w:tcPr>
            <w:tcW w:w="1963" w:type="dxa"/>
            <w:shd w:val="clear" w:color="auto" w:fill="F2F2F2"/>
            <w:tcMar>
              <w:top w:w="90" w:type="dxa"/>
              <w:left w:w="120" w:type="dxa"/>
              <w:bottom w:w="90" w:type="dxa"/>
              <w:right w:w="120" w:type="dxa"/>
            </w:tcMar>
          </w:tcPr>
          <w:p w14:paraId="432DEAF1" w14:textId="77777777" w:rsidR="00AC155D" w:rsidRPr="005A5425" w:rsidRDefault="00AC155D" w:rsidP="00AC155D">
            <w:pPr>
              <w:spacing w:line="276" w:lineRule="auto"/>
              <w:jc w:val="center"/>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մինչև 150,000</w:t>
            </w:r>
          </w:p>
        </w:tc>
        <w:tc>
          <w:tcPr>
            <w:tcW w:w="4558" w:type="dxa"/>
            <w:shd w:val="clear" w:color="auto" w:fill="F2F2F2"/>
            <w:tcMar>
              <w:top w:w="90" w:type="dxa"/>
              <w:left w:w="120" w:type="dxa"/>
              <w:bottom w:w="90" w:type="dxa"/>
              <w:right w:w="120" w:type="dxa"/>
            </w:tcMar>
          </w:tcPr>
          <w:p w14:paraId="539AFBDD" w14:textId="77777777" w:rsidR="00AC155D" w:rsidRPr="005A5425" w:rsidRDefault="00AC155D" w:rsidP="00AC155D">
            <w:pPr>
              <w:spacing w:line="276" w:lineRule="auto"/>
              <w:jc w:val="both"/>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 xml:space="preserve">Բրենդավորում, գովազդ և թվային լուծումներ </w:t>
            </w:r>
          </w:p>
        </w:tc>
      </w:tr>
      <w:tr w:rsidR="005A5425" w:rsidRPr="005A5425" w14:paraId="2AADBA47" w14:textId="77777777" w:rsidTr="000A477B">
        <w:trPr>
          <w:jc w:val="center"/>
        </w:trPr>
        <w:tc>
          <w:tcPr>
            <w:tcW w:w="4106" w:type="dxa"/>
            <w:shd w:val="clear" w:color="auto" w:fill="auto"/>
            <w:tcMar>
              <w:top w:w="90" w:type="dxa"/>
              <w:left w:w="120" w:type="dxa"/>
              <w:bottom w:w="90" w:type="dxa"/>
              <w:right w:w="120" w:type="dxa"/>
            </w:tcMar>
          </w:tcPr>
          <w:p w14:paraId="2150D6C9" w14:textId="77777777" w:rsidR="00AC155D" w:rsidRPr="005A5425" w:rsidRDefault="00BD0353" w:rsidP="00AC155D">
            <w:pPr>
              <w:spacing w:line="276" w:lineRule="auto"/>
              <w:jc w:val="both"/>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lang w:val="hy-AM"/>
              </w:rPr>
              <w:t>Կ</w:t>
            </w:r>
            <w:proofErr w:type="spellStart"/>
            <w:r w:rsidRPr="005A5425">
              <w:rPr>
                <w:rFonts w:ascii="GHEA Grapalat" w:hAnsi="GHEA Grapalat"/>
                <w:color w:val="171717" w:themeColor="background2" w:themeShade="1A"/>
                <w:sz w:val="22"/>
                <w:szCs w:val="22"/>
              </w:rPr>
              <w:t>ազմակերպչական</w:t>
            </w:r>
            <w:proofErr w:type="spellEnd"/>
            <w:r w:rsidRPr="005A5425">
              <w:rPr>
                <w:rFonts w:ascii="GHEA Grapalat" w:hAnsi="GHEA Grapalat"/>
                <w:color w:val="171717" w:themeColor="background2" w:themeShade="1A"/>
                <w:sz w:val="22"/>
                <w:szCs w:val="22"/>
              </w:rPr>
              <w:t xml:space="preserve"> և </w:t>
            </w:r>
            <w:proofErr w:type="spellStart"/>
            <w:r w:rsidRPr="005A5425">
              <w:rPr>
                <w:rFonts w:ascii="GHEA Grapalat" w:hAnsi="GHEA Grapalat"/>
                <w:color w:val="171717" w:themeColor="background2" w:themeShade="1A"/>
                <w:sz w:val="22"/>
                <w:szCs w:val="22"/>
              </w:rPr>
              <w:t>այլ</w:t>
            </w:r>
            <w:proofErr w:type="spellEnd"/>
            <w:r w:rsidRPr="005A5425">
              <w:rPr>
                <w:rFonts w:ascii="GHEA Grapalat" w:hAnsi="GHEA Grapalat"/>
                <w:color w:val="171717" w:themeColor="background2" w:themeShade="1A"/>
                <w:sz w:val="22"/>
                <w:szCs w:val="22"/>
              </w:rPr>
              <w:t xml:space="preserve"> </w:t>
            </w:r>
            <w:proofErr w:type="spellStart"/>
            <w:r w:rsidRPr="005A5425">
              <w:rPr>
                <w:rFonts w:ascii="GHEA Grapalat" w:hAnsi="GHEA Grapalat"/>
                <w:color w:val="171717" w:themeColor="background2" w:themeShade="1A"/>
                <w:sz w:val="22"/>
                <w:szCs w:val="22"/>
              </w:rPr>
              <w:t>ուղեկցող</w:t>
            </w:r>
            <w:proofErr w:type="spellEnd"/>
            <w:r w:rsidRPr="005A5425">
              <w:rPr>
                <w:rFonts w:ascii="GHEA Grapalat" w:hAnsi="GHEA Grapalat"/>
                <w:color w:val="171717" w:themeColor="background2" w:themeShade="1A"/>
                <w:sz w:val="22"/>
                <w:szCs w:val="22"/>
              </w:rPr>
              <w:t xml:space="preserve"> ծախսեր</w:t>
            </w:r>
          </w:p>
        </w:tc>
        <w:tc>
          <w:tcPr>
            <w:tcW w:w="1963" w:type="dxa"/>
            <w:shd w:val="clear" w:color="auto" w:fill="auto"/>
            <w:tcMar>
              <w:top w:w="90" w:type="dxa"/>
              <w:left w:w="120" w:type="dxa"/>
              <w:bottom w:w="90" w:type="dxa"/>
              <w:right w:w="120" w:type="dxa"/>
            </w:tcMar>
          </w:tcPr>
          <w:p w14:paraId="354C9165" w14:textId="77777777" w:rsidR="00AC155D" w:rsidRPr="005A5425" w:rsidRDefault="00AC155D" w:rsidP="00AC155D">
            <w:pPr>
              <w:spacing w:line="276" w:lineRule="auto"/>
              <w:jc w:val="center"/>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մինչև 150,000</w:t>
            </w:r>
          </w:p>
        </w:tc>
        <w:tc>
          <w:tcPr>
            <w:tcW w:w="4558" w:type="dxa"/>
            <w:shd w:val="clear" w:color="auto" w:fill="auto"/>
            <w:tcMar>
              <w:top w:w="90" w:type="dxa"/>
              <w:left w:w="120" w:type="dxa"/>
              <w:bottom w:w="90" w:type="dxa"/>
              <w:right w:w="120" w:type="dxa"/>
            </w:tcMar>
          </w:tcPr>
          <w:p w14:paraId="5572A841" w14:textId="77777777" w:rsidR="00AC155D" w:rsidRPr="005A5425" w:rsidRDefault="00AC155D" w:rsidP="00AC155D">
            <w:pPr>
              <w:spacing w:line="276" w:lineRule="auto"/>
              <w:jc w:val="both"/>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 xml:space="preserve">Գրանցման, կազմակերպչական և այլ ուղեկցող ծախսեր </w:t>
            </w:r>
          </w:p>
        </w:tc>
      </w:tr>
      <w:tr w:rsidR="005A5425" w:rsidRPr="005A5425" w14:paraId="49782175" w14:textId="77777777" w:rsidTr="000A477B">
        <w:trPr>
          <w:jc w:val="center"/>
        </w:trPr>
        <w:tc>
          <w:tcPr>
            <w:tcW w:w="4106" w:type="dxa"/>
            <w:shd w:val="clear" w:color="auto" w:fill="F2F2F2"/>
            <w:tcMar>
              <w:top w:w="90" w:type="dxa"/>
              <w:left w:w="120" w:type="dxa"/>
              <w:bottom w:w="90" w:type="dxa"/>
              <w:right w:w="120" w:type="dxa"/>
            </w:tcMar>
          </w:tcPr>
          <w:p w14:paraId="65D00883" w14:textId="77777777" w:rsidR="00F1754F" w:rsidRPr="005A5425" w:rsidRDefault="00F1754F" w:rsidP="00AC155D">
            <w:pPr>
              <w:spacing w:line="276" w:lineRule="auto"/>
              <w:jc w:val="both"/>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ԸՆԴԱՄԵՆԸ (</w:t>
            </w:r>
            <w:proofErr w:type="spellStart"/>
            <w:r w:rsidRPr="005A5425">
              <w:rPr>
                <w:rFonts w:ascii="GHEA Grapalat" w:hAnsi="GHEA Grapalat"/>
                <w:color w:val="171717" w:themeColor="background2" w:themeShade="1A"/>
                <w:sz w:val="22"/>
                <w:szCs w:val="22"/>
              </w:rPr>
              <w:t>առավելագույնը</w:t>
            </w:r>
            <w:proofErr w:type="spellEnd"/>
            <w:r w:rsidRPr="005A5425">
              <w:rPr>
                <w:rFonts w:ascii="GHEA Grapalat" w:hAnsi="GHEA Grapalat"/>
                <w:color w:val="171717" w:themeColor="background2" w:themeShade="1A"/>
                <w:sz w:val="22"/>
                <w:szCs w:val="22"/>
              </w:rPr>
              <w:t>)</w:t>
            </w:r>
          </w:p>
        </w:tc>
        <w:tc>
          <w:tcPr>
            <w:tcW w:w="6521" w:type="dxa"/>
            <w:gridSpan w:val="2"/>
            <w:shd w:val="clear" w:color="auto" w:fill="F2F2F2"/>
            <w:tcMar>
              <w:top w:w="90" w:type="dxa"/>
              <w:left w:w="120" w:type="dxa"/>
              <w:bottom w:w="90" w:type="dxa"/>
              <w:right w:w="120" w:type="dxa"/>
            </w:tcMar>
          </w:tcPr>
          <w:p w14:paraId="78E377CE" w14:textId="77777777" w:rsidR="00F1754F" w:rsidRPr="005A5425" w:rsidRDefault="00F1754F" w:rsidP="00F1754F">
            <w:pPr>
              <w:spacing w:line="276" w:lineRule="auto"/>
              <w:jc w:val="right"/>
              <w:rPr>
                <w:rFonts w:ascii="GHEA Grapalat" w:hAnsi="GHEA Grapalat"/>
                <w:color w:val="171717" w:themeColor="background2" w:themeShade="1A"/>
                <w:sz w:val="22"/>
                <w:szCs w:val="22"/>
              </w:rPr>
            </w:pPr>
            <w:r w:rsidRPr="005A5425">
              <w:rPr>
                <w:rFonts w:ascii="GHEA Grapalat" w:hAnsi="GHEA Grapalat"/>
                <w:color w:val="171717" w:themeColor="background2" w:themeShade="1A"/>
                <w:sz w:val="22"/>
                <w:szCs w:val="22"/>
              </w:rPr>
              <w:t>2,000,000</w:t>
            </w:r>
          </w:p>
        </w:tc>
      </w:tr>
    </w:tbl>
    <w:p w14:paraId="20A856A7" w14:textId="77777777" w:rsidR="00ED7A92" w:rsidRPr="005A5425" w:rsidRDefault="00ED7A92" w:rsidP="00B018F9">
      <w:pPr>
        <w:spacing w:before="240" w:line="360" w:lineRule="auto"/>
        <w:jc w:val="both"/>
        <w:rPr>
          <w:rFonts w:ascii="GHEA Grapalat" w:hAnsi="GHEA Grapalat"/>
          <w:color w:val="171717" w:themeColor="background2" w:themeShade="1A"/>
        </w:rPr>
      </w:pPr>
      <w:proofErr w:type="spellStart"/>
      <w:r w:rsidRPr="005A5425">
        <w:rPr>
          <w:rFonts w:ascii="GHEA Grapalat" w:hAnsi="GHEA Grapalat"/>
          <w:color w:val="171717" w:themeColor="background2" w:themeShade="1A"/>
        </w:rPr>
        <w:t>Ծրագրի</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փաստացի</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բյուջետային</w:t>
      </w:r>
      <w:proofErr w:type="spellEnd"/>
      <w:r w:rsidRPr="005A5425">
        <w:rPr>
          <w:rFonts w:ascii="GHEA Grapalat" w:hAnsi="GHEA Grapalat"/>
          <w:color w:val="171717" w:themeColor="background2" w:themeShade="1A"/>
        </w:rPr>
        <w:t xml:space="preserve"> </w:t>
      </w:r>
      <w:proofErr w:type="spellStart"/>
      <w:r w:rsidRPr="005A5425">
        <w:rPr>
          <w:rFonts w:ascii="GHEA Grapalat" w:hAnsi="GHEA Grapalat"/>
          <w:color w:val="171717" w:themeColor="background2" w:themeShade="1A"/>
        </w:rPr>
        <w:t>ծախսերը</w:t>
      </w:r>
      <w:proofErr w:type="spellEnd"/>
      <w:r w:rsidRPr="005A5425">
        <w:rPr>
          <w:rFonts w:ascii="GHEA Grapalat" w:hAnsi="GHEA Grapalat"/>
          <w:color w:val="171717" w:themeColor="background2" w:themeShade="1A"/>
        </w:rPr>
        <w:t xml:space="preserve"> կձևավորվեն՝ ելնելով՝</w:t>
      </w:r>
    </w:p>
    <w:p w14:paraId="751113A4" w14:textId="77777777" w:rsidR="00ED7A92" w:rsidRPr="005A5425" w:rsidRDefault="00ED7A92" w:rsidP="007B7E27">
      <w:pPr>
        <w:numPr>
          <w:ilvl w:val="0"/>
          <w:numId w:val="10"/>
        </w:numPr>
        <w:tabs>
          <w:tab w:val="clear" w:pos="720"/>
          <w:tab w:val="num" w:pos="0"/>
          <w:tab w:val="left" w:pos="284"/>
        </w:tabs>
        <w:spacing w:line="360" w:lineRule="auto"/>
        <w:ind w:left="0" w:firstLine="0"/>
        <w:jc w:val="both"/>
        <w:rPr>
          <w:rFonts w:ascii="GHEA Grapalat" w:hAnsi="GHEA Grapalat"/>
          <w:color w:val="171717" w:themeColor="background2" w:themeShade="1A"/>
        </w:rPr>
      </w:pPr>
      <w:r w:rsidRPr="005A5425">
        <w:rPr>
          <w:rFonts w:ascii="GHEA Grapalat" w:hAnsi="GHEA Grapalat"/>
          <w:color w:val="171717" w:themeColor="background2" w:themeShade="1A"/>
        </w:rPr>
        <w:t>Ծրագրի համար սահմանված 400,000,000 դրամ առավելագույն ընդհանուր ֆինանսավորման չափից,</w:t>
      </w:r>
    </w:p>
    <w:p w14:paraId="2B2B65A7" w14:textId="77777777" w:rsidR="00ED7A92" w:rsidRPr="005A5425" w:rsidRDefault="00ED7A92" w:rsidP="007B7E27">
      <w:pPr>
        <w:numPr>
          <w:ilvl w:val="0"/>
          <w:numId w:val="10"/>
        </w:numPr>
        <w:tabs>
          <w:tab w:val="clear" w:pos="720"/>
          <w:tab w:val="num" w:pos="0"/>
          <w:tab w:val="left" w:pos="284"/>
        </w:tabs>
        <w:spacing w:line="360" w:lineRule="auto"/>
        <w:ind w:left="0" w:firstLine="0"/>
        <w:jc w:val="both"/>
        <w:rPr>
          <w:rFonts w:ascii="GHEA Grapalat" w:hAnsi="GHEA Grapalat"/>
          <w:color w:val="171717" w:themeColor="background2" w:themeShade="1A"/>
        </w:rPr>
      </w:pPr>
      <w:r w:rsidRPr="005A5425">
        <w:rPr>
          <w:rFonts w:ascii="GHEA Grapalat" w:hAnsi="GHEA Grapalat"/>
          <w:color w:val="171717" w:themeColor="background2" w:themeShade="1A"/>
        </w:rPr>
        <w:t>դրական գնահատված և ֆինանսավորման ենթակա շահառուների փաստացի թվից,</w:t>
      </w:r>
    </w:p>
    <w:p w14:paraId="3AE780E0" w14:textId="77777777" w:rsidR="00ED7A92" w:rsidRPr="005A5425" w:rsidRDefault="00ED7A92" w:rsidP="007B7E27">
      <w:pPr>
        <w:numPr>
          <w:ilvl w:val="0"/>
          <w:numId w:val="10"/>
        </w:numPr>
        <w:tabs>
          <w:tab w:val="clear" w:pos="720"/>
          <w:tab w:val="num" w:pos="0"/>
          <w:tab w:val="left" w:pos="284"/>
        </w:tabs>
        <w:spacing w:line="360" w:lineRule="auto"/>
        <w:ind w:left="0" w:firstLine="0"/>
        <w:jc w:val="both"/>
        <w:rPr>
          <w:rFonts w:ascii="GHEA Grapalat" w:hAnsi="GHEA Grapalat"/>
          <w:color w:val="171717" w:themeColor="background2" w:themeShade="1A"/>
        </w:rPr>
      </w:pPr>
      <w:r w:rsidRPr="005A5425">
        <w:rPr>
          <w:rFonts w:ascii="GHEA Grapalat" w:hAnsi="GHEA Grapalat"/>
          <w:color w:val="171717" w:themeColor="background2" w:themeShade="1A"/>
        </w:rPr>
        <w:t>յուրաքանչյուր հաստատված գործարար ծրագրի շրջանակում հիմնավորված աջակցության փաստացի չափից։</w:t>
      </w:r>
    </w:p>
    <w:p w14:paraId="5E47D69B" w14:textId="77777777" w:rsidR="00ED7A92" w:rsidRPr="005A5425" w:rsidRDefault="00ED7A92" w:rsidP="007B7E27">
      <w:pPr>
        <w:spacing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Առնվազն 400 քաղաքացու համար նախատեսվող կրթական բաղադրիչի իրականացման նպատակով պետական բյուջեից ֆինանսական միջոցներ չեն նախատեսվում․ այն կազմակերպվում է միջազգային կազմակերպությունների, զարգացման գործընկերների կամ այլ դոնոր կառույցների աջակցությամբ։ Դիմումների ընդունման, գնահատման, միջոցների փոխանցման, վճարումների, փաստաթղթային ուսումնասիրության և մշտադիտարկման գործառույթներն իրականացվում են Ծրագրին մասնակցող ֆինանսական կազմակերպությունների միջոցով՝ լիազոր մարմնի հետ կնքված պայմանագրերի հիման վրա։ Լիազոր մարմինն իրականացնում է շահառուների վերջնական ցանկի հաստատումը, Ծրագրի ընդհանուր կառավարումը, մշտադիտարկումը և արդյունավետության գնահատումը։</w:t>
      </w:r>
    </w:p>
    <w:p w14:paraId="0500F239" w14:textId="77777777" w:rsidR="0089457B" w:rsidRPr="005A5425" w:rsidRDefault="0089457B" w:rsidP="00B018F9">
      <w:pPr>
        <w:spacing w:line="360" w:lineRule="auto"/>
        <w:jc w:val="both"/>
        <w:rPr>
          <w:rFonts w:ascii="GHEA Grapalat" w:hAnsi="GHEA Grapalat"/>
          <w:color w:val="171717" w:themeColor="background2" w:themeShade="1A"/>
          <w:sz w:val="14"/>
          <w:szCs w:val="14"/>
        </w:rPr>
      </w:pPr>
    </w:p>
    <w:p w14:paraId="10591621" w14:textId="77777777" w:rsidR="00ED7A92" w:rsidRPr="005A5425" w:rsidRDefault="00ED7A92" w:rsidP="00C23263">
      <w:pPr>
        <w:spacing w:line="360" w:lineRule="auto"/>
        <w:ind w:firstLine="567"/>
        <w:jc w:val="both"/>
        <w:rPr>
          <w:rFonts w:ascii="GHEA Grapalat" w:hAnsi="GHEA Grapalat"/>
          <w:b/>
          <w:bCs/>
          <w:color w:val="171717" w:themeColor="background2" w:themeShade="1A"/>
        </w:rPr>
      </w:pPr>
      <w:r w:rsidRPr="005A5425">
        <w:rPr>
          <w:rFonts w:ascii="GHEA Grapalat" w:hAnsi="GHEA Grapalat"/>
          <w:b/>
          <w:bCs/>
          <w:color w:val="171717" w:themeColor="background2" w:themeShade="1A"/>
        </w:rPr>
        <w:t>6. ԾԱԽՍ–ԱՐԴՅՈՒՆԱՎԵՏՈՒԹՅԱՆ ՀԻՄՆԱՎՈՐՈՒՄԸ</w:t>
      </w:r>
    </w:p>
    <w:p w14:paraId="44B2A3EA" w14:textId="77777777" w:rsidR="00ED7A92" w:rsidRPr="005A5425" w:rsidRDefault="00ED7A92" w:rsidP="00ED7A92">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 xml:space="preserve">Ծրագրի ֆինանսավորման նպատակահարմարությունը պայմանավորված է կրթական և ֆինանսական գործիքների համադրմամբ։ Առնվազն 400 քաղաքացու ներգրավումը կրթական ծրագրերում ընդլայնում է թիրախային խմբի գործարար գիտելիքներն ու հմտությունները, իսկ առավելագույնը 200 դրական գնահատված գործարար նախաձեռնությունների ֆինանսավորումը բյուջետային միջոցներն ուղղում է առավել իրատեսական և կենսունակ ծրագրերին։ Հետևաբար, Ծրագրի արդյունքը չի սահմանափակվում միայն աջակցություն </w:t>
      </w:r>
      <w:r w:rsidRPr="005A5425">
        <w:rPr>
          <w:rFonts w:ascii="GHEA Grapalat" w:hAnsi="GHEA Grapalat"/>
          <w:color w:val="171717" w:themeColor="background2" w:themeShade="1A"/>
        </w:rPr>
        <w:lastRenderedPageBreak/>
        <w:t>ստացած անձանց թվով․ կրթական բաղադրիչը կարողությունների զարգացման ավելի լայն ազդեցություն է ապահովում նաև չֆինանսավորված մասնակիցների համար։</w:t>
      </w:r>
    </w:p>
    <w:p w14:paraId="14471D21" w14:textId="77777777" w:rsidR="00ED7A92" w:rsidRPr="005A5425" w:rsidRDefault="00ED7A92" w:rsidP="00ED7A92">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Ծրագրի առավելագույն ընդհանուր ֆինանսավորումը կազմում է 400,000,000 դրամ՝ առավելագույնը 200 շահառուի և մեկ շահառուի համար մինչև 2,000,000 դրամ աջակցության հաշվարկով։ Ոչ նպատակային կամ անարդյունավետ ծախսման ռիսկը սահմանափակվում է ֆինանսական կազմակերպությունների կողմից իրականացվող գործարար ծրագրերի ֆինանսատնտեսական գնահատմամբ, միջոցների հատուկ նպատակային հաշվառմամբ, մատակարարներին ուղղակի անկանխիկ վճարումներով, փաստաթղթային ուսումնասիրությամբ, ռիսկահեն մշտադիտարկմամբ և անհրաժեշտության դեպքում տեղայցերով։ Խախտումների դեպքում նախատեսվում է աջակցության գումարի ամբողջական կամ մասնակի վերադարձ պետական բյուջե։</w:t>
      </w:r>
    </w:p>
    <w:p w14:paraId="07353BA8" w14:textId="77777777" w:rsidR="00ED7A92" w:rsidRPr="005A5425" w:rsidRDefault="00ED7A92" w:rsidP="00ED7A92">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Ծախսարդյունավետության հետագա գնահատման համար Ծրագրով սահմանված են չափելի ցուցանիշներ՝ տնտեսական գործունեության առնվազն 12-ամսյա շարունակականություն, նոր ստեղծված կամ պահպանված ինքնազբաղվածության դեպքերի թիվ, տնտեսական գործունեությունից առաջացող հարկային պարտավորությունների ձևավորում, ինչպես նաև մեկ շահառուի հաշվով աջակցության և արձանագրված արդյունքների հարաբերակցություն։ Այս ցուցանիշների մշտադիտարկումը հնարավորություն կտա փաստացի տվյալների հիման վրա գնահատել Ծրագրի արդյունքները և անհրաժեշտության դեպքում վերանայել դրա պայմանները, ֆինանսավորման ծավալներն ու իրականացման մեխանիզմները։</w:t>
      </w:r>
    </w:p>
    <w:p w14:paraId="203E4625" w14:textId="77777777" w:rsidR="00ED7A92" w:rsidRPr="005A5425" w:rsidRDefault="00ED7A92" w:rsidP="00ED7A92">
      <w:pPr>
        <w:spacing w:before="40"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Ծրագրի մոտեցումը համահունչ է ներառական ձեռնարկատիրության և ակտիվ ծերացման միջազգային քաղաքականություններին, որոնց շրջանակում ուսուցումը, խորհրդատվությունը, նպատակային ֆինանսավորման հասանելիությունը և արդյունքների մշտադիտարկումը կիրառվում են որպես ավագ տարիքի անձանց տնտեսական ներուժի իրացման փոխլրացնող գործիքներ։ Միջազգային փորձի կիրառման կարևորությունն այն է, որ ֆինանսական աջակցությունը կապվում է շահառուի կարողությունների զարգացման, իրատեսական գործարար ծրագրի և գործունեության շարունակականության գնահատման հետ։</w:t>
      </w:r>
    </w:p>
    <w:p w14:paraId="1015B011" w14:textId="77777777" w:rsidR="00ED7A92" w:rsidRPr="005A5425" w:rsidRDefault="00ED7A92" w:rsidP="00B018F9">
      <w:pPr>
        <w:spacing w:line="360" w:lineRule="auto"/>
        <w:jc w:val="both"/>
        <w:rPr>
          <w:rFonts w:ascii="GHEA Grapalat" w:hAnsi="GHEA Grapalat"/>
          <w:color w:val="171717" w:themeColor="background2" w:themeShade="1A"/>
          <w:sz w:val="14"/>
          <w:szCs w:val="14"/>
        </w:rPr>
      </w:pPr>
    </w:p>
    <w:p w14:paraId="2B103F9D" w14:textId="77777777" w:rsidR="00ED7A92" w:rsidRPr="005A5425" w:rsidRDefault="00ED7A92" w:rsidP="00C23263">
      <w:pPr>
        <w:spacing w:line="360" w:lineRule="auto"/>
        <w:ind w:firstLine="567"/>
        <w:jc w:val="both"/>
        <w:rPr>
          <w:rFonts w:ascii="GHEA Grapalat" w:hAnsi="GHEA Grapalat"/>
          <w:b/>
          <w:bCs/>
          <w:color w:val="171717" w:themeColor="background2" w:themeShade="1A"/>
        </w:rPr>
      </w:pPr>
      <w:r w:rsidRPr="005A5425">
        <w:rPr>
          <w:rFonts w:ascii="GHEA Grapalat" w:hAnsi="GHEA Grapalat"/>
          <w:b/>
          <w:bCs/>
          <w:color w:val="171717" w:themeColor="background2" w:themeShade="1A"/>
        </w:rPr>
        <w:t>7. ՀԱՅԱՍՏԱՆԻ ՀԱՆՐԱՊԵՏՈՒԹՅԱՆ ՊԵՏԱԿԱՆ ԲՅՈՒՋԵԻ ՎՐԱ ԱԶԴԵՑՈՒԹՅՈՒՆԸ</w:t>
      </w:r>
    </w:p>
    <w:p w14:paraId="29652FCC" w14:textId="77777777" w:rsidR="00ED7A92" w:rsidRPr="005A5425" w:rsidRDefault="00ED7A92" w:rsidP="00C23263">
      <w:pPr>
        <w:spacing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lastRenderedPageBreak/>
        <w:t>Նախագծի ընդունմամբ նախատեսվում է Հայաստանի Հանրապետության 2027 թվականի պետական բյուջեից առավելագույնը 400,000,000 (չորս հարյուր միլիոն) դրամի հատկացում՝ առավելագույնը 200 շահառուի աջակցության տրամադրման համար։ Միջոցներն ուղղվելու են 2026 թվականին ներկայացված դիմումների հիման վրա ընտրված շահառուներին։ Կրթական բաղադրիչի իրականացման համար պետական բյուջեից միջոցներ չեն նախատեսվում։</w:t>
      </w:r>
    </w:p>
    <w:p w14:paraId="2BDC5D0D" w14:textId="77777777" w:rsidR="00ED7A92" w:rsidRPr="005A5425" w:rsidRDefault="00ED7A92" w:rsidP="00C23263">
      <w:pPr>
        <w:spacing w:line="360" w:lineRule="auto"/>
        <w:ind w:firstLine="567"/>
        <w:jc w:val="both"/>
        <w:rPr>
          <w:rFonts w:ascii="GHEA Grapalat" w:hAnsi="GHEA Grapalat"/>
          <w:b/>
          <w:bCs/>
          <w:color w:val="171717" w:themeColor="background2" w:themeShade="1A"/>
        </w:rPr>
      </w:pPr>
      <w:r w:rsidRPr="005A5425">
        <w:rPr>
          <w:rFonts w:ascii="GHEA Grapalat" w:hAnsi="GHEA Grapalat"/>
          <w:b/>
          <w:bCs/>
          <w:color w:val="171717" w:themeColor="background2" w:themeShade="1A"/>
        </w:rPr>
        <w:t>8. ՆԱԽԱԳԻԾԸ ՄՇԱԿՈՂ ՄԱՐՄԻՆՆԵՐԸ</w:t>
      </w:r>
    </w:p>
    <w:p w14:paraId="3FEA98A2" w14:textId="77777777" w:rsidR="00ED7A92" w:rsidRPr="005A5425" w:rsidRDefault="00ED7A92" w:rsidP="00C23263">
      <w:pPr>
        <w:spacing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 xml:space="preserve">Նախագիծը մշակվել է Հայաստանի Հանրապետության էկոնոմիկայի նախարարության կողմից: </w:t>
      </w:r>
    </w:p>
    <w:p w14:paraId="25EE61AF" w14:textId="77777777" w:rsidR="0089457B" w:rsidRPr="005A5425" w:rsidRDefault="0089457B" w:rsidP="00C23263">
      <w:pPr>
        <w:spacing w:line="360" w:lineRule="auto"/>
        <w:ind w:firstLine="567"/>
        <w:jc w:val="both"/>
        <w:rPr>
          <w:rFonts w:ascii="GHEA Grapalat" w:hAnsi="GHEA Grapalat"/>
          <w:color w:val="171717" w:themeColor="background2" w:themeShade="1A"/>
          <w:sz w:val="14"/>
          <w:szCs w:val="14"/>
        </w:rPr>
      </w:pPr>
    </w:p>
    <w:p w14:paraId="45264074" w14:textId="77777777" w:rsidR="00ED7A92" w:rsidRPr="005A5425" w:rsidRDefault="00ED7A92" w:rsidP="00C23263">
      <w:pPr>
        <w:spacing w:line="360" w:lineRule="auto"/>
        <w:ind w:firstLine="567"/>
        <w:jc w:val="both"/>
        <w:rPr>
          <w:rFonts w:ascii="GHEA Grapalat" w:hAnsi="GHEA Grapalat"/>
          <w:b/>
          <w:bCs/>
          <w:color w:val="171717" w:themeColor="background2" w:themeShade="1A"/>
        </w:rPr>
      </w:pPr>
      <w:r w:rsidRPr="005A5425">
        <w:rPr>
          <w:rFonts w:ascii="GHEA Grapalat" w:hAnsi="GHEA Grapalat"/>
          <w:b/>
          <w:bCs/>
          <w:color w:val="171717" w:themeColor="background2" w:themeShade="1A"/>
        </w:rPr>
        <w:t>9. ԿԱՊԸ ՌԱԶՄԱՎԱՐԱԿԱՆ ԵՎ ՈԼՈՐՏԱՅԻՆ ՓԱՍՏԱԹՂԹԵՐԻ ՀԵՏ</w:t>
      </w:r>
    </w:p>
    <w:p w14:paraId="67837FB9" w14:textId="77777777" w:rsidR="00C04E58" w:rsidRPr="005A5425" w:rsidRDefault="00DE019A" w:rsidP="00C23263">
      <w:pPr>
        <w:spacing w:line="360" w:lineRule="auto"/>
        <w:ind w:firstLine="567"/>
        <w:jc w:val="both"/>
        <w:rPr>
          <w:rFonts w:ascii="GHEA Grapalat" w:hAnsi="GHEA Grapalat"/>
          <w:color w:val="171717" w:themeColor="background2" w:themeShade="1A"/>
        </w:rPr>
      </w:pPr>
      <w:r w:rsidRPr="005A5425">
        <w:rPr>
          <w:rFonts w:ascii="GHEA Grapalat" w:hAnsi="GHEA Grapalat"/>
          <w:color w:val="171717" w:themeColor="background2" w:themeShade="1A"/>
        </w:rPr>
        <w:t>Նախագիծը բխում է ՀՀ կառավարության 2021–2026 թվականների ծրագրով ամրագրված տնտեսական զարգացման, ձեռնարկատիրության խթանման, մարդկային կապիտալի արդյունավետ օգտագործման և ներառական աճի առաջնահերթություններից։ Ծրագրի կարգավորումները միտված են ավագ սերնդի քաղաքացիների տնտեսական ակտիվության բարձրացմանը, ձեռնարկատիրական նախաձեռնությունների խրախուսմանը և նրանց մասնագիտական փորձի ու գիտելիքների տնտեսական իրացմանը։ Միաժամանակ, նախագիծը համահունչ է «Հայաստանի վերափոխման ռազմավարություն 2050» տեսլականին՝ բնակչության մարդկային ներուժի արդյունավետ օգտագործման և ակտիվ ծերացման սկզբունքների իրացման մասով։</w:t>
      </w:r>
    </w:p>
    <w:sectPr w:rsidR="00C04E58" w:rsidRPr="005A5425" w:rsidSect="00F4274C">
      <w:pgSz w:w="11906" w:h="16838"/>
      <w:pgMar w:top="851" w:right="707" w:bottom="709" w:left="85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23"/>
    <w:multiLevelType w:val="hybridMultilevel"/>
    <w:tmpl w:val="1E7A90A2"/>
    <w:lvl w:ilvl="0" w:tplc="183CF664">
      <w:start w:val="1"/>
      <w:numFmt w:val="decimal"/>
      <w:lvlText w:val="%1."/>
      <w:lvlJc w:val="right"/>
      <w:pPr>
        <w:ind w:left="900" w:hanging="360"/>
      </w:pPr>
      <w:rPr>
        <w:rFonts w:hint="default"/>
        <w:b w:val="0"/>
        <w:i w:val="0"/>
        <w:color w:val="auto"/>
        <w:spacing w:val="0"/>
        <w:position w:val="-6"/>
        <w:sz w:val="24"/>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A7A77"/>
    <w:multiLevelType w:val="hybridMultilevel"/>
    <w:tmpl w:val="9CEEE3E0"/>
    <w:lvl w:ilvl="0" w:tplc="EC843FBC">
      <w:numFmt w:val="bullet"/>
      <w:lvlText w:val="-"/>
      <w:lvlJc w:val="left"/>
      <w:pPr>
        <w:ind w:left="1287" w:hanging="360"/>
      </w:pPr>
      <w:rPr>
        <w:rFonts w:ascii="GHEA Grapalat" w:eastAsia="Arial" w:hAnsi="GHEA Grapalat"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D5E0CA1"/>
    <w:multiLevelType w:val="hybridMultilevel"/>
    <w:tmpl w:val="4492EE2A"/>
    <w:lvl w:ilvl="0" w:tplc="10B8A904">
      <w:start w:val="1"/>
      <w:numFmt w:val="decimal"/>
      <w:lvlText w:val="%1)"/>
      <w:lvlJc w:val="righ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6987"/>
    <w:multiLevelType w:val="hybridMultilevel"/>
    <w:tmpl w:val="5D620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203E5A"/>
    <w:multiLevelType w:val="multilevel"/>
    <w:tmpl w:val="7224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B76575"/>
    <w:multiLevelType w:val="multilevel"/>
    <w:tmpl w:val="1B54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952BC3"/>
    <w:multiLevelType w:val="hybridMultilevel"/>
    <w:tmpl w:val="1EF28D0C"/>
    <w:lvl w:ilvl="0" w:tplc="6602B3D2">
      <w:start w:val="1"/>
      <w:numFmt w:val="bullet"/>
      <w:lvlText w:val="●"/>
      <w:lvlJc w:val="left"/>
      <w:pPr>
        <w:ind w:left="720" w:hanging="360"/>
      </w:pPr>
    </w:lvl>
    <w:lvl w:ilvl="1" w:tplc="1E529752">
      <w:start w:val="1"/>
      <w:numFmt w:val="bullet"/>
      <w:lvlText w:val="○"/>
      <w:lvlJc w:val="left"/>
      <w:pPr>
        <w:ind w:left="1440" w:hanging="360"/>
      </w:pPr>
    </w:lvl>
    <w:lvl w:ilvl="2" w:tplc="A086E19C">
      <w:start w:val="1"/>
      <w:numFmt w:val="bullet"/>
      <w:lvlText w:val="■"/>
      <w:lvlJc w:val="left"/>
      <w:pPr>
        <w:ind w:left="2160" w:hanging="360"/>
      </w:pPr>
    </w:lvl>
    <w:lvl w:ilvl="3" w:tplc="AB7E7A0E">
      <w:start w:val="1"/>
      <w:numFmt w:val="bullet"/>
      <w:lvlText w:val="●"/>
      <w:lvlJc w:val="left"/>
      <w:pPr>
        <w:ind w:left="2880" w:hanging="360"/>
      </w:pPr>
    </w:lvl>
    <w:lvl w:ilvl="4" w:tplc="0AC802E8">
      <w:start w:val="1"/>
      <w:numFmt w:val="bullet"/>
      <w:lvlText w:val="○"/>
      <w:lvlJc w:val="left"/>
      <w:pPr>
        <w:ind w:left="3600" w:hanging="360"/>
      </w:pPr>
    </w:lvl>
    <w:lvl w:ilvl="5" w:tplc="F24A8804">
      <w:start w:val="1"/>
      <w:numFmt w:val="bullet"/>
      <w:lvlText w:val="■"/>
      <w:lvlJc w:val="left"/>
      <w:pPr>
        <w:ind w:left="4320" w:hanging="360"/>
      </w:pPr>
    </w:lvl>
    <w:lvl w:ilvl="6" w:tplc="67BC3132">
      <w:start w:val="1"/>
      <w:numFmt w:val="bullet"/>
      <w:lvlText w:val="●"/>
      <w:lvlJc w:val="left"/>
      <w:pPr>
        <w:ind w:left="5040" w:hanging="360"/>
      </w:pPr>
    </w:lvl>
    <w:lvl w:ilvl="7" w:tplc="D9D8D382">
      <w:start w:val="1"/>
      <w:numFmt w:val="bullet"/>
      <w:lvlText w:val="●"/>
      <w:lvlJc w:val="left"/>
      <w:pPr>
        <w:ind w:left="5760" w:hanging="360"/>
      </w:pPr>
    </w:lvl>
    <w:lvl w:ilvl="8" w:tplc="D680A168">
      <w:start w:val="1"/>
      <w:numFmt w:val="bullet"/>
      <w:lvlText w:val="●"/>
      <w:lvlJc w:val="left"/>
      <w:pPr>
        <w:ind w:left="6480" w:hanging="360"/>
      </w:pPr>
    </w:lvl>
  </w:abstractNum>
  <w:abstractNum w:abstractNumId="7" w15:restartNumberingAfterBreak="0">
    <w:nsid w:val="35AD5CC5"/>
    <w:multiLevelType w:val="multilevel"/>
    <w:tmpl w:val="760E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56724D"/>
    <w:multiLevelType w:val="hybridMultilevel"/>
    <w:tmpl w:val="ECE23C3A"/>
    <w:lvl w:ilvl="0" w:tplc="464403E6">
      <w:numFmt w:val="bullet"/>
      <w:lvlText w:val="-"/>
      <w:lvlJc w:val="left"/>
      <w:pPr>
        <w:ind w:left="1527" w:hanging="600"/>
      </w:pPr>
      <w:rPr>
        <w:rFonts w:ascii="GHEA Grapalat" w:eastAsia="Arial" w:hAnsi="GHEA Grapalat"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68A126E6"/>
    <w:multiLevelType w:val="hybridMultilevel"/>
    <w:tmpl w:val="DCBEEA6E"/>
    <w:lvl w:ilvl="0" w:tplc="10B8A904">
      <w:start w:val="1"/>
      <w:numFmt w:val="decimal"/>
      <w:lvlText w:val="%1)"/>
      <w:lvlJc w:val="righ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3B2034"/>
    <w:multiLevelType w:val="hybridMultilevel"/>
    <w:tmpl w:val="27C64608"/>
    <w:lvl w:ilvl="0" w:tplc="FDECFF7E">
      <w:numFmt w:val="bullet"/>
      <w:lvlText w:val="-"/>
      <w:lvlJc w:val="left"/>
      <w:pPr>
        <w:ind w:left="720" w:hanging="360"/>
      </w:pPr>
      <w:rPr>
        <w:rFonts w:ascii="GHEA Grapalat" w:eastAsia="Arial"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FB1985"/>
    <w:multiLevelType w:val="hybridMultilevel"/>
    <w:tmpl w:val="8E7A771E"/>
    <w:lvl w:ilvl="0" w:tplc="10B8A904">
      <w:start w:val="1"/>
      <w:numFmt w:val="decimal"/>
      <w:lvlText w:val="%1)"/>
      <w:lvlJc w:val="right"/>
      <w:pPr>
        <w:ind w:left="1647" w:hanging="360"/>
      </w:pPr>
      <w:rPr>
        <w:rFonts w:hint="default"/>
        <w:b w:val="0"/>
        <w:i w:val="0"/>
        <w:sz w:val="24"/>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2" w15:restartNumberingAfterBreak="0">
    <w:nsid w:val="7F5C4016"/>
    <w:multiLevelType w:val="multilevel"/>
    <w:tmpl w:val="A426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06194">
    <w:abstractNumId w:val="6"/>
    <w:lvlOverride w:ilvl="0">
      <w:startOverride w:val="1"/>
    </w:lvlOverride>
  </w:num>
  <w:num w:numId="2" w16cid:durableId="315497163">
    <w:abstractNumId w:val="9"/>
  </w:num>
  <w:num w:numId="3" w16cid:durableId="195627449">
    <w:abstractNumId w:val="10"/>
  </w:num>
  <w:num w:numId="4" w16cid:durableId="789787119">
    <w:abstractNumId w:val="2"/>
  </w:num>
  <w:num w:numId="5" w16cid:durableId="824400857">
    <w:abstractNumId w:val="8"/>
  </w:num>
  <w:num w:numId="6" w16cid:durableId="1160392063">
    <w:abstractNumId w:val="11"/>
  </w:num>
  <w:num w:numId="7" w16cid:durableId="1863397327">
    <w:abstractNumId w:val="1"/>
  </w:num>
  <w:num w:numId="8" w16cid:durableId="2060543632">
    <w:abstractNumId w:val="4"/>
  </w:num>
  <w:num w:numId="9" w16cid:durableId="508325554">
    <w:abstractNumId w:val="12"/>
  </w:num>
  <w:num w:numId="10" w16cid:durableId="514000989">
    <w:abstractNumId w:val="5"/>
  </w:num>
  <w:num w:numId="11" w16cid:durableId="1693416356">
    <w:abstractNumId w:val="7"/>
  </w:num>
  <w:num w:numId="12" w16cid:durableId="715591003">
    <w:abstractNumId w:val="3"/>
  </w:num>
  <w:num w:numId="13" w16cid:durableId="1670137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5D6"/>
    <w:rsid w:val="000131A4"/>
    <w:rsid w:val="00067BB6"/>
    <w:rsid w:val="00094C3D"/>
    <w:rsid w:val="000A477B"/>
    <w:rsid w:val="000B3B01"/>
    <w:rsid w:val="000C7278"/>
    <w:rsid w:val="00101E2D"/>
    <w:rsid w:val="00114584"/>
    <w:rsid w:val="001B10AB"/>
    <w:rsid w:val="001B4178"/>
    <w:rsid w:val="001B42FE"/>
    <w:rsid w:val="00214564"/>
    <w:rsid w:val="002445DB"/>
    <w:rsid w:val="00272777"/>
    <w:rsid w:val="00277E6D"/>
    <w:rsid w:val="002840F7"/>
    <w:rsid w:val="002938D7"/>
    <w:rsid w:val="002A2DF2"/>
    <w:rsid w:val="002A3CCD"/>
    <w:rsid w:val="002B582D"/>
    <w:rsid w:val="002C011B"/>
    <w:rsid w:val="002D7113"/>
    <w:rsid w:val="00311015"/>
    <w:rsid w:val="00372B82"/>
    <w:rsid w:val="003768FD"/>
    <w:rsid w:val="003F2C26"/>
    <w:rsid w:val="00435E46"/>
    <w:rsid w:val="00461410"/>
    <w:rsid w:val="00466E61"/>
    <w:rsid w:val="00521E36"/>
    <w:rsid w:val="00522005"/>
    <w:rsid w:val="005451B2"/>
    <w:rsid w:val="00553C55"/>
    <w:rsid w:val="0056199A"/>
    <w:rsid w:val="00567362"/>
    <w:rsid w:val="005A5425"/>
    <w:rsid w:val="005C3C3E"/>
    <w:rsid w:val="005D22C4"/>
    <w:rsid w:val="00600740"/>
    <w:rsid w:val="0061653F"/>
    <w:rsid w:val="006452EC"/>
    <w:rsid w:val="00654CD9"/>
    <w:rsid w:val="006812B2"/>
    <w:rsid w:val="00695DB8"/>
    <w:rsid w:val="00696E7B"/>
    <w:rsid w:val="006B6B9F"/>
    <w:rsid w:val="006D3CA6"/>
    <w:rsid w:val="006E7563"/>
    <w:rsid w:val="00712566"/>
    <w:rsid w:val="0071513E"/>
    <w:rsid w:val="007373C4"/>
    <w:rsid w:val="0076140C"/>
    <w:rsid w:val="00790F36"/>
    <w:rsid w:val="007B7E27"/>
    <w:rsid w:val="007D0CFB"/>
    <w:rsid w:val="007F3F35"/>
    <w:rsid w:val="007F74D6"/>
    <w:rsid w:val="008101F1"/>
    <w:rsid w:val="0089457B"/>
    <w:rsid w:val="008A79A5"/>
    <w:rsid w:val="008B4970"/>
    <w:rsid w:val="00912B0F"/>
    <w:rsid w:val="00925025"/>
    <w:rsid w:val="009806AD"/>
    <w:rsid w:val="009813BF"/>
    <w:rsid w:val="009D3101"/>
    <w:rsid w:val="00A040FE"/>
    <w:rsid w:val="00AC155D"/>
    <w:rsid w:val="00B018F9"/>
    <w:rsid w:val="00B01C6C"/>
    <w:rsid w:val="00B244CA"/>
    <w:rsid w:val="00B51472"/>
    <w:rsid w:val="00B80BD1"/>
    <w:rsid w:val="00B912E3"/>
    <w:rsid w:val="00BC03BC"/>
    <w:rsid w:val="00BD0353"/>
    <w:rsid w:val="00BE5315"/>
    <w:rsid w:val="00C04E58"/>
    <w:rsid w:val="00C23263"/>
    <w:rsid w:val="00C42FAA"/>
    <w:rsid w:val="00C432A4"/>
    <w:rsid w:val="00C47170"/>
    <w:rsid w:val="00C47813"/>
    <w:rsid w:val="00CA5CE1"/>
    <w:rsid w:val="00CC6CB0"/>
    <w:rsid w:val="00D05995"/>
    <w:rsid w:val="00D10031"/>
    <w:rsid w:val="00D36A79"/>
    <w:rsid w:val="00D427CB"/>
    <w:rsid w:val="00D43B16"/>
    <w:rsid w:val="00D71DE3"/>
    <w:rsid w:val="00DA03BE"/>
    <w:rsid w:val="00DC3666"/>
    <w:rsid w:val="00DC38A7"/>
    <w:rsid w:val="00DE019A"/>
    <w:rsid w:val="00DE5AC1"/>
    <w:rsid w:val="00E305D6"/>
    <w:rsid w:val="00E54CC6"/>
    <w:rsid w:val="00E54F93"/>
    <w:rsid w:val="00E55DDF"/>
    <w:rsid w:val="00E84714"/>
    <w:rsid w:val="00ED0FA1"/>
    <w:rsid w:val="00ED7A92"/>
    <w:rsid w:val="00F1754F"/>
    <w:rsid w:val="00F25F50"/>
    <w:rsid w:val="00F4274C"/>
    <w:rsid w:val="00F55AE9"/>
    <w:rsid w:val="00F80128"/>
    <w:rsid w:val="00F87783"/>
    <w:rsid w:val="00FC37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369A4"/>
  <w15:docId w15:val="{E94F351F-B29C-4055-88C2-5487ED21B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C26"/>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344986">
      <w:bodyDiv w:val="1"/>
      <w:marLeft w:val="0"/>
      <w:marRight w:val="0"/>
      <w:marTop w:val="0"/>
      <w:marBottom w:val="0"/>
      <w:divBdr>
        <w:top w:val="none" w:sz="0" w:space="0" w:color="auto"/>
        <w:left w:val="none" w:sz="0" w:space="0" w:color="auto"/>
        <w:bottom w:val="none" w:sz="0" w:space="0" w:color="auto"/>
        <w:right w:val="none" w:sz="0" w:space="0" w:color="auto"/>
      </w:divBdr>
      <w:divsChild>
        <w:div w:id="190247697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99401611">
      <w:bodyDiv w:val="1"/>
      <w:marLeft w:val="0"/>
      <w:marRight w:val="0"/>
      <w:marTop w:val="0"/>
      <w:marBottom w:val="0"/>
      <w:divBdr>
        <w:top w:val="none" w:sz="0" w:space="0" w:color="auto"/>
        <w:left w:val="none" w:sz="0" w:space="0" w:color="auto"/>
        <w:bottom w:val="none" w:sz="0" w:space="0" w:color="auto"/>
        <w:right w:val="none" w:sz="0" w:space="0" w:color="auto"/>
      </w:divBdr>
    </w:div>
    <w:div w:id="747338896">
      <w:bodyDiv w:val="1"/>
      <w:marLeft w:val="0"/>
      <w:marRight w:val="0"/>
      <w:marTop w:val="0"/>
      <w:marBottom w:val="0"/>
      <w:divBdr>
        <w:top w:val="none" w:sz="0" w:space="0" w:color="auto"/>
        <w:left w:val="none" w:sz="0" w:space="0" w:color="auto"/>
        <w:bottom w:val="none" w:sz="0" w:space="0" w:color="auto"/>
        <w:right w:val="none" w:sz="0" w:space="0" w:color="auto"/>
      </w:divBdr>
    </w:div>
    <w:div w:id="908534820">
      <w:bodyDiv w:val="1"/>
      <w:marLeft w:val="0"/>
      <w:marRight w:val="0"/>
      <w:marTop w:val="0"/>
      <w:marBottom w:val="0"/>
      <w:divBdr>
        <w:top w:val="none" w:sz="0" w:space="0" w:color="auto"/>
        <w:left w:val="none" w:sz="0" w:space="0" w:color="auto"/>
        <w:bottom w:val="none" w:sz="0" w:space="0" w:color="auto"/>
        <w:right w:val="none" w:sz="0" w:space="0" w:color="auto"/>
      </w:divBdr>
    </w:div>
    <w:div w:id="1820994620">
      <w:bodyDiv w:val="1"/>
      <w:marLeft w:val="0"/>
      <w:marRight w:val="0"/>
      <w:marTop w:val="0"/>
      <w:marBottom w:val="0"/>
      <w:divBdr>
        <w:top w:val="none" w:sz="0" w:space="0" w:color="auto"/>
        <w:left w:val="none" w:sz="0" w:space="0" w:color="auto"/>
        <w:bottom w:val="none" w:sz="0" w:space="0" w:color="auto"/>
        <w:right w:val="none" w:sz="0" w:space="0" w:color="auto"/>
      </w:divBdr>
    </w:div>
    <w:div w:id="1963074898">
      <w:bodyDiv w:val="1"/>
      <w:marLeft w:val="0"/>
      <w:marRight w:val="0"/>
      <w:marTop w:val="0"/>
      <w:marBottom w:val="0"/>
      <w:divBdr>
        <w:top w:val="none" w:sz="0" w:space="0" w:color="auto"/>
        <w:left w:val="none" w:sz="0" w:space="0" w:color="auto"/>
        <w:bottom w:val="none" w:sz="0" w:space="0" w:color="auto"/>
        <w:right w:val="none" w:sz="0" w:space="0" w:color="auto"/>
      </w:divBdr>
    </w:div>
    <w:div w:id="20341091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73DE4-793F-4349-8438-BC3675BF2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3369</Words>
  <Characters>19209</Characters>
  <Application>Microsoft Office Word</Application>
  <DocSecurity>0</DocSecurity>
  <Lines>160</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keywords>https:/mul2-mineconomy.gov.am/tasks/1069601/oneclick?token=27a46a577c8f59a8436d862fb184994c</cp:keywords>
  <cp:lastModifiedBy>Hripsime Hovhannisyan</cp:lastModifiedBy>
  <cp:revision>3</cp:revision>
  <dcterms:created xsi:type="dcterms:W3CDTF">2026-11-03T11:13:00Z</dcterms:created>
  <dcterms:modified xsi:type="dcterms:W3CDTF">2026-11-03T11:13:00Z</dcterms:modified>
</cp:coreProperties>
</file>