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47EC2" w14:textId="08275D92" w:rsidR="00B7243B" w:rsidRPr="00C74A4E" w:rsidRDefault="002F7DA6" w:rsidP="00C74A4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C74A4E">
        <w:rPr>
          <w:rFonts w:ascii="GHEA Grapalat" w:hAnsi="GHEA Grapalat"/>
          <w:b/>
          <w:lang w:val="hy-AM"/>
        </w:rPr>
        <w:t>ՀԻՄՆԱՎՈՐՈՒՄ</w:t>
      </w:r>
    </w:p>
    <w:p w14:paraId="48986309" w14:textId="2B7FDD96" w:rsidR="00B7243B" w:rsidRPr="00C74A4E" w:rsidRDefault="008F7B75" w:rsidP="00C74A4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C74A4E">
        <w:rPr>
          <w:rFonts w:ascii="GHEA Grapalat" w:hAnsi="GHEA Grapalat"/>
          <w:b/>
          <w:lang w:val="hy-AM"/>
        </w:rPr>
        <w:t>«</w:t>
      </w:r>
      <w:r w:rsidR="00D71D20" w:rsidRPr="00C74A4E">
        <w:rPr>
          <w:rFonts w:ascii="GHEA Grapalat" w:hAnsi="GHEA Grapalat"/>
          <w:b/>
          <w:lang w:val="hy-AM"/>
        </w:rPr>
        <w:t>Ճանապարհային երթևեկության անվտանգության ապահովման մասին» օրենքում լրացումներ և փոփոխություններ կատարելու մասին» օրենքի և հարակից օրենքների նախագծերի ընդունման անհետաձգելիության վերաբերյալ</w:t>
      </w:r>
    </w:p>
    <w:p w14:paraId="191C1DC0" w14:textId="77777777" w:rsidR="00B7243B" w:rsidRPr="00C74A4E" w:rsidRDefault="00B7243B" w:rsidP="00C74A4E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14:paraId="0E16811F" w14:textId="3782DCB6" w:rsidR="005F36DF" w:rsidRPr="00C74A4E" w:rsidRDefault="005F36DF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նախագծերը մշակվել են, մասնավորապես, ներքոշարադրյալ նպատակներով՝</w:t>
      </w:r>
    </w:p>
    <w:p w14:paraId="74C27C3D" w14:textId="04555B09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color w:val="EE0000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 xml:space="preserve">1) նախատեսել հնարավորություն՝ տեխնիկական միջոցների կիրառմամբ իրականացնելու </w:t>
      </w:r>
      <w:r w:rsidRPr="00C74A4E">
        <w:rPr>
          <w:rFonts w:ascii="GHEA Grapalat" w:hAnsi="GHEA Grapalat"/>
          <w:b/>
          <w:bCs/>
          <w:sz w:val="24"/>
          <w:szCs w:val="24"/>
        </w:rPr>
        <w:t>թմրանյութի</w:t>
      </w:r>
      <w:r w:rsidRPr="00C74A4E">
        <w:rPr>
          <w:rFonts w:ascii="GHEA Grapalat" w:hAnsi="GHEA Grapalat"/>
          <w:sz w:val="24"/>
          <w:szCs w:val="24"/>
        </w:rPr>
        <w:t xml:space="preserve"> օգտագործմամբ պայմանավորված ոչ սթափ վիճակում գտնվելու փաստի ստուգում և դրա հիմքով կիրառել վարչական պատասխանատվություն,</w:t>
      </w:r>
      <w:r w:rsidRPr="00C74A4E">
        <w:rPr>
          <w:rFonts w:ascii="GHEA Grapalat" w:hAnsi="GHEA Grapalat"/>
          <w:color w:val="EE0000"/>
          <w:sz w:val="24"/>
          <w:szCs w:val="24"/>
        </w:rPr>
        <w:t xml:space="preserve"> </w:t>
      </w:r>
    </w:p>
    <w:p w14:paraId="642533CF" w14:textId="77777777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color w:val="EE0000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>2)</w:t>
      </w:r>
      <w:r w:rsidRPr="00C74A4E">
        <w:rPr>
          <w:rFonts w:ascii="GHEA Grapalat" w:hAnsi="GHEA Grapalat" w:cs="Arial"/>
          <w:sz w:val="24"/>
          <w:szCs w:val="24"/>
        </w:rPr>
        <w:t xml:space="preserve"> 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>խստացնել</w:t>
      </w:r>
      <w:r w:rsidRPr="00C74A4E">
        <w:rPr>
          <w:rFonts w:ascii="GHEA Grapalat" w:hAnsi="GHEA Grapalat" w:cs="Arial"/>
          <w:sz w:val="24"/>
          <w:szCs w:val="24"/>
        </w:rPr>
        <w:t xml:space="preserve"> ո</w:t>
      </w:r>
      <w:r w:rsidRPr="00C74A4E">
        <w:rPr>
          <w:rFonts w:ascii="GHEA Grapalat" w:hAnsi="GHEA Grapalat"/>
          <w:sz w:val="24"/>
          <w:szCs w:val="24"/>
        </w:rPr>
        <w:t>րոշ ճանապարհային նշանների (</w:t>
      </w:r>
      <w:r w:rsidRPr="00C74A4E">
        <w:rPr>
          <w:rFonts w:ascii="GHEA Grapalat" w:hAnsi="GHEA Grapalat"/>
          <w:b/>
          <w:bCs/>
          <w:sz w:val="24"/>
          <w:szCs w:val="24"/>
        </w:rPr>
        <w:t>«Մուտքն արգելվում է»,</w:t>
      </w:r>
      <w:r w:rsidRPr="00C74A4E">
        <w:rPr>
          <w:rFonts w:ascii="GHEA Grapalat" w:hAnsi="GHEA Grapalat"/>
          <w:sz w:val="24"/>
          <w:szCs w:val="24"/>
        </w:rPr>
        <w:t xml:space="preserve"> </w:t>
      </w:r>
      <w:r w:rsidRPr="00C74A4E">
        <w:rPr>
          <w:rFonts w:ascii="GHEA Grapalat" w:hAnsi="GHEA Grapalat"/>
          <w:b/>
          <w:bCs/>
          <w:sz w:val="24"/>
          <w:szCs w:val="24"/>
        </w:rPr>
        <w:t>«Բեռնատար ավտոմոբիլների երթևեկությունն արգելվում է»,</w:t>
      </w:r>
      <w:r w:rsidRPr="00C74A4E">
        <w:rPr>
          <w:rFonts w:ascii="GHEA Grapalat" w:hAnsi="GHEA Grapalat"/>
          <w:sz w:val="24"/>
          <w:szCs w:val="24"/>
        </w:rPr>
        <w:t xml:space="preserve"> </w:t>
      </w:r>
      <w:r w:rsidRPr="00C74A4E">
        <w:rPr>
          <w:rFonts w:ascii="GHEA Grapalat" w:eastAsia="+mj-ea" w:hAnsi="GHEA Grapalat" w:cs="+mj-cs"/>
          <w:b/>
          <w:kern w:val="24"/>
          <w:sz w:val="24"/>
          <w:szCs w:val="24"/>
        </w:rPr>
        <w:t xml:space="preserve">«Երթևեկության ուղղություն բեռնատար ավտոմոբիլների համար» կամ «Կանգառն արգելվում է»), 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>ինչպես նաև</w:t>
      </w:r>
      <w:r w:rsidRPr="00C74A4E">
        <w:rPr>
          <w:rFonts w:ascii="GHEA Grapalat" w:eastAsia="+mj-ea" w:hAnsi="GHEA Grapalat" w:cs="+mj-cs"/>
          <w:b/>
          <w:kern w:val="24"/>
          <w:sz w:val="24"/>
          <w:szCs w:val="24"/>
        </w:rPr>
        <w:t xml:space="preserve"> կանգառն ու կայանումն արգելող գծանշումների 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>պահանջները խախտելու համար</w:t>
      </w:r>
      <w:r w:rsidRPr="00C74A4E">
        <w:rPr>
          <w:rFonts w:ascii="GHEA Grapalat" w:eastAsia="+mj-ea" w:hAnsi="GHEA Grapalat" w:cs="+mj-cs"/>
          <w:b/>
          <w:kern w:val="24"/>
          <w:sz w:val="24"/>
          <w:szCs w:val="24"/>
        </w:rPr>
        <w:t xml:space="preserve"> 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>պատասխանատվությունը,</w:t>
      </w:r>
    </w:p>
    <w:p w14:paraId="02416B96" w14:textId="77777777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color w:val="EE0000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 xml:space="preserve">3) խստացնել տրանսպորտային միջոցների վարորդների կողմից </w:t>
      </w:r>
      <w:r w:rsidRPr="00C74A4E">
        <w:rPr>
          <w:rFonts w:ascii="GHEA Grapalat" w:hAnsi="GHEA Grapalat"/>
          <w:b/>
          <w:bCs/>
          <w:sz w:val="24"/>
          <w:szCs w:val="24"/>
        </w:rPr>
        <w:t>մինչև 12 տարեկան երեխաների</w:t>
      </w:r>
      <w:r w:rsidRPr="00C74A4E">
        <w:rPr>
          <w:rFonts w:ascii="GHEA Grapalat" w:hAnsi="GHEA Grapalat"/>
          <w:sz w:val="24"/>
          <w:szCs w:val="24"/>
        </w:rPr>
        <w:t xml:space="preserve"> փոխադրման կանոնները խախտելու համար պատասխանատվությունը,</w:t>
      </w:r>
    </w:p>
    <w:p w14:paraId="22C915BD" w14:textId="77777777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color w:val="EE0000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 xml:space="preserve">4) խստացնել տրանսպորտային միջոցը </w:t>
      </w:r>
      <w:r w:rsidRPr="00C74A4E">
        <w:rPr>
          <w:rFonts w:ascii="GHEA Grapalat" w:hAnsi="GHEA Grapalat"/>
          <w:b/>
          <w:bCs/>
          <w:sz w:val="24"/>
          <w:szCs w:val="24"/>
        </w:rPr>
        <w:t>երթևեկելի մասի երկրորդ կամ ավելի շարքում</w:t>
      </w:r>
      <w:r w:rsidRPr="00C74A4E">
        <w:rPr>
          <w:rFonts w:ascii="GHEA Grapalat" w:hAnsi="GHEA Grapalat"/>
          <w:sz w:val="24"/>
          <w:szCs w:val="24"/>
        </w:rPr>
        <w:t xml:space="preserve"> </w:t>
      </w:r>
      <w:r w:rsidRPr="00C74A4E">
        <w:rPr>
          <w:rFonts w:ascii="GHEA Grapalat" w:hAnsi="GHEA Grapalat"/>
          <w:b/>
          <w:bCs/>
          <w:sz w:val="24"/>
          <w:szCs w:val="24"/>
        </w:rPr>
        <w:t>տեղակայելու</w:t>
      </w:r>
      <w:r w:rsidRPr="00C74A4E">
        <w:rPr>
          <w:rFonts w:ascii="GHEA Grapalat" w:hAnsi="GHEA Grapalat"/>
          <w:sz w:val="24"/>
          <w:szCs w:val="24"/>
        </w:rPr>
        <w:t xml:space="preserve"> համար պատասխանատվությունը,</w:t>
      </w:r>
    </w:p>
    <w:p w14:paraId="1753A8A4" w14:textId="77777777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 xml:space="preserve">5) 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 xml:space="preserve">խստացնել տրանսպորտային միջոցների վարորդների կողմից </w:t>
      </w:r>
      <w:r w:rsidRPr="00C74A4E">
        <w:rPr>
          <w:rFonts w:ascii="GHEA Grapalat" w:eastAsia="+mj-ea" w:hAnsi="GHEA Grapalat" w:cs="+mj-cs"/>
          <w:b/>
          <w:kern w:val="24"/>
          <w:sz w:val="24"/>
          <w:szCs w:val="24"/>
        </w:rPr>
        <w:t>կանգառի և (կամ) կայանման կանոնները խախտելու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 xml:space="preserve"> համար պատասխանատվությունը,</w:t>
      </w:r>
      <w:r w:rsidRPr="00C74A4E">
        <w:rPr>
          <w:rFonts w:ascii="Calibri" w:eastAsia="+mj-ea" w:hAnsi="Calibri" w:cs="Calibri"/>
          <w:bCs/>
          <w:kern w:val="24"/>
          <w:sz w:val="24"/>
          <w:szCs w:val="24"/>
        </w:rPr>
        <w:t> 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</w:rPr>
        <w:t>եթե դրա պատճառով տրանսպորտային միջոցը տարհանվել է պահպանվող հատուկ տարածք,</w:t>
      </w:r>
      <w:r w:rsidRPr="00C74A4E">
        <w:rPr>
          <w:rFonts w:ascii="GHEA Grapalat" w:eastAsia="+mj-ea" w:hAnsi="GHEA Grapalat" w:cs="+mj-cs"/>
          <w:bCs/>
          <w:color w:val="EE0000"/>
          <w:kern w:val="24"/>
          <w:sz w:val="24"/>
          <w:szCs w:val="24"/>
        </w:rPr>
        <w:t xml:space="preserve">  </w:t>
      </w:r>
    </w:p>
    <w:p w14:paraId="7F794FCD" w14:textId="77777777" w:rsidR="009F73FD" w:rsidRPr="00C74A4E" w:rsidRDefault="009F73FD" w:rsidP="00C74A4E">
      <w:pPr>
        <w:pStyle w:val="NoSpacing"/>
        <w:ind w:left="-709" w:firstLine="540"/>
        <w:jc w:val="both"/>
        <w:rPr>
          <w:rFonts w:ascii="GHEA Grapalat" w:hAnsi="GHEA Grapalat"/>
          <w:sz w:val="24"/>
          <w:szCs w:val="24"/>
        </w:rPr>
      </w:pPr>
      <w:r w:rsidRPr="00C74A4E">
        <w:rPr>
          <w:rFonts w:ascii="GHEA Grapalat" w:hAnsi="GHEA Grapalat"/>
          <w:sz w:val="24"/>
          <w:szCs w:val="24"/>
        </w:rPr>
        <w:t xml:space="preserve">6) խստացնել ընդհանուր օգտագործման տրանսպորտային միջոցների </w:t>
      </w:r>
      <w:r w:rsidRPr="00C74A4E">
        <w:rPr>
          <w:rFonts w:ascii="GHEA Grapalat" w:hAnsi="GHEA Grapalat"/>
          <w:b/>
          <w:bCs/>
          <w:sz w:val="24"/>
          <w:szCs w:val="24"/>
        </w:rPr>
        <w:t>կանգառի կետի տարածքում կանգառ կատարելու կամ կայանելու կամ երթևեկելի մասի եզրին ոչ զուգահեռ կայանելու</w:t>
      </w:r>
      <w:r w:rsidRPr="00C74A4E">
        <w:rPr>
          <w:rFonts w:ascii="GHEA Grapalat" w:hAnsi="GHEA Grapalat"/>
          <w:sz w:val="24"/>
          <w:szCs w:val="24"/>
        </w:rPr>
        <w:t xml:space="preserve"> համար պատասխանատվությունը,</w:t>
      </w:r>
    </w:p>
    <w:p w14:paraId="6BF75C76" w14:textId="77777777" w:rsidR="009F73FD" w:rsidRPr="00C74A4E" w:rsidRDefault="009F73FD" w:rsidP="00C74A4E">
      <w:pPr>
        <w:spacing w:after="0" w:line="240" w:lineRule="auto"/>
        <w:ind w:left="-709" w:firstLine="540"/>
        <w:jc w:val="both"/>
        <w:rPr>
          <w:rFonts w:ascii="GHEA Grapalat" w:eastAsia="+mj-ea" w:hAnsi="GHEA Grapalat" w:cs="+mj-cs"/>
          <w:color w:val="EE0000"/>
          <w:kern w:val="24"/>
          <w:sz w:val="24"/>
          <w:szCs w:val="24"/>
          <w:lang w:val="hy-AM"/>
        </w:rPr>
      </w:pPr>
      <w:r w:rsidRPr="00C74A4E">
        <w:rPr>
          <w:rFonts w:ascii="GHEA Grapalat" w:eastAsia="+mj-ea" w:hAnsi="GHEA Grapalat" w:cs="+mj-cs"/>
          <w:bCs/>
          <w:kern w:val="24"/>
          <w:sz w:val="24"/>
          <w:szCs w:val="24"/>
          <w:lang w:val="hy-AM"/>
        </w:rPr>
        <w:t>7) անհատական շարժունակության (տեղաշարժման) միջոցների վերաբերյալ առկա կարգավորումներում կատարել որոշակի շտկումներ՝ պայմանավորված այդ կարգավորումների գործնական կիրառման ընթացքում ի հայտ եկած խնդիրների լուծմամբ,</w:t>
      </w:r>
      <w:r w:rsidRPr="00C74A4E">
        <w:rPr>
          <w:rFonts w:ascii="GHEA Grapalat" w:eastAsia="+mj-ea" w:hAnsi="GHEA Grapalat" w:cs="+mj-cs"/>
          <w:color w:val="EE0000"/>
          <w:kern w:val="24"/>
          <w:sz w:val="24"/>
          <w:szCs w:val="24"/>
          <w:lang w:val="hy-AM"/>
        </w:rPr>
        <w:t xml:space="preserve"> </w:t>
      </w:r>
    </w:p>
    <w:p w14:paraId="0BA317C7" w14:textId="77777777" w:rsidR="009F73FD" w:rsidRPr="00C74A4E" w:rsidRDefault="009F73FD" w:rsidP="00C74A4E">
      <w:pPr>
        <w:spacing w:after="0" w:line="240" w:lineRule="auto"/>
        <w:ind w:left="-709" w:firstLine="540"/>
        <w:jc w:val="both"/>
        <w:rPr>
          <w:rFonts w:ascii="GHEA Grapalat" w:hAnsi="GHEA Grapalat"/>
          <w:bCs/>
          <w:iCs/>
          <w:color w:val="EE0000"/>
          <w:sz w:val="24"/>
          <w:szCs w:val="24"/>
          <w:lang w:val="hy-AM"/>
        </w:rPr>
      </w:pPr>
      <w:r w:rsidRPr="00C74A4E">
        <w:rPr>
          <w:rFonts w:ascii="GHEA Grapalat" w:eastAsia="+mj-ea" w:hAnsi="GHEA Grapalat" w:cs="+mj-cs"/>
          <w:kern w:val="24"/>
          <w:sz w:val="24"/>
          <w:szCs w:val="24"/>
          <w:lang w:val="hy-AM"/>
        </w:rPr>
        <w:t>8) հանցավորության դեմ պայքարի միասնական քաղաքականության առկայությանը զուհագեռ՝ բացառել</w:t>
      </w:r>
      <w:r w:rsidRPr="00C74A4E">
        <w:rPr>
          <w:rFonts w:ascii="GHEA Grapalat" w:eastAsia="+mj-ea" w:hAnsi="GHEA Grapalat" w:cs="+mj-cs"/>
          <w:b/>
          <w:bCs/>
          <w:kern w:val="24"/>
          <w:sz w:val="24"/>
          <w:szCs w:val="24"/>
          <w:lang w:val="hy-AM"/>
        </w:rPr>
        <w:t xml:space="preserve"> դրա և հանրային առողջության պահպանման առանձին դրսևորումների (թմրամոլության և թմրամիջոցների ապօրինի շրջանառության դեմ պայքարի)</w:t>
      </w:r>
      <w:r w:rsidRPr="00C74A4E">
        <w:rPr>
          <w:rFonts w:ascii="GHEA Grapalat" w:eastAsia="+mj-ea" w:hAnsi="GHEA Grapalat" w:cs="+mj-cs"/>
          <w:bCs/>
          <w:kern w:val="24"/>
          <w:sz w:val="24"/>
          <w:szCs w:val="24"/>
          <w:lang w:val="hy-AM"/>
        </w:rPr>
        <w:t xml:space="preserve"> համար տարեկան առանձին ծրագրի մշակումը և այն պետական բյուջեի նախագծի կազմում ԱԺ ներկայացնելը</w:t>
      </w:r>
      <w:r w:rsidRPr="00C74A4E">
        <w:rPr>
          <w:rFonts w:ascii="GHEA Grapalat" w:eastAsia="+mj-ea" w:hAnsi="GHEA Grapalat" w:cs="+mj-cs"/>
          <w:kern w:val="24"/>
          <w:sz w:val="24"/>
          <w:szCs w:val="24"/>
          <w:lang w:val="hy-AM"/>
        </w:rPr>
        <w:t xml:space="preserve">։ </w:t>
      </w:r>
    </w:p>
    <w:p w14:paraId="39CD842D" w14:textId="57CD3D99" w:rsidR="008F7B75" w:rsidRPr="00C74A4E" w:rsidRDefault="00174EC2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ործող կարգավորումների պայմաններում </w:t>
      </w:r>
      <w:r w:rsidR="001D21E8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թմրամիջոցների ազդեցության տակ տրանսպորտային միջոցներ վարելու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դեպքերի 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պարզ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ումը պահանջում է </w:t>
      </w:r>
      <w:r w:rsidR="001D21E8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տևական ժամանակ, ներառյալ՝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բժշկական կազմակերպությունների կողմից արյան կամ մեզի հետազոտության իրականացում, ինչը սահմանափակում է իրավախախտումների հայտնաբերման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օպերատիվությունը</w:t>
      </w:r>
      <w:r w:rsidR="001D21E8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նաև՝ հետագա հնարավոր ն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մանատիպ</w:t>
      </w:r>
      <w:r w:rsidR="001D21E8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իրավախախտումների կանխարգելման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գործընթացի 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արդյունավետությունը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14:paraId="1C54782F" w14:textId="0CA513F7" w:rsidR="008F7B75" w:rsidRPr="00C74A4E" w:rsidRDefault="001D21E8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Բացի այդ, այսօրեական հրամայական է երեխաներին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տրանսպորտային միջոցներով անվտանգ փոխադր</w:t>
      </w:r>
      <w:r w:rsidR="00F97807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ապահովման խնդ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իրը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Մասնավորապես,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2025 թվականին մինչև 12 տարեկան երեխաների մասնակցությամբ արձանագրվել է 404 ճանապարհատրանսպորտային պատահար, որոնց հետևանքով 11 երեխա զոհվել է, իսկ 487-ը՝ ստացել տարբեր աստիճանի մարմնական վնասվածքներ։ Նույն ժամանակահատվածում երեխաների փոխադրման կանոնների խախտումների արձանագրված դեպքերի թիվը կազմել է 11 198՝ 2024 թվականի համեմատ աճելով 5 747-ով կամ 105 տոկոսով։ Նշված տվյալները վկայում են, որ գործող վարչական պատասխանատվության միջոցները բավարար չափով չեն ապահովում համապատասխան կանոնների պահպանումը, և անհրաժեշտ է հնարավորինս սեղմ ժամկետներում վերանայել դրանց տեսակներն ու չափերը՝ ապահովելու պատասխանատվության համաչափ և կանխարգելիչ ազդեցությունը։ Այս համատեքստում</w:t>
      </w:r>
      <w:r w:rsidR="00CC2A4A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նախագծերի ընդունման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 xml:space="preserve">ձգձգումը 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համարժեքորեն կ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հետաձգ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նաև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երեխաների անվտանգության բարձրացմանն ուղղված անհրաժեշտ միջոցառումների իրականացումը։</w:t>
      </w:r>
    </w:p>
    <w:p w14:paraId="6F9361A3" w14:textId="1A339D0A" w:rsidR="008F7B75" w:rsidRPr="00C74A4E" w:rsidRDefault="008F7B75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Միաժամանակ, </w:t>
      </w:r>
      <w:r w:rsidR="00CC2A4A" w:rsidRPr="00C74A4E">
        <w:rPr>
          <w:rFonts w:ascii="GHEA Grapalat" w:eastAsia="+mj-ea" w:hAnsi="GHEA Grapalat" w:cs="+mj-cs"/>
          <w:bCs/>
          <w:kern w:val="24"/>
          <w:sz w:val="24"/>
          <w:szCs w:val="24"/>
          <w:lang w:val="hy-AM"/>
        </w:rPr>
        <w:t xml:space="preserve">որոշ ճանապարհային նշանների կամ ճանապարհային երթևեկության որոշ կանոնների պահանջների չկատարումը կամ խախտումը խոչընդոտներ է ստեղծում երթևեկության ընդհանուր հոսքի համար և նպաստում խցանումների առաջացմանը։ Ինչպես ցույց են տալիս վերլուծությունները, տրանսպորտային միջոցների կանգառի կամ կայանման կանոնների խախտումների հայտնաբերման քանակը տարիներ շարունակ աճում է։ Մասնավորապես, 2026 թվականի 9 ամիսների ընթացքում հայտնաբերվել է այդպիսի 272 056 իրավախախտում, որը նախորդ տարվա նույն ժամանակահատվածի համեմատությամբ ավելի է 36 656-ով կամ 15,6 տոկոսով։ Ընդ որում, նշված խախտումների շարքում գերակշիռ մասը կազմում են հենց երկրորդ կամ ավելի շարքում կանգառ կատարելու դեպքերը։ 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Ուստի անհրաժեշտ է առանց անհարկի ձգձգումների սահմանել նշված խախտումներին համարժեք վարչական պատասխանատվության միջոցներ՝ նպատակ ունենալով բարձրացնել երթևեկության կանոնների պահպանման մակարդակը, նվազեցնել երթևեկության կազմակերպման խաթարումները և ապահովել ճանապարհային ենթակառուցվածքների առավել արդյունավետ օգտագործումը։</w:t>
      </w:r>
    </w:p>
    <w:p w14:paraId="04159DC2" w14:textId="491C4D7E" w:rsidR="008F7B75" w:rsidRPr="00C74A4E" w:rsidRDefault="001D21E8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նհատական շարժունակության միջոցների վերաբերյալ կարգավորումների կատարելագործման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 միտված լուծումների</w:t>
      </w:r>
      <w:r w:rsidR="00CC2A4A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առավելագույն սեղմ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ամկետում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ընդունում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օր առաջ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հնարավորություն կտա ապահովել 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դրանց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անվտանգ օգտագործման առավել հստակ պայմաններ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ըստ այդմ՝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նվազեցնել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ով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ճանապարհային երթևեկության մասնակիցների համար առաջացող ռիսկերը։</w:t>
      </w:r>
    </w:p>
    <w:p w14:paraId="4C51D28C" w14:textId="54944942" w:rsidR="008F7B75" w:rsidRPr="00C74A4E" w:rsidRDefault="001D21E8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ասնավոր պահնորդական գործունեության ոլորտում որոշ իրավախախտումների վերաբերյալ գործերի քննության իրավասությունը ոստիկանությանը վերապահելը հնարավորություն կտա </w:t>
      </w:r>
      <w:r w:rsidR="00CC2A4A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այն </w:t>
      </w:r>
      <w:r w:rsidR="008F7B75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համապատասխանեցնել իրավախախտումների հայտնաբերման գործառույթին և բարձրացնել վարչական վարույթի արդյունավետությունը։ Միաժամանակ, ոստիկանության համակարգային փոփոխությունների արդյունքում փորձաքրեագիտական ծառայության՝ ՀՀ քննչական կոմիտեի կազմում ընդգրկվելու պայմաններում անհրաժեշտ է համապատասխանեցնել օրենսդրությունը ձևավորված ինստիտուցիոնալ կառուցվածքին՝ բացառելով գործառույթների և իրավասությունների անհամապատասխանությունը։</w:t>
      </w:r>
    </w:p>
    <w:p w14:paraId="5EDFF02C" w14:textId="4B26E2C8" w:rsidR="008F7B75" w:rsidRPr="00C74A4E" w:rsidRDefault="008F7B75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Այսպիսով, </w:t>
      </w:r>
      <w:r w:rsidR="00174EC2"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օրինագծերի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փաթեթով առաջարկվող կարգավորումները փոխկապակցված են </w:t>
      </w:r>
      <w:r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հանրային անվտանգության ապահովման, </w:t>
      </w:r>
      <w:r w:rsidR="00CC2A4A"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այդ թվում՝ </w:t>
      </w:r>
      <w:r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ճանապարհային երթևեկության կանոնների պահպանման, երեխաների կյանքի և առողջության պաշտպանության, իրավասու մարմինների գործառույթների հստակեցման և պետական քաղաքականության իրականացման արդյունավետության բարձրացման հրատապ խնդիրների</w:t>
      </w:r>
      <w:r w:rsidRPr="00C74A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հետ։ Դրանց ընդունման ձգձգումը կարող է հետաձգել նշված խնդիրների լուծմանն ուղղված օրենսդրական մեխանիզմների կիրառումը և սահմանափակել կանխարգելիչ միջոցառումների արդյունավետությունը։</w:t>
      </w:r>
    </w:p>
    <w:p w14:paraId="5C2981AE" w14:textId="4C9385F8" w:rsidR="00C47756" w:rsidRPr="00C74A4E" w:rsidRDefault="00D90A71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Վերոգրյալի հաշվառմամբ՝ անհրաժեշտություն է առաջացել </w:t>
      </w:r>
      <w:r w:rsidR="00C74A4E" w:rsidRPr="00C74A4E">
        <w:rPr>
          <w:rFonts w:ascii="GHEA Grapalat" w:hAnsi="GHEA Grapalat"/>
          <w:b/>
          <w:sz w:val="24"/>
          <w:szCs w:val="24"/>
          <w:lang w:val="hy-AM"/>
        </w:rPr>
        <w:t>«Ճանապարհային երթևեկության անվտանգության ապահովման մասին» օրենքում լրացումներ և փոփոխություններ կատարելու մասին» օրենքի և հարակից օրենքների</w:t>
      </w:r>
      <w:r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նախագծերի փաթեթը համարել անհետաձգելի։</w:t>
      </w:r>
    </w:p>
    <w:p w14:paraId="5C983A01" w14:textId="77777777" w:rsidR="00322961" w:rsidRPr="00C74A4E" w:rsidRDefault="00322961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3BD147C9" w14:textId="77777777" w:rsidR="00322961" w:rsidRPr="00C74A4E" w:rsidRDefault="00322961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76F332E0" w14:textId="77777777" w:rsidR="00322961" w:rsidRDefault="00322961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9AAF302" w14:textId="77777777" w:rsidR="00C74A4E" w:rsidRDefault="00C74A4E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0AD434DF" w14:textId="77777777" w:rsidR="00C74A4E" w:rsidRPr="00C74A4E" w:rsidRDefault="00C74A4E" w:rsidP="00C74A4E">
      <w:pPr>
        <w:spacing w:after="0" w:line="240" w:lineRule="auto"/>
        <w:ind w:left="-709" w:firstLine="54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F0855EE" w14:textId="43456B1C" w:rsidR="00322961" w:rsidRPr="00C74A4E" w:rsidRDefault="00322961" w:rsidP="00C74A4E">
      <w:pPr>
        <w:spacing w:after="0" w:line="240" w:lineRule="auto"/>
        <w:ind w:left="-709" w:firstLine="54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74A4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ՀՀ ներքին գործերի նախարարություն</w:t>
      </w:r>
    </w:p>
    <w:sectPr w:rsidR="00322961" w:rsidRPr="00C74A4E" w:rsidSect="00D71D20">
      <w:pgSz w:w="11906" w:h="16838"/>
      <w:pgMar w:top="426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D5593"/>
    <w:multiLevelType w:val="hybridMultilevel"/>
    <w:tmpl w:val="C778E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0B3B"/>
    <w:multiLevelType w:val="multilevel"/>
    <w:tmpl w:val="348E8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F85B8C"/>
    <w:multiLevelType w:val="hybridMultilevel"/>
    <w:tmpl w:val="36244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00A7C"/>
    <w:multiLevelType w:val="multilevel"/>
    <w:tmpl w:val="EE561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58956046">
    <w:abstractNumId w:val="0"/>
  </w:num>
  <w:num w:numId="2" w16cid:durableId="262105972">
    <w:abstractNumId w:val="3"/>
  </w:num>
  <w:num w:numId="3" w16cid:durableId="282856842">
    <w:abstractNumId w:val="1"/>
  </w:num>
  <w:num w:numId="4" w16cid:durableId="363941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ADE"/>
    <w:rsid w:val="00014726"/>
    <w:rsid w:val="00045809"/>
    <w:rsid w:val="00054EB0"/>
    <w:rsid w:val="00070EA5"/>
    <w:rsid w:val="00090951"/>
    <w:rsid w:val="000D14F8"/>
    <w:rsid w:val="001117D5"/>
    <w:rsid w:val="0015277A"/>
    <w:rsid w:val="00153672"/>
    <w:rsid w:val="00174EC2"/>
    <w:rsid w:val="001B6167"/>
    <w:rsid w:val="001D21E8"/>
    <w:rsid w:val="00246A75"/>
    <w:rsid w:val="00251440"/>
    <w:rsid w:val="00253B0C"/>
    <w:rsid w:val="002642E5"/>
    <w:rsid w:val="00283ABC"/>
    <w:rsid w:val="002908FF"/>
    <w:rsid w:val="002960D1"/>
    <w:rsid w:val="002A01CE"/>
    <w:rsid w:val="002B3171"/>
    <w:rsid w:val="002B593F"/>
    <w:rsid w:val="002F269D"/>
    <w:rsid w:val="002F7DA6"/>
    <w:rsid w:val="00322961"/>
    <w:rsid w:val="00336571"/>
    <w:rsid w:val="0034153B"/>
    <w:rsid w:val="00390EDA"/>
    <w:rsid w:val="003A6796"/>
    <w:rsid w:val="003C3740"/>
    <w:rsid w:val="003C5195"/>
    <w:rsid w:val="003E0452"/>
    <w:rsid w:val="003F2409"/>
    <w:rsid w:val="00417EED"/>
    <w:rsid w:val="00460B6D"/>
    <w:rsid w:val="0047455E"/>
    <w:rsid w:val="004A3A79"/>
    <w:rsid w:val="005002D5"/>
    <w:rsid w:val="00522527"/>
    <w:rsid w:val="005313B1"/>
    <w:rsid w:val="00532CAF"/>
    <w:rsid w:val="00546170"/>
    <w:rsid w:val="0055062D"/>
    <w:rsid w:val="005654EA"/>
    <w:rsid w:val="00580236"/>
    <w:rsid w:val="005C360C"/>
    <w:rsid w:val="005C44F7"/>
    <w:rsid w:val="005F36DF"/>
    <w:rsid w:val="00661ECF"/>
    <w:rsid w:val="0068049E"/>
    <w:rsid w:val="00687632"/>
    <w:rsid w:val="0069128F"/>
    <w:rsid w:val="006A40DD"/>
    <w:rsid w:val="006A4DB0"/>
    <w:rsid w:val="006B0DEF"/>
    <w:rsid w:val="006C0195"/>
    <w:rsid w:val="00702AA6"/>
    <w:rsid w:val="007303AE"/>
    <w:rsid w:val="00746562"/>
    <w:rsid w:val="0078266E"/>
    <w:rsid w:val="00784F01"/>
    <w:rsid w:val="007916BB"/>
    <w:rsid w:val="007C2502"/>
    <w:rsid w:val="0083076A"/>
    <w:rsid w:val="00843EE0"/>
    <w:rsid w:val="00851601"/>
    <w:rsid w:val="008B1D94"/>
    <w:rsid w:val="008C6F47"/>
    <w:rsid w:val="008F3819"/>
    <w:rsid w:val="008F7B75"/>
    <w:rsid w:val="009279DE"/>
    <w:rsid w:val="00936E54"/>
    <w:rsid w:val="0097076B"/>
    <w:rsid w:val="00984D34"/>
    <w:rsid w:val="009B41EE"/>
    <w:rsid w:val="009D0F2F"/>
    <w:rsid w:val="009D3D8B"/>
    <w:rsid w:val="009D62EB"/>
    <w:rsid w:val="009E707D"/>
    <w:rsid w:val="009F73FD"/>
    <w:rsid w:val="00A04D79"/>
    <w:rsid w:val="00A12277"/>
    <w:rsid w:val="00A41A61"/>
    <w:rsid w:val="00A440D7"/>
    <w:rsid w:val="00A54F62"/>
    <w:rsid w:val="00A66314"/>
    <w:rsid w:val="00A714A2"/>
    <w:rsid w:val="00A821F8"/>
    <w:rsid w:val="00B45642"/>
    <w:rsid w:val="00B7243B"/>
    <w:rsid w:val="00B771B6"/>
    <w:rsid w:val="00B814D6"/>
    <w:rsid w:val="00BA1F48"/>
    <w:rsid w:val="00BD5356"/>
    <w:rsid w:val="00BE7783"/>
    <w:rsid w:val="00C01944"/>
    <w:rsid w:val="00C101D1"/>
    <w:rsid w:val="00C47756"/>
    <w:rsid w:val="00C643F9"/>
    <w:rsid w:val="00C74A4E"/>
    <w:rsid w:val="00C75295"/>
    <w:rsid w:val="00C963FE"/>
    <w:rsid w:val="00CA177A"/>
    <w:rsid w:val="00CA6827"/>
    <w:rsid w:val="00CB5B37"/>
    <w:rsid w:val="00CC2A4A"/>
    <w:rsid w:val="00CE733A"/>
    <w:rsid w:val="00CF60EA"/>
    <w:rsid w:val="00D13976"/>
    <w:rsid w:val="00D522BA"/>
    <w:rsid w:val="00D71D20"/>
    <w:rsid w:val="00D81B5E"/>
    <w:rsid w:val="00D853C5"/>
    <w:rsid w:val="00D855C6"/>
    <w:rsid w:val="00D90A71"/>
    <w:rsid w:val="00DC4309"/>
    <w:rsid w:val="00DD76AB"/>
    <w:rsid w:val="00DE19D6"/>
    <w:rsid w:val="00DF56DE"/>
    <w:rsid w:val="00E129AA"/>
    <w:rsid w:val="00E144F2"/>
    <w:rsid w:val="00E61AD6"/>
    <w:rsid w:val="00E71A03"/>
    <w:rsid w:val="00E73ADE"/>
    <w:rsid w:val="00E90538"/>
    <w:rsid w:val="00E9436E"/>
    <w:rsid w:val="00EA6AA2"/>
    <w:rsid w:val="00EB4562"/>
    <w:rsid w:val="00EB4D18"/>
    <w:rsid w:val="00EC0727"/>
    <w:rsid w:val="00EC0D02"/>
    <w:rsid w:val="00ED44D2"/>
    <w:rsid w:val="00EE6B02"/>
    <w:rsid w:val="00F15D0D"/>
    <w:rsid w:val="00F662D1"/>
    <w:rsid w:val="00F66D9D"/>
    <w:rsid w:val="00F956CB"/>
    <w:rsid w:val="00F97807"/>
    <w:rsid w:val="00FB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5C0E6"/>
  <w15:chartTrackingRefBased/>
  <w15:docId w15:val="{4B67D27D-BAD4-49AB-A400-72E424C6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2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7243B"/>
    <w:rPr>
      <w:b/>
      <w:bCs/>
    </w:rPr>
  </w:style>
  <w:style w:type="paragraph" w:styleId="ListParagraph">
    <w:name w:val="List Paragraph"/>
    <w:basedOn w:val="Normal"/>
    <w:uiPriority w:val="34"/>
    <w:qFormat/>
    <w:rsid w:val="00B7243B"/>
    <w:pPr>
      <w:ind w:left="720"/>
      <w:contextualSpacing/>
    </w:pPr>
  </w:style>
  <w:style w:type="paragraph" w:styleId="NoSpacing">
    <w:name w:val="No Spacing"/>
    <w:uiPriority w:val="1"/>
    <w:qFormat/>
    <w:rsid w:val="009F73FD"/>
    <w:pPr>
      <w:spacing w:after="0" w:line="240" w:lineRule="auto"/>
    </w:pPr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1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637</Words>
  <Characters>5268</Characters>
  <Application>Microsoft Office Word</Application>
  <DocSecurity>0</DocSecurity>
  <Lines>97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Միսակ Մարկոսյան</dc:creator>
  <cp:keywords>https://mul2-mia.gov.am/tasks/7232738/oneclick?token=a7c8b611dac1841145a3d6d7597efecc</cp:keywords>
  <dc:description/>
  <cp:lastModifiedBy>Admin</cp:lastModifiedBy>
  <cp:revision>122</cp:revision>
  <dcterms:created xsi:type="dcterms:W3CDTF">2026-09-10T10:22:00Z</dcterms:created>
  <dcterms:modified xsi:type="dcterms:W3CDTF">2026-10-21T13:33:00Z</dcterms:modified>
</cp:coreProperties>
</file>