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7CA6DC" w14:textId="77777777" w:rsidR="009B7ACB" w:rsidRPr="008E6283" w:rsidRDefault="009B7ACB" w:rsidP="009B7ACB">
      <w:pPr>
        <w:tabs>
          <w:tab w:val="left" w:pos="630"/>
        </w:tabs>
        <w:spacing w:line="360" w:lineRule="auto"/>
        <w:ind w:firstLine="270"/>
        <w:jc w:val="right"/>
        <w:rPr>
          <w:rFonts w:ascii="GHEA Mariam" w:hAnsi="GHEA Mariam"/>
          <w:iCs/>
          <w:color w:val="000000" w:themeColor="text1"/>
          <w:sz w:val="24"/>
          <w:szCs w:val="24"/>
          <w:shd w:val="clear" w:color="auto" w:fill="FFFFFF"/>
        </w:rPr>
      </w:pPr>
      <w:r w:rsidRPr="008E6283">
        <w:rPr>
          <w:rFonts w:ascii="GHEA Mariam" w:hAnsi="GHEA Mariam"/>
          <w:iCs/>
          <w:color w:val="000000" w:themeColor="text1"/>
          <w:sz w:val="24"/>
          <w:szCs w:val="24"/>
          <w:shd w:val="clear" w:color="auto" w:fill="FFFFFF"/>
        </w:rPr>
        <w:t>ՆԱԽԱԳԻԾ</w:t>
      </w:r>
    </w:p>
    <w:p w14:paraId="0E19ED0A" w14:textId="77777777" w:rsidR="009B7ACB" w:rsidRPr="008E6283" w:rsidRDefault="009B7ACB" w:rsidP="009B7ACB">
      <w:pPr>
        <w:tabs>
          <w:tab w:val="left" w:pos="630"/>
        </w:tabs>
        <w:spacing w:line="360" w:lineRule="auto"/>
        <w:ind w:firstLine="270"/>
        <w:jc w:val="right"/>
        <w:rPr>
          <w:rFonts w:ascii="GHEA Mariam" w:hAnsi="GHEA Mariam"/>
          <w:color w:val="000000" w:themeColor="text1"/>
          <w:sz w:val="24"/>
          <w:szCs w:val="24"/>
        </w:rPr>
      </w:pPr>
    </w:p>
    <w:p w14:paraId="13A75372" w14:textId="77777777" w:rsidR="009B7ACB" w:rsidRPr="008E6283" w:rsidRDefault="009B7ACB" w:rsidP="009B7ACB">
      <w:pPr>
        <w:tabs>
          <w:tab w:val="left" w:pos="630"/>
        </w:tabs>
        <w:spacing w:line="360" w:lineRule="auto"/>
        <w:ind w:firstLine="270"/>
        <w:jc w:val="center"/>
        <w:rPr>
          <w:rFonts w:ascii="GHEA Mariam" w:hAnsi="GHEA Mariam"/>
          <w:b/>
          <w:color w:val="000000" w:themeColor="text1"/>
          <w:sz w:val="24"/>
          <w:szCs w:val="24"/>
        </w:rPr>
      </w:pPr>
      <w:r w:rsidRPr="008E6283">
        <w:rPr>
          <w:rFonts w:ascii="GHEA Mariam" w:hAnsi="GHEA Mariam"/>
          <w:b/>
          <w:color w:val="000000" w:themeColor="text1"/>
          <w:sz w:val="24"/>
          <w:szCs w:val="24"/>
        </w:rPr>
        <w:t>ՀԱՅԱՍՏԱՆԻ ՀԱՆՐԱՊԵՏՈՒԹՅԱՆ</w:t>
      </w:r>
    </w:p>
    <w:p w14:paraId="1538F733" w14:textId="77777777" w:rsidR="009B7ACB" w:rsidRPr="008E6283" w:rsidRDefault="009B7ACB" w:rsidP="009B7ACB">
      <w:pPr>
        <w:tabs>
          <w:tab w:val="left" w:pos="630"/>
        </w:tabs>
        <w:spacing w:line="360" w:lineRule="auto"/>
        <w:ind w:firstLine="270"/>
        <w:jc w:val="center"/>
        <w:rPr>
          <w:rFonts w:ascii="GHEA Mariam" w:hAnsi="GHEA Mariam"/>
          <w:b/>
          <w:color w:val="000000" w:themeColor="text1"/>
          <w:sz w:val="24"/>
          <w:szCs w:val="24"/>
        </w:rPr>
      </w:pPr>
      <w:r w:rsidRPr="008E6283">
        <w:rPr>
          <w:rFonts w:ascii="GHEA Mariam" w:hAnsi="GHEA Mariam"/>
          <w:b/>
          <w:color w:val="000000" w:themeColor="text1"/>
          <w:sz w:val="24"/>
          <w:szCs w:val="24"/>
        </w:rPr>
        <w:t>ՕՐԵՆՔԸ</w:t>
      </w:r>
    </w:p>
    <w:p w14:paraId="457012E4" w14:textId="77777777" w:rsidR="009B7ACB" w:rsidRPr="008E6283" w:rsidRDefault="009B7ACB" w:rsidP="009B7ACB">
      <w:pPr>
        <w:shd w:val="clear" w:color="auto" w:fill="FFFFFF"/>
        <w:tabs>
          <w:tab w:val="left" w:pos="630"/>
        </w:tabs>
        <w:spacing w:line="360" w:lineRule="auto"/>
        <w:ind w:firstLine="270"/>
        <w:jc w:val="center"/>
        <w:rPr>
          <w:rFonts w:ascii="GHEA Mariam" w:eastAsia="Times New Roman" w:hAnsi="GHEA Mariam" w:cs="Times New Roman"/>
          <w:color w:val="000000" w:themeColor="text1"/>
          <w:sz w:val="24"/>
          <w:szCs w:val="24"/>
        </w:rPr>
      </w:pPr>
    </w:p>
    <w:p w14:paraId="77918F3A" w14:textId="77777777" w:rsidR="009B7ACB" w:rsidRPr="008E6283" w:rsidRDefault="009B7ACB" w:rsidP="009B7ACB">
      <w:pPr>
        <w:shd w:val="clear" w:color="auto" w:fill="FFFFFF"/>
        <w:tabs>
          <w:tab w:val="left" w:pos="630"/>
        </w:tabs>
        <w:spacing w:line="360" w:lineRule="auto"/>
        <w:ind w:firstLine="270"/>
        <w:jc w:val="center"/>
        <w:rPr>
          <w:rFonts w:ascii="GHEA Mariam" w:eastAsia="Times New Roman" w:hAnsi="GHEA Mariam" w:cs="GHEA Mariam"/>
          <w:b/>
          <w:bCs/>
          <w:color w:val="000000" w:themeColor="text1"/>
          <w:sz w:val="24"/>
          <w:szCs w:val="24"/>
          <w:lang w:val="hy-AM"/>
        </w:rPr>
      </w:pPr>
      <w:r w:rsidRPr="008E6283">
        <w:rPr>
          <w:rFonts w:ascii="GHEA Mariam" w:eastAsia="Times New Roman" w:hAnsi="GHEA Mariam" w:cs="Times New Roman"/>
          <w:b/>
          <w:bCs/>
          <w:color w:val="000000" w:themeColor="text1"/>
          <w:sz w:val="24"/>
          <w:szCs w:val="24"/>
        </w:rPr>
        <w:t>«</w:t>
      </w:r>
      <w:r w:rsidRPr="008E6283">
        <w:rPr>
          <w:rStyle w:val="Strong"/>
          <w:rFonts w:ascii="GHEA Mariam" w:hAnsi="GHEA Mariam"/>
          <w:color w:val="000000" w:themeColor="text1"/>
          <w:sz w:val="24"/>
          <w:szCs w:val="24"/>
          <w:shd w:val="clear" w:color="auto" w:fill="FFFFFF"/>
        </w:rPr>
        <w:t>ԳՈՒՅՔԻ ՆԿԱՏՄԱՄԲ ԻՐԱՎՈՒՆՔՆԵՐԻ ՊԵՏԱԿԱՆ ԳՐԱՆՑՄԱՆ ՄԱՍԻՆ</w:t>
      </w:r>
      <w:r w:rsidRPr="008E6283">
        <w:rPr>
          <w:rFonts w:ascii="GHEA Mariam" w:eastAsia="Times New Roman" w:hAnsi="GHEA Mariam" w:cs="GHEA Mariam"/>
          <w:b/>
          <w:bCs/>
          <w:color w:val="000000" w:themeColor="text1"/>
          <w:sz w:val="24"/>
          <w:szCs w:val="24"/>
        </w:rPr>
        <w:t>»</w:t>
      </w:r>
      <w:r w:rsidRPr="008E6283">
        <w:rPr>
          <w:rFonts w:ascii="GHEA Mariam" w:eastAsia="Times New Roman" w:hAnsi="GHEA Mariam"/>
          <w:b/>
          <w:bCs/>
          <w:color w:val="000000" w:themeColor="text1"/>
          <w:sz w:val="24"/>
          <w:szCs w:val="24"/>
          <w:lang w:val="hy-AM"/>
        </w:rPr>
        <w:t xml:space="preserve"> </w:t>
      </w:r>
      <w:r w:rsidRPr="008E6283">
        <w:rPr>
          <w:rFonts w:ascii="GHEA Mariam" w:eastAsia="Times New Roman" w:hAnsi="GHEA Mariam" w:cs="GHEA Mariam"/>
          <w:b/>
          <w:bCs/>
          <w:color w:val="000000" w:themeColor="text1"/>
          <w:sz w:val="24"/>
          <w:szCs w:val="24"/>
        </w:rPr>
        <w:t>ՕՐԵՆՔՈՒՄ</w:t>
      </w:r>
      <w:r w:rsidRPr="008E6283">
        <w:rPr>
          <w:rFonts w:ascii="GHEA Mariam" w:eastAsia="Times New Roman" w:hAnsi="GHEA Mariam" w:cs="GHEA Mariam"/>
          <w:b/>
          <w:bCs/>
          <w:color w:val="000000" w:themeColor="text1"/>
          <w:sz w:val="24"/>
          <w:szCs w:val="24"/>
          <w:lang w:val="hy-AM"/>
        </w:rPr>
        <w:t xml:space="preserve"> ՓՈՓՈԽՈՒԹՅՈՒՆՆԵՐ ԵՎ ԼՐԱՑՈՒՄՆԵՐ </w:t>
      </w:r>
      <w:r w:rsidRPr="008E6283">
        <w:rPr>
          <w:rFonts w:ascii="GHEA Mariam" w:eastAsia="Times New Roman" w:hAnsi="GHEA Mariam" w:cs="GHEA Mariam"/>
          <w:b/>
          <w:bCs/>
          <w:color w:val="000000" w:themeColor="text1"/>
          <w:sz w:val="24"/>
          <w:szCs w:val="24"/>
        </w:rPr>
        <w:t>ԿԱՏԱՐԵԼՈՒ</w:t>
      </w:r>
      <w:r w:rsidRPr="008E6283">
        <w:rPr>
          <w:rFonts w:ascii="GHEA Mariam" w:eastAsia="Times New Roman" w:hAnsi="GHEA Mariam"/>
          <w:b/>
          <w:bCs/>
          <w:color w:val="000000" w:themeColor="text1"/>
          <w:sz w:val="24"/>
          <w:szCs w:val="24"/>
          <w:lang w:val="hy-AM"/>
        </w:rPr>
        <w:t xml:space="preserve"> </w:t>
      </w:r>
      <w:r w:rsidRPr="008E6283">
        <w:rPr>
          <w:rFonts w:ascii="GHEA Mariam" w:eastAsia="Times New Roman" w:hAnsi="GHEA Mariam" w:cs="GHEA Mariam"/>
          <w:b/>
          <w:bCs/>
          <w:color w:val="000000" w:themeColor="text1"/>
          <w:sz w:val="24"/>
          <w:szCs w:val="24"/>
        </w:rPr>
        <w:t>ՄԱՍԻՆ</w:t>
      </w:r>
    </w:p>
    <w:p w14:paraId="263096DD" w14:textId="77777777" w:rsidR="009B7ACB" w:rsidRPr="008E6283" w:rsidRDefault="009B7ACB" w:rsidP="009B7ACB">
      <w:pPr>
        <w:shd w:val="clear" w:color="auto" w:fill="FFFFFF"/>
        <w:tabs>
          <w:tab w:val="left" w:pos="630"/>
        </w:tabs>
        <w:spacing w:line="360" w:lineRule="auto"/>
        <w:ind w:firstLine="270"/>
        <w:jc w:val="center"/>
        <w:rPr>
          <w:rFonts w:ascii="GHEA Mariam" w:eastAsia="Times New Roman" w:hAnsi="GHEA Mariam" w:cs="GHEA Mariam"/>
          <w:b/>
          <w:bCs/>
          <w:color w:val="000000" w:themeColor="text1"/>
          <w:sz w:val="24"/>
          <w:szCs w:val="24"/>
          <w:lang w:val="hy-AM"/>
        </w:rPr>
      </w:pPr>
    </w:p>
    <w:p w14:paraId="31185A41" w14:textId="77777777" w:rsidR="009B7ACB" w:rsidRPr="009B7ACB" w:rsidRDefault="009B7ACB" w:rsidP="009B7ACB">
      <w:pPr>
        <w:tabs>
          <w:tab w:val="left" w:pos="630"/>
        </w:tabs>
        <w:spacing w:line="360" w:lineRule="auto"/>
        <w:ind w:firstLine="270"/>
        <w:jc w:val="both"/>
        <w:rPr>
          <w:rFonts w:ascii="GHEA Mariam" w:eastAsia="Calibri" w:hAnsi="GHEA Mariam" w:cs="Arial"/>
          <w:color w:val="000000" w:themeColor="text1"/>
          <w:sz w:val="24"/>
          <w:szCs w:val="24"/>
          <w:lang w:val="hy-AM"/>
        </w:rPr>
      </w:pPr>
      <w:r w:rsidRPr="008E6283">
        <w:rPr>
          <w:rFonts w:ascii="GHEA Mariam" w:eastAsia="Calibri" w:hAnsi="GHEA Mariam" w:cs="Arial"/>
          <w:color w:val="000000" w:themeColor="text1"/>
          <w:sz w:val="24"/>
          <w:szCs w:val="24"/>
          <w:lang w:val="hy-AM"/>
        </w:rPr>
        <w:t xml:space="preserve">   </w:t>
      </w:r>
      <w:r w:rsidRPr="008E6283">
        <w:rPr>
          <w:rFonts w:ascii="GHEA Mariam" w:eastAsia="Calibri" w:hAnsi="GHEA Mariam" w:cs="Arial"/>
          <w:b/>
          <w:color w:val="000000" w:themeColor="text1"/>
          <w:sz w:val="24"/>
          <w:szCs w:val="24"/>
          <w:lang w:val="hy-AM"/>
        </w:rPr>
        <w:t>Հոդված</w:t>
      </w:r>
      <w:r w:rsidRPr="008E6283">
        <w:rPr>
          <w:rFonts w:ascii="GHEA Mariam" w:eastAsia="Calibri" w:hAnsi="GHEA Mariam" w:cs="Times New Roman"/>
          <w:b/>
          <w:color w:val="000000" w:themeColor="text1"/>
          <w:sz w:val="24"/>
          <w:szCs w:val="24"/>
          <w:lang w:val="hy-AM"/>
        </w:rPr>
        <w:t xml:space="preserve"> 1.</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Arial"/>
          <w:bCs/>
          <w:color w:val="000000" w:themeColor="text1"/>
          <w:sz w:val="24"/>
          <w:szCs w:val="24"/>
          <w:lang w:val="hy-AM"/>
        </w:rPr>
        <w:t>Գույքի</w:t>
      </w:r>
      <w:r w:rsidRPr="008E6283">
        <w:rPr>
          <w:rFonts w:ascii="GHEA Mariam" w:eastAsia="Calibri" w:hAnsi="GHEA Mariam" w:cs="Times New Roman"/>
          <w:bCs/>
          <w:color w:val="000000" w:themeColor="text1"/>
          <w:sz w:val="24"/>
          <w:szCs w:val="24"/>
          <w:lang w:val="hy-AM"/>
        </w:rPr>
        <w:t xml:space="preserve"> </w:t>
      </w:r>
      <w:r w:rsidRPr="008E6283">
        <w:rPr>
          <w:rFonts w:ascii="GHEA Mariam" w:eastAsia="Calibri" w:hAnsi="GHEA Mariam" w:cs="Arial"/>
          <w:bCs/>
          <w:color w:val="000000" w:themeColor="text1"/>
          <w:sz w:val="24"/>
          <w:szCs w:val="24"/>
          <w:lang w:val="hy-AM"/>
        </w:rPr>
        <w:t>նկատմամբ</w:t>
      </w:r>
      <w:r w:rsidRPr="008E6283">
        <w:rPr>
          <w:rFonts w:ascii="GHEA Mariam" w:eastAsia="Calibri" w:hAnsi="GHEA Mariam" w:cs="Times New Roman"/>
          <w:bCs/>
          <w:color w:val="000000" w:themeColor="text1"/>
          <w:sz w:val="24"/>
          <w:szCs w:val="24"/>
          <w:lang w:val="hy-AM"/>
        </w:rPr>
        <w:t xml:space="preserve"> </w:t>
      </w:r>
      <w:r w:rsidRPr="008E6283">
        <w:rPr>
          <w:rFonts w:ascii="GHEA Mariam" w:eastAsia="Calibri" w:hAnsi="GHEA Mariam" w:cs="Arial"/>
          <w:bCs/>
          <w:color w:val="000000" w:themeColor="text1"/>
          <w:sz w:val="24"/>
          <w:szCs w:val="24"/>
          <w:lang w:val="hy-AM"/>
        </w:rPr>
        <w:t>իրավունքների</w:t>
      </w:r>
      <w:r w:rsidRPr="008E6283">
        <w:rPr>
          <w:rFonts w:ascii="GHEA Mariam" w:eastAsia="Calibri" w:hAnsi="GHEA Mariam" w:cs="Times New Roman"/>
          <w:bCs/>
          <w:color w:val="000000" w:themeColor="text1"/>
          <w:sz w:val="24"/>
          <w:szCs w:val="24"/>
          <w:lang w:val="hy-AM"/>
        </w:rPr>
        <w:t xml:space="preserve"> </w:t>
      </w:r>
      <w:r w:rsidRPr="008E6283">
        <w:rPr>
          <w:rFonts w:ascii="GHEA Mariam" w:eastAsia="Calibri" w:hAnsi="GHEA Mariam" w:cs="Arial"/>
          <w:bCs/>
          <w:color w:val="000000" w:themeColor="text1"/>
          <w:sz w:val="24"/>
          <w:szCs w:val="24"/>
          <w:lang w:val="hy-AM"/>
        </w:rPr>
        <w:t>պետական</w:t>
      </w:r>
      <w:r w:rsidRPr="008E6283">
        <w:rPr>
          <w:rFonts w:ascii="GHEA Mariam" w:eastAsia="Calibri" w:hAnsi="GHEA Mariam" w:cs="Times New Roman"/>
          <w:bCs/>
          <w:color w:val="000000" w:themeColor="text1"/>
          <w:sz w:val="24"/>
          <w:szCs w:val="24"/>
          <w:lang w:val="hy-AM"/>
        </w:rPr>
        <w:t xml:space="preserve"> </w:t>
      </w:r>
      <w:r w:rsidRPr="008E6283">
        <w:rPr>
          <w:rFonts w:ascii="GHEA Mariam" w:eastAsia="Calibri" w:hAnsi="GHEA Mariam" w:cs="Arial"/>
          <w:bCs/>
          <w:color w:val="000000" w:themeColor="text1"/>
          <w:sz w:val="24"/>
          <w:szCs w:val="24"/>
          <w:lang w:val="hy-AM"/>
        </w:rPr>
        <w:t>գրանցման</w:t>
      </w:r>
      <w:r w:rsidRPr="008E6283">
        <w:rPr>
          <w:rFonts w:ascii="GHEA Mariam" w:eastAsia="Calibri" w:hAnsi="GHEA Mariam" w:cs="Times New Roman"/>
          <w:bCs/>
          <w:color w:val="000000" w:themeColor="text1"/>
          <w:sz w:val="24"/>
          <w:szCs w:val="24"/>
          <w:lang w:val="hy-AM"/>
        </w:rPr>
        <w:t xml:space="preserve"> </w:t>
      </w:r>
      <w:r w:rsidRPr="008E6283">
        <w:rPr>
          <w:rFonts w:ascii="GHEA Mariam" w:eastAsia="Calibri" w:hAnsi="GHEA Mariam" w:cs="Arial"/>
          <w:bCs/>
          <w:color w:val="000000" w:themeColor="text1"/>
          <w:sz w:val="24"/>
          <w:szCs w:val="24"/>
          <w:lang w:val="hy-AM"/>
        </w:rPr>
        <w:t>մասին</w:t>
      </w:r>
      <w:r w:rsidRPr="008E6283">
        <w:rPr>
          <w:rFonts w:ascii="GHEA Mariam" w:eastAsia="Calibri" w:hAnsi="GHEA Mariam" w:cs="Times New Roman"/>
          <w:color w:val="000000" w:themeColor="text1"/>
          <w:sz w:val="24"/>
          <w:szCs w:val="24"/>
          <w:lang w:val="hy-AM"/>
        </w:rPr>
        <w:t xml:space="preserve">» 1999 </w:t>
      </w:r>
      <w:r w:rsidRPr="008E6283">
        <w:rPr>
          <w:rFonts w:ascii="GHEA Mariam" w:eastAsia="Calibri" w:hAnsi="GHEA Mariam" w:cs="Arial"/>
          <w:color w:val="000000" w:themeColor="text1"/>
          <w:sz w:val="24"/>
          <w:szCs w:val="24"/>
          <w:lang w:val="hy-AM"/>
        </w:rPr>
        <w:t>թվականի</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Arial"/>
          <w:color w:val="000000" w:themeColor="text1"/>
          <w:sz w:val="24"/>
          <w:szCs w:val="24"/>
          <w:lang w:val="hy-AM"/>
        </w:rPr>
        <w:t>ապրիլի</w:t>
      </w:r>
      <w:r w:rsidRPr="008E6283">
        <w:rPr>
          <w:rFonts w:ascii="GHEA Mariam" w:eastAsia="Calibri" w:hAnsi="GHEA Mariam" w:cs="Times New Roman"/>
          <w:color w:val="000000" w:themeColor="text1"/>
          <w:sz w:val="24"/>
          <w:szCs w:val="24"/>
          <w:lang w:val="hy-AM"/>
        </w:rPr>
        <w:t xml:space="preserve"> 14-</w:t>
      </w:r>
      <w:r w:rsidRPr="008E6283">
        <w:rPr>
          <w:rFonts w:ascii="GHEA Mariam" w:eastAsia="Calibri" w:hAnsi="GHEA Mariam" w:cs="Arial"/>
          <w:color w:val="000000" w:themeColor="text1"/>
          <w:sz w:val="24"/>
          <w:szCs w:val="24"/>
          <w:lang w:val="hy-AM"/>
        </w:rPr>
        <w:t>ի</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Arial"/>
          <w:color w:val="000000" w:themeColor="text1"/>
          <w:sz w:val="24"/>
          <w:szCs w:val="24"/>
          <w:lang w:val="hy-AM"/>
        </w:rPr>
        <w:t>ՀՕ</w:t>
      </w:r>
      <w:r w:rsidRPr="008E6283">
        <w:rPr>
          <w:rFonts w:ascii="GHEA Mariam" w:eastAsia="Calibri" w:hAnsi="GHEA Mariam" w:cs="Times New Roman"/>
          <w:color w:val="000000" w:themeColor="text1"/>
          <w:sz w:val="24"/>
          <w:szCs w:val="24"/>
          <w:lang w:val="hy-AM"/>
        </w:rPr>
        <w:t xml:space="preserve">-295 </w:t>
      </w:r>
      <w:r w:rsidRPr="008E6283">
        <w:rPr>
          <w:rFonts w:ascii="GHEA Mariam" w:eastAsia="Calibri" w:hAnsi="GHEA Mariam" w:cs="Arial"/>
          <w:color w:val="000000" w:themeColor="text1"/>
          <w:sz w:val="24"/>
          <w:szCs w:val="24"/>
          <w:lang w:val="hy-AM"/>
        </w:rPr>
        <w:t>օրենքի</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Arial"/>
          <w:color w:val="000000" w:themeColor="text1"/>
          <w:sz w:val="24"/>
          <w:szCs w:val="24"/>
          <w:lang w:val="hy-AM"/>
        </w:rPr>
        <w:t>այսուհետ՝</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Arial"/>
          <w:color w:val="000000" w:themeColor="text1"/>
          <w:sz w:val="24"/>
          <w:szCs w:val="24"/>
          <w:lang w:val="hy-AM"/>
        </w:rPr>
        <w:t>Օրենք</w:t>
      </w:r>
      <w:r w:rsidRPr="008E6283">
        <w:rPr>
          <w:rFonts w:ascii="GHEA Mariam" w:eastAsia="Calibri" w:hAnsi="GHEA Mariam" w:cs="Times New Roman"/>
          <w:color w:val="000000" w:themeColor="text1"/>
          <w:sz w:val="24"/>
          <w:szCs w:val="24"/>
          <w:lang w:val="hy-AM"/>
        </w:rPr>
        <w:t xml:space="preserve">) </w:t>
      </w:r>
      <w:r w:rsidRPr="009B7ACB">
        <w:rPr>
          <w:rFonts w:ascii="GHEA Mariam" w:eastAsia="Calibri" w:hAnsi="GHEA Mariam" w:cs="Times New Roman"/>
          <w:color w:val="000000" w:themeColor="text1"/>
          <w:sz w:val="24"/>
          <w:szCs w:val="24"/>
          <w:lang w:val="hy-AM"/>
        </w:rPr>
        <w:t>26.1</w:t>
      </w:r>
      <w:r w:rsidRPr="008E6283">
        <w:rPr>
          <w:rFonts w:ascii="GHEA Mariam" w:eastAsia="Calibri" w:hAnsi="GHEA Mariam" w:cs="Times New Roman"/>
          <w:color w:val="000000" w:themeColor="text1"/>
          <w:sz w:val="24"/>
          <w:szCs w:val="24"/>
          <w:lang w:val="hy-AM"/>
        </w:rPr>
        <w:t>-</w:t>
      </w:r>
      <w:r w:rsidRPr="008E6283">
        <w:rPr>
          <w:rFonts w:ascii="GHEA Mariam" w:eastAsia="Calibri" w:hAnsi="GHEA Mariam" w:cs="Arial"/>
          <w:color w:val="000000" w:themeColor="text1"/>
          <w:sz w:val="24"/>
          <w:szCs w:val="24"/>
          <w:lang w:val="hy-AM"/>
        </w:rPr>
        <w:t>ին հոդվածի 1-ին մասի</w:t>
      </w:r>
      <w:r w:rsidRPr="009B7ACB">
        <w:rPr>
          <w:rFonts w:ascii="GHEA Mariam" w:eastAsia="Calibri" w:hAnsi="GHEA Mariam" w:cs="Arial"/>
          <w:color w:val="000000" w:themeColor="text1"/>
          <w:sz w:val="24"/>
          <w:szCs w:val="24"/>
          <w:lang w:val="hy-AM"/>
        </w:rPr>
        <w:t>ց հանել</w:t>
      </w:r>
      <w:r w:rsidRPr="008E6283">
        <w:rPr>
          <w:rFonts w:ascii="GHEA Mariam" w:eastAsia="Calibri" w:hAnsi="GHEA Mariam" w:cs="Arial"/>
          <w:color w:val="000000" w:themeColor="text1"/>
          <w:sz w:val="24"/>
          <w:szCs w:val="24"/>
          <w:lang w:val="hy-AM"/>
        </w:rPr>
        <w:t xml:space="preserve"> </w:t>
      </w:r>
      <w:r w:rsidRPr="009B7ACB">
        <w:rPr>
          <w:rFonts w:ascii="GHEA Mariam" w:eastAsia="Calibri" w:hAnsi="GHEA Mariam" w:cs="Arial"/>
          <w:color w:val="000000" w:themeColor="text1"/>
          <w:sz w:val="24"/>
          <w:szCs w:val="24"/>
          <w:lang w:val="hy-AM"/>
        </w:rPr>
        <w:t>«,գույքի և դրա նկատմամբ իրավունքների և սահմանափակումների վերաբերյալ տեղեկատվության տրամադրման» և «կամ տեղեկատվության տրամադրման» բառերը:</w:t>
      </w:r>
    </w:p>
    <w:p w14:paraId="0E4B2B69" w14:textId="77777777" w:rsidR="009B7ACB" w:rsidRPr="008E6283" w:rsidRDefault="009B7ACB" w:rsidP="009B7ACB">
      <w:pPr>
        <w:tabs>
          <w:tab w:val="left" w:pos="630"/>
        </w:tabs>
        <w:spacing w:line="360" w:lineRule="auto"/>
        <w:ind w:firstLine="270"/>
        <w:jc w:val="both"/>
        <w:rPr>
          <w:rFonts w:ascii="GHEA Mariam" w:eastAsia="Calibri" w:hAnsi="GHEA Mariam" w:cs="Arial"/>
          <w:b/>
          <w:color w:val="000000" w:themeColor="text1"/>
          <w:sz w:val="24"/>
          <w:szCs w:val="24"/>
          <w:lang w:val="hy-AM"/>
        </w:rPr>
      </w:pPr>
    </w:p>
    <w:p w14:paraId="74CD0CAB"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8E6283">
        <w:rPr>
          <w:rFonts w:ascii="GHEA Mariam" w:eastAsia="Calibri" w:hAnsi="GHEA Mariam" w:cs="Arial"/>
          <w:color w:val="000000" w:themeColor="text1"/>
          <w:sz w:val="24"/>
          <w:szCs w:val="24"/>
          <w:lang w:val="hy-AM"/>
        </w:rPr>
        <w:t xml:space="preserve">   </w:t>
      </w:r>
      <w:r w:rsidRPr="008E6283">
        <w:rPr>
          <w:rFonts w:ascii="GHEA Mariam" w:eastAsia="Calibri" w:hAnsi="GHEA Mariam" w:cs="Arial"/>
          <w:b/>
          <w:color w:val="000000" w:themeColor="text1"/>
          <w:sz w:val="24"/>
          <w:szCs w:val="24"/>
          <w:lang w:val="hy-AM"/>
        </w:rPr>
        <w:t>Հոդված</w:t>
      </w:r>
      <w:r w:rsidRPr="008E6283">
        <w:rPr>
          <w:rFonts w:ascii="GHEA Mariam" w:eastAsia="Calibri" w:hAnsi="GHEA Mariam" w:cs="Times New Roman"/>
          <w:b/>
          <w:color w:val="000000" w:themeColor="text1"/>
          <w:sz w:val="24"/>
          <w:szCs w:val="24"/>
          <w:lang w:val="hy-AM"/>
        </w:rPr>
        <w:t xml:space="preserve"> 2. </w:t>
      </w:r>
      <w:r w:rsidRPr="009B7ACB">
        <w:rPr>
          <w:rFonts w:ascii="GHEA Mariam" w:eastAsia="Calibri" w:hAnsi="GHEA Mariam" w:cs="Times New Roman"/>
          <w:bCs/>
          <w:color w:val="000000" w:themeColor="text1"/>
          <w:sz w:val="24"/>
          <w:szCs w:val="24"/>
          <w:lang w:val="hy-AM"/>
        </w:rPr>
        <w:t>Օրենքի 32-րդ և 33-րդ հոդվածները շարադրել հետևյալ խմբագրությամբ.</w:t>
      </w:r>
    </w:p>
    <w:p w14:paraId="796BFECB" w14:textId="77777777" w:rsidR="009B7ACB" w:rsidRPr="009B7ACB" w:rsidRDefault="009B7ACB" w:rsidP="009B7ACB">
      <w:pPr>
        <w:tabs>
          <w:tab w:val="left" w:pos="630"/>
        </w:tabs>
        <w:spacing w:line="360" w:lineRule="auto"/>
        <w:ind w:firstLine="270"/>
        <w:jc w:val="both"/>
        <w:rPr>
          <w:rFonts w:ascii="GHEA Mariam" w:eastAsia="Calibri" w:hAnsi="GHEA Mariam" w:cs="Times New Roman"/>
          <w:b/>
          <w:color w:val="000000" w:themeColor="text1"/>
          <w:sz w:val="24"/>
          <w:szCs w:val="24"/>
          <w:lang w:val="hy-AM"/>
        </w:rPr>
      </w:pPr>
      <w:r w:rsidRPr="009B7ACB">
        <w:rPr>
          <w:rFonts w:ascii="GHEA Mariam" w:eastAsia="Calibri" w:hAnsi="GHEA Mariam" w:cs="Times New Roman"/>
          <w:bCs/>
          <w:color w:val="000000" w:themeColor="text1"/>
          <w:sz w:val="24"/>
          <w:szCs w:val="24"/>
          <w:lang w:val="hy-AM"/>
        </w:rPr>
        <w:t>«</w:t>
      </w:r>
      <w:r w:rsidRPr="009B7ACB">
        <w:rPr>
          <w:rFonts w:ascii="GHEA Mariam" w:eastAsia="Calibri" w:hAnsi="GHEA Mariam" w:cs="Times New Roman"/>
          <w:b/>
          <w:color w:val="000000" w:themeColor="text1"/>
          <w:sz w:val="24"/>
          <w:szCs w:val="24"/>
          <w:lang w:val="hy-AM"/>
        </w:rPr>
        <w:t>Հոդված 32.</w:t>
      </w:r>
      <w:r w:rsidRPr="009B7ACB">
        <w:rPr>
          <w:rFonts w:ascii="GHEA Mariam" w:eastAsia="Calibri" w:hAnsi="GHEA Mariam" w:cs="Times New Roman"/>
          <w:b/>
          <w:color w:val="000000" w:themeColor="text1"/>
          <w:sz w:val="24"/>
          <w:szCs w:val="24"/>
          <w:lang w:val="hy-AM"/>
        </w:rPr>
        <w:tab/>
        <w:t>Անշարժ գույքի պետական միասնական կադաստրի տեղեկատվության տրամադրումը</w:t>
      </w:r>
    </w:p>
    <w:p w14:paraId="3F1AA98F"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 xml:space="preserve">1. Պետական և տեղական ինքնակառավարման մարմինները, իրավաբանական և ֆիզիկական անձինք իրավունք ունեն անշարժ գույքի պետական ռեգիստրի պաշտոնական կայքէջի էլեկտրոնային համակարգի միջոցով ինքնաշխատ եղանակով ստանալու անշարժ գույքի պետական միասնական կադաստրի տվյալների վերաբերյալ տեղեկատվություն ՝ բացառապես սույն հոդվածի 3-րդ մասով սահմանված տեսակների շրջանակներում, սույն օրենքի 11-րդ հոդվածով սահմանված մատչելիության սահմանափակումների պահպանմամբ։ Տեղեկատվությունը </w:t>
      </w:r>
      <w:r w:rsidRPr="009B7ACB">
        <w:rPr>
          <w:rFonts w:ascii="GHEA Mariam" w:eastAsia="Calibri" w:hAnsi="GHEA Mariam" w:cs="Times New Roman"/>
          <w:bCs/>
          <w:color w:val="000000" w:themeColor="text1"/>
          <w:sz w:val="24"/>
          <w:szCs w:val="24"/>
          <w:lang w:val="hy-AM"/>
        </w:rPr>
        <w:lastRenderedPageBreak/>
        <w:t xml:space="preserve">տրամադրվում է նշված կայքէջում հասանելի վճարահաշվարկային համակարգի միջոցով «Պետական տուրքի մասին» օրենքով սահմանված չափով պետական տուրքի վճարումը կատարելուց անմիջապես հետո, բացառությամբ նույն օրենքի 29.1-ին հոդվածով և սույն օրենքի 75-րդ հոդվածի 4-րդ մասով նախատեսված՝ տեղեկատվության անվճար տրամադրման դեպքերի։ </w:t>
      </w:r>
    </w:p>
    <w:p w14:paraId="7CE79781"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2. Ինքնաշխատ տեղեկատվության տրամադրումը մերժվում է, եթե՝</w:t>
      </w:r>
    </w:p>
    <w:p w14:paraId="5BAC37C8"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1) տեղեկատվությունը պարունակում է օրենքով սահմանված կարգով պետական գաղտնիք պարունակող տեղեկություն, և տեղեկատվությունը հայցող անձը չունի դրան առնչվելու համապատասխան թույլտվություն.</w:t>
      </w:r>
    </w:p>
    <w:p w14:paraId="78E4E0AC"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2) տեղեկատվությունը պարունակում է սույն օրենքի 11-րդ հոդվածի հիմքերով և կարգով սահմանափակված մատչելիությամբ տեղեկություն, և տեղեկատվությունը հայցող անձը չունի այն ստանալու իրավունք:</w:t>
      </w:r>
    </w:p>
    <w:p w14:paraId="7F8C31B3"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3. Գույքի նկատմամբ գրանցված առանձին իրավունքների, սահմանափակումների կամ անշարժ գույքի պետական միասնական կադաստրում առկա գույքի վերաբերյալ այլ տեղեկատվությունը, ինչպես նաև կադաստրային գործի առանձին փաստաթղթերը տրամադրվում են անշարժ գույքի պետական ռեգիստրի պաշտոնական կայքէջի էլեկտրոնային համակարգի միջոցով ինքնաշխատ եղանակով՝ ըստ հետևյալ տեսակների</w:t>
      </w:r>
      <w:r w:rsidRPr="009B7ACB">
        <w:rPr>
          <w:rFonts w:ascii="Cambria Math" w:eastAsia="Calibri" w:hAnsi="Cambria Math" w:cs="Cambria Math"/>
          <w:bCs/>
          <w:color w:val="000000" w:themeColor="text1"/>
          <w:sz w:val="24"/>
          <w:szCs w:val="24"/>
          <w:lang w:val="hy-AM"/>
        </w:rPr>
        <w:t>․</w:t>
      </w:r>
    </w:p>
    <w:p w14:paraId="405B8CC0"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 xml:space="preserve">1) գույքի միավորի կամ դրա որևէ մասի նկատմամբ գրանցված և գործող իրավունքների, իրավունքների տեսակների և սուբյեկտների վերաբերյալ տեղեկատվություն, </w:t>
      </w:r>
    </w:p>
    <w:p w14:paraId="13336ACF"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2) գույքի միավորի կամ դրա որևէ մասի նկատմամբ գրանցված և գործող իրավունքների գրանցման համար հիմք հանդիսացող փաստաթղթերի անվանումների ու վավերապայմանների վերաբերյալ տեղեկատվություն,</w:t>
      </w:r>
    </w:p>
    <w:p w14:paraId="36953E7F"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lastRenderedPageBreak/>
        <w:t>3) գույքի միավորի կամ դրա որևէ մասի նկատմամբ գրանցված և գործող իրավունքների սահմանափակումների և դրանց կիրառման համար հիմք հանդիսացած փաստաթղթի վերաբերյալ տեղեկատվություն,</w:t>
      </w:r>
    </w:p>
    <w:p w14:paraId="168B69ED"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4) գույքի (hողամասի) և ամրակայված գույքի ընդհանուր նկարագրի վերաբերյալ տեղեկատվություն,</w:t>
      </w:r>
    </w:p>
    <w:p w14:paraId="7D6B7020"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5) միևնույն սուբյեկտին որևէ իրավունքով պատկանող գույքի առկայության (անկախ գույքի քանակից) վերաբերյալ տեղեկատվություն,</w:t>
      </w:r>
    </w:p>
    <w:p w14:paraId="1DB98353"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6) գույքի միավորի վերաբերյալ այլ տեղեկատվություն,</w:t>
      </w:r>
    </w:p>
    <w:p w14:paraId="70EFB8D4"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7) բազմաբնակարան կամ ստորաբաժանված շենքում առկա առանձին գույքային միավորների սեփականատերերի վերաբերյալ տեղեկատվության տրամադրում,</w:t>
      </w:r>
    </w:p>
    <w:p w14:paraId="37928744"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8) գույքի միավորի շուկայական արժեքին մոտարկված կադաստրային արժեքի (գյուղատնտեսական նշանակության հողերի դեպքում՝ կադաստրային արժեքի) և դրա ամփոփ հաշվարկման վերաբերյալ ձևաթղթի տրամադրում։</w:t>
      </w:r>
    </w:p>
    <w:p w14:paraId="0B5C0510"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4</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Կադաստրային գործի փաստաթղթերի իսկական օրինակները կարող են տրամադրվել միայն օրենքով նախատեսված դեպքերում և կարգով՝ դատական կամ դատախազության կամ քրեական վարույթն իրականացնող այլ մարմինների որոշումների հիման վրա: Սույն մասով նախատեսված հիմքերով կադաստրային գործի փաստաթղթերի իսկական օրինակները համապատասխան մարմնում գտնվելու ընթացքում, գրանցող մարմնում պահպանվող այդ փաստաթղթերի պատճենները, այդ թվում նաև էլեկտրոնային պատճենները, հիմք են գրանցող մարմնի կողմից համապատասխան գործառույթներ իրականացնելու համար, եթե նման գործառույթի իրականացումն օրենքով սահմանված կարգով չի արգելվել կամ սահմանափակվել:</w:t>
      </w:r>
    </w:p>
    <w:p w14:paraId="643AE39E"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5</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Գույքի և դրա նկատմամբ իրավունքների ու սահմանափակումների վերաբերյալ տեղեկատվությունը տրամադրվում է անշարժ գույքի պետական ռեգիստրի պաշտոնական կայքէջի էլեկտրոնային համակարգի միջոցով ներկայացված դիմումի </w:t>
      </w:r>
      <w:r w:rsidRPr="009B7ACB">
        <w:rPr>
          <w:rFonts w:ascii="GHEA Mariam" w:eastAsia="Calibri" w:hAnsi="GHEA Mariam" w:cs="Times New Roman"/>
          <w:bCs/>
          <w:color w:val="000000" w:themeColor="text1"/>
          <w:sz w:val="24"/>
          <w:szCs w:val="24"/>
          <w:lang w:val="hy-AM"/>
        </w:rPr>
        <w:lastRenderedPageBreak/>
        <w:t>հիման վրա՝ գրանցման մատյանից և կադաստրային գործից անշարժ գույքի միավորի վերաբերյալ տեղեկությունների միասնական քաղվածքի (այսուհետ՝ միասնական տեղեկանք) ձևով։</w:t>
      </w:r>
    </w:p>
    <w:p w14:paraId="423B1611"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6</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Միասնական տեղեկանքում պետք է նշվեն դրա տրամադրման պահին տվյալ անշարժ գույքի միավորի նկատմամբ գրանցման մատյանում գրանցված բոլոր իրավունքները և սահմանափակումները, ինչպես նաև գրանցման մատյանում գույքի վերաբերյալ գրառված այլ տեղեկությունները: Միասնական տեղեկանքը գործարքներ կնքելու համար միակ փաստաթուղթն է, որով հավաստվում են սույն մասում ներկայացված տեղեկությունները, և որը պարտադիր է սույն օրենքի 24-րդ հոդվածի 6-րդ մասով սահմանված գործարքների վավերացման համար, բացառությամբ Հայաստանի Հանրապետության հողային օրենսգրքի 64-րդ հոդվածի 3-րդ մասով և «Իրավունք հաստատող փաստաթղթերը չպահպանված անհատական բնակելի տների կարգավիճակի մասին» Հայաստանի Հանրապետության օրենքով սահմանված պետական կամ համայնքային սեփականություն հանդիսացող հողամասերի օտարման դեպքերի:</w:t>
      </w:r>
    </w:p>
    <w:p w14:paraId="6FCA52B4"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Միասնական տեղեկանք տրամադրվում է միայն անշարժ գույքի այն միավորների վերաբերյալ, որոնց նկատմամբ իրավունքները գրանցվել են 1998 թվականի մարտի 1-ից հետո: Միասնական տեղեկանքն ուժի մեջ է 15 աշխատանքային օր:</w:t>
      </w:r>
    </w:p>
    <w:p w14:paraId="3FD3BD00"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Միասնական տեղեկանքի ձևը հաստատում է անշարժ գույքի պետական ռեգիստրի ղեկավարը:</w:t>
      </w:r>
    </w:p>
    <w:p w14:paraId="39067B59"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7</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Սույն հոդվածի 3-րդ մասի 1-ին կետով սահմանված տեղեկատվության մեջ նշվում են՝ գույքի միավորի կամ դրա որևէ մասի նկատմամբ գրանցված և գործող բոլոր իրավունքները, իրավունքի տեսակը, սուբյեկտները, գույքի միավորի կադաստրային ծածկագիրը, անշարժ գույքի նկատմամբ իրավունքների պետական գրանցման վկայականի համարը, գրանցման ամսաթիվը (առկայության դեպքում), գույքի հասցեն (առկայության դեպքում), մակերեսը և բաժնեմասը (առկայության դեպքում):</w:t>
      </w:r>
    </w:p>
    <w:p w14:paraId="48B6D0B6"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lastRenderedPageBreak/>
        <w:t>8</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Սույն հոդվածի 3-րդ մասի 2-րդ կետով սահմանված տեղեկատվության մեջ նշվում են՝ գույքի միավորի կամ դրա որևէ մասի նկատմամբ գրանցված և գործող իրավունքների տեսակը, դրանց գրանցման համար հիմք հանդիսացող փաստաթղթերի անվանումներն ու վավերապայմանները, գույքի միավորի կադաստրային ծածկագիրը, անշարժ գույքի նկատմամբ իրավունքների պետական գրանցման վկայականի համարը, գույքի հասցեն (առկայության դեպքում)։</w:t>
      </w:r>
    </w:p>
    <w:p w14:paraId="2871A59E"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9</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Սույն հոդվածի 3-րդ մասի 3-րդ կետով սահմանված տեղեկատվության մեջ նշվում են՝ գույքի միավորի կամ դրա որևէ մասի նկատմամբ գրանցված և գործող իրավունքների սահմանափակումների և դրանց կիրառման համար հիմք հանդիսացած փաստաթղթի վերաբերյալ տեղեկություններ, գույքի միավորի կադաստրային ծածկագիրը, անշարժ գույքի նկատմամբ իրավունքների պետական գրանցման վկայականի համարը և գույքի հասցեն (առկայության դեպքում)։</w:t>
      </w:r>
    </w:p>
    <w:p w14:paraId="2AEB6D86"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10</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Սույն հոդվածի 3-րդ մասի 4-րդ կետով սահմանված տեղեկատվության մեջ նշվում են՝ գույքի միավորի կադաստրային ծածկագիրը, անշարժ գույքի նկատմամբ իրավունքների պետական գրանցման վկայականի համարը, գույքի հասցեն (առկայության դեպքում), նպատակային և գործառնական (հողատեսքը) նշանակությունները, մակերեսը, շուկայական արժեքին մոտարկված կադաստրային արժեքը (գյուղատնտեսական նշանակության հողերի դեպքում՝ կադաստրային արժեքը), շինության՝ մեկ քառակուսի մետր մակերեսի (ներքին չափերով) բազային արժեքը, կառուցման նյութի տեսակը (բացառությամբ ծածկերի, շվաքարանների և պարիսպների), տարածագնահատման (գտնվելու վայրի) գոտիականության գործակիցը, ավարտվածության աստիճանը, միջհարկային ծածկի տեսակը, տանիքի նյութը, արտաքին հարդարումը, բարձրությունը (ներքին չափերով), հարկայնությունը, վնասվածության աստիճանը, շինության, ծածկերի, շվաքարանների և պարիսպների կառուցման տարեթիվը, ինչպես նաև առկայությունը </w:t>
      </w:r>
      <w:r w:rsidRPr="009B7ACB">
        <w:rPr>
          <w:rFonts w:ascii="GHEA Mariam" w:eastAsia="Calibri" w:hAnsi="GHEA Mariam" w:cs="Times New Roman"/>
          <w:bCs/>
          <w:color w:val="000000" w:themeColor="text1"/>
          <w:sz w:val="24"/>
          <w:szCs w:val="24"/>
          <w:lang w:val="hy-AM"/>
        </w:rPr>
        <w:lastRenderedPageBreak/>
        <w:t>դեպքում տեղեկատվություն ծածկերի, շվաքարանների, պարիսպների, կից օժանդակ շինությունների, ավտոտնակների վերաբերյալ։</w:t>
      </w:r>
    </w:p>
    <w:p w14:paraId="24D58054"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11</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Սույն հոդվածի 3-րդ մասի 5-րդ կետով սահմանված տեղեկատվության մեջ նշվում են՝ գրանցված և գործող բոլոր իրավունքները, իրավունքի տեսակը, գույքի միավորի կադաստրային ծածկագիրը, անշարժ գույքի նկատմամբ իրավունքների պետական գրանցման վկայականի համարը և գույքի հասցեն (առկայության դեպքում)։</w:t>
      </w:r>
    </w:p>
    <w:p w14:paraId="2DA8D768"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12</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Սույն հոդվածի 3-րդ մասի 6-րդ կետով սահմանված տեղեկատվության մեջ նշվում են գրանցմատյանի այլ բաժնինների ենթաբաժիններում չընդգրկված, սակայն գրառման ենթակա այլ տեղեկությունները։ Անշարժ գույքի պետական ռեգիստրի ղեկավարի հրամանով կարող է սահմանվել գրանցամատյանի այլ բաժինների ենթաբաժիններում գրառման ոչ ենթակա, սակայն կադաստրային գործում առկա և տրամադրման ենթակա այլ տեղեկատվության ցանկը։ Սույն մասով նախատեսված տեղեկատվության տրամադրման կարգը և բովանդակությունը սահմանում է անշարժ գույքի պետական ռեգիստրի ղեկավարը։</w:t>
      </w:r>
    </w:p>
    <w:p w14:paraId="415C6FCC"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13</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 Սույն հոդվածի 3-րդ մասի 7-րդ կետով սահմանված տեղեկատվության մեջ նշվում են բազմաբնակարան կամ ստորաբաժանված շենքում առկա առանձին գրանցված և գործող գույքային միավորների` ըստ բնակարանների համարների (առկայության դեպքում), սեփականատերերի վերաբերյալ տեղեկություններ։</w:t>
      </w:r>
    </w:p>
    <w:p w14:paraId="1239B5BC"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14. Տեղեկատվության տրամադրման ընթացակարգերի առանձնահատկությունները սահմանում է անշարժ գույքի պետական ռեգիստրի ղեկավարը:</w:t>
      </w:r>
    </w:p>
    <w:p w14:paraId="4AFDB1DB"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p>
    <w:p w14:paraId="019D001F" w14:textId="77777777" w:rsidR="009B7ACB" w:rsidRPr="009B7ACB" w:rsidRDefault="009B7ACB" w:rsidP="009B7ACB">
      <w:pPr>
        <w:tabs>
          <w:tab w:val="left" w:pos="630"/>
        </w:tabs>
        <w:spacing w:line="360" w:lineRule="auto"/>
        <w:ind w:firstLine="270"/>
        <w:jc w:val="both"/>
        <w:rPr>
          <w:rFonts w:ascii="GHEA Mariam" w:eastAsia="Calibri" w:hAnsi="GHEA Mariam" w:cs="Times New Roman"/>
          <w:b/>
          <w:color w:val="000000" w:themeColor="text1"/>
          <w:sz w:val="24"/>
          <w:szCs w:val="24"/>
          <w:lang w:val="hy-AM"/>
        </w:rPr>
      </w:pPr>
      <w:r w:rsidRPr="009B7ACB">
        <w:rPr>
          <w:rFonts w:ascii="GHEA Mariam" w:eastAsia="Calibri" w:hAnsi="GHEA Mariam" w:cs="Times New Roman"/>
          <w:b/>
          <w:color w:val="000000" w:themeColor="text1"/>
          <w:sz w:val="24"/>
          <w:szCs w:val="24"/>
          <w:lang w:val="hy-AM"/>
        </w:rPr>
        <w:t>Հոդված 33.</w:t>
      </w:r>
      <w:r w:rsidRPr="009B7ACB">
        <w:rPr>
          <w:rFonts w:ascii="GHEA Mariam" w:eastAsia="Calibri" w:hAnsi="GHEA Mariam" w:cs="Times New Roman"/>
          <w:b/>
          <w:color w:val="000000" w:themeColor="text1"/>
          <w:sz w:val="24"/>
          <w:szCs w:val="24"/>
          <w:lang w:val="hy-AM"/>
        </w:rPr>
        <w:tab/>
        <w:t>Անշարժ գույքի պետական միասնական կադաստրի տեղեկատվության տրամադրման պայմանները</w:t>
      </w:r>
    </w:p>
    <w:p w14:paraId="7F1A4567" w14:textId="77777777" w:rsidR="009B7ACB" w:rsidRPr="009B7ACB" w:rsidRDefault="009B7ACB" w:rsidP="009B7ACB">
      <w:pPr>
        <w:tabs>
          <w:tab w:val="left" w:pos="630"/>
        </w:tabs>
        <w:spacing w:line="360" w:lineRule="auto"/>
        <w:ind w:firstLine="270"/>
        <w:jc w:val="both"/>
        <w:rPr>
          <w:rFonts w:ascii="GHEA Mariam" w:eastAsia="Calibri" w:hAnsi="GHEA Mariam" w:cs="Times New Roman"/>
          <w:b/>
          <w:color w:val="000000" w:themeColor="text1"/>
          <w:sz w:val="24"/>
          <w:szCs w:val="24"/>
          <w:lang w:val="hy-AM"/>
        </w:rPr>
      </w:pPr>
    </w:p>
    <w:p w14:paraId="2DE57DB3"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lastRenderedPageBreak/>
        <w:t>1. Որոշակիորեն նույնականացված (միանշանակ որոշված) անշարժ գույքի միավորի վերաբերյալ հայցվող տեղեկատվությունը տրամադրվում է ինքնաշխատ եղանակով՝ անշարժ գույքի պետական ռեգիստրի պաշտոնական կայքէջում հասանելի վճարահաշվարկային համակարգի միջոցով՝ «Պետական տուրքի մասին» օրենքի 16-րդ հոդվածի 36</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 xml:space="preserve">1-ին մասով սահմանված վճարը կատարելուց անմիջապես հետո։ </w:t>
      </w:r>
      <w:bookmarkStart w:id="0" w:name="_Hlk243315019"/>
      <w:r w:rsidRPr="009B7ACB">
        <w:rPr>
          <w:rFonts w:ascii="GHEA Mariam" w:eastAsia="Calibri" w:hAnsi="GHEA Mariam" w:cs="Times New Roman"/>
          <w:bCs/>
          <w:color w:val="000000" w:themeColor="text1"/>
          <w:sz w:val="24"/>
          <w:szCs w:val="24"/>
          <w:lang w:val="hy-AM"/>
        </w:rPr>
        <w:t>Սույն օրենքի 32-րդ հոդվածի 5-րդ մասով սահմանված միասնական տեղեկանք</w:t>
      </w:r>
      <w:bookmarkEnd w:id="0"/>
      <w:r w:rsidRPr="009B7ACB">
        <w:rPr>
          <w:rFonts w:ascii="GHEA Mariam" w:eastAsia="Calibri" w:hAnsi="GHEA Mariam" w:cs="Times New Roman"/>
          <w:bCs/>
          <w:color w:val="000000" w:themeColor="text1"/>
          <w:sz w:val="24"/>
          <w:szCs w:val="24"/>
          <w:lang w:val="hy-AM"/>
        </w:rPr>
        <w:t>ը տրամադրվում է ոչ ուշ, քան դիմումը ներկայացվելու օրվանից հետո՝ երրորդ աշխատանքային օրը։</w:t>
      </w:r>
    </w:p>
    <w:p w14:paraId="58141604"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2. Անշարժ գույքի միավորը համարվում է նույնականացված, եթե անշարժ գույքի պետական ռեգիստրի պաշտոնական կայքէջի էլեկտրոնային համակարգի՝ տեղեկություններն ինքնաշխատ եղանակով ստանալու համար նախատեսված բաժնում, իսկ միասնական տեղեկանք ստանալու դեպքում՝ համապատասխան դիմումում նշված է անշարժ գույքի կադաստրային ծածկագիրը կամ հասցեն կամ անշարժ գույքի նկատմամբ իրավունքների պետական գրանցման վկայականի համարը:</w:t>
      </w:r>
    </w:p>
    <w:p w14:paraId="159D7711"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3. Անձի վերաբերյալ տվյալները համարվում են նույնականացված, եթե անշարժ գույքի պետական ռեգիստրի պաշտոնական կայքէջի էլեկտրոնային համակարգի՝ տեղեկություններն ինքնաշխատ եղանակով ստանալու համար նախատեսված բաժնում, իսկ միասնական տեղեկանք ստանալու դեպքում՝ համապատասխան դիմումում, նշված են առնվազն հետևյալ տվյալները՝</w:t>
      </w:r>
    </w:p>
    <w:p w14:paraId="54ED71F5"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1) ֆիզիկական անձի դեպքում՝</w:t>
      </w:r>
    </w:p>
    <w:p w14:paraId="3439B958"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ա. ֆիզիկական անձի անունը, ազգանունը, հայրանունը և ծննդյան ամսաթիվը,</w:t>
      </w:r>
    </w:p>
    <w:p w14:paraId="258829AE"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բ. ֆիզիկական անձի անձը հաստատող փաստաթղթի անվանումը և համարը,</w:t>
      </w:r>
    </w:p>
    <w:p w14:paraId="73B3C157"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գ. ֆիզիկական անձի հանրային ծառայությունների համարանիշը.</w:t>
      </w:r>
    </w:p>
    <w:p w14:paraId="520D0B3C"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 xml:space="preserve">2) իրավաբանական անձի դեպքում՝ իրավաբանական անձի անվանումը, իրավաբանական անձի պետական գրանցման փաստաթղթերում առկայության </w:t>
      </w:r>
      <w:r w:rsidRPr="009B7ACB">
        <w:rPr>
          <w:rFonts w:ascii="GHEA Mariam" w:eastAsia="Calibri" w:hAnsi="GHEA Mariam" w:cs="Times New Roman"/>
          <w:bCs/>
          <w:color w:val="000000" w:themeColor="text1"/>
          <w:sz w:val="24"/>
          <w:szCs w:val="24"/>
          <w:lang w:val="hy-AM"/>
        </w:rPr>
        <w:lastRenderedPageBreak/>
        <w:t>դեպքում՝ իրավաբանական անձի գրանցման համարը կամ հարկ վճարողի հաշվառման համարը:</w:t>
      </w:r>
    </w:p>
    <w:p w14:paraId="5974D489"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9B7ACB">
        <w:rPr>
          <w:rFonts w:ascii="GHEA Mariam" w:eastAsia="Calibri" w:hAnsi="GHEA Mariam" w:cs="Times New Roman"/>
          <w:bCs/>
          <w:color w:val="000000" w:themeColor="text1"/>
          <w:sz w:val="24"/>
          <w:szCs w:val="24"/>
          <w:lang w:val="hy-AM"/>
        </w:rPr>
        <w:t>4. Ֆիզիկական կամ իրավաբանական անձի կամ անշարժ գույքի միավորի նույնականացված չլինելը կամ սույն օրենքի 32-րդ հոդվածի 2-րդ մասերով սահմանված պահանջները պահպանված չլինելը կամ տեղեկատվության տրամադրման համար «Պետական տուրքի մասին» օրենքով սահմանված չափով պետական տուրքը վճարած չլինելը, բացառությամբ «Պետական տուրքի մասին» օրենքի 29</w:t>
      </w:r>
      <w:r w:rsidRPr="009B7ACB">
        <w:rPr>
          <w:rFonts w:ascii="Cambria Math" w:eastAsia="Calibri" w:hAnsi="Cambria Math" w:cs="Cambria Math"/>
          <w:bCs/>
          <w:color w:val="000000" w:themeColor="text1"/>
          <w:sz w:val="24"/>
          <w:szCs w:val="24"/>
          <w:lang w:val="hy-AM"/>
        </w:rPr>
        <w:t>․</w:t>
      </w:r>
      <w:r w:rsidRPr="009B7ACB">
        <w:rPr>
          <w:rFonts w:ascii="GHEA Mariam" w:eastAsia="Calibri" w:hAnsi="GHEA Mariam" w:cs="Times New Roman"/>
          <w:bCs/>
          <w:color w:val="000000" w:themeColor="text1"/>
          <w:sz w:val="24"/>
          <w:szCs w:val="24"/>
          <w:lang w:val="hy-AM"/>
        </w:rPr>
        <w:t>1-ին հոդվածով նախատեսված տեղեկատվության անվճար տրամադրման դեպքերի, հիմք է սույն օրենքի 11-րդ հոդվածով նախատեսված տեղեկատվության տրամադրումը կասեցնելու համար:»:</w:t>
      </w:r>
    </w:p>
    <w:p w14:paraId="720A8081"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lang w:val="hy-AM"/>
        </w:rPr>
      </w:pPr>
    </w:p>
    <w:p w14:paraId="17F0D4EB" w14:textId="77777777" w:rsidR="009B7ACB" w:rsidRPr="009B7ACB" w:rsidRDefault="009B7ACB" w:rsidP="009B7ACB">
      <w:pPr>
        <w:tabs>
          <w:tab w:val="left" w:pos="630"/>
        </w:tabs>
        <w:spacing w:line="360" w:lineRule="auto"/>
        <w:ind w:firstLine="270"/>
        <w:jc w:val="both"/>
        <w:rPr>
          <w:rFonts w:ascii="GHEA Mariam" w:eastAsia="Calibri" w:hAnsi="GHEA Mariam" w:cs="Times New Roman"/>
          <w:bCs/>
          <w:color w:val="000000" w:themeColor="text1"/>
          <w:sz w:val="24"/>
          <w:szCs w:val="24"/>
          <w:lang w:val="hy-AM"/>
        </w:rPr>
      </w:pP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b/>
          <w:color w:val="000000" w:themeColor="text1"/>
          <w:sz w:val="24"/>
          <w:szCs w:val="24"/>
          <w:lang w:val="hy-AM"/>
        </w:rPr>
        <w:t xml:space="preserve">Հոդված 3. </w:t>
      </w:r>
      <w:r w:rsidRPr="009B7ACB">
        <w:rPr>
          <w:rFonts w:ascii="GHEA Mariam" w:eastAsia="Calibri" w:hAnsi="GHEA Mariam" w:cs="Times New Roman"/>
          <w:bCs/>
          <w:color w:val="000000" w:themeColor="text1"/>
          <w:sz w:val="24"/>
          <w:szCs w:val="24"/>
          <w:lang w:val="hy-AM"/>
        </w:rPr>
        <w:t>Օրենքի 33.1-ին հոդվածի 2-րդ մասից հանել «առանձին տեղեկանքով՝» և «՝ սույն օրենքով սահմանված համապատասխան վճարի մուծման դեպքում» բառերը:</w:t>
      </w:r>
    </w:p>
    <w:p w14:paraId="0D24FF2F"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lang w:val="hy-AM"/>
        </w:rPr>
      </w:pPr>
    </w:p>
    <w:p w14:paraId="5F5E704F"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rPr>
      </w:pP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b/>
          <w:color w:val="000000" w:themeColor="text1"/>
          <w:sz w:val="24"/>
          <w:szCs w:val="24"/>
          <w:lang w:val="hy-AM"/>
        </w:rPr>
        <w:t xml:space="preserve">Հոդված 4. </w:t>
      </w:r>
      <w:r w:rsidRPr="008E6283">
        <w:rPr>
          <w:rFonts w:ascii="GHEA Mariam" w:eastAsia="Calibri" w:hAnsi="GHEA Mariam" w:cs="Times New Roman"/>
          <w:color w:val="000000" w:themeColor="text1"/>
          <w:sz w:val="24"/>
          <w:szCs w:val="24"/>
        </w:rPr>
        <w:t>Օրենքի 51-րդ հոդվածի՝</w:t>
      </w:r>
    </w:p>
    <w:p w14:paraId="4507766B" w14:textId="77777777" w:rsidR="009B7ACB" w:rsidRPr="008E6283" w:rsidRDefault="009B7ACB" w:rsidP="009B7ACB">
      <w:pPr>
        <w:pStyle w:val="ListParagraph"/>
        <w:numPr>
          <w:ilvl w:val="0"/>
          <w:numId w:val="37"/>
        </w:numPr>
        <w:tabs>
          <w:tab w:val="left" w:pos="630"/>
        </w:tabs>
        <w:spacing w:line="360" w:lineRule="auto"/>
        <w:ind w:left="0" w:firstLine="270"/>
        <w:jc w:val="both"/>
        <w:rPr>
          <w:rFonts w:ascii="GHEA Mariam" w:eastAsia="Calibri" w:hAnsi="GHEA Mariam" w:cs="Times New Roman"/>
          <w:color w:val="000000" w:themeColor="text1"/>
          <w:sz w:val="24"/>
          <w:szCs w:val="24"/>
        </w:rPr>
      </w:pPr>
      <w:r w:rsidRPr="008E6283">
        <w:rPr>
          <w:rFonts w:ascii="GHEA Mariam" w:eastAsia="Calibri" w:hAnsi="GHEA Mariam" w:cs="Times New Roman"/>
          <w:color w:val="000000" w:themeColor="text1"/>
          <w:sz w:val="24"/>
          <w:szCs w:val="24"/>
        </w:rPr>
        <w:t>1-ին մասից հանել «և պահպանվում է տվյալ անշարժ գույքի միավորի համար կազմված կադաստրային գործում» բառերը,</w:t>
      </w:r>
    </w:p>
    <w:p w14:paraId="4A56BA0B" w14:textId="77777777" w:rsidR="009B7ACB" w:rsidRPr="008E6283" w:rsidRDefault="009B7ACB" w:rsidP="009B7ACB">
      <w:pPr>
        <w:pStyle w:val="ListParagraph"/>
        <w:numPr>
          <w:ilvl w:val="0"/>
          <w:numId w:val="37"/>
        </w:numPr>
        <w:tabs>
          <w:tab w:val="left" w:pos="630"/>
        </w:tabs>
        <w:spacing w:line="360" w:lineRule="auto"/>
        <w:ind w:left="0" w:firstLine="270"/>
        <w:jc w:val="both"/>
        <w:rPr>
          <w:rFonts w:ascii="GHEA Mariam" w:eastAsia="Calibri" w:hAnsi="GHEA Mariam" w:cs="Times New Roman"/>
          <w:color w:val="000000" w:themeColor="text1"/>
          <w:sz w:val="24"/>
          <w:szCs w:val="24"/>
        </w:rPr>
      </w:pPr>
      <w:r w:rsidRPr="008E6283">
        <w:rPr>
          <w:rFonts w:ascii="GHEA Mariam" w:eastAsia="Calibri" w:hAnsi="GHEA Mariam" w:cs="Times New Roman"/>
          <w:color w:val="000000" w:themeColor="text1"/>
          <w:sz w:val="24"/>
          <w:szCs w:val="24"/>
        </w:rPr>
        <w:t>2-րդ մասի 2-րդ պարբերությունն ուժը կորցրած ճանաչել:</w:t>
      </w:r>
    </w:p>
    <w:p w14:paraId="7C2C034C"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lang w:val="hy-AM"/>
        </w:rPr>
      </w:pPr>
      <w:r w:rsidRPr="008E6283">
        <w:rPr>
          <w:rFonts w:ascii="GHEA Mariam" w:eastAsia="Calibri" w:hAnsi="GHEA Mariam" w:cs="Times New Roman"/>
          <w:color w:val="000000" w:themeColor="text1"/>
          <w:sz w:val="24"/>
          <w:szCs w:val="24"/>
          <w:lang w:val="hy-AM"/>
        </w:rPr>
        <w:t xml:space="preserve"> </w:t>
      </w:r>
    </w:p>
    <w:p w14:paraId="3F876981"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rPr>
      </w:pPr>
      <w:bookmarkStart w:id="1" w:name="_Hlk241135078"/>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color w:val="000000" w:themeColor="text1"/>
          <w:sz w:val="24"/>
          <w:szCs w:val="24"/>
        </w:rPr>
        <w:t xml:space="preserve"> </w:t>
      </w:r>
      <w:r w:rsidRPr="008E6283">
        <w:rPr>
          <w:rFonts w:ascii="GHEA Mariam" w:eastAsia="Calibri" w:hAnsi="GHEA Mariam" w:cs="Times New Roman"/>
          <w:b/>
          <w:color w:val="000000" w:themeColor="text1"/>
          <w:sz w:val="24"/>
          <w:szCs w:val="24"/>
          <w:lang w:val="hy-AM"/>
        </w:rPr>
        <w:t>Հոդված 5.</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color w:val="000000" w:themeColor="text1"/>
          <w:sz w:val="24"/>
          <w:szCs w:val="24"/>
        </w:rPr>
        <w:t>Օրենքի 73-րդ հոդվածում</w:t>
      </w:r>
      <w:r w:rsidRPr="008E6283">
        <w:rPr>
          <w:rFonts w:ascii="Cambria Math" w:eastAsia="Calibri" w:hAnsi="Cambria Math" w:cs="Cambria Math"/>
          <w:color w:val="000000" w:themeColor="text1"/>
          <w:sz w:val="24"/>
          <w:szCs w:val="24"/>
        </w:rPr>
        <w:t>․</w:t>
      </w:r>
    </w:p>
    <w:bookmarkEnd w:id="1"/>
    <w:p w14:paraId="48E74D1C" w14:textId="77777777" w:rsidR="009B7ACB" w:rsidRPr="008E6283" w:rsidRDefault="009B7ACB" w:rsidP="009B7ACB">
      <w:pPr>
        <w:pStyle w:val="ListParagraph"/>
        <w:numPr>
          <w:ilvl w:val="0"/>
          <w:numId w:val="38"/>
        </w:numPr>
        <w:tabs>
          <w:tab w:val="left" w:pos="630"/>
        </w:tabs>
        <w:spacing w:line="360" w:lineRule="auto"/>
        <w:ind w:left="0" w:firstLine="270"/>
        <w:jc w:val="both"/>
        <w:rPr>
          <w:rFonts w:ascii="GHEA Mariam" w:eastAsia="Calibri" w:hAnsi="GHEA Mariam" w:cs="Times New Roman"/>
          <w:color w:val="000000" w:themeColor="text1"/>
          <w:sz w:val="24"/>
          <w:szCs w:val="24"/>
        </w:rPr>
      </w:pPr>
      <w:r w:rsidRPr="008E6283">
        <w:rPr>
          <w:rFonts w:ascii="GHEA Mariam" w:eastAsia="Calibri" w:hAnsi="GHEA Mariam" w:cs="Times New Roman"/>
          <w:color w:val="000000" w:themeColor="text1"/>
          <w:sz w:val="24"/>
          <w:szCs w:val="24"/>
        </w:rPr>
        <w:t>1-ին մասի 11</w:t>
      </w:r>
      <w:r w:rsidRPr="008E6283">
        <w:rPr>
          <w:rFonts w:ascii="Cambria Math" w:eastAsia="Calibri" w:hAnsi="Cambria Math" w:cs="Cambria Math"/>
          <w:color w:val="000000" w:themeColor="text1"/>
          <w:sz w:val="24"/>
          <w:szCs w:val="24"/>
        </w:rPr>
        <w:t>․</w:t>
      </w:r>
      <w:r w:rsidRPr="008E6283">
        <w:rPr>
          <w:rFonts w:ascii="GHEA Mariam" w:eastAsia="Calibri" w:hAnsi="GHEA Mariam" w:cs="Times New Roman"/>
          <w:color w:val="000000" w:themeColor="text1"/>
          <w:sz w:val="24"/>
          <w:szCs w:val="24"/>
        </w:rPr>
        <w:t>1-12</w:t>
      </w:r>
      <w:r w:rsidRPr="008E6283">
        <w:rPr>
          <w:rFonts w:ascii="Cambria Math" w:eastAsia="Calibri" w:hAnsi="Cambria Math" w:cs="Cambria Math"/>
          <w:color w:val="000000" w:themeColor="text1"/>
          <w:sz w:val="24"/>
          <w:szCs w:val="24"/>
        </w:rPr>
        <w:t>․</w:t>
      </w:r>
      <w:r w:rsidRPr="008E6283">
        <w:rPr>
          <w:rFonts w:ascii="GHEA Mariam" w:eastAsia="Calibri" w:hAnsi="GHEA Mariam" w:cs="Times New Roman"/>
          <w:color w:val="000000" w:themeColor="text1"/>
          <w:sz w:val="24"/>
          <w:szCs w:val="24"/>
        </w:rPr>
        <w:t xml:space="preserve">1-ին, 15-րդ և 27-28-րդ կետերն ուժ կորցրած ճանաչել։ </w:t>
      </w:r>
    </w:p>
    <w:p w14:paraId="6C85FD71"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rPr>
      </w:pPr>
    </w:p>
    <w:p w14:paraId="6B58C2D2"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rPr>
      </w:pP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color w:val="000000" w:themeColor="text1"/>
          <w:sz w:val="24"/>
          <w:szCs w:val="24"/>
        </w:rPr>
        <w:t xml:space="preserve"> </w:t>
      </w:r>
      <w:r w:rsidRPr="008E6283">
        <w:rPr>
          <w:rFonts w:ascii="GHEA Mariam" w:eastAsia="Calibri" w:hAnsi="GHEA Mariam" w:cs="Times New Roman"/>
          <w:b/>
          <w:color w:val="000000" w:themeColor="text1"/>
          <w:sz w:val="24"/>
          <w:szCs w:val="24"/>
          <w:lang w:val="hy-AM"/>
        </w:rPr>
        <w:t>Հոդված 6.</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color w:val="000000" w:themeColor="text1"/>
          <w:sz w:val="24"/>
          <w:szCs w:val="24"/>
        </w:rPr>
        <w:t>Օրենքի 73</w:t>
      </w:r>
      <w:r w:rsidRPr="008E6283">
        <w:rPr>
          <w:rFonts w:ascii="Cambria Math" w:eastAsia="Calibri" w:hAnsi="Cambria Math" w:cs="Cambria Math"/>
          <w:color w:val="000000" w:themeColor="text1"/>
          <w:sz w:val="24"/>
          <w:szCs w:val="24"/>
        </w:rPr>
        <w:t>․</w:t>
      </w:r>
      <w:r w:rsidRPr="008E6283">
        <w:rPr>
          <w:rFonts w:ascii="GHEA Mariam" w:eastAsia="Calibri" w:hAnsi="GHEA Mariam" w:cs="Times New Roman"/>
          <w:color w:val="000000" w:themeColor="text1"/>
          <w:sz w:val="24"/>
          <w:szCs w:val="24"/>
        </w:rPr>
        <w:t>1-ին հոդվածի 1-ին և 3-րդ մասեր</w:t>
      </w:r>
      <w:r>
        <w:rPr>
          <w:rFonts w:ascii="GHEA Mariam" w:eastAsia="Calibri" w:hAnsi="GHEA Mariam" w:cs="Times New Roman"/>
          <w:color w:val="000000" w:themeColor="text1"/>
          <w:sz w:val="24"/>
          <w:szCs w:val="24"/>
        </w:rPr>
        <w:t>ում</w:t>
      </w:r>
      <w:r w:rsidRPr="008E6283">
        <w:rPr>
          <w:rFonts w:ascii="GHEA Mariam" w:eastAsia="Calibri" w:hAnsi="GHEA Mariam" w:cs="Times New Roman"/>
          <w:color w:val="000000" w:themeColor="text1"/>
          <w:sz w:val="24"/>
          <w:szCs w:val="24"/>
        </w:rPr>
        <w:t xml:space="preserve"> «</w:t>
      </w:r>
      <w:r w:rsidRPr="008E6283">
        <w:rPr>
          <w:rFonts w:ascii="GHEA Mariam" w:hAnsi="GHEA Mariam"/>
          <w:sz w:val="24"/>
          <w:szCs w:val="24"/>
        </w:rPr>
        <w:t>կամ տեղեկատվության</w:t>
      </w:r>
      <w:r w:rsidRPr="008E6283">
        <w:rPr>
          <w:rFonts w:ascii="GHEA Mariam" w:eastAsia="Calibri" w:hAnsi="GHEA Mariam" w:cs="Times New Roman"/>
          <w:color w:val="000000" w:themeColor="text1"/>
          <w:sz w:val="24"/>
          <w:szCs w:val="24"/>
        </w:rPr>
        <w:t>» բառերը</w:t>
      </w:r>
      <w:r>
        <w:rPr>
          <w:rFonts w:ascii="GHEA Mariam" w:eastAsia="Calibri" w:hAnsi="GHEA Mariam" w:cs="Times New Roman"/>
          <w:color w:val="000000" w:themeColor="text1"/>
          <w:sz w:val="24"/>
          <w:szCs w:val="24"/>
        </w:rPr>
        <w:t xml:space="preserve"> փոխարինել </w:t>
      </w:r>
      <w:r w:rsidRPr="001C1277">
        <w:rPr>
          <w:rFonts w:ascii="GHEA Mariam" w:eastAsia="Calibri" w:hAnsi="GHEA Mariam" w:cs="Times New Roman"/>
          <w:color w:val="000000" w:themeColor="text1"/>
          <w:sz w:val="24"/>
          <w:szCs w:val="24"/>
        </w:rPr>
        <w:t>«կամ սույն օրենքի 32-րդ հոդվածի 5-րդ մասով սահմանված միասնական տեղեկանքի»</w:t>
      </w:r>
      <w:r>
        <w:rPr>
          <w:rFonts w:ascii="GHEA Mariam" w:eastAsia="Calibri" w:hAnsi="GHEA Mariam" w:cs="Times New Roman"/>
          <w:color w:val="000000" w:themeColor="text1"/>
          <w:sz w:val="24"/>
          <w:szCs w:val="24"/>
        </w:rPr>
        <w:t xml:space="preserve"> բառերով</w:t>
      </w:r>
      <w:r w:rsidRPr="008E6283">
        <w:rPr>
          <w:rFonts w:ascii="GHEA Mariam" w:eastAsia="Calibri" w:hAnsi="GHEA Mariam" w:cs="Times New Roman"/>
          <w:color w:val="000000" w:themeColor="text1"/>
          <w:sz w:val="24"/>
          <w:szCs w:val="24"/>
        </w:rPr>
        <w:t>։</w:t>
      </w:r>
    </w:p>
    <w:p w14:paraId="4736EC59"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lang w:val="hy-AM"/>
        </w:rPr>
      </w:pPr>
    </w:p>
    <w:p w14:paraId="2115E821"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rPr>
      </w:pP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b/>
          <w:color w:val="000000" w:themeColor="text1"/>
          <w:sz w:val="24"/>
          <w:szCs w:val="24"/>
          <w:lang w:val="hy-AM"/>
        </w:rPr>
        <w:t>Հոդված 7.</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color w:val="000000" w:themeColor="text1"/>
          <w:sz w:val="24"/>
          <w:szCs w:val="24"/>
        </w:rPr>
        <w:t>Օրենքի 74-րդ հոդվածում</w:t>
      </w:r>
      <w:r w:rsidRPr="008E6283">
        <w:rPr>
          <w:rFonts w:ascii="Cambria Math" w:eastAsia="Calibri" w:hAnsi="Cambria Math" w:cs="Cambria Math"/>
          <w:color w:val="000000" w:themeColor="text1"/>
          <w:sz w:val="24"/>
          <w:szCs w:val="24"/>
        </w:rPr>
        <w:t>․</w:t>
      </w:r>
    </w:p>
    <w:p w14:paraId="6076ECA3" w14:textId="77777777" w:rsidR="009B7ACB" w:rsidRPr="008E6283" w:rsidRDefault="009B7ACB" w:rsidP="009B7ACB">
      <w:pPr>
        <w:pStyle w:val="ListParagraph"/>
        <w:numPr>
          <w:ilvl w:val="0"/>
          <w:numId w:val="40"/>
        </w:numPr>
        <w:shd w:val="clear" w:color="auto" w:fill="FFFFFF"/>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3-րդ մասի երկրորդ պարբերությունից, 5-րդ մասի երկրորդ պարբերությունից և 7-րդ մասից հանել «կամ տեղեկատվության տրամադրման» բառերը,</w:t>
      </w:r>
    </w:p>
    <w:p w14:paraId="4D612153" w14:textId="77777777" w:rsidR="009B7ACB" w:rsidRPr="008E6283" w:rsidRDefault="009B7ACB" w:rsidP="009B7ACB">
      <w:pPr>
        <w:pStyle w:val="ListParagraph"/>
        <w:numPr>
          <w:ilvl w:val="0"/>
          <w:numId w:val="40"/>
        </w:numPr>
        <w:shd w:val="clear" w:color="auto" w:fill="FFFFFF"/>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4-րդ մասի երկրորդ պարբերությունն ուժը կորցրաժ ճանաչել,</w:t>
      </w:r>
    </w:p>
    <w:p w14:paraId="22484D83" w14:textId="77777777" w:rsidR="009B7ACB" w:rsidRPr="008E6283" w:rsidRDefault="009B7ACB" w:rsidP="009B7ACB">
      <w:pPr>
        <w:pStyle w:val="ListParagraph"/>
        <w:numPr>
          <w:ilvl w:val="0"/>
          <w:numId w:val="40"/>
        </w:numPr>
        <w:shd w:val="clear" w:color="auto" w:fill="FFFFFF"/>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7-րդ մասից հանել «կամ տեղեկատվությունը» բառերը,</w:t>
      </w:r>
    </w:p>
    <w:p w14:paraId="4AD264B2" w14:textId="77777777" w:rsidR="009B7ACB" w:rsidRPr="003E4C55" w:rsidRDefault="009B7ACB" w:rsidP="009B7ACB">
      <w:pPr>
        <w:pStyle w:val="ListParagraph"/>
        <w:numPr>
          <w:ilvl w:val="0"/>
          <w:numId w:val="40"/>
        </w:numPr>
        <w:shd w:val="clear" w:color="auto" w:fill="FFFFFF"/>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3E4C55">
        <w:rPr>
          <w:rFonts w:ascii="GHEA Mariam" w:eastAsia="Times New Roman" w:hAnsi="GHEA Mariam" w:cs="GHEA Mariam"/>
          <w:color w:val="000000" w:themeColor="text1"/>
          <w:sz w:val="24"/>
          <w:szCs w:val="24"/>
          <w:lang w:val="hy-AM"/>
        </w:rPr>
        <w:t xml:space="preserve">8-րդ մասում «տեղեկատվությունը </w:t>
      </w:r>
      <w:r w:rsidRPr="009B7ACB">
        <w:rPr>
          <w:rFonts w:ascii="GHEA Mariam" w:eastAsia="Times New Roman" w:hAnsi="GHEA Mariam" w:cs="GHEA Mariam"/>
          <w:color w:val="000000" w:themeColor="text1"/>
          <w:sz w:val="24"/>
          <w:szCs w:val="24"/>
          <w:lang w:val="hy-AM"/>
        </w:rPr>
        <w:t>(</w:t>
      </w:r>
      <w:r w:rsidRPr="003E4C55">
        <w:rPr>
          <w:rFonts w:ascii="GHEA Mariam" w:eastAsia="Times New Roman" w:hAnsi="GHEA Mariam" w:cs="GHEA Mariam"/>
          <w:color w:val="000000" w:themeColor="text1"/>
          <w:sz w:val="24"/>
          <w:szCs w:val="24"/>
          <w:lang w:val="hy-AM"/>
        </w:rPr>
        <w:t>այդ թվում՝ միասնական տեղեկանքի ձևով</w:t>
      </w:r>
      <w:r w:rsidRPr="009B7ACB">
        <w:rPr>
          <w:rFonts w:ascii="GHEA Mariam" w:eastAsia="Times New Roman" w:hAnsi="GHEA Mariam" w:cs="GHEA Mariam"/>
          <w:color w:val="000000" w:themeColor="text1"/>
          <w:sz w:val="24"/>
          <w:szCs w:val="24"/>
          <w:lang w:val="hy-AM"/>
        </w:rPr>
        <w:t>)</w:t>
      </w:r>
      <w:r w:rsidRPr="003E4C55">
        <w:rPr>
          <w:rFonts w:ascii="GHEA Mariam" w:eastAsia="Times New Roman" w:hAnsi="GHEA Mariam" w:cs="GHEA Mariam"/>
          <w:color w:val="000000" w:themeColor="text1"/>
          <w:sz w:val="24"/>
          <w:szCs w:val="24"/>
          <w:lang w:val="hy-AM"/>
        </w:rPr>
        <w:t>»</w:t>
      </w:r>
      <w:r>
        <w:rPr>
          <w:rFonts w:ascii="GHEA Mariam" w:eastAsia="Times New Roman" w:hAnsi="GHEA Mariam" w:cs="GHEA Mariam"/>
          <w:color w:val="000000" w:themeColor="text1"/>
          <w:sz w:val="24"/>
          <w:szCs w:val="24"/>
          <w:lang w:val="hy-AM"/>
        </w:rPr>
        <w:t xml:space="preserve"> բառերը փոխաչինել «</w:t>
      </w:r>
      <w:r w:rsidRPr="003E4C55">
        <w:rPr>
          <w:rFonts w:ascii="GHEA Mariam" w:eastAsia="Times New Roman" w:hAnsi="GHEA Mariam" w:cs="GHEA Mariam"/>
          <w:color w:val="000000" w:themeColor="text1"/>
          <w:sz w:val="24"/>
          <w:szCs w:val="24"/>
          <w:lang w:val="hy-AM"/>
        </w:rPr>
        <w:t>միասնական տեղեկանքը</w:t>
      </w:r>
      <w:r>
        <w:rPr>
          <w:rFonts w:ascii="GHEA Mariam" w:eastAsia="Times New Roman" w:hAnsi="GHEA Mariam" w:cs="GHEA Mariam"/>
          <w:color w:val="000000" w:themeColor="text1"/>
          <w:sz w:val="24"/>
          <w:szCs w:val="24"/>
          <w:lang w:val="hy-AM"/>
        </w:rPr>
        <w:t>» բառերով, իսկ «</w:t>
      </w:r>
      <w:r w:rsidRPr="003E4C55">
        <w:rPr>
          <w:rFonts w:ascii="GHEA Mariam" w:eastAsia="Times New Roman" w:hAnsi="GHEA Mariam" w:cs="GHEA Mariam"/>
          <w:color w:val="000000" w:themeColor="text1"/>
          <w:sz w:val="24"/>
          <w:szCs w:val="24"/>
          <w:lang w:val="hy-AM"/>
        </w:rPr>
        <w:t>, ինչպես նաև սույն օրենքի 75-րդ հոդվածի 7-րդ մասով</w:t>
      </w:r>
      <w:r>
        <w:rPr>
          <w:rFonts w:ascii="GHEA Mariam" w:eastAsia="Times New Roman" w:hAnsi="GHEA Mariam" w:cs="GHEA Mariam"/>
          <w:color w:val="000000" w:themeColor="text1"/>
          <w:sz w:val="24"/>
          <w:szCs w:val="24"/>
          <w:lang w:val="hy-AM"/>
        </w:rPr>
        <w:t>» բառերը հանել,</w:t>
      </w:r>
    </w:p>
    <w:p w14:paraId="046DCCCC" w14:textId="77777777" w:rsidR="009B7ACB" w:rsidRPr="008E6283" w:rsidRDefault="009B7ACB" w:rsidP="009B7ACB">
      <w:pPr>
        <w:pStyle w:val="ListParagraph"/>
        <w:numPr>
          <w:ilvl w:val="0"/>
          <w:numId w:val="42"/>
        </w:numPr>
        <w:shd w:val="clear" w:color="auto" w:fill="FFFFFF"/>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լրացնել նոր 8</w:t>
      </w:r>
      <w:r w:rsidRPr="008E6283">
        <w:rPr>
          <w:rFonts w:ascii="Cambria Math" w:eastAsia="Times New Roman" w:hAnsi="Cambria Math" w:cs="Cambria Math"/>
          <w:color w:val="000000" w:themeColor="text1"/>
          <w:sz w:val="24"/>
          <w:szCs w:val="24"/>
          <w:lang w:val="hy-AM"/>
        </w:rPr>
        <w:t>․</w:t>
      </w:r>
      <w:r w:rsidRPr="008E6283">
        <w:rPr>
          <w:rFonts w:ascii="GHEA Mariam" w:eastAsia="Times New Roman" w:hAnsi="GHEA Mariam" w:cs="GHEA Mariam"/>
          <w:color w:val="000000" w:themeColor="text1"/>
          <w:sz w:val="24"/>
          <w:szCs w:val="24"/>
          <w:lang w:val="hy-AM"/>
        </w:rPr>
        <w:t>1-ին մաս հետևյալ բովանդակությամբ</w:t>
      </w:r>
      <w:r w:rsidRPr="008E6283">
        <w:rPr>
          <w:rFonts w:ascii="Cambria Math" w:eastAsia="Times New Roman" w:hAnsi="Cambria Math" w:cs="Cambria Math"/>
          <w:color w:val="000000" w:themeColor="text1"/>
          <w:sz w:val="24"/>
          <w:szCs w:val="24"/>
          <w:lang w:val="hy-AM"/>
        </w:rPr>
        <w:t>․</w:t>
      </w:r>
    </w:p>
    <w:p w14:paraId="03565035"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«8.1</w:t>
      </w:r>
      <w:r w:rsidRPr="003E4C55">
        <w:rPr>
          <w:rFonts w:ascii="GHEA Mariam" w:eastAsia="Times New Roman" w:hAnsi="GHEA Mariam" w:cs="GHEA Mariam"/>
          <w:color w:val="000000" w:themeColor="text1"/>
          <w:sz w:val="24"/>
          <w:szCs w:val="24"/>
          <w:lang w:val="hy-AM"/>
        </w:rPr>
        <w:t>. Անշարժ գույքի միավորի վերաբերյալ տեղեկատվությունը տրամադրվում է անմիջապես՝ անշարժ գույքի պետական ռեգիստրի պաշտոնական կայքէջում հասանելի վճարահաշվարկային համակարգի միջոցով նույն կետով սահմանված վճարը կատարելուց հետո։</w:t>
      </w:r>
      <w:r w:rsidRPr="008E6283">
        <w:rPr>
          <w:rFonts w:ascii="GHEA Mariam" w:eastAsia="Times New Roman" w:hAnsi="GHEA Mariam" w:cs="GHEA Mariam"/>
          <w:color w:val="000000" w:themeColor="text1"/>
          <w:sz w:val="24"/>
          <w:szCs w:val="24"/>
          <w:lang w:val="hy-AM"/>
        </w:rPr>
        <w:t>»,</w:t>
      </w:r>
    </w:p>
    <w:p w14:paraId="214FA72B" w14:textId="77777777" w:rsidR="009B7ACB" w:rsidRPr="00EE4846" w:rsidRDefault="009B7ACB" w:rsidP="009B7ACB">
      <w:pPr>
        <w:pStyle w:val="ListParagraph"/>
        <w:numPr>
          <w:ilvl w:val="0"/>
          <w:numId w:val="44"/>
        </w:numPr>
        <w:shd w:val="clear" w:color="auto" w:fill="FFFFFF"/>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11-րդ և 13-րդ մասերն ուժը կորցրած ճանաչել</w:t>
      </w:r>
      <w:r w:rsidRPr="00EE4846">
        <w:rPr>
          <w:rFonts w:ascii="GHEA Mariam" w:eastAsia="Times New Roman" w:hAnsi="GHEA Mariam" w:cs="GHEA Mariam"/>
          <w:color w:val="000000" w:themeColor="text1"/>
          <w:sz w:val="24"/>
          <w:szCs w:val="24"/>
          <w:lang w:val="hy-AM"/>
        </w:rPr>
        <w:t>։</w:t>
      </w:r>
    </w:p>
    <w:p w14:paraId="07CCF304"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GHEA Mariam"/>
          <w:b/>
          <w:bCs/>
          <w:color w:val="000000" w:themeColor="text1"/>
          <w:sz w:val="24"/>
          <w:szCs w:val="24"/>
          <w:lang w:val="hy-AM"/>
        </w:rPr>
      </w:pPr>
    </w:p>
    <w:p w14:paraId="5C93A47D" w14:textId="77777777" w:rsidR="009B7ACB" w:rsidRPr="008E6283" w:rsidRDefault="009B7ACB" w:rsidP="009B7ACB">
      <w:pPr>
        <w:tabs>
          <w:tab w:val="left" w:pos="630"/>
        </w:tabs>
        <w:spacing w:line="360" w:lineRule="auto"/>
        <w:ind w:firstLine="270"/>
        <w:jc w:val="both"/>
        <w:rPr>
          <w:rFonts w:ascii="GHEA Mariam" w:eastAsia="Calibri" w:hAnsi="GHEA Mariam" w:cs="Times New Roman"/>
          <w:color w:val="000000" w:themeColor="text1"/>
          <w:sz w:val="24"/>
          <w:szCs w:val="24"/>
        </w:rPr>
      </w:pP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b/>
          <w:color w:val="000000" w:themeColor="text1"/>
          <w:sz w:val="24"/>
          <w:szCs w:val="24"/>
          <w:lang w:val="hy-AM"/>
        </w:rPr>
        <w:t>Հոդված 8.</w:t>
      </w:r>
      <w:r w:rsidRPr="008E6283">
        <w:rPr>
          <w:rFonts w:ascii="GHEA Mariam" w:eastAsia="Calibri" w:hAnsi="GHEA Mariam" w:cs="Times New Roman"/>
          <w:color w:val="000000" w:themeColor="text1"/>
          <w:sz w:val="24"/>
          <w:szCs w:val="24"/>
          <w:lang w:val="hy-AM"/>
        </w:rPr>
        <w:t xml:space="preserve"> </w:t>
      </w:r>
      <w:r w:rsidRPr="008E6283">
        <w:rPr>
          <w:rFonts w:ascii="GHEA Mariam" w:eastAsia="Calibri" w:hAnsi="GHEA Mariam" w:cs="Times New Roman"/>
          <w:color w:val="000000" w:themeColor="text1"/>
          <w:sz w:val="24"/>
          <w:szCs w:val="24"/>
        </w:rPr>
        <w:t>Օրենքի 75-րդ հոդվածում</w:t>
      </w:r>
      <w:r w:rsidRPr="008E6283">
        <w:rPr>
          <w:rFonts w:ascii="Cambria Math" w:eastAsia="Calibri" w:hAnsi="Cambria Math" w:cs="Cambria Math"/>
          <w:color w:val="000000" w:themeColor="text1"/>
          <w:sz w:val="24"/>
          <w:szCs w:val="24"/>
        </w:rPr>
        <w:t>․</w:t>
      </w:r>
    </w:p>
    <w:p w14:paraId="271A268E" w14:textId="77777777" w:rsidR="009B7ACB" w:rsidRPr="008E6283" w:rsidRDefault="009B7ACB" w:rsidP="009B7ACB">
      <w:pPr>
        <w:pStyle w:val="ListParagraph"/>
        <w:numPr>
          <w:ilvl w:val="0"/>
          <w:numId w:val="45"/>
        </w:numPr>
        <w:shd w:val="clear" w:color="auto" w:fill="FFFFFF"/>
        <w:tabs>
          <w:tab w:val="left" w:pos="540"/>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3-րդ մասից հանել «կամ այդ գույքի վերաբերյալ տեղեկատվության տրամադրման» բառերը,</w:t>
      </w:r>
    </w:p>
    <w:p w14:paraId="3145D294" w14:textId="77777777" w:rsidR="009B7ACB" w:rsidRPr="008E6283" w:rsidRDefault="009B7ACB" w:rsidP="009B7ACB">
      <w:pPr>
        <w:pStyle w:val="ListParagraph"/>
        <w:numPr>
          <w:ilvl w:val="0"/>
          <w:numId w:val="45"/>
        </w:numPr>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3</w:t>
      </w:r>
      <w:r w:rsidRPr="008E6283">
        <w:rPr>
          <w:rFonts w:ascii="Cambria Math" w:eastAsia="Times New Roman" w:hAnsi="Cambria Math" w:cs="Cambria Math"/>
          <w:color w:val="000000" w:themeColor="text1"/>
          <w:sz w:val="24"/>
          <w:szCs w:val="24"/>
          <w:lang w:val="hy-AM"/>
        </w:rPr>
        <w:t>․</w:t>
      </w:r>
      <w:r w:rsidRPr="008E6283">
        <w:rPr>
          <w:rFonts w:ascii="GHEA Mariam" w:eastAsia="Times New Roman" w:hAnsi="GHEA Mariam" w:cs="GHEA Mariam"/>
          <w:color w:val="000000" w:themeColor="text1"/>
          <w:sz w:val="24"/>
          <w:szCs w:val="24"/>
          <w:lang w:val="hy-AM"/>
        </w:rPr>
        <w:t>1-րդ և 4</w:t>
      </w:r>
      <w:r w:rsidRPr="008E6283">
        <w:rPr>
          <w:rFonts w:ascii="Cambria Math" w:eastAsia="Times New Roman" w:hAnsi="Cambria Math" w:cs="Cambria Math"/>
          <w:color w:val="000000" w:themeColor="text1"/>
          <w:sz w:val="24"/>
          <w:szCs w:val="24"/>
          <w:lang w:val="hy-AM"/>
        </w:rPr>
        <w:t>․</w:t>
      </w:r>
      <w:r w:rsidRPr="008E6283">
        <w:rPr>
          <w:rFonts w:ascii="GHEA Mariam" w:eastAsia="Times New Roman" w:hAnsi="GHEA Mariam" w:cs="GHEA Mariam"/>
          <w:color w:val="000000" w:themeColor="text1"/>
          <w:sz w:val="24"/>
          <w:szCs w:val="24"/>
          <w:lang w:val="hy-AM"/>
        </w:rPr>
        <w:t>1-7-րդ մասերն ուժը կորցրած ճանաչել,</w:t>
      </w:r>
    </w:p>
    <w:p w14:paraId="5EAC4C0F" w14:textId="77777777" w:rsidR="009B7ACB" w:rsidRPr="008E6283" w:rsidRDefault="009B7ACB" w:rsidP="009B7ACB">
      <w:pPr>
        <w:pStyle w:val="ListParagraph"/>
        <w:numPr>
          <w:ilvl w:val="0"/>
          <w:numId w:val="45"/>
        </w:numPr>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4-րդ մասում «համար։» բառից և կետադրական նշանից հետո լրացնել նոր նախադասություն հետևյալ բովանդակությամբ</w:t>
      </w:r>
      <w:r w:rsidRPr="008E6283">
        <w:rPr>
          <w:rFonts w:ascii="Cambria Math" w:eastAsia="Times New Roman" w:hAnsi="Cambria Math" w:cs="Cambria Math"/>
          <w:color w:val="000000" w:themeColor="text1"/>
          <w:sz w:val="24"/>
          <w:szCs w:val="24"/>
          <w:lang w:val="hy-AM"/>
        </w:rPr>
        <w:t>․</w:t>
      </w:r>
    </w:p>
    <w:p w14:paraId="12EEC28E" w14:textId="77777777" w:rsidR="009B7ACB" w:rsidRPr="008E6283" w:rsidRDefault="009B7ACB" w:rsidP="009B7ACB">
      <w:pPr>
        <w:tabs>
          <w:tab w:val="left" w:pos="630"/>
        </w:tabs>
        <w:spacing w:line="360" w:lineRule="auto"/>
        <w:ind w:firstLine="270"/>
        <w:jc w:val="both"/>
        <w:rPr>
          <w:rFonts w:ascii="GHEA Mariam" w:eastAsia="Times New Roman" w:hAnsi="GHEA Mariam" w:cs="GHEA Mariam"/>
          <w:color w:val="000000" w:themeColor="text1"/>
          <w:sz w:val="24"/>
          <w:szCs w:val="24"/>
          <w:lang w:val="hy-AM"/>
        </w:rPr>
      </w:pPr>
      <w:r w:rsidRPr="008E6283">
        <w:rPr>
          <w:rFonts w:ascii="GHEA Mariam" w:eastAsia="Times New Roman" w:hAnsi="GHEA Mariam" w:cs="GHEA Mariam"/>
          <w:color w:val="000000" w:themeColor="text1"/>
          <w:sz w:val="24"/>
          <w:szCs w:val="24"/>
          <w:lang w:val="hy-AM"/>
        </w:rPr>
        <w:t>«Սույն մասով նախատեսված մարմիններին տեղեկատվությունը վճարովի հիմունքներով տրամադրելու դեպքերը և վճարի չափերը կարող են սահմանվել Կառավարության որոշմամբ։»։</w:t>
      </w:r>
    </w:p>
    <w:p w14:paraId="6CAA72A9" w14:textId="77777777" w:rsidR="009B7ACB" w:rsidRPr="008E6283" w:rsidRDefault="009B7ACB" w:rsidP="009B7ACB">
      <w:pPr>
        <w:pStyle w:val="ListParagraph"/>
        <w:shd w:val="clear" w:color="auto" w:fill="FFFFFF"/>
        <w:tabs>
          <w:tab w:val="left" w:pos="630"/>
        </w:tabs>
        <w:spacing w:line="360" w:lineRule="auto"/>
        <w:ind w:left="0" w:firstLine="270"/>
        <w:jc w:val="both"/>
        <w:rPr>
          <w:rFonts w:ascii="GHEA Mariam" w:eastAsia="Times New Roman" w:hAnsi="GHEA Mariam" w:cs="GHEA Mariam"/>
          <w:color w:val="000000" w:themeColor="text1"/>
          <w:sz w:val="24"/>
          <w:szCs w:val="24"/>
          <w:lang w:val="hy-AM"/>
        </w:rPr>
      </w:pPr>
    </w:p>
    <w:p w14:paraId="61FDBC9F" w14:textId="77777777" w:rsidR="009B7ACB" w:rsidRPr="008E6283" w:rsidRDefault="009B7ACB" w:rsidP="009B7ACB">
      <w:pPr>
        <w:shd w:val="clear" w:color="auto" w:fill="FFFFFF"/>
        <w:tabs>
          <w:tab w:val="left" w:pos="630"/>
        </w:tabs>
        <w:spacing w:line="360" w:lineRule="auto"/>
        <w:ind w:firstLine="270"/>
        <w:jc w:val="both"/>
        <w:rPr>
          <w:rFonts w:ascii="GHEA Mariam" w:hAnsi="GHEA Mariam"/>
          <w:color w:val="000000" w:themeColor="text1"/>
          <w:sz w:val="24"/>
          <w:szCs w:val="24"/>
          <w:lang w:val="hy-AM"/>
        </w:rPr>
      </w:pPr>
      <w:r w:rsidRPr="008E6283">
        <w:rPr>
          <w:rFonts w:ascii="GHEA Mariam" w:eastAsia="Times New Roman" w:hAnsi="GHEA Mariam" w:cs="GHEA Mariam"/>
          <w:b/>
          <w:bCs/>
          <w:color w:val="000000" w:themeColor="text1"/>
          <w:sz w:val="24"/>
          <w:szCs w:val="24"/>
          <w:lang w:val="hy-AM"/>
        </w:rPr>
        <w:lastRenderedPageBreak/>
        <w:t>Հոդված</w:t>
      </w:r>
      <w:r w:rsidRPr="008E6283">
        <w:rPr>
          <w:rFonts w:ascii="GHEA Mariam" w:eastAsia="Times New Roman" w:hAnsi="GHEA Mariam"/>
          <w:b/>
          <w:bCs/>
          <w:color w:val="000000" w:themeColor="text1"/>
          <w:sz w:val="24"/>
          <w:szCs w:val="24"/>
          <w:lang w:val="hy-AM"/>
        </w:rPr>
        <w:t xml:space="preserve"> </w:t>
      </w:r>
      <w:r w:rsidRPr="008E6283">
        <w:rPr>
          <w:rFonts w:ascii="GHEA Mariam" w:eastAsia="Times New Roman" w:hAnsi="GHEA Mariam" w:cs="Times New Roman"/>
          <w:b/>
          <w:bCs/>
          <w:color w:val="000000" w:themeColor="text1"/>
          <w:sz w:val="24"/>
          <w:szCs w:val="24"/>
          <w:lang w:val="hy-AM"/>
        </w:rPr>
        <w:t>9</w:t>
      </w:r>
      <w:r w:rsidRPr="008E6283">
        <w:rPr>
          <w:rFonts w:ascii="GHEA Mariam" w:eastAsia="Microsoft JhengHei" w:hAnsi="GHEA Mariam" w:cs="Cambria Math"/>
          <w:b/>
          <w:bCs/>
          <w:color w:val="000000" w:themeColor="text1"/>
          <w:sz w:val="24"/>
          <w:szCs w:val="24"/>
          <w:lang w:val="hy-AM"/>
        </w:rPr>
        <w:t>.</w:t>
      </w:r>
      <w:r w:rsidRPr="008E6283">
        <w:rPr>
          <w:rFonts w:ascii="GHEA Mariam" w:hAnsi="GHEA Mariam"/>
          <w:color w:val="000000" w:themeColor="text1"/>
          <w:sz w:val="24"/>
          <w:szCs w:val="24"/>
          <w:lang w:val="hy-AM"/>
        </w:rPr>
        <w:t xml:space="preserve"> </w:t>
      </w:r>
    </w:p>
    <w:p w14:paraId="5E3A0A15"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Times New Roman"/>
          <w:color w:val="000000" w:themeColor="text1"/>
          <w:sz w:val="24"/>
          <w:szCs w:val="24"/>
          <w:lang w:val="hy-AM"/>
        </w:rPr>
      </w:pPr>
      <w:r w:rsidRPr="008E6283">
        <w:rPr>
          <w:rFonts w:ascii="GHEA Mariam" w:hAnsi="GHEA Mariam"/>
          <w:color w:val="000000" w:themeColor="text1"/>
          <w:sz w:val="24"/>
          <w:szCs w:val="24"/>
          <w:lang w:val="hy-AM"/>
        </w:rPr>
        <w:t>1</w:t>
      </w:r>
      <w:r w:rsidRPr="008E6283">
        <w:rPr>
          <w:rFonts w:ascii="Cambria Math" w:hAnsi="Cambria Math" w:cs="Cambria Math"/>
          <w:color w:val="000000" w:themeColor="text1"/>
          <w:sz w:val="24"/>
          <w:szCs w:val="24"/>
          <w:lang w:val="hy-AM"/>
        </w:rPr>
        <w:t>․</w:t>
      </w:r>
      <w:r w:rsidRPr="008E6283">
        <w:rPr>
          <w:rFonts w:ascii="GHEA Mariam" w:hAnsi="GHEA Mariam"/>
          <w:color w:val="000000" w:themeColor="text1"/>
          <w:sz w:val="24"/>
          <w:szCs w:val="24"/>
          <w:lang w:val="hy-AM"/>
        </w:rPr>
        <w:t xml:space="preserve"> </w:t>
      </w:r>
      <w:r w:rsidRPr="00EE4846">
        <w:rPr>
          <w:rFonts w:ascii="GHEA Mariam" w:eastAsia="Times New Roman" w:hAnsi="GHEA Mariam" w:cs="Times New Roman"/>
          <w:color w:val="000000" w:themeColor="text1"/>
          <w:sz w:val="24"/>
          <w:szCs w:val="24"/>
          <w:lang w:val="hy-AM"/>
        </w:rPr>
        <w:t xml:space="preserve">Սույն օրենքն ուժի մեջ է մտնում պաշտոնական հրապարակմանը հաջորդող օրվանից </w:t>
      </w:r>
      <w:r>
        <w:rPr>
          <w:rFonts w:ascii="GHEA Mariam" w:eastAsia="Times New Roman" w:hAnsi="GHEA Mariam" w:cs="Times New Roman"/>
          <w:color w:val="000000" w:themeColor="text1"/>
          <w:sz w:val="24"/>
          <w:szCs w:val="24"/>
          <w:lang w:val="hy-AM"/>
        </w:rPr>
        <w:t>վեց ամիս</w:t>
      </w:r>
      <w:r w:rsidRPr="00EE4846">
        <w:rPr>
          <w:rFonts w:ascii="GHEA Mariam" w:eastAsia="Times New Roman" w:hAnsi="GHEA Mariam" w:cs="Times New Roman"/>
          <w:color w:val="000000" w:themeColor="text1"/>
          <w:sz w:val="24"/>
          <w:szCs w:val="24"/>
          <w:lang w:val="hy-AM"/>
        </w:rPr>
        <w:t xml:space="preserve"> հետո:</w:t>
      </w:r>
    </w:p>
    <w:p w14:paraId="73A1BE2A" w14:textId="77777777" w:rsidR="009B7ACB" w:rsidRPr="00EE4846" w:rsidRDefault="009B7ACB" w:rsidP="009B7ACB">
      <w:pPr>
        <w:shd w:val="clear" w:color="auto" w:fill="FFFFFF"/>
        <w:tabs>
          <w:tab w:val="left" w:pos="630"/>
          <w:tab w:val="num" w:pos="720"/>
        </w:tabs>
        <w:spacing w:line="360" w:lineRule="auto"/>
        <w:ind w:firstLine="270"/>
        <w:jc w:val="both"/>
        <w:rPr>
          <w:rFonts w:ascii="GHEA Mariam" w:eastAsia="Times New Roman" w:hAnsi="GHEA Mariam" w:cs="Times New Roman"/>
          <w:color w:val="000000" w:themeColor="text1"/>
          <w:sz w:val="24"/>
          <w:szCs w:val="24"/>
          <w:lang w:val="hy-AM"/>
        </w:rPr>
      </w:pPr>
      <w:r w:rsidRPr="008E6283">
        <w:rPr>
          <w:rFonts w:ascii="GHEA Mariam" w:eastAsia="Times New Roman" w:hAnsi="GHEA Mariam" w:cs="Times New Roman"/>
          <w:color w:val="000000" w:themeColor="text1"/>
          <w:sz w:val="24"/>
          <w:szCs w:val="24"/>
          <w:lang w:val="hy-AM"/>
        </w:rPr>
        <w:t>2</w:t>
      </w:r>
      <w:r w:rsidRPr="008E6283">
        <w:rPr>
          <w:rFonts w:ascii="Cambria Math" w:eastAsia="Times New Roman" w:hAnsi="Cambria Math" w:cs="Cambria Math"/>
          <w:color w:val="000000" w:themeColor="text1"/>
          <w:sz w:val="24"/>
          <w:szCs w:val="24"/>
          <w:lang w:val="hy-AM"/>
        </w:rPr>
        <w:t>․</w:t>
      </w:r>
      <w:r w:rsidRPr="008E6283">
        <w:rPr>
          <w:rFonts w:ascii="GHEA Mariam" w:eastAsia="Times New Roman" w:hAnsi="GHEA Mariam" w:cs="Times New Roman"/>
          <w:color w:val="000000" w:themeColor="text1"/>
          <w:sz w:val="24"/>
          <w:szCs w:val="24"/>
          <w:lang w:val="hy-AM"/>
        </w:rPr>
        <w:t xml:space="preserve"> </w:t>
      </w:r>
      <w:r w:rsidRPr="00EE4846">
        <w:rPr>
          <w:rFonts w:ascii="GHEA Mariam" w:eastAsia="Times New Roman" w:hAnsi="GHEA Mariam" w:cs="Times New Roman"/>
          <w:color w:val="000000" w:themeColor="text1"/>
          <w:sz w:val="24"/>
          <w:szCs w:val="24"/>
          <w:lang w:val="hy-AM"/>
        </w:rPr>
        <w:t>Սույն օրենքի պաշտոնական հրապարակման օրվանից հետո՝ վեցամսյա ժամկետում, Կադաստրի կոմիտեի ղեկավարը սահմանում է տեղեկատվության տրամադրման ընթացակարգերի առանձնահատկությունները։</w:t>
      </w:r>
    </w:p>
    <w:p w14:paraId="1F0938BC"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Times New Roman"/>
          <w:color w:val="000000" w:themeColor="text1"/>
          <w:sz w:val="24"/>
          <w:szCs w:val="24"/>
          <w:lang w:val="hy-AM"/>
        </w:rPr>
      </w:pPr>
    </w:p>
    <w:p w14:paraId="3FD2584B"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Times New Roman"/>
          <w:color w:val="000000" w:themeColor="text1"/>
          <w:sz w:val="24"/>
          <w:szCs w:val="24"/>
          <w:lang w:val="hy-AM"/>
        </w:rPr>
      </w:pPr>
    </w:p>
    <w:p w14:paraId="0392007A"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Times New Roman"/>
          <w:color w:val="000000" w:themeColor="text1"/>
          <w:sz w:val="24"/>
          <w:szCs w:val="24"/>
          <w:lang w:val="hy-AM"/>
        </w:rPr>
      </w:pPr>
      <w:r w:rsidRPr="008E6283">
        <w:rPr>
          <w:rFonts w:ascii="GHEA Mariam" w:eastAsia="Times New Roman" w:hAnsi="GHEA Mariam" w:cs="Times New Roman"/>
          <w:color w:val="000000" w:themeColor="text1"/>
          <w:sz w:val="24"/>
          <w:szCs w:val="24"/>
          <w:lang w:val="hy-AM"/>
        </w:rPr>
        <w:t xml:space="preserve">   Հանրապետության նախագահ</w:t>
      </w:r>
      <w:r w:rsidRPr="008E6283">
        <w:rPr>
          <w:rFonts w:ascii="GHEA Mariam" w:eastAsia="Times New Roman" w:hAnsi="GHEA Mariam" w:cs="Times New Roman"/>
          <w:color w:val="000000" w:themeColor="text1"/>
          <w:sz w:val="24"/>
          <w:szCs w:val="24"/>
          <w:lang w:val="hy-AM"/>
        </w:rPr>
        <w:tab/>
      </w:r>
      <w:r w:rsidRPr="008E6283">
        <w:rPr>
          <w:rFonts w:ascii="GHEA Mariam" w:eastAsia="Times New Roman" w:hAnsi="GHEA Mariam" w:cs="Times New Roman"/>
          <w:color w:val="000000" w:themeColor="text1"/>
          <w:sz w:val="24"/>
          <w:szCs w:val="24"/>
          <w:lang w:val="hy-AM"/>
        </w:rPr>
        <w:tab/>
      </w:r>
      <w:r w:rsidRPr="008E6283">
        <w:rPr>
          <w:rFonts w:ascii="GHEA Mariam" w:eastAsia="Times New Roman" w:hAnsi="GHEA Mariam" w:cs="Times New Roman"/>
          <w:color w:val="000000" w:themeColor="text1"/>
          <w:sz w:val="24"/>
          <w:szCs w:val="24"/>
          <w:lang w:val="hy-AM"/>
        </w:rPr>
        <w:tab/>
      </w:r>
      <w:r w:rsidRPr="008E6283">
        <w:rPr>
          <w:rFonts w:ascii="GHEA Mariam" w:eastAsia="Times New Roman" w:hAnsi="GHEA Mariam" w:cs="Times New Roman"/>
          <w:color w:val="000000" w:themeColor="text1"/>
          <w:sz w:val="24"/>
          <w:szCs w:val="24"/>
          <w:lang w:val="hy-AM"/>
        </w:rPr>
        <w:tab/>
      </w:r>
      <w:r w:rsidRPr="008E6283">
        <w:rPr>
          <w:rFonts w:ascii="GHEA Mariam" w:eastAsia="Times New Roman" w:hAnsi="GHEA Mariam" w:cs="Times New Roman"/>
          <w:color w:val="000000" w:themeColor="text1"/>
          <w:sz w:val="24"/>
          <w:szCs w:val="24"/>
          <w:lang w:val="hy-AM"/>
        </w:rPr>
        <w:tab/>
        <w:t>Վ</w:t>
      </w:r>
      <w:r w:rsidRPr="008E6283">
        <w:rPr>
          <w:rFonts w:ascii="GHEA Mariam" w:eastAsia="Microsoft JhengHei" w:hAnsi="GHEA Mariam" w:cs="Cambria Math"/>
          <w:color w:val="000000" w:themeColor="text1"/>
          <w:sz w:val="24"/>
          <w:szCs w:val="24"/>
          <w:lang w:val="hy-AM"/>
        </w:rPr>
        <w:t>.</w:t>
      </w:r>
      <w:r w:rsidRPr="008E6283">
        <w:rPr>
          <w:rFonts w:ascii="GHEA Mariam" w:eastAsia="Microsoft JhengHei" w:hAnsi="GHEA Mariam" w:cs="Microsoft JhengHei"/>
          <w:color w:val="000000" w:themeColor="text1"/>
          <w:sz w:val="24"/>
          <w:szCs w:val="24"/>
          <w:lang w:val="hy-AM"/>
        </w:rPr>
        <w:t xml:space="preserve"> </w:t>
      </w:r>
      <w:r w:rsidRPr="008E6283">
        <w:rPr>
          <w:rFonts w:ascii="GHEA Mariam" w:eastAsia="Times New Roman" w:hAnsi="GHEA Mariam" w:cs="GHEA Mariam"/>
          <w:color w:val="000000" w:themeColor="text1"/>
          <w:sz w:val="24"/>
          <w:szCs w:val="24"/>
          <w:lang w:val="hy-AM"/>
        </w:rPr>
        <w:t>Խաչատուրյան</w:t>
      </w:r>
    </w:p>
    <w:p w14:paraId="132909E3"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Times New Roman"/>
          <w:color w:val="000000" w:themeColor="text1"/>
          <w:sz w:val="24"/>
          <w:szCs w:val="24"/>
          <w:lang w:val="hy-AM"/>
        </w:rPr>
      </w:pPr>
      <w:r w:rsidRPr="008E6283">
        <w:rPr>
          <w:rFonts w:ascii="GHEA Mariam" w:eastAsia="Times New Roman" w:hAnsi="GHEA Mariam" w:cs="Times New Roman"/>
          <w:color w:val="000000" w:themeColor="text1"/>
          <w:sz w:val="24"/>
          <w:szCs w:val="24"/>
          <w:lang w:val="hy-AM"/>
        </w:rPr>
        <w:t>ՀՕ-  -Ն</w:t>
      </w:r>
    </w:p>
    <w:p w14:paraId="286CFA78" w14:textId="77777777" w:rsidR="009B7ACB" w:rsidRPr="008E6283" w:rsidRDefault="009B7ACB" w:rsidP="009B7ACB">
      <w:pPr>
        <w:shd w:val="clear" w:color="auto" w:fill="FFFFFF"/>
        <w:tabs>
          <w:tab w:val="left" w:pos="630"/>
        </w:tabs>
        <w:spacing w:line="360" w:lineRule="auto"/>
        <w:ind w:firstLine="270"/>
        <w:jc w:val="both"/>
        <w:rPr>
          <w:rFonts w:ascii="GHEA Mariam" w:eastAsia="Times New Roman" w:hAnsi="GHEA Mariam" w:cs="Times New Roman"/>
          <w:color w:val="000000" w:themeColor="text1"/>
          <w:sz w:val="24"/>
          <w:szCs w:val="24"/>
          <w:lang w:val="hy-AM"/>
        </w:rPr>
      </w:pPr>
      <w:r w:rsidRPr="008E6283">
        <w:rPr>
          <w:rFonts w:ascii="GHEA Mariam" w:eastAsia="Times New Roman" w:hAnsi="GHEA Mariam" w:cs="Times New Roman"/>
          <w:color w:val="000000" w:themeColor="text1"/>
          <w:sz w:val="24"/>
          <w:szCs w:val="24"/>
          <w:lang w:val="hy-AM"/>
        </w:rPr>
        <w:t>Երևան</w:t>
      </w:r>
      <w:r w:rsidRPr="008E6283">
        <w:rPr>
          <w:rFonts w:ascii="GHEA Mariam" w:eastAsia="Times New Roman" w:hAnsi="GHEA Mariam" w:cs="Times New Roman"/>
          <w:color w:val="000000" w:themeColor="text1"/>
          <w:sz w:val="24"/>
          <w:szCs w:val="24"/>
        </w:rPr>
        <w:t xml:space="preserve"> </w:t>
      </w:r>
      <w:r w:rsidRPr="008E6283">
        <w:rPr>
          <w:rFonts w:ascii="GHEA Mariam" w:eastAsia="Times New Roman" w:hAnsi="GHEA Mariam" w:cs="Times New Roman"/>
          <w:color w:val="000000" w:themeColor="text1"/>
          <w:sz w:val="24"/>
          <w:szCs w:val="24"/>
          <w:lang w:val="hy-AM"/>
        </w:rPr>
        <w:t>2026թ</w:t>
      </w:r>
      <w:r w:rsidRPr="008E6283">
        <w:rPr>
          <w:rFonts w:ascii="GHEA Mariam" w:eastAsia="Microsoft JhengHei" w:hAnsi="GHEA Mariam" w:cs="Cambria Math"/>
          <w:color w:val="000000" w:themeColor="text1"/>
          <w:sz w:val="24"/>
          <w:szCs w:val="24"/>
          <w:lang w:val="hy-AM"/>
        </w:rPr>
        <w:t>.</w:t>
      </w:r>
      <w:r w:rsidRPr="008E6283">
        <w:rPr>
          <w:rFonts w:ascii="GHEA Mariam" w:eastAsia="Times New Roman" w:hAnsi="GHEA Mariam" w:cs="Times New Roman"/>
          <w:color w:val="000000" w:themeColor="text1"/>
          <w:sz w:val="24"/>
          <w:szCs w:val="24"/>
          <w:lang w:val="hy-AM"/>
        </w:rPr>
        <w:t xml:space="preserve">- -  </w:t>
      </w:r>
    </w:p>
    <w:p w14:paraId="77D19F7D" w14:textId="77777777" w:rsidR="009B7ACB" w:rsidRPr="008E6283" w:rsidRDefault="009B7ACB" w:rsidP="009B7ACB">
      <w:pPr>
        <w:tabs>
          <w:tab w:val="left" w:pos="630"/>
        </w:tabs>
        <w:spacing w:line="360" w:lineRule="auto"/>
        <w:ind w:firstLine="270"/>
        <w:rPr>
          <w:rFonts w:ascii="GHEA Mariam" w:eastAsia="Times New Roman" w:hAnsi="GHEA Mariam" w:cs="Times New Roman"/>
          <w:color w:val="000000" w:themeColor="text1"/>
          <w:sz w:val="24"/>
          <w:szCs w:val="24"/>
          <w:lang w:val="hy-AM"/>
        </w:rPr>
      </w:pPr>
    </w:p>
    <w:p w14:paraId="3FE06CB4" w14:textId="77777777" w:rsidR="009B7ACB" w:rsidRPr="008E6283" w:rsidRDefault="009B7ACB" w:rsidP="009B7ACB">
      <w:pPr>
        <w:tabs>
          <w:tab w:val="left" w:pos="630"/>
        </w:tabs>
        <w:spacing w:line="360" w:lineRule="auto"/>
        <w:ind w:firstLine="270"/>
        <w:rPr>
          <w:rFonts w:ascii="GHEA Mariam" w:hAnsi="GHEA Mariam"/>
          <w:sz w:val="24"/>
          <w:szCs w:val="24"/>
        </w:rPr>
      </w:pPr>
    </w:p>
    <w:p w14:paraId="6E480C35" w14:textId="54B13FBC" w:rsidR="003714D0" w:rsidRPr="009B7ACB" w:rsidRDefault="003714D0" w:rsidP="009B7ACB">
      <w:bookmarkStart w:id="2" w:name="_GoBack"/>
      <w:bookmarkEnd w:id="2"/>
    </w:p>
    <w:sectPr w:rsidR="003714D0" w:rsidRPr="009B7A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768FA"/>
    <w:multiLevelType w:val="hybridMultilevel"/>
    <w:tmpl w:val="E59AE566"/>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15:restartNumberingAfterBreak="0">
    <w:nsid w:val="05E70E29"/>
    <w:multiLevelType w:val="hybridMultilevel"/>
    <w:tmpl w:val="A7BC53B6"/>
    <w:lvl w:ilvl="0" w:tplc="D536075A">
      <w:start w:val="1"/>
      <w:numFmt w:val="decimal"/>
      <w:lvlText w:val="%1)"/>
      <w:lvlJc w:val="left"/>
      <w:pPr>
        <w:ind w:left="990" w:hanging="360"/>
      </w:pPr>
      <w:rPr>
        <w:b w:val="0"/>
        <w:bCs w:val="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 w15:restartNumberingAfterBreak="0">
    <w:nsid w:val="062E437F"/>
    <w:multiLevelType w:val="hybridMultilevel"/>
    <w:tmpl w:val="48C4D5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7D01BB"/>
    <w:multiLevelType w:val="hybridMultilevel"/>
    <w:tmpl w:val="FEF24DD2"/>
    <w:lvl w:ilvl="0" w:tplc="9E8CCFCA">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E0000"/>
    <w:multiLevelType w:val="hybridMultilevel"/>
    <w:tmpl w:val="749E32C4"/>
    <w:lvl w:ilvl="0" w:tplc="402EB83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5" w15:restartNumberingAfterBreak="0">
    <w:nsid w:val="0B4A3C13"/>
    <w:multiLevelType w:val="hybridMultilevel"/>
    <w:tmpl w:val="31F01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551DC8"/>
    <w:multiLevelType w:val="hybridMultilevel"/>
    <w:tmpl w:val="78A84AF6"/>
    <w:lvl w:ilvl="0" w:tplc="024699E2">
      <w:start w:val="1"/>
      <w:numFmt w:val="decimal"/>
      <w:lvlText w:val="%1."/>
      <w:lvlJc w:val="left"/>
      <w:pPr>
        <w:ind w:left="10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F80E90"/>
    <w:multiLevelType w:val="hybridMultilevel"/>
    <w:tmpl w:val="A9E2BB28"/>
    <w:lvl w:ilvl="0" w:tplc="C5D62BE4">
      <w:start w:val="2"/>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8" w15:restartNumberingAfterBreak="0">
    <w:nsid w:val="191F7E33"/>
    <w:multiLevelType w:val="hybridMultilevel"/>
    <w:tmpl w:val="A9D8592E"/>
    <w:lvl w:ilvl="0" w:tplc="04090011">
      <w:start w:val="1"/>
      <w:numFmt w:val="decimal"/>
      <w:lvlText w:val="%1)"/>
      <w:lvlJc w:val="left"/>
      <w:pPr>
        <w:ind w:left="787" w:hanging="360"/>
      </w:pPr>
    </w:lvl>
    <w:lvl w:ilvl="1" w:tplc="04090019" w:tentative="1">
      <w:start w:val="1"/>
      <w:numFmt w:val="lowerLetter"/>
      <w:lvlText w:val="%2."/>
      <w:lvlJc w:val="left"/>
      <w:pPr>
        <w:ind w:left="1507" w:hanging="360"/>
      </w:pPr>
    </w:lvl>
    <w:lvl w:ilvl="2" w:tplc="0409001B" w:tentative="1">
      <w:start w:val="1"/>
      <w:numFmt w:val="lowerRoman"/>
      <w:lvlText w:val="%3."/>
      <w:lvlJc w:val="right"/>
      <w:pPr>
        <w:ind w:left="2227" w:hanging="180"/>
      </w:pPr>
    </w:lvl>
    <w:lvl w:ilvl="3" w:tplc="0409000F" w:tentative="1">
      <w:start w:val="1"/>
      <w:numFmt w:val="decimal"/>
      <w:lvlText w:val="%4."/>
      <w:lvlJc w:val="left"/>
      <w:pPr>
        <w:ind w:left="2947" w:hanging="360"/>
      </w:pPr>
    </w:lvl>
    <w:lvl w:ilvl="4" w:tplc="04090019" w:tentative="1">
      <w:start w:val="1"/>
      <w:numFmt w:val="lowerLetter"/>
      <w:lvlText w:val="%5."/>
      <w:lvlJc w:val="left"/>
      <w:pPr>
        <w:ind w:left="3667" w:hanging="360"/>
      </w:pPr>
    </w:lvl>
    <w:lvl w:ilvl="5" w:tplc="0409001B" w:tentative="1">
      <w:start w:val="1"/>
      <w:numFmt w:val="lowerRoman"/>
      <w:lvlText w:val="%6."/>
      <w:lvlJc w:val="right"/>
      <w:pPr>
        <w:ind w:left="4387" w:hanging="180"/>
      </w:pPr>
    </w:lvl>
    <w:lvl w:ilvl="6" w:tplc="0409000F" w:tentative="1">
      <w:start w:val="1"/>
      <w:numFmt w:val="decimal"/>
      <w:lvlText w:val="%7."/>
      <w:lvlJc w:val="left"/>
      <w:pPr>
        <w:ind w:left="5107" w:hanging="360"/>
      </w:pPr>
    </w:lvl>
    <w:lvl w:ilvl="7" w:tplc="04090019" w:tentative="1">
      <w:start w:val="1"/>
      <w:numFmt w:val="lowerLetter"/>
      <w:lvlText w:val="%8."/>
      <w:lvlJc w:val="left"/>
      <w:pPr>
        <w:ind w:left="5827" w:hanging="360"/>
      </w:pPr>
    </w:lvl>
    <w:lvl w:ilvl="8" w:tplc="0409001B" w:tentative="1">
      <w:start w:val="1"/>
      <w:numFmt w:val="lowerRoman"/>
      <w:lvlText w:val="%9."/>
      <w:lvlJc w:val="right"/>
      <w:pPr>
        <w:ind w:left="6547" w:hanging="180"/>
      </w:pPr>
    </w:lvl>
  </w:abstractNum>
  <w:abstractNum w:abstractNumId="9" w15:restartNumberingAfterBreak="0">
    <w:nsid w:val="1B733B99"/>
    <w:multiLevelType w:val="hybridMultilevel"/>
    <w:tmpl w:val="1AAA7582"/>
    <w:lvl w:ilvl="0" w:tplc="55449B7A">
      <w:start w:val="1"/>
      <w:numFmt w:val="decimal"/>
      <w:lvlText w:val="%1)"/>
      <w:lvlJc w:val="left"/>
      <w:pPr>
        <w:ind w:left="1275" w:hanging="645"/>
      </w:pPr>
      <w:rPr>
        <w:rFonts w:eastAsia="Times New Roman" w:cs="Times New Roman"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1C040B5B"/>
    <w:multiLevelType w:val="hybridMultilevel"/>
    <w:tmpl w:val="76226F3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8D7C30"/>
    <w:multiLevelType w:val="hybridMultilevel"/>
    <w:tmpl w:val="7AEAD516"/>
    <w:lvl w:ilvl="0" w:tplc="0409000F">
      <w:start w:val="1"/>
      <w:numFmt w:val="decimal"/>
      <w:lvlText w:val="%1."/>
      <w:lvlJc w:val="left"/>
      <w:pPr>
        <w:ind w:left="1058" w:hanging="360"/>
      </w:p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12" w15:restartNumberingAfterBreak="0">
    <w:nsid w:val="21142314"/>
    <w:multiLevelType w:val="hybridMultilevel"/>
    <w:tmpl w:val="CF72F22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5F7EB6"/>
    <w:multiLevelType w:val="hybridMultilevel"/>
    <w:tmpl w:val="DAC2D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681E14"/>
    <w:multiLevelType w:val="hybridMultilevel"/>
    <w:tmpl w:val="1A2A0BC0"/>
    <w:lvl w:ilvl="0" w:tplc="0EF62E7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05D1B"/>
    <w:multiLevelType w:val="hybridMultilevel"/>
    <w:tmpl w:val="3A541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885D2E"/>
    <w:multiLevelType w:val="hybridMultilevel"/>
    <w:tmpl w:val="FD0C5FF6"/>
    <w:lvl w:ilvl="0" w:tplc="8F0E9600">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A233C9"/>
    <w:multiLevelType w:val="hybridMultilevel"/>
    <w:tmpl w:val="EDD0C704"/>
    <w:lvl w:ilvl="0" w:tplc="0409000F">
      <w:start w:val="1"/>
      <w:numFmt w:val="decimal"/>
      <w:lvlText w:val="%1."/>
      <w:lvlJc w:val="left"/>
      <w:pPr>
        <w:ind w:left="1058" w:hanging="360"/>
      </w:pPr>
    </w:lvl>
    <w:lvl w:ilvl="1" w:tplc="04090019" w:tentative="1">
      <w:start w:val="1"/>
      <w:numFmt w:val="lowerLetter"/>
      <w:lvlText w:val="%2."/>
      <w:lvlJc w:val="left"/>
      <w:pPr>
        <w:ind w:left="1778" w:hanging="360"/>
      </w:pPr>
    </w:lvl>
    <w:lvl w:ilvl="2" w:tplc="0409001B" w:tentative="1">
      <w:start w:val="1"/>
      <w:numFmt w:val="lowerRoman"/>
      <w:lvlText w:val="%3."/>
      <w:lvlJc w:val="right"/>
      <w:pPr>
        <w:ind w:left="2498" w:hanging="180"/>
      </w:pPr>
    </w:lvl>
    <w:lvl w:ilvl="3" w:tplc="0409000F" w:tentative="1">
      <w:start w:val="1"/>
      <w:numFmt w:val="decimal"/>
      <w:lvlText w:val="%4."/>
      <w:lvlJc w:val="left"/>
      <w:pPr>
        <w:ind w:left="3218" w:hanging="360"/>
      </w:pPr>
    </w:lvl>
    <w:lvl w:ilvl="4" w:tplc="04090019" w:tentative="1">
      <w:start w:val="1"/>
      <w:numFmt w:val="lowerLetter"/>
      <w:lvlText w:val="%5."/>
      <w:lvlJc w:val="left"/>
      <w:pPr>
        <w:ind w:left="3938" w:hanging="360"/>
      </w:pPr>
    </w:lvl>
    <w:lvl w:ilvl="5" w:tplc="0409001B" w:tentative="1">
      <w:start w:val="1"/>
      <w:numFmt w:val="lowerRoman"/>
      <w:lvlText w:val="%6."/>
      <w:lvlJc w:val="right"/>
      <w:pPr>
        <w:ind w:left="4658" w:hanging="180"/>
      </w:pPr>
    </w:lvl>
    <w:lvl w:ilvl="6" w:tplc="0409000F" w:tentative="1">
      <w:start w:val="1"/>
      <w:numFmt w:val="decimal"/>
      <w:lvlText w:val="%7."/>
      <w:lvlJc w:val="left"/>
      <w:pPr>
        <w:ind w:left="5378" w:hanging="360"/>
      </w:pPr>
    </w:lvl>
    <w:lvl w:ilvl="7" w:tplc="04090019" w:tentative="1">
      <w:start w:val="1"/>
      <w:numFmt w:val="lowerLetter"/>
      <w:lvlText w:val="%8."/>
      <w:lvlJc w:val="left"/>
      <w:pPr>
        <w:ind w:left="6098" w:hanging="360"/>
      </w:pPr>
    </w:lvl>
    <w:lvl w:ilvl="8" w:tplc="0409001B" w:tentative="1">
      <w:start w:val="1"/>
      <w:numFmt w:val="lowerRoman"/>
      <w:lvlText w:val="%9."/>
      <w:lvlJc w:val="right"/>
      <w:pPr>
        <w:ind w:left="6818" w:hanging="180"/>
      </w:pPr>
    </w:lvl>
  </w:abstractNum>
  <w:abstractNum w:abstractNumId="18" w15:restartNumberingAfterBreak="0">
    <w:nsid w:val="355242FD"/>
    <w:multiLevelType w:val="hybridMultilevel"/>
    <w:tmpl w:val="452E8408"/>
    <w:lvl w:ilvl="0" w:tplc="5EEAC294">
      <w:start w:val="2"/>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9" w15:restartNumberingAfterBreak="0">
    <w:nsid w:val="39A11E4F"/>
    <w:multiLevelType w:val="hybridMultilevel"/>
    <w:tmpl w:val="6312FE1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107" w:hanging="360"/>
      </w:pPr>
    </w:lvl>
    <w:lvl w:ilvl="2" w:tplc="0409001B" w:tentative="1">
      <w:start w:val="1"/>
      <w:numFmt w:val="lowerRoman"/>
      <w:lvlText w:val="%3."/>
      <w:lvlJc w:val="right"/>
      <w:pPr>
        <w:ind w:left="1827" w:hanging="180"/>
      </w:pPr>
    </w:lvl>
    <w:lvl w:ilvl="3" w:tplc="0409000F" w:tentative="1">
      <w:start w:val="1"/>
      <w:numFmt w:val="decimal"/>
      <w:lvlText w:val="%4."/>
      <w:lvlJc w:val="left"/>
      <w:pPr>
        <w:ind w:left="2547" w:hanging="360"/>
      </w:pPr>
    </w:lvl>
    <w:lvl w:ilvl="4" w:tplc="04090019" w:tentative="1">
      <w:start w:val="1"/>
      <w:numFmt w:val="lowerLetter"/>
      <w:lvlText w:val="%5."/>
      <w:lvlJc w:val="left"/>
      <w:pPr>
        <w:ind w:left="3267" w:hanging="360"/>
      </w:pPr>
    </w:lvl>
    <w:lvl w:ilvl="5" w:tplc="0409001B" w:tentative="1">
      <w:start w:val="1"/>
      <w:numFmt w:val="lowerRoman"/>
      <w:lvlText w:val="%6."/>
      <w:lvlJc w:val="right"/>
      <w:pPr>
        <w:ind w:left="3987" w:hanging="180"/>
      </w:pPr>
    </w:lvl>
    <w:lvl w:ilvl="6" w:tplc="0409000F" w:tentative="1">
      <w:start w:val="1"/>
      <w:numFmt w:val="decimal"/>
      <w:lvlText w:val="%7."/>
      <w:lvlJc w:val="left"/>
      <w:pPr>
        <w:ind w:left="4707" w:hanging="360"/>
      </w:pPr>
    </w:lvl>
    <w:lvl w:ilvl="7" w:tplc="04090019" w:tentative="1">
      <w:start w:val="1"/>
      <w:numFmt w:val="lowerLetter"/>
      <w:lvlText w:val="%8."/>
      <w:lvlJc w:val="left"/>
      <w:pPr>
        <w:ind w:left="5427" w:hanging="360"/>
      </w:pPr>
    </w:lvl>
    <w:lvl w:ilvl="8" w:tplc="0409001B" w:tentative="1">
      <w:start w:val="1"/>
      <w:numFmt w:val="lowerRoman"/>
      <w:lvlText w:val="%9."/>
      <w:lvlJc w:val="right"/>
      <w:pPr>
        <w:ind w:left="6147" w:hanging="180"/>
      </w:pPr>
    </w:lvl>
  </w:abstractNum>
  <w:abstractNum w:abstractNumId="20" w15:restartNumberingAfterBreak="0">
    <w:nsid w:val="3EB5683B"/>
    <w:multiLevelType w:val="hybridMultilevel"/>
    <w:tmpl w:val="E52EDB18"/>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3F3D4D6C"/>
    <w:multiLevelType w:val="hybridMultilevel"/>
    <w:tmpl w:val="B7A82408"/>
    <w:lvl w:ilvl="0" w:tplc="04090011">
      <w:start w:val="1"/>
      <w:numFmt w:val="decimal"/>
      <w:lvlText w:val="%1)"/>
      <w:lvlJc w:val="left"/>
      <w:pPr>
        <w:ind w:left="1053" w:hanging="360"/>
      </w:p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22" w15:restartNumberingAfterBreak="0">
    <w:nsid w:val="43486E48"/>
    <w:multiLevelType w:val="hybridMultilevel"/>
    <w:tmpl w:val="A1F6F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4455CD4"/>
    <w:multiLevelType w:val="hybridMultilevel"/>
    <w:tmpl w:val="F72C07C2"/>
    <w:lvl w:ilvl="0" w:tplc="9262485E">
      <w:start w:val="1"/>
      <w:numFmt w:val="decimal"/>
      <w:lvlText w:val="%1)"/>
      <w:lvlJc w:val="left"/>
      <w:pPr>
        <w:ind w:left="787" w:hanging="360"/>
      </w:pPr>
      <w:rPr>
        <w:rFonts w:ascii="GHEA Mariam" w:hAnsi="GHEA Mariam"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BB7A9F"/>
    <w:multiLevelType w:val="hybridMultilevel"/>
    <w:tmpl w:val="D0200676"/>
    <w:lvl w:ilvl="0" w:tplc="0409000F">
      <w:start w:val="1"/>
      <w:numFmt w:val="decimal"/>
      <w:lvlText w:val="%1."/>
      <w:lvlJc w:val="left"/>
      <w:pPr>
        <w:ind w:left="1053" w:hanging="360"/>
      </w:p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25" w15:restartNumberingAfterBreak="0">
    <w:nsid w:val="4983709A"/>
    <w:multiLevelType w:val="hybridMultilevel"/>
    <w:tmpl w:val="47FE3ED8"/>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15:restartNumberingAfterBreak="0">
    <w:nsid w:val="4BD85795"/>
    <w:multiLevelType w:val="hybridMultilevel"/>
    <w:tmpl w:val="6FD0FCD4"/>
    <w:lvl w:ilvl="0" w:tplc="07CED9A8">
      <w:start w:val="1"/>
      <w:numFmt w:val="decimal"/>
      <w:lvlText w:val="%1."/>
      <w:lvlJc w:val="left"/>
      <w:pPr>
        <w:ind w:left="105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C7B5EFA"/>
    <w:multiLevelType w:val="hybridMultilevel"/>
    <w:tmpl w:val="323EE964"/>
    <w:lvl w:ilvl="0" w:tplc="04090011">
      <w:start w:val="1"/>
      <w:numFmt w:val="decimal"/>
      <w:lvlText w:val="%1)"/>
      <w:lvlJc w:val="left"/>
      <w:pPr>
        <w:ind w:left="1060" w:hanging="36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28" w15:restartNumberingAfterBreak="0">
    <w:nsid w:val="50DA11F2"/>
    <w:multiLevelType w:val="hybridMultilevel"/>
    <w:tmpl w:val="38407204"/>
    <w:lvl w:ilvl="0" w:tplc="04E6310A">
      <w:start w:val="3"/>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1F022D9"/>
    <w:multiLevelType w:val="hybridMultilevel"/>
    <w:tmpl w:val="5F26C9E6"/>
    <w:lvl w:ilvl="0" w:tplc="8DDA5500">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0" w15:restartNumberingAfterBreak="0">
    <w:nsid w:val="533C6FC3"/>
    <w:multiLevelType w:val="hybridMultilevel"/>
    <w:tmpl w:val="A1F6F2B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4C149D6"/>
    <w:multiLevelType w:val="hybridMultilevel"/>
    <w:tmpl w:val="93769540"/>
    <w:lvl w:ilvl="0" w:tplc="04090011">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2" w15:restartNumberingAfterBreak="0">
    <w:nsid w:val="592056EF"/>
    <w:multiLevelType w:val="hybridMultilevel"/>
    <w:tmpl w:val="148213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B6D1CA2"/>
    <w:multiLevelType w:val="hybridMultilevel"/>
    <w:tmpl w:val="B78E3FC2"/>
    <w:lvl w:ilvl="0" w:tplc="CE16B9A6">
      <w:start w:val="1"/>
      <w:numFmt w:val="decimal"/>
      <w:lvlText w:val="%1)"/>
      <w:lvlJc w:val="left"/>
      <w:pPr>
        <w:ind w:left="787" w:hanging="360"/>
      </w:pPr>
      <w:rPr>
        <w:rFonts w:ascii="GHEA Mariam" w:hAnsi="GHEA Mariam"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AE7A0E"/>
    <w:multiLevelType w:val="hybridMultilevel"/>
    <w:tmpl w:val="71A8C4B8"/>
    <w:lvl w:ilvl="0" w:tplc="04090011">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5" w15:restartNumberingAfterBreak="0">
    <w:nsid w:val="6122172E"/>
    <w:multiLevelType w:val="hybridMultilevel"/>
    <w:tmpl w:val="DD44F3F2"/>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64E73CA0"/>
    <w:multiLevelType w:val="hybridMultilevel"/>
    <w:tmpl w:val="A72E3CC6"/>
    <w:lvl w:ilvl="0" w:tplc="A27C21BC">
      <w:start w:val="1"/>
      <w:numFmt w:val="decimal"/>
      <w:lvlText w:val="%1."/>
      <w:lvlJc w:val="left"/>
      <w:pPr>
        <w:ind w:left="1149" w:hanging="774"/>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7" w15:restartNumberingAfterBreak="0">
    <w:nsid w:val="65622658"/>
    <w:multiLevelType w:val="hybridMultilevel"/>
    <w:tmpl w:val="9462E30E"/>
    <w:lvl w:ilvl="0" w:tplc="44AE27A2">
      <w:start w:val="4"/>
      <w:numFmt w:val="decimal"/>
      <w:lvlText w:val="%1)"/>
      <w:lvlJc w:val="left"/>
      <w:pPr>
        <w:ind w:left="55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0B419C"/>
    <w:multiLevelType w:val="hybridMultilevel"/>
    <w:tmpl w:val="E7680698"/>
    <w:lvl w:ilvl="0" w:tplc="9776F58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9" w15:restartNumberingAfterBreak="0">
    <w:nsid w:val="739A20F8"/>
    <w:multiLevelType w:val="hybridMultilevel"/>
    <w:tmpl w:val="E536DB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EA022D"/>
    <w:multiLevelType w:val="hybridMultilevel"/>
    <w:tmpl w:val="CD12C596"/>
    <w:lvl w:ilvl="0" w:tplc="C83EA92C">
      <w:start w:val="1"/>
      <w:numFmt w:val="decimal"/>
      <w:lvlText w:val="%1)"/>
      <w:lvlJc w:val="left"/>
      <w:pPr>
        <w:ind w:left="720" w:hanging="360"/>
      </w:pPr>
      <w:rPr>
        <w:rFonts w:ascii="GHEA Mariam" w:hAnsi="GHEA Mariam"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925B4D"/>
    <w:multiLevelType w:val="hybridMultilevel"/>
    <w:tmpl w:val="3E3C040E"/>
    <w:lvl w:ilvl="0" w:tplc="04090011">
      <w:start w:val="1"/>
      <w:numFmt w:val="decimal"/>
      <w:lvlText w:val="%1)"/>
      <w:lvlJc w:val="left"/>
      <w:pPr>
        <w:ind w:left="1053" w:hanging="360"/>
      </w:pPr>
    </w:lvl>
    <w:lvl w:ilvl="1" w:tplc="04090019" w:tentative="1">
      <w:start w:val="1"/>
      <w:numFmt w:val="lowerLetter"/>
      <w:lvlText w:val="%2."/>
      <w:lvlJc w:val="left"/>
      <w:pPr>
        <w:ind w:left="1773" w:hanging="360"/>
      </w:pPr>
    </w:lvl>
    <w:lvl w:ilvl="2" w:tplc="0409001B" w:tentative="1">
      <w:start w:val="1"/>
      <w:numFmt w:val="lowerRoman"/>
      <w:lvlText w:val="%3."/>
      <w:lvlJc w:val="right"/>
      <w:pPr>
        <w:ind w:left="2493" w:hanging="180"/>
      </w:pPr>
    </w:lvl>
    <w:lvl w:ilvl="3" w:tplc="0409000F" w:tentative="1">
      <w:start w:val="1"/>
      <w:numFmt w:val="decimal"/>
      <w:lvlText w:val="%4."/>
      <w:lvlJc w:val="left"/>
      <w:pPr>
        <w:ind w:left="3213" w:hanging="360"/>
      </w:pPr>
    </w:lvl>
    <w:lvl w:ilvl="4" w:tplc="04090019" w:tentative="1">
      <w:start w:val="1"/>
      <w:numFmt w:val="lowerLetter"/>
      <w:lvlText w:val="%5."/>
      <w:lvlJc w:val="left"/>
      <w:pPr>
        <w:ind w:left="3933" w:hanging="360"/>
      </w:pPr>
    </w:lvl>
    <w:lvl w:ilvl="5" w:tplc="0409001B" w:tentative="1">
      <w:start w:val="1"/>
      <w:numFmt w:val="lowerRoman"/>
      <w:lvlText w:val="%6."/>
      <w:lvlJc w:val="right"/>
      <w:pPr>
        <w:ind w:left="4653" w:hanging="180"/>
      </w:pPr>
    </w:lvl>
    <w:lvl w:ilvl="6" w:tplc="0409000F" w:tentative="1">
      <w:start w:val="1"/>
      <w:numFmt w:val="decimal"/>
      <w:lvlText w:val="%7."/>
      <w:lvlJc w:val="left"/>
      <w:pPr>
        <w:ind w:left="5373" w:hanging="360"/>
      </w:pPr>
    </w:lvl>
    <w:lvl w:ilvl="7" w:tplc="04090019" w:tentative="1">
      <w:start w:val="1"/>
      <w:numFmt w:val="lowerLetter"/>
      <w:lvlText w:val="%8."/>
      <w:lvlJc w:val="left"/>
      <w:pPr>
        <w:ind w:left="6093" w:hanging="360"/>
      </w:pPr>
    </w:lvl>
    <w:lvl w:ilvl="8" w:tplc="0409001B" w:tentative="1">
      <w:start w:val="1"/>
      <w:numFmt w:val="lowerRoman"/>
      <w:lvlText w:val="%9."/>
      <w:lvlJc w:val="right"/>
      <w:pPr>
        <w:ind w:left="6813" w:hanging="180"/>
      </w:pPr>
    </w:lvl>
  </w:abstractNum>
  <w:abstractNum w:abstractNumId="42" w15:restartNumberingAfterBreak="0">
    <w:nsid w:val="7A172781"/>
    <w:multiLevelType w:val="hybridMultilevel"/>
    <w:tmpl w:val="A26A4B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EC81714"/>
    <w:multiLevelType w:val="hybridMultilevel"/>
    <w:tmpl w:val="7E04E3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F651E01"/>
    <w:multiLevelType w:val="hybridMultilevel"/>
    <w:tmpl w:val="8C06547C"/>
    <w:lvl w:ilvl="0" w:tplc="04090011">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36"/>
  </w:num>
  <w:num w:numId="2">
    <w:abstractNumId w:val="20"/>
  </w:num>
  <w:num w:numId="3">
    <w:abstractNumId w:val="8"/>
  </w:num>
  <w:num w:numId="4">
    <w:abstractNumId w:val="31"/>
  </w:num>
  <w:num w:numId="5">
    <w:abstractNumId w:val="33"/>
  </w:num>
  <w:num w:numId="6">
    <w:abstractNumId w:val="23"/>
  </w:num>
  <w:num w:numId="7">
    <w:abstractNumId w:val="14"/>
  </w:num>
  <w:num w:numId="8">
    <w:abstractNumId w:val="32"/>
  </w:num>
  <w:num w:numId="9">
    <w:abstractNumId w:val="15"/>
  </w:num>
  <w:num w:numId="10">
    <w:abstractNumId w:val="12"/>
  </w:num>
  <w:num w:numId="11">
    <w:abstractNumId w:val="10"/>
  </w:num>
  <w:num w:numId="12">
    <w:abstractNumId w:val="38"/>
  </w:num>
  <w:num w:numId="13">
    <w:abstractNumId w:val="21"/>
  </w:num>
  <w:num w:numId="14">
    <w:abstractNumId w:val="24"/>
  </w:num>
  <w:num w:numId="15">
    <w:abstractNumId w:val="34"/>
  </w:num>
  <w:num w:numId="16">
    <w:abstractNumId w:val="19"/>
  </w:num>
  <w:num w:numId="17">
    <w:abstractNumId w:val="2"/>
  </w:num>
  <w:num w:numId="18">
    <w:abstractNumId w:val="9"/>
  </w:num>
  <w:num w:numId="19">
    <w:abstractNumId w:val="41"/>
  </w:num>
  <w:num w:numId="20">
    <w:abstractNumId w:val="27"/>
  </w:num>
  <w:num w:numId="21">
    <w:abstractNumId w:val="11"/>
  </w:num>
  <w:num w:numId="22">
    <w:abstractNumId w:val="6"/>
  </w:num>
  <w:num w:numId="23">
    <w:abstractNumId w:val="17"/>
  </w:num>
  <w:num w:numId="24">
    <w:abstractNumId w:val="26"/>
  </w:num>
  <w:num w:numId="25">
    <w:abstractNumId w:val="29"/>
  </w:num>
  <w:num w:numId="26">
    <w:abstractNumId w:val="42"/>
  </w:num>
  <w:num w:numId="27">
    <w:abstractNumId w:val="5"/>
  </w:num>
  <w:num w:numId="28">
    <w:abstractNumId w:val="13"/>
  </w:num>
  <w:num w:numId="29">
    <w:abstractNumId w:val="7"/>
  </w:num>
  <w:num w:numId="30">
    <w:abstractNumId w:val="18"/>
  </w:num>
  <w:num w:numId="31">
    <w:abstractNumId w:val="4"/>
  </w:num>
  <w:num w:numId="32">
    <w:abstractNumId w:val="0"/>
  </w:num>
  <w:num w:numId="33">
    <w:abstractNumId w:val="28"/>
  </w:num>
  <w:num w:numId="34">
    <w:abstractNumId w:val="39"/>
  </w:num>
  <w:num w:numId="35">
    <w:abstractNumId w:val="37"/>
  </w:num>
  <w:num w:numId="36">
    <w:abstractNumId w:val="40"/>
  </w:num>
  <w:num w:numId="37">
    <w:abstractNumId w:val="43"/>
  </w:num>
  <w:num w:numId="38">
    <w:abstractNumId w:val="22"/>
  </w:num>
  <w:num w:numId="39">
    <w:abstractNumId w:val="30"/>
  </w:num>
  <w:num w:numId="40">
    <w:abstractNumId w:val="1"/>
  </w:num>
  <w:num w:numId="41">
    <w:abstractNumId w:val="35"/>
  </w:num>
  <w:num w:numId="42">
    <w:abstractNumId w:val="3"/>
  </w:num>
  <w:num w:numId="43">
    <w:abstractNumId w:val="44"/>
  </w:num>
  <w:num w:numId="44">
    <w:abstractNumId w:val="16"/>
  </w:num>
  <w:num w:numId="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hideGrammatical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E29"/>
    <w:rsid w:val="00003E03"/>
    <w:rsid w:val="0000566F"/>
    <w:rsid w:val="000100AF"/>
    <w:rsid w:val="000123AE"/>
    <w:rsid w:val="0001358F"/>
    <w:rsid w:val="00015C59"/>
    <w:rsid w:val="00027B9C"/>
    <w:rsid w:val="0003132C"/>
    <w:rsid w:val="000314AC"/>
    <w:rsid w:val="00035B43"/>
    <w:rsid w:val="00037EC3"/>
    <w:rsid w:val="0004429A"/>
    <w:rsid w:val="00051A17"/>
    <w:rsid w:val="0005592E"/>
    <w:rsid w:val="000565D9"/>
    <w:rsid w:val="00067601"/>
    <w:rsid w:val="000849E1"/>
    <w:rsid w:val="000903B5"/>
    <w:rsid w:val="000910CA"/>
    <w:rsid w:val="000A44AE"/>
    <w:rsid w:val="000A4DD5"/>
    <w:rsid w:val="000A4FF7"/>
    <w:rsid w:val="000B6317"/>
    <w:rsid w:val="000C302F"/>
    <w:rsid w:val="000C5A32"/>
    <w:rsid w:val="000D2CC4"/>
    <w:rsid w:val="000D3548"/>
    <w:rsid w:val="000E0E29"/>
    <w:rsid w:val="000F114E"/>
    <w:rsid w:val="000F2019"/>
    <w:rsid w:val="000F34F6"/>
    <w:rsid w:val="000F67F8"/>
    <w:rsid w:val="000F712D"/>
    <w:rsid w:val="00104710"/>
    <w:rsid w:val="00113FDE"/>
    <w:rsid w:val="00114A28"/>
    <w:rsid w:val="0011637C"/>
    <w:rsid w:val="00125DF2"/>
    <w:rsid w:val="00133EAE"/>
    <w:rsid w:val="001340EB"/>
    <w:rsid w:val="00136C8E"/>
    <w:rsid w:val="001533F0"/>
    <w:rsid w:val="0016715A"/>
    <w:rsid w:val="00181B38"/>
    <w:rsid w:val="001947A2"/>
    <w:rsid w:val="001A5869"/>
    <w:rsid w:val="001A687A"/>
    <w:rsid w:val="001B23D0"/>
    <w:rsid w:val="001B265A"/>
    <w:rsid w:val="001B28DE"/>
    <w:rsid w:val="001B37B0"/>
    <w:rsid w:val="001B7E7B"/>
    <w:rsid w:val="001C0F04"/>
    <w:rsid w:val="001D43BA"/>
    <w:rsid w:val="001D7B07"/>
    <w:rsid w:val="001E11CD"/>
    <w:rsid w:val="001E6EEB"/>
    <w:rsid w:val="001F099F"/>
    <w:rsid w:val="001F53D1"/>
    <w:rsid w:val="00202998"/>
    <w:rsid w:val="002041A9"/>
    <w:rsid w:val="0021568D"/>
    <w:rsid w:val="00216AD1"/>
    <w:rsid w:val="00217043"/>
    <w:rsid w:val="00217995"/>
    <w:rsid w:val="00220CE2"/>
    <w:rsid w:val="00237787"/>
    <w:rsid w:val="002424E2"/>
    <w:rsid w:val="002466FE"/>
    <w:rsid w:val="00253BC8"/>
    <w:rsid w:val="00256303"/>
    <w:rsid w:val="00260EF3"/>
    <w:rsid w:val="00265969"/>
    <w:rsid w:val="002660D4"/>
    <w:rsid w:val="00271A3A"/>
    <w:rsid w:val="00273583"/>
    <w:rsid w:val="0027368C"/>
    <w:rsid w:val="00275AEE"/>
    <w:rsid w:val="00284469"/>
    <w:rsid w:val="00286F73"/>
    <w:rsid w:val="00295849"/>
    <w:rsid w:val="002A0337"/>
    <w:rsid w:val="002A6293"/>
    <w:rsid w:val="002B130F"/>
    <w:rsid w:val="002B2CC5"/>
    <w:rsid w:val="002C0FB7"/>
    <w:rsid w:val="002C6933"/>
    <w:rsid w:val="002D430B"/>
    <w:rsid w:val="002E178E"/>
    <w:rsid w:val="002E2B4F"/>
    <w:rsid w:val="002E62DA"/>
    <w:rsid w:val="002E6D5A"/>
    <w:rsid w:val="002F02B4"/>
    <w:rsid w:val="002F17DF"/>
    <w:rsid w:val="002F2646"/>
    <w:rsid w:val="00300753"/>
    <w:rsid w:val="00302669"/>
    <w:rsid w:val="003100A2"/>
    <w:rsid w:val="00313497"/>
    <w:rsid w:val="00325ECA"/>
    <w:rsid w:val="00330F2F"/>
    <w:rsid w:val="00336899"/>
    <w:rsid w:val="00342B6D"/>
    <w:rsid w:val="00344964"/>
    <w:rsid w:val="003639E6"/>
    <w:rsid w:val="00365367"/>
    <w:rsid w:val="00370E1A"/>
    <w:rsid w:val="003714D0"/>
    <w:rsid w:val="00372BFC"/>
    <w:rsid w:val="00373310"/>
    <w:rsid w:val="0037562E"/>
    <w:rsid w:val="003779AF"/>
    <w:rsid w:val="00385C0A"/>
    <w:rsid w:val="003A234F"/>
    <w:rsid w:val="003A4693"/>
    <w:rsid w:val="003B000A"/>
    <w:rsid w:val="003B1735"/>
    <w:rsid w:val="003B1950"/>
    <w:rsid w:val="003B3FD9"/>
    <w:rsid w:val="003B4044"/>
    <w:rsid w:val="003B72FB"/>
    <w:rsid w:val="003C436D"/>
    <w:rsid w:val="003C695A"/>
    <w:rsid w:val="003D1192"/>
    <w:rsid w:val="003D384D"/>
    <w:rsid w:val="003D4694"/>
    <w:rsid w:val="003D4ABC"/>
    <w:rsid w:val="003E0719"/>
    <w:rsid w:val="003E75AC"/>
    <w:rsid w:val="003F4A39"/>
    <w:rsid w:val="00403569"/>
    <w:rsid w:val="00404632"/>
    <w:rsid w:val="00407A22"/>
    <w:rsid w:val="00431FD6"/>
    <w:rsid w:val="0043259A"/>
    <w:rsid w:val="00434FB8"/>
    <w:rsid w:val="00437C55"/>
    <w:rsid w:val="00452199"/>
    <w:rsid w:val="00457577"/>
    <w:rsid w:val="00461EBF"/>
    <w:rsid w:val="00464209"/>
    <w:rsid w:val="00472788"/>
    <w:rsid w:val="00472921"/>
    <w:rsid w:val="00477DD7"/>
    <w:rsid w:val="004830C7"/>
    <w:rsid w:val="00484B84"/>
    <w:rsid w:val="004872B7"/>
    <w:rsid w:val="00493BF5"/>
    <w:rsid w:val="00494BD6"/>
    <w:rsid w:val="004A1673"/>
    <w:rsid w:val="004A37A2"/>
    <w:rsid w:val="004B4276"/>
    <w:rsid w:val="004B4758"/>
    <w:rsid w:val="004C4414"/>
    <w:rsid w:val="004C59A5"/>
    <w:rsid w:val="004C6ABE"/>
    <w:rsid w:val="004C77D0"/>
    <w:rsid w:val="004D6105"/>
    <w:rsid w:val="004D7740"/>
    <w:rsid w:val="004D7BBA"/>
    <w:rsid w:val="004E279B"/>
    <w:rsid w:val="004E4CCE"/>
    <w:rsid w:val="004F4453"/>
    <w:rsid w:val="004F5C59"/>
    <w:rsid w:val="0050309A"/>
    <w:rsid w:val="00507CB3"/>
    <w:rsid w:val="00514849"/>
    <w:rsid w:val="005163CF"/>
    <w:rsid w:val="005239A9"/>
    <w:rsid w:val="005355C2"/>
    <w:rsid w:val="0053606B"/>
    <w:rsid w:val="00545F9B"/>
    <w:rsid w:val="00546813"/>
    <w:rsid w:val="005652A0"/>
    <w:rsid w:val="005838C2"/>
    <w:rsid w:val="00595F3E"/>
    <w:rsid w:val="005A7F7A"/>
    <w:rsid w:val="005D3817"/>
    <w:rsid w:val="005D5757"/>
    <w:rsid w:val="005E2A60"/>
    <w:rsid w:val="005F07C8"/>
    <w:rsid w:val="005F2209"/>
    <w:rsid w:val="005F261F"/>
    <w:rsid w:val="005F39BF"/>
    <w:rsid w:val="005F6E5B"/>
    <w:rsid w:val="005F77FF"/>
    <w:rsid w:val="006007BC"/>
    <w:rsid w:val="00600F58"/>
    <w:rsid w:val="006071D0"/>
    <w:rsid w:val="00614D97"/>
    <w:rsid w:val="00627980"/>
    <w:rsid w:val="00632F01"/>
    <w:rsid w:val="006340DF"/>
    <w:rsid w:val="006444C2"/>
    <w:rsid w:val="006468C6"/>
    <w:rsid w:val="006469D5"/>
    <w:rsid w:val="006550B1"/>
    <w:rsid w:val="00674B91"/>
    <w:rsid w:val="00676301"/>
    <w:rsid w:val="00683464"/>
    <w:rsid w:val="0069643F"/>
    <w:rsid w:val="006A0AB5"/>
    <w:rsid w:val="006A554D"/>
    <w:rsid w:val="006B4471"/>
    <w:rsid w:val="006B75F7"/>
    <w:rsid w:val="006E243D"/>
    <w:rsid w:val="006E462E"/>
    <w:rsid w:val="006F301A"/>
    <w:rsid w:val="007022BB"/>
    <w:rsid w:val="0072088F"/>
    <w:rsid w:val="00723D68"/>
    <w:rsid w:val="00724E0E"/>
    <w:rsid w:val="00737D4B"/>
    <w:rsid w:val="00755660"/>
    <w:rsid w:val="0076011B"/>
    <w:rsid w:val="00761E5A"/>
    <w:rsid w:val="00763D41"/>
    <w:rsid w:val="00776696"/>
    <w:rsid w:val="00776FD5"/>
    <w:rsid w:val="007816CB"/>
    <w:rsid w:val="007B0D32"/>
    <w:rsid w:val="007B403E"/>
    <w:rsid w:val="007C3ADC"/>
    <w:rsid w:val="007D34C4"/>
    <w:rsid w:val="007D7D0C"/>
    <w:rsid w:val="007E43E0"/>
    <w:rsid w:val="007F48CC"/>
    <w:rsid w:val="008165B4"/>
    <w:rsid w:val="00827A6B"/>
    <w:rsid w:val="00830F14"/>
    <w:rsid w:val="00830FEC"/>
    <w:rsid w:val="00834D37"/>
    <w:rsid w:val="00842201"/>
    <w:rsid w:val="00843772"/>
    <w:rsid w:val="008532F0"/>
    <w:rsid w:val="00854284"/>
    <w:rsid w:val="00854D31"/>
    <w:rsid w:val="00863E71"/>
    <w:rsid w:val="00864982"/>
    <w:rsid w:val="0087079C"/>
    <w:rsid w:val="008740B9"/>
    <w:rsid w:val="00877DCD"/>
    <w:rsid w:val="00892C9C"/>
    <w:rsid w:val="008A4414"/>
    <w:rsid w:val="008C2DEF"/>
    <w:rsid w:val="008C6599"/>
    <w:rsid w:val="008D3556"/>
    <w:rsid w:val="008D5B1E"/>
    <w:rsid w:val="008E57A9"/>
    <w:rsid w:val="008E5F9B"/>
    <w:rsid w:val="009024F4"/>
    <w:rsid w:val="009079DB"/>
    <w:rsid w:val="00935928"/>
    <w:rsid w:val="00937502"/>
    <w:rsid w:val="00941621"/>
    <w:rsid w:val="00944504"/>
    <w:rsid w:val="00953FF4"/>
    <w:rsid w:val="009540F9"/>
    <w:rsid w:val="00954BA6"/>
    <w:rsid w:val="009565D1"/>
    <w:rsid w:val="00960A67"/>
    <w:rsid w:val="00967736"/>
    <w:rsid w:val="009811DD"/>
    <w:rsid w:val="00984D24"/>
    <w:rsid w:val="00985451"/>
    <w:rsid w:val="009955E8"/>
    <w:rsid w:val="009A5F1E"/>
    <w:rsid w:val="009B35DE"/>
    <w:rsid w:val="009B479D"/>
    <w:rsid w:val="009B7ACB"/>
    <w:rsid w:val="009C4765"/>
    <w:rsid w:val="009D06BA"/>
    <w:rsid w:val="009D16E1"/>
    <w:rsid w:val="009D7D4A"/>
    <w:rsid w:val="009E11CC"/>
    <w:rsid w:val="009F0FA7"/>
    <w:rsid w:val="00A00BEE"/>
    <w:rsid w:val="00A1604C"/>
    <w:rsid w:val="00A17EC3"/>
    <w:rsid w:val="00A200A8"/>
    <w:rsid w:val="00A23367"/>
    <w:rsid w:val="00A354E9"/>
    <w:rsid w:val="00A463E6"/>
    <w:rsid w:val="00A609BF"/>
    <w:rsid w:val="00A63EC1"/>
    <w:rsid w:val="00A759AD"/>
    <w:rsid w:val="00A770E5"/>
    <w:rsid w:val="00A771DF"/>
    <w:rsid w:val="00A80A42"/>
    <w:rsid w:val="00A80FE2"/>
    <w:rsid w:val="00A844F6"/>
    <w:rsid w:val="00A864F8"/>
    <w:rsid w:val="00A92DF2"/>
    <w:rsid w:val="00A9489F"/>
    <w:rsid w:val="00A94CB3"/>
    <w:rsid w:val="00A94FF2"/>
    <w:rsid w:val="00A95476"/>
    <w:rsid w:val="00A9625A"/>
    <w:rsid w:val="00A9756F"/>
    <w:rsid w:val="00AA1751"/>
    <w:rsid w:val="00AA3080"/>
    <w:rsid w:val="00AA4E86"/>
    <w:rsid w:val="00AA5E22"/>
    <w:rsid w:val="00AB21F4"/>
    <w:rsid w:val="00AB398F"/>
    <w:rsid w:val="00AB59F9"/>
    <w:rsid w:val="00AB7B09"/>
    <w:rsid w:val="00AC43D1"/>
    <w:rsid w:val="00AC4886"/>
    <w:rsid w:val="00AC726C"/>
    <w:rsid w:val="00AD6CAF"/>
    <w:rsid w:val="00AE5065"/>
    <w:rsid w:val="00AF303B"/>
    <w:rsid w:val="00AF47D5"/>
    <w:rsid w:val="00AF4C27"/>
    <w:rsid w:val="00B02F23"/>
    <w:rsid w:val="00B04C6E"/>
    <w:rsid w:val="00B106F2"/>
    <w:rsid w:val="00B13B2D"/>
    <w:rsid w:val="00B228BC"/>
    <w:rsid w:val="00B254F4"/>
    <w:rsid w:val="00B32472"/>
    <w:rsid w:val="00B4590D"/>
    <w:rsid w:val="00B45F85"/>
    <w:rsid w:val="00B4779C"/>
    <w:rsid w:val="00B53E14"/>
    <w:rsid w:val="00B71D4B"/>
    <w:rsid w:val="00B83925"/>
    <w:rsid w:val="00B943C0"/>
    <w:rsid w:val="00B95DA0"/>
    <w:rsid w:val="00BA55AA"/>
    <w:rsid w:val="00BA5D8D"/>
    <w:rsid w:val="00BA6C60"/>
    <w:rsid w:val="00BB0C0C"/>
    <w:rsid w:val="00BB3B8D"/>
    <w:rsid w:val="00BB7D89"/>
    <w:rsid w:val="00BC3787"/>
    <w:rsid w:val="00BC5C59"/>
    <w:rsid w:val="00BD1BA6"/>
    <w:rsid w:val="00BE3A6E"/>
    <w:rsid w:val="00BF3CEA"/>
    <w:rsid w:val="00BF5AF8"/>
    <w:rsid w:val="00C00501"/>
    <w:rsid w:val="00C10078"/>
    <w:rsid w:val="00C1202F"/>
    <w:rsid w:val="00C14D6F"/>
    <w:rsid w:val="00C16B23"/>
    <w:rsid w:val="00C2625E"/>
    <w:rsid w:val="00C26B12"/>
    <w:rsid w:val="00C35760"/>
    <w:rsid w:val="00C40399"/>
    <w:rsid w:val="00C4081D"/>
    <w:rsid w:val="00C4338D"/>
    <w:rsid w:val="00C47AC8"/>
    <w:rsid w:val="00C61530"/>
    <w:rsid w:val="00C67199"/>
    <w:rsid w:val="00C71D68"/>
    <w:rsid w:val="00C72A07"/>
    <w:rsid w:val="00C75082"/>
    <w:rsid w:val="00C82CF4"/>
    <w:rsid w:val="00C83C21"/>
    <w:rsid w:val="00C84A03"/>
    <w:rsid w:val="00C87BB1"/>
    <w:rsid w:val="00CB5F1C"/>
    <w:rsid w:val="00CC1A7C"/>
    <w:rsid w:val="00CD0922"/>
    <w:rsid w:val="00CD518A"/>
    <w:rsid w:val="00CE4C11"/>
    <w:rsid w:val="00CE5F95"/>
    <w:rsid w:val="00CE6ACA"/>
    <w:rsid w:val="00CF1C88"/>
    <w:rsid w:val="00CF4E18"/>
    <w:rsid w:val="00CF6532"/>
    <w:rsid w:val="00D00F86"/>
    <w:rsid w:val="00D03A86"/>
    <w:rsid w:val="00D042B7"/>
    <w:rsid w:val="00D10192"/>
    <w:rsid w:val="00D22F5F"/>
    <w:rsid w:val="00D54125"/>
    <w:rsid w:val="00D54CCE"/>
    <w:rsid w:val="00D564C6"/>
    <w:rsid w:val="00D601FB"/>
    <w:rsid w:val="00D72843"/>
    <w:rsid w:val="00D76358"/>
    <w:rsid w:val="00D908AA"/>
    <w:rsid w:val="00DA40F2"/>
    <w:rsid w:val="00DA7E2A"/>
    <w:rsid w:val="00DB1D1E"/>
    <w:rsid w:val="00DB3AB5"/>
    <w:rsid w:val="00DC0EC3"/>
    <w:rsid w:val="00DC5C71"/>
    <w:rsid w:val="00DD5B0C"/>
    <w:rsid w:val="00DE1F7F"/>
    <w:rsid w:val="00DE613B"/>
    <w:rsid w:val="00DE740B"/>
    <w:rsid w:val="00DF660F"/>
    <w:rsid w:val="00E009B0"/>
    <w:rsid w:val="00E02FDB"/>
    <w:rsid w:val="00E07D9F"/>
    <w:rsid w:val="00E10D78"/>
    <w:rsid w:val="00E210A4"/>
    <w:rsid w:val="00E22981"/>
    <w:rsid w:val="00E2762B"/>
    <w:rsid w:val="00E4165C"/>
    <w:rsid w:val="00E518E8"/>
    <w:rsid w:val="00E5490C"/>
    <w:rsid w:val="00E67453"/>
    <w:rsid w:val="00E747AF"/>
    <w:rsid w:val="00E74C24"/>
    <w:rsid w:val="00E75305"/>
    <w:rsid w:val="00E84355"/>
    <w:rsid w:val="00E86FB0"/>
    <w:rsid w:val="00E87F4B"/>
    <w:rsid w:val="00E95BCF"/>
    <w:rsid w:val="00E97996"/>
    <w:rsid w:val="00EA5455"/>
    <w:rsid w:val="00EA5A3F"/>
    <w:rsid w:val="00EB3E03"/>
    <w:rsid w:val="00EB467F"/>
    <w:rsid w:val="00EB6B27"/>
    <w:rsid w:val="00EC11F2"/>
    <w:rsid w:val="00EC1454"/>
    <w:rsid w:val="00EC44D5"/>
    <w:rsid w:val="00EC5D8F"/>
    <w:rsid w:val="00ED0204"/>
    <w:rsid w:val="00ED3BA1"/>
    <w:rsid w:val="00ED5F3E"/>
    <w:rsid w:val="00ED7A4D"/>
    <w:rsid w:val="00EE0AB9"/>
    <w:rsid w:val="00EF3F7D"/>
    <w:rsid w:val="00F02228"/>
    <w:rsid w:val="00F029E2"/>
    <w:rsid w:val="00F06A7F"/>
    <w:rsid w:val="00F161BA"/>
    <w:rsid w:val="00F2466D"/>
    <w:rsid w:val="00F35FC8"/>
    <w:rsid w:val="00F410A9"/>
    <w:rsid w:val="00F41483"/>
    <w:rsid w:val="00F43FAB"/>
    <w:rsid w:val="00F53244"/>
    <w:rsid w:val="00F5465F"/>
    <w:rsid w:val="00F567BB"/>
    <w:rsid w:val="00F61244"/>
    <w:rsid w:val="00F71405"/>
    <w:rsid w:val="00F80DE5"/>
    <w:rsid w:val="00F8657F"/>
    <w:rsid w:val="00F93277"/>
    <w:rsid w:val="00F95D52"/>
    <w:rsid w:val="00F96874"/>
    <w:rsid w:val="00FA50FC"/>
    <w:rsid w:val="00FA6A4A"/>
    <w:rsid w:val="00FB6C6B"/>
    <w:rsid w:val="00FC17B2"/>
    <w:rsid w:val="00FC1E39"/>
    <w:rsid w:val="00FD36C7"/>
    <w:rsid w:val="00FE3115"/>
    <w:rsid w:val="00FF2C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C1A26"/>
  <w15:chartTrackingRefBased/>
  <w15:docId w15:val="{21726E9D-FD77-43CE-83C4-99AF178DA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49E1"/>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1A17"/>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051A17"/>
    <w:rPr>
      <w:i/>
      <w:iCs/>
    </w:rPr>
  </w:style>
  <w:style w:type="character" w:styleId="Strong">
    <w:name w:val="Strong"/>
    <w:basedOn w:val="DefaultParagraphFont"/>
    <w:uiPriority w:val="22"/>
    <w:qFormat/>
    <w:rsid w:val="00051A17"/>
    <w:rPr>
      <w:b/>
      <w:bCs/>
    </w:rPr>
  </w:style>
  <w:style w:type="character" w:styleId="Hyperlink">
    <w:name w:val="Hyperlink"/>
    <w:basedOn w:val="DefaultParagraphFont"/>
    <w:uiPriority w:val="99"/>
    <w:semiHidden/>
    <w:unhideWhenUsed/>
    <w:rsid w:val="00051A17"/>
    <w:rPr>
      <w:color w:val="0000FF"/>
      <w:u w:val="single"/>
    </w:rPr>
  </w:style>
  <w:style w:type="paragraph" w:styleId="ListParagraph">
    <w:name w:val="List Paragraph"/>
    <w:basedOn w:val="Normal"/>
    <w:uiPriority w:val="34"/>
    <w:qFormat/>
    <w:rsid w:val="00302669"/>
    <w:pPr>
      <w:ind w:left="720"/>
      <w:contextualSpacing/>
    </w:pPr>
  </w:style>
  <w:style w:type="paragraph" w:styleId="BalloonText">
    <w:name w:val="Balloon Text"/>
    <w:basedOn w:val="Normal"/>
    <w:link w:val="BalloonTextChar"/>
    <w:uiPriority w:val="99"/>
    <w:semiHidden/>
    <w:unhideWhenUsed/>
    <w:rsid w:val="007B0D32"/>
    <w:rPr>
      <w:rFonts w:ascii="Segoe UI" w:hAnsi="Segoe UI" w:cs="Segoe UI"/>
      <w:sz w:val="18"/>
      <w:szCs w:val="18"/>
      <w:lang w:val="en-GB"/>
    </w:rPr>
  </w:style>
  <w:style w:type="character" w:customStyle="1" w:styleId="BalloonTextChar">
    <w:name w:val="Balloon Text Char"/>
    <w:basedOn w:val="DefaultParagraphFont"/>
    <w:link w:val="BalloonText"/>
    <w:uiPriority w:val="99"/>
    <w:semiHidden/>
    <w:rsid w:val="007B0D32"/>
    <w:rPr>
      <w:rFonts w:ascii="Segoe UI" w:hAnsi="Segoe UI" w:cs="Segoe UI"/>
      <w:sz w:val="18"/>
      <w:szCs w:val="18"/>
      <w:lang w:val="en-GB"/>
    </w:rPr>
  </w:style>
  <w:style w:type="character" w:styleId="CommentReference">
    <w:name w:val="annotation reference"/>
    <w:basedOn w:val="DefaultParagraphFont"/>
    <w:uiPriority w:val="99"/>
    <w:semiHidden/>
    <w:unhideWhenUsed/>
    <w:rsid w:val="00776FD5"/>
    <w:rPr>
      <w:sz w:val="16"/>
      <w:szCs w:val="16"/>
    </w:rPr>
  </w:style>
  <w:style w:type="paragraph" w:styleId="CommentText">
    <w:name w:val="annotation text"/>
    <w:basedOn w:val="Normal"/>
    <w:link w:val="CommentTextChar"/>
    <w:uiPriority w:val="99"/>
    <w:semiHidden/>
    <w:unhideWhenUsed/>
    <w:rsid w:val="00776FD5"/>
    <w:rPr>
      <w:sz w:val="20"/>
      <w:szCs w:val="20"/>
    </w:rPr>
  </w:style>
  <w:style w:type="character" w:customStyle="1" w:styleId="CommentTextChar">
    <w:name w:val="Comment Text Char"/>
    <w:basedOn w:val="DefaultParagraphFont"/>
    <w:link w:val="CommentText"/>
    <w:uiPriority w:val="99"/>
    <w:semiHidden/>
    <w:rsid w:val="00776FD5"/>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776FD5"/>
    <w:rPr>
      <w:b/>
      <w:bCs/>
    </w:rPr>
  </w:style>
  <w:style w:type="character" w:customStyle="1" w:styleId="CommentSubjectChar">
    <w:name w:val="Comment Subject Char"/>
    <w:basedOn w:val="CommentTextChar"/>
    <w:link w:val="CommentSubject"/>
    <w:uiPriority w:val="99"/>
    <w:semiHidden/>
    <w:rsid w:val="00776FD5"/>
    <w:rPr>
      <w:rFonts w:ascii="Calibri" w:hAnsi="Calibri" w:cs="Calibri"/>
      <w:b/>
      <w:bCs/>
      <w:sz w:val="20"/>
      <w:szCs w:val="20"/>
    </w:rPr>
  </w:style>
  <w:style w:type="paragraph" w:styleId="Revision">
    <w:name w:val="Revision"/>
    <w:hidden/>
    <w:uiPriority w:val="99"/>
    <w:semiHidden/>
    <w:rsid w:val="000F67F8"/>
    <w:pPr>
      <w:spacing w:after="0" w:line="240" w:lineRule="auto"/>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007204">
      <w:bodyDiv w:val="1"/>
      <w:marLeft w:val="0"/>
      <w:marRight w:val="0"/>
      <w:marTop w:val="0"/>
      <w:marBottom w:val="0"/>
      <w:divBdr>
        <w:top w:val="none" w:sz="0" w:space="0" w:color="auto"/>
        <w:left w:val="none" w:sz="0" w:space="0" w:color="auto"/>
        <w:bottom w:val="none" w:sz="0" w:space="0" w:color="auto"/>
        <w:right w:val="none" w:sz="0" w:space="0" w:color="auto"/>
      </w:divBdr>
    </w:div>
    <w:div w:id="854616373">
      <w:bodyDiv w:val="1"/>
      <w:marLeft w:val="0"/>
      <w:marRight w:val="0"/>
      <w:marTop w:val="0"/>
      <w:marBottom w:val="0"/>
      <w:divBdr>
        <w:top w:val="none" w:sz="0" w:space="0" w:color="auto"/>
        <w:left w:val="none" w:sz="0" w:space="0" w:color="auto"/>
        <w:bottom w:val="none" w:sz="0" w:space="0" w:color="auto"/>
        <w:right w:val="none" w:sz="0" w:space="0" w:color="auto"/>
      </w:divBdr>
    </w:div>
    <w:div w:id="997421931">
      <w:bodyDiv w:val="1"/>
      <w:marLeft w:val="0"/>
      <w:marRight w:val="0"/>
      <w:marTop w:val="0"/>
      <w:marBottom w:val="0"/>
      <w:divBdr>
        <w:top w:val="none" w:sz="0" w:space="0" w:color="auto"/>
        <w:left w:val="none" w:sz="0" w:space="0" w:color="auto"/>
        <w:bottom w:val="none" w:sz="0" w:space="0" w:color="auto"/>
        <w:right w:val="none" w:sz="0" w:space="0" w:color="auto"/>
      </w:divBdr>
    </w:div>
    <w:div w:id="1333752999">
      <w:bodyDiv w:val="1"/>
      <w:marLeft w:val="0"/>
      <w:marRight w:val="0"/>
      <w:marTop w:val="0"/>
      <w:marBottom w:val="0"/>
      <w:divBdr>
        <w:top w:val="none" w:sz="0" w:space="0" w:color="auto"/>
        <w:left w:val="none" w:sz="0" w:space="0" w:color="auto"/>
        <w:bottom w:val="none" w:sz="0" w:space="0" w:color="auto"/>
        <w:right w:val="none" w:sz="0" w:space="0" w:color="auto"/>
      </w:divBdr>
    </w:div>
    <w:div w:id="1716390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389C44-B46B-454A-8B68-37E722524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10</Pages>
  <Words>1558</Words>
  <Characters>11331</Characters>
  <Application>Microsoft Office Word</Application>
  <DocSecurity>0</DocSecurity>
  <Lines>244</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https://mul2.gov.am/tasks/1391367/oneclick?token=46421bbccbbf83a4c81fed8a58c3b491</cp:keywords>
  <dc:description/>
  <cp:lastModifiedBy>Jemma Dadoyan</cp:lastModifiedBy>
  <cp:revision>340</cp:revision>
  <cp:lastPrinted>2024-05-14T13:59:00Z</cp:lastPrinted>
  <dcterms:created xsi:type="dcterms:W3CDTF">2025-07-31T09:45:00Z</dcterms:created>
  <dcterms:modified xsi:type="dcterms:W3CDTF">2026-10-21T08:41:00Z</dcterms:modified>
</cp:coreProperties>
</file>