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9090C" w:rsidRDefault="00760B07" w:rsidP="00760B07">
      <w:pPr>
        <w:spacing w:after="200" w:line="276" w:lineRule="auto"/>
        <w:jc w:val="center"/>
        <w:rPr>
          <w:rFonts w:ascii="GHEA Grapalat" w:hAnsi="GHEA Grapalat"/>
        </w:rPr>
      </w:pPr>
      <w:r w:rsidRPr="0079090C">
        <w:rPr>
          <w:rFonts w:ascii="GHEA Grapalat" w:hAnsi="GHEA Grapalat"/>
        </w:rPr>
        <w:t>ԱՄՓՈՓԱԹԵՐԹ</w:t>
      </w:r>
    </w:p>
    <w:p w:rsidR="000E0DAD" w:rsidRDefault="005D160E" w:rsidP="00314CDC">
      <w:pPr>
        <w:pStyle w:val="NormalWeb"/>
        <w:tabs>
          <w:tab w:val="left" w:pos="0"/>
        </w:tabs>
        <w:spacing w:before="0" w:beforeAutospacing="0" w:after="0" w:afterAutospacing="0"/>
        <w:ind w:firstLine="720"/>
        <w:jc w:val="center"/>
        <w:rPr>
          <w:rFonts w:ascii="GHEA Grapalat" w:hAnsi="GHEA Grapalat" w:cs="Sylfaen"/>
          <w:lang w:val="hy-AM"/>
        </w:rPr>
      </w:pPr>
      <w:r w:rsidRPr="005D160E">
        <w:rPr>
          <w:rFonts w:ascii="GHEA Grapalat" w:hAnsi="GHEA Grapalat"/>
          <w:szCs w:val="20"/>
          <w:lang w:val="hy-AM"/>
        </w:rPr>
        <w:t>«ՄԻ ՇԱՐՔ ԱՊՐԱՆՔՆԵՐԻ ՊԱՅՄԱՆԱԿԱՆ ԲԱՑԹՈՂՆՄԱՆ ԿԱՐԳ ԵՎ ԴԵՊՔ ՍԱՀՄԱՆԵԼՈՒ ՄԱՍԻՆ»</w:t>
      </w:r>
      <w:r w:rsidR="007A2C28" w:rsidRPr="007A2C28">
        <w:rPr>
          <w:rFonts w:ascii="GHEA Grapalat" w:hAnsi="GHEA Grapalat"/>
          <w:szCs w:val="20"/>
          <w:lang w:val="hy-AM"/>
        </w:rPr>
        <w:t xml:space="preserve"> ՀԱՅԱՍՏԱՆԻ ՀԱՆՐԱՊԵՏՈՒԹՅԱՆ ԿԱՌԱՎԱՐՈՒԹՅԱՆ ՈՐՈՇՄԱՆ ՆԱԽԱԳԾԻ ՎԵՐԱԲԵՐՅԱԼ</w:t>
      </w:r>
      <w:r w:rsidR="007A2C28">
        <w:rPr>
          <w:rFonts w:ascii="GHEA Grapalat" w:hAnsi="GHEA Grapalat"/>
          <w:szCs w:val="20"/>
          <w:lang w:val="hy-AM"/>
        </w:rPr>
        <w:t xml:space="preserve"> </w:t>
      </w:r>
      <w:r w:rsidR="00A954D6">
        <w:rPr>
          <w:rFonts w:ascii="GHEA Grapalat" w:hAnsi="GHEA Grapalat" w:cs="Sylfaen"/>
          <w:lang w:val="hy-AM"/>
        </w:rPr>
        <w:t xml:space="preserve">ՀԱՆՐԱՅԻՆ ՔՆՆԱՐԿՄԱՆ </w:t>
      </w:r>
      <w:r w:rsidR="008836D9">
        <w:rPr>
          <w:rFonts w:ascii="GHEA Grapalat" w:hAnsi="GHEA Grapalat" w:cs="Sylfaen"/>
          <w:lang w:val="hy-AM"/>
        </w:rPr>
        <w:t>ՇՐՋԱՆԱԿՆԵՐՈՒՄ</w:t>
      </w:r>
      <w:r w:rsidR="00587C49" w:rsidRPr="00754666">
        <w:rPr>
          <w:rFonts w:ascii="GHEA Grapalat" w:hAnsi="GHEA Grapalat" w:cs="Sylfaen"/>
          <w:lang w:val="hy-AM"/>
        </w:rPr>
        <w:t xml:space="preserve"> </w:t>
      </w:r>
      <w:r w:rsidR="00A954D6">
        <w:rPr>
          <w:rFonts w:ascii="GHEA Grapalat" w:hAnsi="GHEA Grapalat" w:cs="Sylfaen"/>
          <w:lang w:val="hy-AM"/>
        </w:rPr>
        <w:t>ՍՏԱՑՎ</w:t>
      </w:r>
      <w:r w:rsidR="00587C49" w:rsidRPr="00754666">
        <w:rPr>
          <w:rFonts w:ascii="GHEA Grapalat" w:hAnsi="GHEA Grapalat" w:cs="Sylfaen"/>
          <w:lang w:val="hy-AM"/>
        </w:rPr>
        <w:t xml:space="preserve">ԱԾ </w:t>
      </w:r>
      <w:r w:rsidR="000200AD">
        <w:rPr>
          <w:rFonts w:ascii="GHEA Grapalat" w:hAnsi="GHEA Grapalat" w:cs="Sylfaen"/>
          <w:lang w:val="hy-AM"/>
        </w:rPr>
        <w:t>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8"/>
        <w:gridCol w:w="2396"/>
      </w:tblGrid>
      <w:tr w:rsidR="00D61C84" w:rsidRPr="007A2C28" w:rsidTr="00A954D6">
        <w:trPr>
          <w:trHeight w:val="543"/>
          <w:tblCellSpacing w:w="0" w:type="dxa"/>
          <w:jc w:val="center"/>
        </w:trPr>
        <w:tc>
          <w:tcPr>
            <w:tcW w:w="11789" w:type="dxa"/>
            <w:gridSpan w:val="2"/>
            <w:vMerge w:val="restart"/>
            <w:shd w:val="clear" w:color="auto" w:fill="D0D0D0"/>
            <w:hideMark/>
          </w:tcPr>
          <w:p w:rsidR="005D160E" w:rsidRPr="005D160E" w:rsidRDefault="005D160E" w:rsidP="005D160E">
            <w:pPr>
              <w:spacing w:line="360" w:lineRule="auto"/>
              <w:jc w:val="center"/>
              <w:rPr>
                <w:rFonts w:ascii="GHEA Grapalat" w:hAnsi="GHEA Grapalat" w:cs="Sylfaen"/>
                <w:bCs/>
                <w:lang w:val="hy-AM"/>
              </w:rPr>
            </w:pPr>
            <w:r w:rsidRPr="005D160E">
              <w:rPr>
                <w:rFonts w:ascii="GHEA Grapalat" w:hAnsi="GHEA Grapalat" w:cs="Sylfaen"/>
                <w:bCs/>
                <w:lang w:val="hy-AM"/>
              </w:rPr>
              <w:t>«Սերտիֆիկացման միջազգային կենտրոն» ՍՊԸ</w:t>
            </w:r>
          </w:p>
          <w:p w:rsidR="00D61C84" w:rsidRPr="00314CDC" w:rsidRDefault="00D61C84" w:rsidP="005D160E">
            <w:pPr>
              <w:spacing w:line="360" w:lineRule="auto"/>
              <w:jc w:val="center"/>
              <w:rPr>
                <w:rFonts w:ascii="GHEA Grapalat" w:hAnsi="GHEA Grapalat" w:cs="Sylfaen"/>
                <w:bCs/>
                <w:lang w:val="hy-AM"/>
              </w:rPr>
            </w:pPr>
          </w:p>
        </w:tc>
        <w:tc>
          <w:tcPr>
            <w:tcW w:w="2396" w:type="dxa"/>
            <w:shd w:val="clear" w:color="auto" w:fill="D0D0D0"/>
            <w:hideMark/>
          </w:tcPr>
          <w:p w:rsidR="00D61C84" w:rsidRPr="00314CDC" w:rsidRDefault="005D160E" w:rsidP="007A5514">
            <w:pPr>
              <w:spacing w:line="360" w:lineRule="auto"/>
              <w:jc w:val="center"/>
              <w:rPr>
                <w:rFonts w:ascii="GHEA Grapalat" w:hAnsi="GHEA Grapalat" w:cs="Sylfaen"/>
                <w:bCs/>
                <w:lang w:val="hy-AM"/>
              </w:rPr>
            </w:pPr>
            <w:r w:rsidRPr="005D160E">
              <w:rPr>
                <w:rFonts w:ascii="GHEA Grapalat" w:hAnsi="GHEA Grapalat" w:cs="Sylfaen"/>
                <w:bCs/>
                <w:lang w:val="hy-AM"/>
              </w:rPr>
              <w:t>17.09.2026 13:26:59</w:t>
            </w:r>
          </w:p>
        </w:tc>
      </w:tr>
      <w:tr w:rsidR="00D61C84" w:rsidRPr="007A2C28" w:rsidTr="00A03B61">
        <w:trPr>
          <w:trHeight w:val="395"/>
          <w:tblCellSpacing w:w="0" w:type="dxa"/>
          <w:jc w:val="center"/>
        </w:trPr>
        <w:tc>
          <w:tcPr>
            <w:tcW w:w="11789"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314CDC" w:rsidP="00A954D6">
            <w:pPr>
              <w:spacing w:line="360" w:lineRule="auto"/>
              <w:rPr>
                <w:rFonts w:ascii="GHEA Grapalat" w:hAnsi="GHEA Grapalat" w:cs="Sylfaen"/>
                <w:bCs/>
                <w:lang w:val="hy-AM"/>
              </w:rPr>
            </w:pPr>
          </w:p>
        </w:tc>
      </w:tr>
      <w:tr w:rsidR="00F41A0E" w:rsidRPr="0079090C" w:rsidTr="00A03B61">
        <w:trPr>
          <w:trHeight w:val="571"/>
          <w:tblCellSpacing w:w="0" w:type="dxa"/>
          <w:jc w:val="center"/>
        </w:trPr>
        <w:tc>
          <w:tcPr>
            <w:tcW w:w="7961" w:type="dxa"/>
            <w:shd w:val="clear" w:color="auto" w:fill="FFFFFF"/>
            <w:hideMark/>
          </w:tcPr>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Pr>
                <w:rFonts w:ascii="GHEA Grapalat" w:eastAsia="Calibri" w:hAnsi="GHEA Grapalat" w:cs="Sylfaen"/>
                <w:color w:val="00000A"/>
                <w:lang w:val="hy-AM"/>
              </w:rPr>
              <w:t>1․</w:t>
            </w:r>
            <w:r w:rsidRPr="005D160E">
              <w:rPr>
                <w:rFonts w:ascii="GHEA Grapalat" w:eastAsia="Calibri" w:hAnsi="GHEA Grapalat" w:cs="Sylfaen"/>
                <w:color w:val="00000A"/>
                <w:lang w:val="hy-AM"/>
              </w:rPr>
              <w:t>Նախագծի նախաբանը հիմք է ընդունում ԵԱՏՄ Մաքսային օրենսգրքի 126-րդ հոդվածի 9-րդ կետը, որն անդամ պետություններին թույլ է տալիս սահմանել ապրանքները պայմանական բաց թողնված համարելու՝ 1-ին կետով չընդգրկված «այլ դեպքեր և կարգ»։</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ԵԱՏՄ Մաքսային օրենսգիրք, հոդված 126-ի 9-րդ կետ: «Законодательством государств-членов о таможенном регулировании могут быть установлены иные случаи и порядок отнесения товаров к условно выпущенным»</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թարգմանաբար՝ «Անդամ պետությունների օրենսդրությամբ կարող են սահմանվել ապրանքները պայմանական բաց թողնված համարելու այլ դեպքեր և կարգ»</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ab/>
              <w:t xml:space="preserve">Նախագծով կարգավորվող հարաբերությունը, սակայն, հենց 1-ին կետով ընդգրկված դեպք է. 126-րդ հոդվածի 1-ին կետի 2-րդ ենթակետը վերաբերում է այն ապրանքներին, որոնց մասով «արգելքների և սահմանափակումների պահպանումը կարող է հաստատվել ապրանքների բացթողումից հետո», իսկ տեխնիկական </w:t>
            </w:r>
            <w:r w:rsidRPr="005D160E">
              <w:rPr>
                <w:rFonts w:ascii="GHEA Grapalat" w:eastAsia="Calibri" w:hAnsi="GHEA Grapalat" w:cs="Sylfaen"/>
                <w:color w:val="00000A"/>
                <w:lang w:val="hy-AM"/>
              </w:rPr>
              <w:lastRenderedPageBreak/>
              <w:t>կարգավորման միջոցները հենց «արգելքներ և սահմանափակումներ» են՝ Օրենսգրքի 2-րդ հոդվածի 1-ին կետի 10-րդ ենթակետի իմաստով։ Այդ դեպքի կարգը 126-րդ հոդվածի 8-րդ կետով վերապահված է ազգային օրենսդրությանը և արդեն սահմանված է «Մաքսային կարգավորման մասին» օրենքի 7-րդ հոդվածի 2-րդ մասով ու ՀՀ կառավարության 23.11.2023 թ. N 2017-Ն որոշմամբ։</w:t>
            </w:r>
          </w:p>
          <w:p w:rsidR="006A368A"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Վերոգրյալի հաշվառմամբ առաջարկում ենք նախաբանում 126-րդ հոդվածի 9-րդ կետին և «Մաքսային կարգավորման մասին» օրենքի 94-րդ հոդվածի 5-րդ մասին հղումները փոխարինել նույն օրենքի 7-րդ հոդվածի 2-րդ մասին հղումով և կարգավորումը ձևակերպել որպես N 2017-Ն որոշման լրացում՝ հաշվի առնելով, որ ТР ТС 013/2011-ը վառելիքի համար նախատեսում է ոչ թե սերտիֆիկացում, այլ համապատասխանության հայտարարագրում։</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Pr>
                <w:rFonts w:ascii="GHEA Grapalat" w:eastAsia="Calibri" w:hAnsi="GHEA Grapalat" w:cs="Sylfaen"/>
                <w:color w:val="00000A"/>
                <w:lang w:val="hy-AM"/>
              </w:rPr>
              <w:t xml:space="preserve">2․ </w:t>
            </w:r>
            <w:r w:rsidRPr="005D160E">
              <w:rPr>
                <w:rFonts w:ascii="GHEA Grapalat" w:eastAsia="Calibri" w:hAnsi="GHEA Grapalat" w:cs="Sylfaen"/>
                <w:color w:val="00000A"/>
                <w:lang w:val="hy-AM"/>
              </w:rPr>
              <w:t xml:space="preserve">Պիտանի լիազորող նորմի պարագայում անգամ ազգային շեղման տեղ չկա։ Օրենսգրքի 7-րդ հոդվածի 2-րդ կետով տեխնիկական կարգավորման միջոցների պահպանումը հաստատվում է «Հանձնաժողովի կամ անդամ պետությունների օրենսդրության» սահմանած դեպքերում ու կարգով, և այդ այլընտրանքային լիազորությունն Եվրասիական տնտեսական հանձնաժողովի Խորհուրդն իրացրել է 12.11.2021 թ. N 130 որոշմամբ։ Դրա Կարգի 8-րդ կետով փաստաթղթերը պետք է լինեն հայտարարատուի մոտ «на момент подачи декларации на товары»՝ հայտարարագիրը </w:t>
            </w:r>
            <w:r w:rsidRPr="005D160E">
              <w:rPr>
                <w:rFonts w:ascii="GHEA Grapalat" w:eastAsia="Calibri" w:hAnsi="GHEA Grapalat" w:cs="Sylfaen"/>
                <w:color w:val="00000A"/>
                <w:lang w:val="hy-AM"/>
              </w:rPr>
              <w:lastRenderedPageBreak/>
              <w:t>ներկայացնելու պահին, 9-րդ կետով՝ վավերական հայտարարագրի գրանցման ամսաթվի դրությամբ, իսկ բացառությունների սպառիչ ցանկը նավթամթերք չի ներառում։ Փաստաթուղթը, սակայն, ձեռք է բերվում ներմուծումից օրեր անց, ուստի նախագծի մոդելն անհամատեղելի է դրանց հետ։</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ab/>
              <w:t>Կարգից շեղվելու իրավունք կառավարություններին տրվել է ԵՏՀ Խորհրդի 17.10.2022 թ. N 158 որոշման 1-ին կետով՝ հենց նույն առարկայով, սակայն ժամկետային էր, և 17.09.2026 դրությամբ դրա երկարաձգում ԵԱՏՄ մակարդակով առկա չէ։</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ԵՏՀ Խորհրդի 17.10.2022 թ. N 158 որոշում, 1-ին կետ: «правительствами государств-членов могут быть установлены особенности применения Порядка ... № 130 ... действуют до 1 сентября 2023 г. включительно»</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թարգմանաբար՝ «անդամ պետությունների կառավարությունների կողմից կարող են սահմանվել N 130 որոշմամբ հաստատված Կարգի կիրառման առանձնահատկություններ գործում են մինչև 2023 թվականի սեպտեմբերի 1-ը ներառյալ»</w:t>
            </w:r>
          </w:p>
          <w:p w:rsid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Վերոգրյալի հաշվառմամբ առաջարկում ենք ազգային լրացուցիչ դեպք սահմանելուց հրաժարվել և հարցը կարգավորել N 130 որոշման Կարգին ուղղակի հղումով՝ զուգահեռաբար ԵՏՀ-ում նախաձեռնելով Կարգի լրացում հեղուկ նավթամթերքի համար։</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Pr>
                <w:rFonts w:ascii="GHEA Grapalat" w:eastAsia="Calibri" w:hAnsi="GHEA Grapalat" w:cs="Sylfaen"/>
                <w:color w:val="00000A"/>
                <w:lang w:val="hy-AM"/>
              </w:rPr>
              <w:lastRenderedPageBreak/>
              <w:t xml:space="preserve">3․ </w:t>
            </w:r>
            <w:r w:rsidRPr="005D160E">
              <w:rPr>
                <w:rFonts w:ascii="GHEA Grapalat" w:eastAsia="Calibri" w:hAnsi="GHEA Grapalat" w:cs="Sylfaen"/>
                <w:color w:val="00000A"/>
                <w:lang w:val="hy-AM"/>
              </w:rPr>
              <w:t>Հավելվածի 10-րդ կետը թույլատրելի է համարում պայմանական բաց թողնված վառելիքի պահեստավորումը «նույնանման ապրանքների այլ խմբաքանակների հետ մեկ ընդհանուր տարայում»՝ միակ հետևանք համարելով ողջ խմբաքանակի վերաարտահանումը։ Նման խառնումը բացառում է վառելիքի նույնականացումը և հակասում է Հավելվածի 5-րդ կետին՝ «Հայտարարատուն պարտավոր է ապահովել Ապրանքների նույնականացման հնարավորությունը պահպանության վայրում», մինչդեռ Ապրանքները գտնվում են մաքսային հսկողության ներքո և արգելված են փոխանցելու ու օգտագործելու համար (Օրենսգրքի 126-րդ հոդվածի 3-րդ և 6-րդ կետեր)։</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ab/>
              <w:t>Առանձին խնդիր է գույքային երաշխիքի բացակայությունը. նախագծում ապահովման մասին որևէ դրույթ չկա։ Օրենսգրքի 121-րդ հոդվածի 1-ին կետով վաղաժամ բացթողումն իրականացվում է հենց ապահովման ներկայացման պայմանով, ընդ որում նույն հոդվածի 5-րդ կետով այդ մեխանիզմն առհասարակ կիրառելի չէ, երբ արգելքների պահպանումը հաստատված չէ. առանց որևէ ապահովման բացթողումն առավել ևս անթույլատրելի է։</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ԵԱՏՄ Մաքսային օրենսգիրք, հոդված 121-ի 5-րդ կետ: «Положения пункта 1 настоящей статьи не прим</w:t>
            </w:r>
            <w:r w:rsidR="008728CD">
              <w:rPr>
                <w:rFonts w:ascii="GHEA Grapalat" w:eastAsia="Calibri" w:hAnsi="GHEA Grapalat" w:cs="Sylfaen"/>
                <w:color w:val="00000A"/>
                <w:lang w:val="hy-AM"/>
              </w:rPr>
              <w:t>еняются в случае обнаружения признаков запретов и ограничений</w:t>
            </w:r>
            <w:r w:rsidRPr="005D160E">
              <w:rPr>
                <w:rFonts w:ascii="GHEA Grapalat" w:eastAsia="Calibri" w:hAnsi="GHEA Grapalat" w:cs="Sylfaen"/>
                <w:color w:val="00000A"/>
                <w:lang w:val="hy-AM"/>
              </w:rPr>
              <w:t xml:space="preserve"> и неподтверждения декларантом их соблюдения»</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lastRenderedPageBreak/>
              <w:t>թարգմանաբար՝ «Սույն հոդվածի 1-ին կետի դրույթները չեն կիրառվում արգելքների և սահմանափակումների հատկանիշներ հայտնաբերելու և դրանց պահպանումը չհաստատելու դեպքում»</w:t>
            </w:r>
          </w:p>
          <w:p w:rsid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Վերոգրյալի հաշվառմամբ առաջարկում ենք Հավելվածի 10-րդ կետի վերջին նախադասությունը փոխարինել դրույթով՝ «Պայմանական բաց թողնված Ապրանքներն արգելվում է պահեստավորել նույնանման ապրանքների այլ խմբաքանակների հետ մեկ ընդհանուր տարայում, փոխանցել կամ օգտագործել՝ մինչև Միության ապրանքի կարգավիճակ ձեռք բերելը», իսկ Հավելվածը լրացնել կետով՝ «Պայմանական բացթողումն իրականացվում է մաքսատուրքերի և հարկերի վճարման պարտավորության ապահովման ներկայացման պայմանով»։</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Pr>
                <w:rFonts w:ascii="GHEA Grapalat" w:eastAsia="Calibri" w:hAnsi="GHEA Grapalat" w:cs="Sylfaen"/>
                <w:color w:val="00000A"/>
                <w:lang w:val="hy-AM"/>
              </w:rPr>
              <w:t xml:space="preserve">4․ </w:t>
            </w:r>
            <w:r w:rsidRPr="005D160E">
              <w:rPr>
                <w:rFonts w:ascii="GHEA Grapalat" w:eastAsia="Calibri" w:hAnsi="GHEA Grapalat" w:cs="Sylfaen"/>
                <w:color w:val="00000A"/>
                <w:lang w:val="hy-AM"/>
              </w:rPr>
              <w:t>Նախագծի 2-րդ կետով կարգավորումը տարածվում է միայն «քսան հազար (20 000) տոննայից ավել Ապրանքներ» հայտարարագրած ներմուծողների վրա։ Տարբերակման միակ չափանիշը ծավալն է, որը կապ չունի պահանջները չպահպանելու ռիսկի հետ և սահմանափակում է փոքր ու միջին ձեռնարկությունների մասնակցությունը։</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ԱՀԿ Առևտրի հեշտացման համաձայնագիր, հոդված 7.7.2: «The specified criteria ... shall be related to compliance, or the risk of non-compliance ... shall not ... restrict the participation of small and medium-sized enterprises»</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lastRenderedPageBreak/>
              <w:t>թարգմանաբար՝ «Չափանիշները պետք է կապված լինեն պահանջների պահպանման կամ չպահպանման ռիսկի հետ ... չպետք է սահմանափակեն փոքր և միջին ձեռնարկությունների մասնակցությունը»</w:t>
            </w:r>
          </w:p>
          <w:p w:rsidR="005D160E" w:rsidRPr="005D160E"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ab/>
              <w:t>Թերի են ընթացակարգային երաշխիքները. Հավելվածի 4-րդ կետով փաստաթղթեր պահանջվում են «բացթողման նպատակահարմարության որոշման նպատակով»՝ առանց չափորոշիչների, իսկ 6-րդ կետով որոշումը ձևակերպվում է հայտարարագրում «նշումներ» կատարելով՝ առանց մերժման հիմքերի, գրավոր ձևի և բողոքարկման կարգի, ինչը չի համապատասխանում Սահմանադրության 6-րդ հոդվածի 2-րդ մասին և ԳԱԹԹ 1994-ի X:3(b) հոդվածին։ Ժամկետը ևս միաձև չէ. որոշման 4-րդ կետով՝ «ոչ ուշ, քան տասներորդ օրը», Հավելվածում՝ «Մինչև տասներորդ օրը»։</w:t>
            </w:r>
          </w:p>
          <w:p w:rsidR="005D160E" w:rsidRPr="00EB736F" w:rsidRDefault="005D160E" w:rsidP="005D160E">
            <w:pPr>
              <w:suppressAutoHyphens/>
              <w:spacing w:line="360" w:lineRule="auto"/>
              <w:ind w:right="210" w:firstLine="561"/>
              <w:jc w:val="both"/>
              <w:rPr>
                <w:rFonts w:ascii="GHEA Grapalat" w:eastAsia="Calibri" w:hAnsi="GHEA Grapalat" w:cs="Sylfaen"/>
                <w:color w:val="00000A"/>
                <w:lang w:val="hy-AM"/>
              </w:rPr>
            </w:pPr>
            <w:r w:rsidRPr="005D160E">
              <w:rPr>
                <w:rFonts w:ascii="GHEA Grapalat" w:eastAsia="Calibri" w:hAnsi="GHEA Grapalat" w:cs="Sylfaen"/>
                <w:color w:val="00000A"/>
                <w:lang w:val="hy-AM"/>
              </w:rPr>
              <w:t xml:space="preserve">Վերոգրյալի հաշվառմամբ առաջարկում ենք 2-րդ կետը շարադրել հետևյալ խմբագրությամբ՝ «2. Սույն որոշումը տարածվում է այն իրավաբանական անձանց և անհատ ձեռնարկատերերի նկատմամբ, որոնք համապատասխանում են մաքսային մարմնի սահմանած՝ մաքսային և հարկային օրենսդրության պահանջների պահպանման ռիսկահեն չափորոշիչներին։», Հավելվածի 4-րդ կետը լրացնել նպատակահարմարության չափորոշիչներով, 6-րդ կետը շարադրել նոր խմբագրությամբ՝ սահմանելով մերժման հիմքերի </w:t>
            </w:r>
            <w:r w:rsidRPr="005D160E">
              <w:rPr>
                <w:rFonts w:ascii="GHEA Grapalat" w:eastAsia="Calibri" w:hAnsi="GHEA Grapalat" w:cs="Sylfaen"/>
                <w:color w:val="00000A"/>
                <w:lang w:val="hy-AM"/>
              </w:rPr>
              <w:lastRenderedPageBreak/>
              <w:t>սպառիչ ցանկը, մերժման որոշման գրավոր ձևն ու հիմնավորումը և բողոքարկման կարգը, իսկ ժամկետը բոլոր կետերում շարադրել միասնական ձևակերպմամբ։</w:t>
            </w:r>
          </w:p>
        </w:tc>
        <w:tc>
          <w:tcPr>
            <w:tcW w:w="6224" w:type="dxa"/>
            <w:gridSpan w:val="2"/>
            <w:shd w:val="clear" w:color="auto" w:fill="FFFFFF"/>
            <w:hideMark/>
          </w:tcPr>
          <w:p w:rsidR="007176FA" w:rsidRDefault="0079090C" w:rsidP="0079090C">
            <w:pPr>
              <w:spacing w:line="360" w:lineRule="auto"/>
              <w:ind w:left="75" w:right="188" w:firstLine="180"/>
              <w:rPr>
                <w:rFonts w:ascii="GHEA Grapalat" w:hAnsi="GHEA Grapalat"/>
                <w:color w:val="000000"/>
                <w:lang w:val="hy-AM" w:eastAsia="hy-AM"/>
              </w:rPr>
            </w:pPr>
            <w:r>
              <w:rPr>
                <w:rFonts w:ascii="GHEA Grapalat" w:hAnsi="GHEA Grapalat"/>
                <w:color w:val="000000"/>
                <w:lang w:val="hy-AM" w:eastAsia="hy-AM"/>
              </w:rPr>
              <w:lastRenderedPageBreak/>
              <w:t>1․ Չի ընդունվել։ Նախագծի նախաբանում նախատեսված լիազորող նորմի մասով պետական իրավական փորձաքննության շրջանակներում առարկություններ չեն ներկայացվել։ Միաժամանակ, մեր գնա</w:t>
            </w:r>
            <w:r w:rsidR="00415BD8">
              <w:rPr>
                <w:rFonts w:ascii="GHEA Grapalat" w:hAnsi="GHEA Grapalat"/>
                <w:color w:val="000000"/>
                <w:lang w:val="hy-AM" w:eastAsia="hy-AM"/>
              </w:rPr>
              <w:t>հատմամբ, նախագծի կարգավորումների բովանդակությունը</w:t>
            </w:r>
            <w:r>
              <w:rPr>
                <w:rFonts w:ascii="GHEA Grapalat" w:hAnsi="GHEA Grapalat"/>
                <w:color w:val="000000"/>
                <w:lang w:val="hy-AM" w:eastAsia="hy-AM"/>
              </w:rPr>
              <w:t xml:space="preserve"> հաշվի</w:t>
            </w:r>
            <w:bookmarkStart w:id="0" w:name="_GoBack"/>
            <w:bookmarkEnd w:id="0"/>
            <w:r>
              <w:rPr>
                <w:rFonts w:ascii="GHEA Grapalat" w:hAnsi="GHEA Grapalat"/>
                <w:color w:val="000000"/>
                <w:lang w:val="hy-AM" w:eastAsia="hy-AM"/>
              </w:rPr>
              <w:t xml:space="preserve"> առնելով, դրանք համապատասխանում են լիազորող նորմի բովանդակությանը։</w:t>
            </w: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p>
          <w:p w:rsidR="0079090C" w:rsidRDefault="0079090C" w:rsidP="0079090C">
            <w:pPr>
              <w:spacing w:line="360" w:lineRule="auto"/>
              <w:ind w:left="75" w:right="188" w:firstLine="180"/>
              <w:rPr>
                <w:rFonts w:ascii="GHEA Grapalat" w:hAnsi="GHEA Grapalat"/>
                <w:color w:val="000000"/>
                <w:lang w:val="hy-AM" w:eastAsia="hy-AM"/>
              </w:rPr>
            </w:pPr>
            <w:r>
              <w:rPr>
                <w:rFonts w:ascii="GHEA Grapalat" w:hAnsi="GHEA Grapalat"/>
                <w:color w:val="000000"/>
                <w:lang w:val="hy-AM" w:eastAsia="hy-AM"/>
              </w:rPr>
              <w:t>2</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Չի</w:t>
            </w:r>
            <w:r>
              <w:rPr>
                <w:rFonts w:ascii="GHEA Grapalat" w:hAnsi="GHEA Grapalat"/>
                <w:color w:val="000000"/>
                <w:lang w:val="hy-AM" w:eastAsia="hy-AM"/>
              </w:rPr>
              <w:t xml:space="preserve"> </w:t>
            </w:r>
            <w:r>
              <w:rPr>
                <w:rFonts w:ascii="GHEA Grapalat" w:hAnsi="GHEA Grapalat" w:cs="GHEA Grapalat"/>
                <w:color w:val="000000"/>
                <w:lang w:val="hy-AM" w:eastAsia="hy-AM"/>
              </w:rPr>
              <w:t>ընդունվել։</w:t>
            </w:r>
            <w:r>
              <w:rPr>
                <w:rFonts w:ascii="GHEA Grapalat" w:hAnsi="GHEA Grapalat"/>
                <w:color w:val="000000"/>
                <w:lang w:val="hy-AM" w:eastAsia="hy-AM"/>
              </w:rPr>
              <w:t xml:space="preserve"> </w:t>
            </w:r>
            <w:r>
              <w:rPr>
                <w:rFonts w:ascii="GHEA Grapalat" w:hAnsi="GHEA Grapalat" w:cs="GHEA Grapalat"/>
                <w:color w:val="000000"/>
                <w:lang w:val="hy-AM" w:eastAsia="hy-AM"/>
              </w:rPr>
              <w:t>Եվրասիական</w:t>
            </w:r>
            <w:r>
              <w:rPr>
                <w:rFonts w:ascii="GHEA Grapalat" w:hAnsi="GHEA Grapalat"/>
                <w:color w:val="000000"/>
                <w:lang w:val="hy-AM" w:eastAsia="hy-AM"/>
              </w:rPr>
              <w:t xml:space="preserve"> </w:t>
            </w:r>
            <w:r>
              <w:rPr>
                <w:rFonts w:ascii="GHEA Grapalat" w:hAnsi="GHEA Grapalat" w:cs="GHEA Grapalat"/>
                <w:color w:val="000000"/>
                <w:lang w:val="hy-AM" w:eastAsia="hy-AM"/>
              </w:rPr>
              <w:t>տնտեսական</w:t>
            </w:r>
            <w:r>
              <w:rPr>
                <w:rFonts w:ascii="GHEA Grapalat" w:hAnsi="GHEA Grapalat"/>
                <w:color w:val="000000"/>
                <w:lang w:val="hy-AM" w:eastAsia="hy-AM"/>
              </w:rPr>
              <w:t xml:space="preserve"> </w:t>
            </w:r>
            <w:r>
              <w:rPr>
                <w:rFonts w:ascii="GHEA Grapalat" w:hAnsi="GHEA Grapalat" w:cs="GHEA Grapalat"/>
                <w:color w:val="000000"/>
                <w:lang w:val="hy-AM" w:eastAsia="hy-AM"/>
              </w:rPr>
              <w:t>միության</w:t>
            </w:r>
            <w:r>
              <w:rPr>
                <w:rFonts w:ascii="GHEA Grapalat" w:hAnsi="GHEA Grapalat"/>
                <w:color w:val="000000"/>
                <w:lang w:val="hy-AM" w:eastAsia="hy-AM"/>
              </w:rPr>
              <w:t xml:space="preserve"> </w:t>
            </w:r>
            <w:r>
              <w:rPr>
                <w:rFonts w:ascii="GHEA Grapalat" w:hAnsi="GHEA Grapalat" w:cs="GHEA Grapalat"/>
                <w:color w:val="000000"/>
                <w:lang w:val="hy-AM" w:eastAsia="hy-AM"/>
              </w:rPr>
              <w:t>մաքսային</w:t>
            </w:r>
            <w:r>
              <w:rPr>
                <w:rFonts w:ascii="GHEA Grapalat" w:hAnsi="GHEA Grapalat"/>
                <w:color w:val="000000"/>
                <w:lang w:val="hy-AM" w:eastAsia="hy-AM"/>
              </w:rPr>
              <w:t xml:space="preserve"> </w:t>
            </w:r>
            <w:r>
              <w:rPr>
                <w:rFonts w:ascii="GHEA Grapalat" w:hAnsi="GHEA Grapalat" w:cs="GHEA Grapalat"/>
                <w:color w:val="000000"/>
                <w:lang w:val="hy-AM" w:eastAsia="hy-AM"/>
              </w:rPr>
              <w:t>օրենսգրքով</w:t>
            </w:r>
            <w:r>
              <w:rPr>
                <w:rFonts w:ascii="GHEA Grapalat" w:hAnsi="GHEA Grapalat"/>
                <w:color w:val="000000"/>
                <w:lang w:val="hy-AM" w:eastAsia="hy-AM"/>
              </w:rPr>
              <w:t xml:space="preserve"> </w:t>
            </w:r>
            <w:r>
              <w:rPr>
                <w:rFonts w:ascii="GHEA Grapalat" w:hAnsi="GHEA Grapalat" w:cs="GHEA Grapalat"/>
                <w:color w:val="000000"/>
                <w:lang w:val="hy-AM" w:eastAsia="hy-AM"/>
              </w:rPr>
              <w:t>ապրանքների</w:t>
            </w:r>
            <w:r>
              <w:rPr>
                <w:rFonts w:ascii="GHEA Grapalat" w:hAnsi="GHEA Grapalat"/>
                <w:color w:val="000000"/>
                <w:lang w:val="hy-AM" w:eastAsia="hy-AM"/>
              </w:rPr>
              <w:t xml:space="preserve"> </w:t>
            </w:r>
            <w:r>
              <w:rPr>
                <w:rFonts w:ascii="GHEA Grapalat" w:hAnsi="GHEA Grapalat" w:cs="GHEA Grapalat"/>
                <w:color w:val="000000"/>
                <w:lang w:val="hy-AM" w:eastAsia="hy-AM"/>
              </w:rPr>
              <w:t>պայմանական</w:t>
            </w:r>
            <w:r>
              <w:rPr>
                <w:rFonts w:ascii="GHEA Grapalat" w:hAnsi="GHEA Grapalat"/>
                <w:color w:val="000000"/>
                <w:lang w:val="hy-AM" w:eastAsia="hy-AM"/>
              </w:rPr>
              <w:t xml:space="preserve"> </w:t>
            </w:r>
            <w:r>
              <w:rPr>
                <w:rFonts w:ascii="GHEA Grapalat" w:hAnsi="GHEA Grapalat" w:cs="GHEA Grapalat"/>
                <w:color w:val="000000"/>
                <w:lang w:val="hy-AM" w:eastAsia="hy-AM"/>
              </w:rPr>
              <w:t>բացթողման</w:t>
            </w:r>
            <w:r>
              <w:rPr>
                <w:rFonts w:ascii="GHEA Grapalat" w:hAnsi="GHEA Grapalat"/>
                <w:color w:val="000000"/>
                <w:lang w:val="hy-AM" w:eastAsia="hy-AM"/>
              </w:rPr>
              <w:t xml:space="preserve"> </w:t>
            </w:r>
            <w:r>
              <w:rPr>
                <w:rFonts w:ascii="GHEA Grapalat" w:hAnsi="GHEA Grapalat" w:cs="GHEA Grapalat"/>
                <w:color w:val="000000"/>
                <w:lang w:val="hy-AM" w:eastAsia="hy-AM"/>
              </w:rPr>
              <w:t>ինստիտուտը</w:t>
            </w:r>
            <w:r>
              <w:rPr>
                <w:rFonts w:ascii="GHEA Grapalat" w:hAnsi="GHEA Grapalat"/>
                <w:color w:val="000000"/>
                <w:lang w:val="hy-AM" w:eastAsia="hy-AM"/>
              </w:rPr>
              <w:t xml:space="preserve"> </w:t>
            </w:r>
            <w:r>
              <w:rPr>
                <w:rFonts w:ascii="GHEA Grapalat" w:hAnsi="GHEA Grapalat" w:cs="GHEA Grapalat"/>
                <w:color w:val="000000"/>
                <w:lang w:val="hy-AM" w:eastAsia="hy-AM"/>
              </w:rPr>
              <w:t>ներդրված</w:t>
            </w:r>
            <w:r>
              <w:rPr>
                <w:rFonts w:ascii="GHEA Grapalat" w:hAnsi="GHEA Grapalat"/>
                <w:color w:val="000000"/>
                <w:lang w:val="hy-AM" w:eastAsia="hy-AM"/>
              </w:rPr>
              <w:t xml:space="preserve"> </w:t>
            </w:r>
            <w:r>
              <w:rPr>
                <w:rFonts w:ascii="GHEA Grapalat" w:hAnsi="GHEA Grapalat" w:cs="GHEA Grapalat"/>
                <w:color w:val="000000"/>
                <w:lang w:val="hy-AM" w:eastAsia="hy-AM"/>
              </w:rPr>
              <w:t>է ապրանքների</w:t>
            </w:r>
            <w:r>
              <w:rPr>
                <w:rFonts w:ascii="GHEA Grapalat" w:hAnsi="GHEA Grapalat"/>
                <w:color w:val="000000"/>
                <w:lang w:val="hy-AM" w:eastAsia="hy-AM"/>
              </w:rPr>
              <w:t xml:space="preserve"> </w:t>
            </w:r>
            <w:r>
              <w:rPr>
                <w:rFonts w:ascii="GHEA Grapalat" w:hAnsi="GHEA Grapalat" w:cs="GHEA Grapalat"/>
                <w:color w:val="000000"/>
                <w:lang w:val="hy-AM" w:eastAsia="hy-AM"/>
              </w:rPr>
              <w:t>բացթողման</w:t>
            </w:r>
            <w:r>
              <w:rPr>
                <w:rFonts w:ascii="GHEA Grapalat" w:hAnsi="GHEA Grapalat"/>
                <w:color w:val="000000"/>
                <w:lang w:val="hy-AM" w:eastAsia="hy-AM"/>
              </w:rPr>
              <w:t xml:space="preserve"> </w:t>
            </w:r>
            <w:r>
              <w:rPr>
                <w:rFonts w:ascii="GHEA Grapalat" w:hAnsi="GHEA Grapalat" w:cs="GHEA Grapalat"/>
                <w:color w:val="000000"/>
                <w:lang w:val="hy-AM" w:eastAsia="hy-AM"/>
              </w:rPr>
              <w:t>համար</w:t>
            </w:r>
            <w:r>
              <w:rPr>
                <w:rFonts w:ascii="GHEA Grapalat" w:hAnsi="GHEA Grapalat"/>
                <w:color w:val="000000"/>
                <w:lang w:val="hy-AM" w:eastAsia="hy-AM"/>
              </w:rPr>
              <w:t xml:space="preserve"> </w:t>
            </w:r>
            <w:r>
              <w:rPr>
                <w:rFonts w:ascii="GHEA Grapalat" w:hAnsi="GHEA Grapalat" w:cs="GHEA Grapalat"/>
                <w:color w:val="000000"/>
                <w:lang w:val="hy-AM" w:eastAsia="hy-AM"/>
              </w:rPr>
              <w:t>սահմանված</w:t>
            </w:r>
            <w:r>
              <w:rPr>
                <w:rFonts w:ascii="GHEA Grapalat" w:hAnsi="GHEA Grapalat"/>
                <w:color w:val="000000"/>
                <w:lang w:val="hy-AM" w:eastAsia="hy-AM"/>
              </w:rPr>
              <w:t xml:space="preserve"> ընդհանուր </w:t>
            </w:r>
            <w:r>
              <w:rPr>
                <w:rFonts w:ascii="GHEA Grapalat" w:hAnsi="GHEA Grapalat" w:cs="GHEA Grapalat"/>
                <w:color w:val="000000"/>
                <w:lang w:val="hy-AM" w:eastAsia="hy-AM"/>
              </w:rPr>
              <w:t>պայմաններից</w:t>
            </w:r>
            <w:r>
              <w:rPr>
                <w:rFonts w:ascii="GHEA Grapalat" w:hAnsi="GHEA Grapalat"/>
                <w:color w:val="000000"/>
                <w:lang w:val="hy-AM" w:eastAsia="hy-AM"/>
              </w:rPr>
              <w:t xml:space="preserve"> </w:t>
            </w:r>
            <w:r>
              <w:rPr>
                <w:rFonts w:ascii="GHEA Grapalat" w:hAnsi="GHEA Grapalat" w:cs="GHEA Grapalat"/>
                <w:color w:val="000000"/>
                <w:lang w:val="hy-AM" w:eastAsia="hy-AM"/>
              </w:rPr>
              <w:t>որոշակիորեն</w:t>
            </w:r>
            <w:r>
              <w:rPr>
                <w:rFonts w:ascii="GHEA Grapalat" w:hAnsi="GHEA Grapalat"/>
                <w:color w:val="000000"/>
                <w:lang w:val="hy-AM" w:eastAsia="hy-AM"/>
              </w:rPr>
              <w:t xml:space="preserve"> </w:t>
            </w:r>
            <w:r>
              <w:rPr>
                <w:rFonts w:ascii="GHEA Grapalat" w:hAnsi="GHEA Grapalat" w:cs="GHEA Grapalat"/>
                <w:color w:val="000000"/>
                <w:lang w:val="hy-AM" w:eastAsia="hy-AM"/>
              </w:rPr>
              <w:t>շեղվելու</w:t>
            </w:r>
            <w:r>
              <w:rPr>
                <w:rFonts w:ascii="GHEA Grapalat" w:hAnsi="GHEA Grapalat"/>
                <w:color w:val="000000"/>
                <w:lang w:val="hy-AM" w:eastAsia="hy-AM"/>
              </w:rPr>
              <w:t xml:space="preserve"> </w:t>
            </w:r>
            <w:r>
              <w:rPr>
                <w:rFonts w:ascii="GHEA Grapalat" w:hAnsi="GHEA Grapalat" w:cs="GHEA Grapalat"/>
                <w:color w:val="000000"/>
                <w:lang w:val="hy-AM" w:eastAsia="hy-AM"/>
              </w:rPr>
              <w:t>նպատակով։</w:t>
            </w:r>
            <w:r>
              <w:rPr>
                <w:rFonts w:ascii="GHEA Grapalat" w:hAnsi="GHEA Grapalat"/>
                <w:color w:val="000000"/>
                <w:lang w:val="hy-AM" w:eastAsia="hy-AM"/>
              </w:rPr>
              <w:t xml:space="preserve"> </w:t>
            </w:r>
            <w:r>
              <w:rPr>
                <w:rFonts w:ascii="GHEA Grapalat" w:hAnsi="GHEA Grapalat" w:cs="GHEA Grapalat"/>
                <w:color w:val="000000"/>
                <w:lang w:val="hy-AM" w:eastAsia="hy-AM"/>
              </w:rPr>
              <w:t>Այս</w:t>
            </w:r>
            <w:r>
              <w:rPr>
                <w:rFonts w:ascii="GHEA Grapalat" w:hAnsi="GHEA Grapalat"/>
                <w:color w:val="000000"/>
                <w:lang w:val="hy-AM" w:eastAsia="hy-AM"/>
              </w:rPr>
              <w:t xml:space="preserve"> </w:t>
            </w:r>
            <w:r>
              <w:rPr>
                <w:rFonts w:ascii="GHEA Grapalat" w:hAnsi="GHEA Grapalat" w:cs="GHEA Grapalat"/>
                <w:color w:val="000000"/>
                <w:lang w:val="hy-AM" w:eastAsia="hy-AM"/>
              </w:rPr>
              <w:t>նկատառումներով</w:t>
            </w:r>
            <w:r>
              <w:rPr>
                <w:rFonts w:ascii="GHEA Grapalat" w:hAnsi="GHEA Grapalat"/>
                <w:color w:val="000000"/>
                <w:lang w:val="hy-AM" w:eastAsia="hy-AM"/>
              </w:rPr>
              <w:t xml:space="preserve"> </w:t>
            </w:r>
            <w:r>
              <w:rPr>
                <w:rFonts w:ascii="GHEA Grapalat" w:hAnsi="GHEA Grapalat" w:cs="GHEA Grapalat"/>
                <w:color w:val="000000"/>
                <w:lang w:val="hy-AM" w:eastAsia="hy-AM"/>
              </w:rPr>
              <w:t>ապրանքներն</w:t>
            </w:r>
            <w:r>
              <w:rPr>
                <w:rFonts w:ascii="GHEA Grapalat" w:hAnsi="GHEA Grapalat"/>
                <w:color w:val="000000"/>
                <w:lang w:val="hy-AM" w:eastAsia="hy-AM"/>
              </w:rPr>
              <w:t xml:space="preserve"> ունեն շուկայահանման արգելքներ՝ մինչև հայտարարատուի կողմից ապրանքների բացթողման </w:t>
            </w:r>
            <w:r>
              <w:rPr>
                <w:rFonts w:ascii="GHEA Grapalat" w:hAnsi="GHEA Grapalat"/>
                <w:color w:val="000000"/>
                <w:lang w:val="hy-AM" w:eastAsia="hy-AM"/>
              </w:rPr>
              <w:lastRenderedPageBreak/>
              <w:t xml:space="preserve">համար սահմանված ընդհանուր պայմանների ապահովումը։ Հարցը ԵՏՀ խորհրդի </w:t>
            </w:r>
            <w:r w:rsidRPr="0079090C">
              <w:rPr>
                <w:rFonts w:ascii="GHEA Grapalat" w:hAnsi="GHEA Grapalat"/>
                <w:color w:val="000000"/>
                <w:lang w:val="hy-AM" w:eastAsia="hy-AM"/>
              </w:rPr>
              <w:t>12.11.2021</w:t>
            </w:r>
            <w:r>
              <w:rPr>
                <w:rFonts w:ascii="GHEA Grapalat" w:hAnsi="GHEA Grapalat"/>
                <w:color w:val="000000"/>
                <w:lang w:val="hy-AM" w:eastAsia="hy-AM"/>
              </w:rPr>
              <w:t>թ</w:t>
            </w:r>
            <w:r>
              <w:rPr>
                <w:rFonts w:ascii="Cambria Math" w:hAnsi="Cambria Math" w:cs="Cambria Math"/>
                <w:color w:val="000000"/>
                <w:lang w:val="hy-AM" w:eastAsia="hy-AM"/>
              </w:rPr>
              <w:t>․</w:t>
            </w:r>
            <w:r>
              <w:rPr>
                <w:rFonts w:ascii="GHEA Grapalat" w:hAnsi="GHEA Grapalat"/>
                <w:color w:val="000000"/>
                <w:lang w:val="hy-AM" w:eastAsia="hy-AM"/>
              </w:rPr>
              <w:t xml:space="preserve"> </w:t>
            </w:r>
            <w:r w:rsidRPr="0079090C">
              <w:rPr>
                <w:rFonts w:ascii="GHEA Grapalat" w:hAnsi="GHEA Grapalat"/>
                <w:color w:val="000000"/>
                <w:lang w:val="hy-AM" w:eastAsia="hy-AM"/>
              </w:rPr>
              <w:t xml:space="preserve">N 130 </w:t>
            </w:r>
            <w:r>
              <w:rPr>
                <w:rFonts w:ascii="GHEA Grapalat" w:hAnsi="GHEA Grapalat"/>
                <w:color w:val="000000"/>
                <w:lang w:val="hy-AM" w:eastAsia="hy-AM"/>
              </w:rPr>
              <w:t>որոշման շրջանակներում չի կարող կարգավորվել, քանի որ տվյալ որոշումը ապրանքների պայմանական բացթողնման հարաբերություններ չի կարգավորում։ Ինչ վերաբերում է ԵՏՀ խորհրդի 17</w:t>
            </w:r>
            <w:r>
              <w:rPr>
                <w:rFonts w:ascii="Cambria Math" w:hAnsi="Cambria Math" w:cs="Cambria Math"/>
                <w:color w:val="000000"/>
                <w:lang w:val="hy-AM" w:eastAsia="hy-AM"/>
              </w:rPr>
              <w:t>․</w:t>
            </w:r>
            <w:r>
              <w:rPr>
                <w:rFonts w:ascii="GHEA Grapalat" w:hAnsi="GHEA Grapalat"/>
                <w:color w:val="000000"/>
                <w:lang w:val="hy-AM" w:eastAsia="hy-AM"/>
              </w:rPr>
              <w:t>10</w:t>
            </w:r>
            <w:r>
              <w:rPr>
                <w:rFonts w:ascii="Cambria Math" w:hAnsi="Cambria Math" w:cs="Cambria Math"/>
                <w:color w:val="000000"/>
                <w:lang w:val="hy-AM" w:eastAsia="hy-AM"/>
              </w:rPr>
              <w:t>․</w:t>
            </w:r>
            <w:r>
              <w:rPr>
                <w:rFonts w:ascii="GHEA Grapalat" w:hAnsi="GHEA Grapalat"/>
                <w:color w:val="000000"/>
                <w:lang w:val="hy-AM" w:eastAsia="hy-AM"/>
              </w:rPr>
              <w:t>2022</w:t>
            </w:r>
            <w:r>
              <w:rPr>
                <w:rFonts w:ascii="GHEA Grapalat" w:hAnsi="GHEA Grapalat" w:cs="GHEA Grapalat"/>
                <w:color w:val="000000"/>
                <w:lang w:val="hy-AM" w:eastAsia="hy-AM"/>
              </w:rPr>
              <w:t>թ</w:t>
            </w:r>
            <w:r>
              <w:rPr>
                <w:rFonts w:ascii="Cambria Math" w:hAnsi="Cambria Math" w:cs="Cambria Math"/>
                <w:color w:val="000000"/>
                <w:lang w:val="hy-AM" w:eastAsia="hy-AM"/>
              </w:rPr>
              <w:t>․</w:t>
            </w:r>
            <w:r>
              <w:rPr>
                <w:rFonts w:ascii="GHEA Grapalat" w:hAnsi="GHEA Grapalat"/>
                <w:color w:val="000000"/>
                <w:lang w:val="hy-AM" w:eastAsia="hy-AM"/>
              </w:rPr>
              <w:t xml:space="preserve"> </w:t>
            </w:r>
            <w:r w:rsidRPr="0079090C">
              <w:rPr>
                <w:rFonts w:ascii="GHEA Grapalat" w:hAnsi="GHEA Grapalat"/>
                <w:color w:val="000000"/>
                <w:lang w:val="hy-AM" w:eastAsia="hy-AM"/>
              </w:rPr>
              <w:t xml:space="preserve">N 158 </w:t>
            </w:r>
            <w:r>
              <w:rPr>
                <w:rFonts w:ascii="GHEA Grapalat" w:hAnsi="GHEA Grapalat"/>
                <w:color w:val="000000"/>
                <w:lang w:val="hy-AM" w:eastAsia="hy-AM"/>
              </w:rPr>
              <w:t xml:space="preserve">որոշմանը, ապա այն նախատեսվել էր որոշակի ժամանակահատվածով և վերաբերելի էր կոնկրետ դեպքերում տնտեսության կայունության ապահովմանը։ </w:t>
            </w: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79090C">
            <w:pPr>
              <w:spacing w:line="360" w:lineRule="auto"/>
              <w:ind w:left="75" w:right="188" w:firstLine="180"/>
              <w:rPr>
                <w:rFonts w:ascii="GHEA Grapalat" w:hAnsi="GHEA Grapalat"/>
                <w:color w:val="000000"/>
                <w:lang w:val="hy-AM" w:eastAsia="hy-AM"/>
              </w:rPr>
            </w:pPr>
          </w:p>
          <w:p w:rsidR="00866F48" w:rsidRDefault="00866F48" w:rsidP="008A4126">
            <w:pPr>
              <w:spacing w:line="360" w:lineRule="auto"/>
              <w:ind w:left="210" w:right="188"/>
              <w:rPr>
                <w:rFonts w:ascii="GHEA Grapalat" w:hAnsi="GHEA Grapalat"/>
                <w:color w:val="000000"/>
                <w:lang w:val="hy-AM" w:eastAsia="hy-AM"/>
              </w:rPr>
            </w:pPr>
            <w:r>
              <w:rPr>
                <w:rFonts w:ascii="GHEA Grapalat" w:hAnsi="GHEA Grapalat"/>
                <w:color w:val="000000"/>
                <w:lang w:val="hy-AM" w:eastAsia="hy-AM"/>
              </w:rPr>
              <w:t>3</w:t>
            </w:r>
            <w:r>
              <w:rPr>
                <w:rFonts w:ascii="Cambria Math" w:hAnsi="Cambria Math" w:cs="Cambria Math"/>
                <w:color w:val="000000"/>
                <w:lang w:val="hy-AM" w:eastAsia="hy-AM"/>
              </w:rPr>
              <w:t>․</w:t>
            </w:r>
            <w:r>
              <w:rPr>
                <w:rFonts w:ascii="GHEA Grapalat" w:hAnsi="GHEA Grapalat"/>
                <w:color w:val="000000"/>
                <w:lang w:val="hy-AM" w:eastAsia="hy-AM"/>
              </w:rPr>
              <w:t xml:space="preserve"> </w:t>
            </w:r>
            <w:r>
              <w:rPr>
                <w:rFonts w:ascii="GHEA Grapalat" w:hAnsi="GHEA Grapalat" w:cs="GHEA Grapalat"/>
                <w:color w:val="000000"/>
                <w:lang w:val="hy-AM" w:eastAsia="hy-AM"/>
              </w:rPr>
              <w:t>Ըն</w:t>
            </w:r>
            <w:r>
              <w:rPr>
                <w:rFonts w:ascii="GHEA Grapalat" w:hAnsi="GHEA Grapalat"/>
                <w:color w:val="000000"/>
                <w:lang w:val="hy-AM" w:eastAsia="hy-AM"/>
              </w:rPr>
              <w:t>դունվել է ի գիտություն։ Նախագծով նախատեսվել է, որ պ</w:t>
            </w:r>
            <w:r w:rsidRPr="00866F48">
              <w:rPr>
                <w:rFonts w:ascii="GHEA Grapalat" w:hAnsi="GHEA Grapalat"/>
                <w:color w:val="000000"/>
                <w:lang w:val="hy-AM" w:eastAsia="hy-AM"/>
              </w:rPr>
              <w:t>այմանակա</w:t>
            </w:r>
            <w:r>
              <w:rPr>
                <w:rFonts w:ascii="GHEA Grapalat" w:hAnsi="GHEA Grapalat"/>
                <w:color w:val="000000"/>
                <w:lang w:val="hy-AM" w:eastAsia="hy-AM"/>
              </w:rPr>
              <w:t>ն բացթողնման ժամանակահատվածում ա</w:t>
            </w:r>
            <w:r w:rsidRPr="00866F48">
              <w:rPr>
                <w:rFonts w:ascii="GHEA Grapalat" w:hAnsi="GHEA Grapalat"/>
                <w:color w:val="000000"/>
                <w:lang w:val="hy-AM" w:eastAsia="hy-AM"/>
              </w:rPr>
              <w:t>պրանքների՝ նույնանման ապրանքների այլ խմբաքանակների հետ մեկ ընդհանուր տարայում պա</w:t>
            </w:r>
            <w:r>
              <w:rPr>
                <w:rFonts w:ascii="GHEA Grapalat" w:hAnsi="GHEA Grapalat"/>
                <w:color w:val="000000"/>
                <w:lang w:val="hy-AM" w:eastAsia="hy-AM"/>
              </w:rPr>
              <w:t xml:space="preserve">հեստավորված լինելու պարագայում և համապատասխան փաստաթղթերի՝ մաքսային մարմիններին չներկայացման դեպքում </w:t>
            </w:r>
            <w:r w:rsidRPr="00866F48">
              <w:rPr>
                <w:rFonts w:ascii="GHEA Grapalat" w:hAnsi="GHEA Grapalat"/>
                <w:color w:val="000000"/>
                <w:lang w:val="hy-AM" w:eastAsia="hy-AM"/>
              </w:rPr>
              <w:t>Վերաարտահանում մաքսային ընթացակարգով ձևակերպման ենթակա է տվյալ ընդհանուր տարայում պահպանվող ապրանքի ողջ խմբաքանակը։</w:t>
            </w:r>
            <w:r>
              <w:rPr>
                <w:rFonts w:ascii="GHEA Grapalat" w:hAnsi="GHEA Grapalat"/>
                <w:color w:val="000000"/>
                <w:lang w:val="hy-AM" w:eastAsia="hy-AM"/>
              </w:rPr>
              <w:t xml:space="preserve"> Տվյալ նորմը ենթադրում է, որ տնտեսվարողը ինքն է կառավարում իր կողմից ներմուծված ապրանքների շրջանառության հետ կապված ռիսկերը</w:t>
            </w:r>
            <w:r w:rsidR="008A4126">
              <w:rPr>
                <w:rFonts w:ascii="GHEA Grapalat" w:hAnsi="GHEA Grapalat"/>
                <w:color w:val="000000"/>
                <w:lang w:val="hy-AM" w:eastAsia="hy-AM"/>
              </w:rPr>
              <w:t>։</w:t>
            </w:r>
          </w:p>
          <w:p w:rsidR="008A4126" w:rsidRDefault="008A4126" w:rsidP="008A4126">
            <w:pPr>
              <w:spacing w:line="360" w:lineRule="auto"/>
              <w:ind w:left="210" w:right="188"/>
              <w:rPr>
                <w:rFonts w:ascii="GHEA Grapalat" w:hAnsi="GHEA Grapalat"/>
                <w:color w:val="000000"/>
                <w:lang w:val="hy-AM" w:eastAsia="hy-AM"/>
              </w:rPr>
            </w:pPr>
            <w:r>
              <w:rPr>
                <w:rFonts w:ascii="GHEA Grapalat" w:hAnsi="GHEA Grapalat"/>
                <w:color w:val="000000"/>
                <w:lang w:val="hy-AM" w:eastAsia="hy-AM"/>
              </w:rPr>
              <w:t xml:space="preserve">Միաժամանակ, ԵՏՄ մաքսային օրենսգրքի 121-րդ հոդվածով նախատեսված՝ մաքսային վճարների գծով պարտավորությունների կատարման ապահովման նորմերը խնդրո առարկա դեպքում կիրառելի չեն, քանի որ նախատեսվում է ապրանքների պայմանական բացթողնման հանգամանքը փոխկապակցվածության մեջ դնել </w:t>
            </w:r>
            <w:r>
              <w:rPr>
                <w:rFonts w:ascii="GHEA Grapalat" w:hAnsi="GHEA Grapalat"/>
                <w:color w:val="000000"/>
                <w:lang w:val="hy-AM" w:eastAsia="hy-AM"/>
              </w:rPr>
              <w:lastRenderedPageBreak/>
              <w:t>համապատասխանության գնահատման փաստաթղթերի առկայության հետ, իսկ մաքսային վճարները տվյալ դեպքում ենթակա են վճարման ԵՏՄ մաքսային օրենսգրքով սահմանված ժամկետներում։</w:t>
            </w: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8A4126" w:rsidRDefault="008A4126" w:rsidP="008A4126">
            <w:pPr>
              <w:spacing w:line="360" w:lineRule="auto"/>
              <w:ind w:left="210" w:right="188"/>
              <w:rPr>
                <w:rFonts w:ascii="GHEA Grapalat" w:hAnsi="GHEA Grapalat"/>
                <w:color w:val="000000"/>
                <w:lang w:val="hy-AM" w:eastAsia="hy-AM"/>
              </w:rPr>
            </w:pPr>
          </w:p>
          <w:p w:rsidR="006C255F" w:rsidRDefault="008A4126" w:rsidP="008A4126">
            <w:pPr>
              <w:spacing w:line="360" w:lineRule="auto"/>
              <w:ind w:left="210" w:right="188"/>
              <w:rPr>
                <w:rFonts w:ascii="GHEA Grapalat" w:hAnsi="GHEA Grapalat"/>
                <w:color w:val="000000" w:themeColor="text1"/>
                <w:lang w:val="hy-AM"/>
              </w:rPr>
            </w:pPr>
            <w:r>
              <w:rPr>
                <w:rFonts w:ascii="GHEA Grapalat" w:hAnsi="GHEA Grapalat"/>
                <w:color w:val="000000"/>
                <w:lang w:val="hy-AM" w:eastAsia="hy-AM"/>
              </w:rPr>
              <w:t xml:space="preserve">4․ Չի ընդունվել։ </w:t>
            </w:r>
            <w:r w:rsidR="006C255F" w:rsidRPr="00AF22B5">
              <w:rPr>
                <w:rFonts w:ascii="GHEA Grapalat" w:hAnsi="GHEA Grapalat"/>
                <w:color w:val="000000" w:themeColor="text1"/>
                <w:lang w:val="hy-AM"/>
              </w:rPr>
              <w:t xml:space="preserve">Առաջարկվող չափանիշի ընտրությունը պայմանավորված է վառելիք ներմուծող ընկերությունների կողմից բարձրացված խնդրի կարգավորմամբ։ </w:t>
            </w:r>
            <w:r w:rsidR="006C255F">
              <w:rPr>
                <w:rFonts w:ascii="GHEA Grapalat" w:hAnsi="GHEA Grapalat"/>
                <w:color w:val="000000" w:themeColor="text1"/>
                <w:lang w:val="hy-AM"/>
              </w:rPr>
              <w:t>Կ</w:t>
            </w:r>
            <w:r w:rsidR="006C255F" w:rsidRPr="00AF22B5">
              <w:rPr>
                <w:rFonts w:ascii="GHEA Grapalat" w:hAnsi="GHEA Grapalat"/>
                <w:color w:val="000000" w:themeColor="text1"/>
                <w:lang w:val="hy-AM"/>
              </w:rPr>
              <w:t>արգավորումներն ուղղված են նաև ապրանքների պահեստավորման խնդիրների լուծմանը</w:t>
            </w:r>
            <w:r w:rsidR="006C255F">
              <w:rPr>
                <w:rFonts w:ascii="GHEA Grapalat" w:hAnsi="GHEA Grapalat"/>
                <w:color w:val="000000" w:themeColor="text1"/>
                <w:lang w:val="hy-AM"/>
              </w:rPr>
              <w:t>՝</w:t>
            </w:r>
            <w:r w:rsidR="006C255F" w:rsidRPr="006C255F">
              <w:rPr>
                <w:rFonts w:ascii="GHEA Grapalat" w:hAnsi="GHEA Grapalat"/>
                <w:color w:val="000000"/>
                <w:lang w:val="hy-AM" w:eastAsia="hy-AM"/>
              </w:rPr>
              <w:t xml:space="preserve"> </w:t>
            </w:r>
            <w:r w:rsidR="006C255F" w:rsidRPr="006C255F">
              <w:rPr>
                <w:rFonts w:ascii="GHEA Grapalat" w:hAnsi="GHEA Grapalat"/>
                <w:color w:val="000000" w:themeColor="text1"/>
                <w:lang w:val="hy-AM"/>
              </w:rPr>
              <w:t>մասնավորապես երկաթուղային վագոնները արագ բեռնաթափելու անհրաժեշտությամբ պայմանավորված</w:t>
            </w:r>
            <w:r w:rsidR="006C255F">
              <w:rPr>
                <w:rFonts w:ascii="GHEA Grapalat" w:hAnsi="GHEA Grapalat"/>
                <w:color w:val="000000" w:themeColor="text1"/>
                <w:lang w:val="hy-AM"/>
              </w:rPr>
              <w:t>,</w:t>
            </w:r>
            <w:r w:rsidR="006C255F" w:rsidRPr="00AF22B5">
              <w:rPr>
                <w:rFonts w:ascii="GHEA Grapalat" w:hAnsi="GHEA Grapalat"/>
                <w:color w:val="000000" w:themeColor="text1"/>
                <w:lang w:val="hy-AM"/>
              </w:rPr>
              <w:t xml:space="preserve"> և </w:t>
            </w:r>
            <w:r w:rsidR="006C255F">
              <w:rPr>
                <w:rFonts w:ascii="GHEA Grapalat" w:hAnsi="GHEA Grapalat"/>
                <w:color w:val="000000" w:themeColor="text1"/>
                <w:lang w:val="hy-AM"/>
              </w:rPr>
              <w:t xml:space="preserve">առաջարկվում է նախքան համապատասխան </w:t>
            </w:r>
            <w:r w:rsidR="006C255F">
              <w:rPr>
                <w:rFonts w:ascii="GHEA Grapalat" w:hAnsi="GHEA Grapalat"/>
                <w:color w:val="000000" w:themeColor="text1"/>
                <w:lang w:val="hy-AM"/>
              </w:rPr>
              <w:lastRenderedPageBreak/>
              <w:t xml:space="preserve">փաստաթղթի ստացումը ապրանքները պահեստավորել </w:t>
            </w:r>
            <w:r w:rsidR="006C255F" w:rsidRPr="006C7FF6">
              <w:rPr>
                <w:rFonts w:ascii="GHEA Grapalat" w:hAnsi="GHEA Grapalat"/>
                <w:color w:val="000000" w:themeColor="text1"/>
                <w:lang w:val="hy-AM"/>
              </w:rPr>
              <w:t>(</w:t>
            </w:r>
            <w:r w:rsidR="006C255F">
              <w:rPr>
                <w:rFonts w:ascii="GHEA Grapalat" w:hAnsi="GHEA Grapalat"/>
                <w:color w:val="000000" w:themeColor="text1"/>
                <w:lang w:val="hy-AM"/>
              </w:rPr>
              <w:t>բեռնաթափել</w:t>
            </w:r>
            <w:r w:rsidR="006C255F" w:rsidRPr="006C7FF6">
              <w:rPr>
                <w:rFonts w:ascii="GHEA Grapalat" w:hAnsi="GHEA Grapalat"/>
                <w:color w:val="000000" w:themeColor="text1"/>
                <w:lang w:val="hy-AM"/>
              </w:rPr>
              <w:t>)</w:t>
            </w:r>
            <w:r w:rsidR="006C255F">
              <w:rPr>
                <w:rFonts w:ascii="GHEA Grapalat" w:hAnsi="GHEA Grapalat"/>
                <w:color w:val="000000" w:themeColor="text1"/>
                <w:lang w:val="hy-AM"/>
              </w:rPr>
              <w:t xml:space="preserve"> տնտեսվարողի տարածքում՝ շուկայահանման արգելքի սահմանմամբ։ Չափանիշները նախատեսվել են նշված ընկերությունների կողմից ներմուծման վիճակագրական ցուցանիշների հիման վրա։ </w:t>
            </w:r>
          </w:p>
          <w:p w:rsidR="006C255F" w:rsidRPr="006C255F" w:rsidRDefault="006C255F" w:rsidP="008A4126">
            <w:pPr>
              <w:spacing w:line="360" w:lineRule="auto"/>
              <w:ind w:left="210" w:right="188"/>
              <w:rPr>
                <w:rFonts w:ascii="GHEA Grapalat" w:hAnsi="GHEA Grapalat"/>
                <w:color w:val="000000"/>
                <w:lang w:val="hy-AM" w:eastAsia="hy-AM"/>
              </w:rPr>
            </w:pPr>
            <w:r>
              <w:rPr>
                <w:rFonts w:ascii="GHEA Grapalat" w:hAnsi="GHEA Grapalat"/>
                <w:color w:val="000000" w:themeColor="text1"/>
                <w:lang w:val="hy-AM"/>
              </w:rPr>
              <w:t>Ինչ վերաբերում է ապրանքների բացթողման ժամկետներին, մաքսային մարմնի կողմից մաքսային հայտարարագրում նշումների կատարմանը, որոշումների կայացմանը, ինչպես նաև բողոքարկման ժամկետներին, ապա նշված հարցերը նախագծի կարգավորման առարկա չեն (նախագծով կարգավորվում են ապրանքների պայմանական բացթողնման առանձնահատկությունները), իսկ տվյալ հարցերը կանոնակարգված են ԵՏՄ մաքսային օրենսգրքով, ԵՏՀ համապատասխան ակտերով, «Մաքսային կարգավորման մասին» օրենքով, «Մաքսային ծառայության մասին» օրենքով։</w:t>
            </w:r>
          </w:p>
          <w:p w:rsidR="008A4126" w:rsidRPr="00866F48" w:rsidRDefault="008A4126" w:rsidP="008A4126">
            <w:pPr>
              <w:spacing w:line="360" w:lineRule="auto"/>
              <w:ind w:left="210" w:right="188"/>
              <w:rPr>
                <w:rFonts w:ascii="GHEA Grapalat" w:hAnsi="GHEA Grapalat"/>
                <w:color w:val="000000"/>
                <w:lang w:val="hy-AM" w:eastAsia="hy-AM"/>
              </w:rPr>
            </w:pPr>
          </w:p>
          <w:p w:rsidR="00866F48" w:rsidRPr="0079090C" w:rsidRDefault="00866F48" w:rsidP="0079090C">
            <w:pPr>
              <w:spacing w:line="360" w:lineRule="auto"/>
              <w:ind w:left="75" w:right="188" w:firstLine="180"/>
              <w:rPr>
                <w:rFonts w:ascii="GHEA Grapalat" w:hAnsi="GHEA Grapalat"/>
                <w:color w:val="000000"/>
                <w:lang w:val="hy-AM" w:eastAsia="hy-AM"/>
              </w:rPr>
            </w:pPr>
          </w:p>
        </w:tc>
      </w:tr>
    </w:tbl>
    <w:p w:rsidR="00B51354" w:rsidRDefault="00B51354" w:rsidP="006A368A">
      <w:pPr>
        <w:jc w:val="both"/>
        <w:rPr>
          <w:rFonts w:ascii="GHEA Grapalat" w:hAnsi="GHEA Grapalat"/>
          <w:lang w:val="hy-AM"/>
        </w:rPr>
      </w:pPr>
    </w:p>
    <w:sectPr w:rsidR="00B51354"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11D" w:rsidRDefault="00B7711D" w:rsidP="006A368A">
      <w:r>
        <w:separator/>
      </w:r>
    </w:p>
  </w:endnote>
  <w:endnote w:type="continuationSeparator" w:id="0">
    <w:p w:rsidR="00B7711D" w:rsidRDefault="00B7711D"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11D" w:rsidRDefault="00B7711D" w:rsidP="006A368A">
      <w:r>
        <w:separator/>
      </w:r>
    </w:p>
  </w:footnote>
  <w:footnote w:type="continuationSeparator" w:id="0">
    <w:p w:rsidR="00B7711D" w:rsidRDefault="00B7711D"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C9D38FC"/>
    <w:multiLevelType w:val="hybridMultilevel"/>
    <w:tmpl w:val="7A7A2D96"/>
    <w:lvl w:ilvl="0" w:tplc="697E77D4">
      <w:start w:val="1"/>
      <w:numFmt w:val="decimal"/>
      <w:lvlText w:val="%1)"/>
      <w:lvlJc w:val="left"/>
      <w:pPr>
        <w:ind w:left="435" w:hanging="360"/>
      </w:pPr>
      <w:rPr>
        <w:rFonts w:ascii="GHEA Grapalat" w:hAnsi="GHEA Grapalat"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54C425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7"/>
  </w:num>
  <w:num w:numId="5">
    <w:abstractNumId w:val="14"/>
  </w:num>
  <w:num w:numId="6">
    <w:abstractNumId w:val="6"/>
  </w:num>
  <w:num w:numId="7">
    <w:abstractNumId w:val="4"/>
  </w:num>
  <w:num w:numId="8">
    <w:abstractNumId w:val="11"/>
  </w:num>
  <w:num w:numId="9">
    <w:abstractNumId w:val="1"/>
  </w:num>
  <w:num w:numId="10">
    <w:abstractNumId w:val="8"/>
  </w:num>
  <w:num w:numId="11">
    <w:abstractNumId w:val="5"/>
  </w:num>
  <w:num w:numId="12">
    <w:abstractNumId w:val="2"/>
  </w:num>
  <w:num w:numId="13">
    <w:abstractNumId w:val="0"/>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67DCD"/>
    <w:rsid w:val="000A0CCB"/>
    <w:rsid w:val="000B393D"/>
    <w:rsid w:val="000B7B68"/>
    <w:rsid w:val="000D4B46"/>
    <w:rsid w:val="000E0DAD"/>
    <w:rsid w:val="000E4D07"/>
    <w:rsid w:val="000E67C4"/>
    <w:rsid w:val="00101A36"/>
    <w:rsid w:val="00105BBD"/>
    <w:rsid w:val="00115450"/>
    <w:rsid w:val="0012313E"/>
    <w:rsid w:val="00146451"/>
    <w:rsid w:val="001524A4"/>
    <w:rsid w:val="00152DAE"/>
    <w:rsid w:val="0016692D"/>
    <w:rsid w:val="001823A8"/>
    <w:rsid w:val="001927D6"/>
    <w:rsid w:val="00196124"/>
    <w:rsid w:val="001B5B31"/>
    <w:rsid w:val="001B7892"/>
    <w:rsid w:val="001C65A5"/>
    <w:rsid w:val="001E4BD9"/>
    <w:rsid w:val="0021233D"/>
    <w:rsid w:val="002260BF"/>
    <w:rsid w:val="00226B6B"/>
    <w:rsid w:val="00227EEB"/>
    <w:rsid w:val="00234EDC"/>
    <w:rsid w:val="00272861"/>
    <w:rsid w:val="002741AA"/>
    <w:rsid w:val="002A554E"/>
    <w:rsid w:val="002C0C47"/>
    <w:rsid w:val="002D6F6B"/>
    <w:rsid w:val="002E13D8"/>
    <w:rsid w:val="002E35F0"/>
    <w:rsid w:val="002F582F"/>
    <w:rsid w:val="0030318D"/>
    <w:rsid w:val="00305C26"/>
    <w:rsid w:val="00311C25"/>
    <w:rsid w:val="00314CDC"/>
    <w:rsid w:val="00330E5F"/>
    <w:rsid w:val="00331AA5"/>
    <w:rsid w:val="00333325"/>
    <w:rsid w:val="00335CDE"/>
    <w:rsid w:val="00345B6F"/>
    <w:rsid w:val="003513F4"/>
    <w:rsid w:val="00352AD6"/>
    <w:rsid w:val="00362AFD"/>
    <w:rsid w:val="0036790B"/>
    <w:rsid w:val="00372F38"/>
    <w:rsid w:val="0038675A"/>
    <w:rsid w:val="0039006B"/>
    <w:rsid w:val="003B08B1"/>
    <w:rsid w:val="003B660D"/>
    <w:rsid w:val="003C7047"/>
    <w:rsid w:val="003C76F2"/>
    <w:rsid w:val="003D5958"/>
    <w:rsid w:val="00407394"/>
    <w:rsid w:val="00415BD8"/>
    <w:rsid w:val="004258C9"/>
    <w:rsid w:val="00426E96"/>
    <w:rsid w:val="0044071C"/>
    <w:rsid w:val="0045210B"/>
    <w:rsid w:val="00453192"/>
    <w:rsid w:val="004538E8"/>
    <w:rsid w:val="004758F2"/>
    <w:rsid w:val="004825F6"/>
    <w:rsid w:val="004A0488"/>
    <w:rsid w:val="004A3407"/>
    <w:rsid w:val="004D6A1F"/>
    <w:rsid w:val="004D76E5"/>
    <w:rsid w:val="004E712A"/>
    <w:rsid w:val="004F6B4F"/>
    <w:rsid w:val="0050383B"/>
    <w:rsid w:val="00506B5C"/>
    <w:rsid w:val="00510994"/>
    <w:rsid w:val="00514DAE"/>
    <w:rsid w:val="00525F10"/>
    <w:rsid w:val="005276AA"/>
    <w:rsid w:val="0056421B"/>
    <w:rsid w:val="00565379"/>
    <w:rsid w:val="00580B51"/>
    <w:rsid w:val="00582BA9"/>
    <w:rsid w:val="00587C49"/>
    <w:rsid w:val="0059254C"/>
    <w:rsid w:val="005B0D10"/>
    <w:rsid w:val="005B1E86"/>
    <w:rsid w:val="005D160E"/>
    <w:rsid w:val="005D2F37"/>
    <w:rsid w:val="005D533B"/>
    <w:rsid w:val="005D6F1A"/>
    <w:rsid w:val="005E17DD"/>
    <w:rsid w:val="005E720F"/>
    <w:rsid w:val="006061FC"/>
    <w:rsid w:val="006149F8"/>
    <w:rsid w:val="00623F0A"/>
    <w:rsid w:val="00625120"/>
    <w:rsid w:val="00631A17"/>
    <w:rsid w:val="006359C3"/>
    <w:rsid w:val="006401F8"/>
    <w:rsid w:val="00645638"/>
    <w:rsid w:val="006618B0"/>
    <w:rsid w:val="00673A22"/>
    <w:rsid w:val="0067445E"/>
    <w:rsid w:val="006758AA"/>
    <w:rsid w:val="00695191"/>
    <w:rsid w:val="006A368A"/>
    <w:rsid w:val="006C255F"/>
    <w:rsid w:val="006D5CFF"/>
    <w:rsid w:val="00710EA1"/>
    <w:rsid w:val="00716610"/>
    <w:rsid w:val="007176FA"/>
    <w:rsid w:val="00733D82"/>
    <w:rsid w:val="00733D99"/>
    <w:rsid w:val="00754666"/>
    <w:rsid w:val="00760B07"/>
    <w:rsid w:val="007619E4"/>
    <w:rsid w:val="0077518A"/>
    <w:rsid w:val="00782781"/>
    <w:rsid w:val="0079090C"/>
    <w:rsid w:val="007A2C28"/>
    <w:rsid w:val="007A5514"/>
    <w:rsid w:val="007C11E4"/>
    <w:rsid w:val="007D09DF"/>
    <w:rsid w:val="007D5154"/>
    <w:rsid w:val="00815269"/>
    <w:rsid w:val="00816138"/>
    <w:rsid w:val="0082551F"/>
    <w:rsid w:val="00841922"/>
    <w:rsid w:val="00846045"/>
    <w:rsid w:val="00850362"/>
    <w:rsid w:val="00861637"/>
    <w:rsid w:val="00866F48"/>
    <w:rsid w:val="008728CD"/>
    <w:rsid w:val="008833B6"/>
    <w:rsid w:val="008836D9"/>
    <w:rsid w:val="008931DC"/>
    <w:rsid w:val="00896190"/>
    <w:rsid w:val="0089669C"/>
    <w:rsid w:val="008A2510"/>
    <w:rsid w:val="008A2843"/>
    <w:rsid w:val="008A4126"/>
    <w:rsid w:val="008B55A7"/>
    <w:rsid w:val="008B7FBC"/>
    <w:rsid w:val="008C6210"/>
    <w:rsid w:val="008C722C"/>
    <w:rsid w:val="008C7C84"/>
    <w:rsid w:val="008D27D7"/>
    <w:rsid w:val="008F0C02"/>
    <w:rsid w:val="008F209B"/>
    <w:rsid w:val="008F2332"/>
    <w:rsid w:val="00914A47"/>
    <w:rsid w:val="00916C54"/>
    <w:rsid w:val="00932E13"/>
    <w:rsid w:val="00942F67"/>
    <w:rsid w:val="0095151D"/>
    <w:rsid w:val="009712BD"/>
    <w:rsid w:val="00975D9E"/>
    <w:rsid w:val="009845CF"/>
    <w:rsid w:val="00986CBE"/>
    <w:rsid w:val="009B3BC0"/>
    <w:rsid w:val="009C4C80"/>
    <w:rsid w:val="009D5234"/>
    <w:rsid w:val="009D685B"/>
    <w:rsid w:val="009E3813"/>
    <w:rsid w:val="00A00386"/>
    <w:rsid w:val="00A00B42"/>
    <w:rsid w:val="00A03B61"/>
    <w:rsid w:val="00A255BA"/>
    <w:rsid w:val="00A26F9F"/>
    <w:rsid w:val="00A27CED"/>
    <w:rsid w:val="00A27D68"/>
    <w:rsid w:val="00A33CD1"/>
    <w:rsid w:val="00A3416E"/>
    <w:rsid w:val="00A526D7"/>
    <w:rsid w:val="00A80216"/>
    <w:rsid w:val="00A818B3"/>
    <w:rsid w:val="00A9116A"/>
    <w:rsid w:val="00A9344C"/>
    <w:rsid w:val="00A954D6"/>
    <w:rsid w:val="00AA41E9"/>
    <w:rsid w:val="00AB0F1E"/>
    <w:rsid w:val="00AB29C1"/>
    <w:rsid w:val="00AE5C6D"/>
    <w:rsid w:val="00AF1CF9"/>
    <w:rsid w:val="00AF3943"/>
    <w:rsid w:val="00AF5ECD"/>
    <w:rsid w:val="00B14ECC"/>
    <w:rsid w:val="00B20482"/>
    <w:rsid w:val="00B3009C"/>
    <w:rsid w:val="00B33EE4"/>
    <w:rsid w:val="00B376AA"/>
    <w:rsid w:val="00B44695"/>
    <w:rsid w:val="00B51354"/>
    <w:rsid w:val="00B5321E"/>
    <w:rsid w:val="00B57349"/>
    <w:rsid w:val="00B63B57"/>
    <w:rsid w:val="00B75A54"/>
    <w:rsid w:val="00B7711D"/>
    <w:rsid w:val="00BA6B28"/>
    <w:rsid w:val="00BB1718"/>
    <w:rsid w:val="00BB4ADB"/>
    <w:rsid w:val="00BB517D"/>
    <w:rsid w:val="00BC5442"/>
    <w:rsid w:val="00BD6BFA"/>
    <w:rsid w:val="00BE7D14"/>
    <w:rsid w:val="00BF0454"/>
    <w:rsid w:val="00BF61D7"/>
    <w:rsid w:val="00BF6AD0"/>
    <w:rsid w:val="00C066EB"/>
    <w:rsid w:val="00C14AA0"/>
    <w:rsid w:val="00C160D6"/>
    <w:rsid w:val="00C17270"/>
    <w:rsid w:val="00C2020D"/>
    <w:rsid w:val="00C212E2"/>
    <w:rsid w:val="00C2149B"/>
    <w:rsid w:val="00C273E2"/>
    <w:rsid w:val="00C31FC0"/>
    <w:rsid w:val="00C36721"/>
    <w:rsid w:val="00C414C5"/>
    <w:rsid w:val="00C56CD6"/>
    <w:rsid w:val="00C7371E"/>
    <w:rsid w:val="00C93D48"/>
    <w:rsid w:val="00C95992"/>
    <w:rsid w:val="00CB2F2F"/>
    <w:rsid w:val="00CB6F11"/>
    <w:rsid w:val="00CC4922"/>
    <w:rsid w:val="00CD6FE0"/>
    <w:rsid w:val="00CD7EB6"/>
    <w:rsid w:val="00CE129D"/>
    <w:rsid w:val="00CE5EC5"/>
    <w:rsid w:val="00CE6882"/>
    <w:rsid w:val="00CF0EE0"/>
    <w:rsid w:val="00CF277E"/>
    <w:rsid w:val="00D002CD"/>
    <w:rsid w:val="00D22924"/>
    <w:rsid w:val="00D22A59"/>
    <w:rsid w:val="00D31629"/>
    <w:rsid w:val="00D31BCF"/>
    <w:rsid w:val="00D40108"/>
    <w:rsid w:val="00D44F80"/>
    <w:rsid w:val="00D61845"/>
    <w:rsid w:val="00D61C84"/>
    <w:rsid w:val="00D72CF5"/>
    <w:rsid w:val="00D84B77"/>
    <w:rsid w:val="00DB3E60"/>
    <w:rsid w:val="00DE29BA"/>
    <w:rsid w:val="00DF0862"/>
    <w:rsid w:val="00E00D3B"/>
    <w:rsid w:val="00E06230"/>
    <w:rsid w:val="00E06D8E"/>
    <w:rsid w:val="00E10148"/>
    <w:rsid w:val="00E13891"/>
    <w:rsid w:val="00E14B39"/>
    <w:rsid w:val="00E82F3A"/>
    <w:rsid w:val="00E92261"/>
    <w:rsid w:val="00EA1619"/>
    <w:rsid w:val="00EB4234"/>
    <w:rsid w:val="00EB736F"/>
    <w:rsid w:val="00ED09B3"/>
    <w:rsid w:val="00EE316C"/>
    <w:rsid w:val="00EE7E02"/>
    <w:rsid w:val="00F061E7"/>
    <w:rsid w:val="00F0716B"/>
    <w:rsid w:val="00F41A0E"/>
    <w:rsid w:val="00F42209"/>
    <w:rsid w:val="00F44728"/>
    <w:rsid w:val="00F57A69"/>
    <w:rsid w:val="00F7464E"/>
    <w:rsid w:val="00F76A2C"/>
    <w:rsid w:val="00F81827"/>
    <w:rsid w:val="00F874D6"/>
    <w:rsid w:val="00F92483"/>
    <w:rsid w:val="00F93E17"/>
    <w:rsid w:val="00FA3EF7"/>
    <w:rsid w:val="00FA7D21"/>
    <w:rsid w:val="00FB10A9"/>
    <w:rsid w:val="00FE12C0"/>
    <w:rsid w:val="00FE1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33AB6"/>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8B2B-CADD-4B04-B439-BBC8CEECD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1802</TotalTime>
  <Pages>1</Pages>
  <Words>1469</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Feliks Melkonyan</cp:lastModifiedBy>
  <cp:revision>116</cp:revision>
  <cp:lastPrinted>2026-09-30T13:00:00Z</cp:lastPrinted>
  <dcterms:created xsi:type="dcterms:W3CDTF">2021-09-14T12:11:00Z</dcterms:created>
  <dcterms:modified xsi:type="dcterms:W3CDTF">2026-10-01T12:51:00Z</dcterms:modified>
</cp:coreProperties>
</file>