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1B8A0" w14:textId="77777777" w:rsidR="00DE3FB3" w:rsidRPr="00871F32" w:rsidRDefault="00F93371" w:rsidP="001471CF">
      <w:pPr>
        <w:spacing w:after="0"/>
        <w:ind w:left="-630" w:firstLine="360"/>
        <w:jc w:val="center"/>
        <w:rPr>
          <w:b/>
        </w:rPr>
      </w:pPr>
      <w:r w:rsidRPr="00871F32">
        <w:rPr>
          <w:b/>
        </w:rPr>
        <w:t>ԱՄՓՈՓԱԹԵՐԹ</w:t>
      </w:r>
    </w:p>
    <w:p w14:paraId="7BF8C962" w14:textId="6003A77C" w:rsidR="00306D46" w:rsidRPr="00871F32" w:rsidRDefault="00643312" w:rsidP="001471CF">
      <w:pPr>
        <w:spacing w:after="160"/>
        <w:jc w:val="center"/>
        <w:outlineLvl w:val="1"/>
        <w:rPr>
          <w:rFonts w:eastAsia="Times New Roman" w:cs="Times New Roman"/>
          <w:b/>
        </w:rPr>
      </w:pPr>
      <w:r w:rsidRPr="00871F32">
        <w:rPr>
          <w:rFonts w:eastAsia="Times New Roman" w:cs="Times New Roman"/>
          <w:b/>
        </w:rPr>
        <w:t>«</w:t>
      </w:r>
      <w:r w:rsidRPr="00871F32">
        <w:rPr>
          <w:rFonts w:eastAsia="Times New Roman" w:cs="Times New Roman"/>
          <w:b/>
          <w:lang w:val="en-US"/>
        </w:rPr>
        <w:t>ՓՈՔՐ</w:t>
      </w:r>
      <w:r w:rsidRPr="00871F32">
        <w:rPr>
          <w:rFonts w:eastAsia="Times New Roman" w:cs="Times New Roman"/>
          <w:b/>
        </w:rPr>
        <w:t xml:space="preserve"> </w:t>
      </w:r>
      <w:r w:rsidRPr="00871F32">
        <w:rPr>
          <w:rFonts w:eastAsia="Times New Roman" w:cs="Times New Roman"/>
          <w:b/>
          <w:lang w:val="en-US"/>
        </w:rPr>
        <w:t>ԵՎ</w:t>
      </w:r>
      <w:r w:rsidRPr="00871F32">
        <w:rPr>
          <w:rFonts w:eastAsia="Times New Roman" w:cs="Times New Roman"/>
          <w:b/>
        </w:rPr>
        <w:t xml:space="preserve"> </w:t>
      </w:r>
      <w:r w:rsidRPr="00871F32">
        <w:rPr>
          <w:rFonts w:eastAsia="Times New Roman" w:cs="Times New Roman"/>
          <w:b/>
          <w:lang w:val="en-US"/>
        </w:rPr>
        <w:t>ՄԻՋԻՆ</w:t>
      </w:r>
      <w:r w:rsidRPr="00871F32">
        <w:rPr>
          <w:rFonts w:eastAsia="Times New Roman" w:cs="Times New Roman"/>
          <w:b/>
        </w:rPr>
        <w:t xml:space="preserve"> </w:t>
      </w:r>
      <w:r w:rsidRPr="00871F32">
        <w:rPr>
          <w:rFonts w:eastAsia="Times New Roman" w:cs="Times New Roman"/>
          <w:b/>
          <w:lang w:val="en-US"/>
        </w:rPr>
        <w:t>ՁԵՌՆԱՐԿԱՏԻՐՈՒԹՅԱՆ</w:t>
      </w:r>
      <w:r w:rsidRPr="00871F32">
        <w:rPr>
          <w:rFonts w:eastAsia="Times New Roman" w:cs="Times New Roman"/>
          <w:b/>
        </w:rPr>
        <w:t xml:space="preserve"> </w:t>
      </w:r>
      <w:r w:rsidRPr="00871F32">
        <w:rPr>
          <w:rFonts w:eastAsia="Times New Roman" w:cs="Times New Roman"/>
          <w:b/>
          <w:lang w:val="en-US"/>
        </w:rPr>
        <w:t>ՍՈՒԲՅԵԿՏՆԵՐԻՆ</w:t>
      </w:r>
      <w:r w:rsidRPr="00871F32">
        <w:rPr>
          <w:rFonts w:eastAsia="Times New Roman" w:cs="Times New Roman"/>
          <w:b/>
        </w:rPr>
        <w:t xml:space="preserve"> </w:t>
      </w:r>
      <w:r w:rsidRPr="00871F32">
        <w:rPr>
          <w:rFonts w:eastAsia="Times New Roman" w:cs="Times New Roman"/>
          <w:b/>
          <w:lang w:val="en-US"/>
        </w:rPr>
        <w:t>ԱՋԱԿՑՈՒԹՅԱՆ</w:t>
      </w:r>
      <w:r w:rsidRPr="00871F32">
        <w:rPr>
          <w:rFonts w:eastAsia="Times New Roman" w:cs="Times New Roman"/>
          <w:b/>
        </w:rPr>
        <w:t xml:space="preserve"> </w:t>
      </w:r>
      <w:r w:rsidRPr="00871F32">
        <w:rPr>
          <w:rFonts w:eastAsia="Times New Roman" w:cs="Times New Roman"/>
          <w:b/>
          <w:lang w:val="en-US"/>
        </w:rPr>
        <w:t>ԾՐԱԳՐԵՐԻ</w:t>
      </w:r>
      <w:r w:rsidRPr="00871F32">
        <w:rPr>
          <w:rFonts w:eastAsia="Times New Roman" w:cs="Times New Roman"/>
          <w:b/>
        </w:rPr>
        <w:t xml:space="preserve"> </w:t>
      </w:r>
      <w:r w:rsidRPr="00871F32">
        <w:rPr>
          <w:rFonts w:eastAsia="Times New Roman" w:cs="Times New Roman"/>
          <w:b/>
          <w:lang w:val="en-US"/>
        </w:rPr>
        <w:t>ՀԱՄԱԿԱՐԳՈՒՄ</w:t>
      </w:r>
      <w:r w:rsidRPr="00871F32">
        <w:rPr>
          <w:rFonts w:eastAsia="Times New Roman" w:cs="Times New Roman"/>
          <w:b/>
        </w:rPr>
        <w:t xml:space="preserve"> </w:t>
      </w:r>
      <w:r w:rsidR="00D45018" w:rsidRPr="00871F32">
        <w:rPr>
          <w:rFonts w:eastAsia="Times New Roman" w:cs="Times New Roman"/>
          <w:b/>
          <w:lang w:val="en-US"/>
        </w:rPr>
        <w:t>ԵՎ</w:t>
      </w:r>
      <w:r w:rsidRPr="00871F32">
        <w:rPr>
          <w:rFonts w:eastAsia="Times New Roman" w:cs="Times New Roman"/>
          <w:b/>
        </w:rPr>
        <w:t xml:space="preserve"> </w:t>
      </w:r>
      <w:r w:rsidRPr="00871F32">
        <w:rPr>
          <w:rFonts w:eastAsia="Times New Roman" w:cs="Times New Roman"/>
          <w:b/>
          <w:lang w:val="en-US"/>
        </w:rPr>
        <w:t>ԿԱՌԱՎԱՐՈՒՄ</w:t>
      </w:r>
      <w:r w:rsidRPr="00871F32">
        <w:rPr>
          <w:rFonts w:eastAsia="Times New Roman" w:cs="Times New Roman"/>
          <w:b/>
        </w:rPr>
        <w:t xml:space="preserve">» </w:t>
      </w:r>
      <w:r w:rsidRPr="00871F32">
        <w:rPr>
          <w:rFonts w:eastAsia="Times New Roman" w:cs="Times New Roman"/>
          <w:b/>
          <w:lang w:val="en-US"/>
        </w:rPr>
        <w:t>ՄԻՋՈՑԱՌՄԱՆ</w:t>
      </w:r>
      <w:r w:rsidRPr="00871F32">
        <w:rPr>
          <w:rFonts w:eastAsia="Times New Roman" w:cs="Times New Roman"/>
          <w:b/>
        </w:rPr>
        <w:t xml:space="preserve"> 2026 </w:t>
      </w:r>
      <w:r w:rsidRPr="00871F32">
        <w:rPr>
          <w:rFonts w:eastAsia="Times New Roman" w:cs="Times New Roman"/>
          <w:b/>
          <w:lang w:val="en-US"/>
        </w:rPr>
        <w:t>ԹՎԱԿԱՆԻ</w:t>
      </w:r>
      <w:r w:rsidRPr="00871F32">
        <w:rPr>
          <w:rFonts w:eastAsia="Times New Roman" w:cs="Times New Roman"/>
          <w:b/>
        </w:rPr>
        <w:t xml:space="preserve"> </w:t>
      </w:r>
      <w:r w:rsidRPr="00871F32">
        <w:rPr>
          <w:rFonts w:eastAsia="Times New Roman" w:cs="Times New Roman"/>
          <w:b/>
          <w:lang w:val="en-US"/>
        </w:rPr>
        <w:t>ԾՐԱԳԻՐԸ</w:t>
      </w:r>
      <w:r w:rsidRPr="00871F32">
        <w:rPr>
          <w:rFonts w:eastAsia="Times New Roman" w:cs="Times New Roman"/>
          <w:b/>
        </w:rPr>
        <w:t xml:space="preserve"> </w:t>
      </w:r>
      <w:r w:rsidRPr="00871F32">
        <w:rPr>
          <w:rFonts w:eastAsia="Times New Roman" w:cs="Times New Roman"/>
          <w:b/>
          <w:lang w:val="en-US"/>
        </w:rPr>
        <w:t>ՀԱՍՏԱՏԵԼՈՒ</w:t>
      </w:r>
      <w:r w:rsidRPr="00871F32">
        <w:rPr>
          <w:rFonts w:eastAsia="Times New Roman" w:cs="Times New Roman"/>
          <w:b/>
        </w:rPr>
        <w:t xml:space="preserve"> </w:t>
      </w:r>
      <w:r w:rsidRPr="00871F32">
        <w:rPr>
          <w:rFonts w:eastAsia="Times New Roman" w:cs="Times New Roman"/>
          <w:b/>
          <w:lang w:val="en-US"/>
        </w:rPr>
        <w:t>ՄԱՍԻՆ</w:t>
      </w:r>
      <w:r w:rsidRPr="00871F32">
        <w:rPr>
          <w:rFonts w:eastAsia="Times New Roman" w:cs="Times New Roman"/>
          <w:b/>
        </w:rPr>
        <w:t xml:space="preserve"> ՀՀ ԿԱՌԱՎԱՐՈՒԹՅԱՆ ՈՐՈՇՄԱՆ ՆԱԽԱԳԾԻ</w:t>
      </w:r>
    </w:p>
    <w:tbl>
      <w:tblPr>
        <w:tblStyle w:val="a3"/>
        <w:tblW w:w="143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6945"/>
        <w:gridCol w:w="6522"/>
      </w:tblGrid>
      <w:tr w:rsidR="00DE3FB3" w:rsidRPr="00871F32" w14:paraId="6ED0936D" w14:textId="77777777" w:rsidTr="00C5020E">
        <w:tc>
          <w:tcPr>
            <w:tcW w:w="850" w:type="dxa"/>
          </w:tcPr>
          <w:p w14:paraId="35BEFAB2" w14:textId="77777777" w:rsidR="00DE3FB3" w:rsidRPr="00871F32" w:rsidRDefault="006677DF" w:rsidP="00D85760">
            <w:pPr>
              <w:spacing w:after="0"/>
              <w:jc w:val="center"/>
              <w:rPr>
                <w:bCs/>
              </w:rPr>
            </w:pPr>
            <w:r w:rsidRPr="00871F32">
              <w:rPr>
                <w:rFonts w:eastAsia="Arial"/>
                <w:bCs/>
                <w:lang w:val="hy-AM"/>
              </w:rPr>
              <w:t>Հ</w:t>
            </w:r>
            <w:r w:rsidR="005941AA" w:rsidRPr="00871F32">
              <w:rPr>
                <w:rFonts w:eastAsia="Arial"/>
                <w:bCs/>
              </w:rPr>
              <w:t>/Հ</w:t>
            </w:r>
          </w:p>
        </w:tc>
        <w:tc>
          <w:tcPr>
            <w:tcW w:w="6945" w:type="dxa"/>
          </w:tcPr>
          <w:p w14:paraId="7AA44EAF" w14:textId="77777777" w:rsidR="00DE3FB3" w:rsidRPr="00871F32" w:rsidRDefault="00795ECF" w:rsidP="00D85760">
            <w:pPr>
              <w:tabs>
                <w:tab w:val="left" w:pos="27"/>
              </w:tabs>
              <w:spacing w:after="0"/>
              <w:ind w:left="27"/>
              <w:jc w:val="center"/>
              <w:rPr>
                <w:bCs/>
              </w:rPr>
            </w:pPr>
            <w:r w:rsidRPr="00871F32">
              <w:rPr>
                <w:rFonts w:eastAsia="Arial"/>
                <w:bCs/>
              </w:rPr>
              <w:t>Առաջարկություն</w:t>
            </w:r>
          </w:p>
        </w:tc>
        <w:tc>
          <w:tcPr>
            <w:tcW w:w="6522" w:type="dxa"/>
            <w:tcBorders>
              <w:bottom w:val="single" w:sz="4" w:space="0" w:color="000000"/>
            </w:tcBorders>
          </w:tcPr>
          <w:p w14:paraId="0C6B8F7B" w14:textId="77777777" w:rsidR="00FF108D" w:rsidRPr="00871F32" w:rsidRDefault="00795ECF" w:rsidP="00D85760">
            <w:pPr>
              <w:spacing w:after="0"/>
              <w:ind w:left="28"/>
              <w:jc w:val="center"/>
              <w:rPr>
                <w:bCs/>
              </w:rPr>
            </w:pPr>
            <w:r w:rsidRPr="00871F32">
              <w:rPr>
                <w:rFonts w:eastAsia="Arial"/>
                <w:bCs/>
              </w:rPr>
              <w:t>Կատարված</w:t>
            </w:r>
            <w:r w:rsidR="00FF108D" w:rsidRPr="00871F32">
              <w:rPr>
                <w:rFonts w:eastAsia="Arial"/>
                <w:bCs/>
              </w:rPr>
              <w:t xml:space="preserve"> փ</w:t>
            </w:r>
            <w:r w:rsidRPr="00871F32">
              <w:rPr>
                <w:rFonts w:eastAsia="Arial"/>
                <w:bCs/>
              </w:rPr>
              <w:t>ոփոխություն/</w:t>
            </w:r>
          </w:p>
          <w:p w14:paraId="156C178F" w14:textId="77777777" w:rsidR="00DE3FB3" w:rsidRPr="00871F32" w:rsidRDefault="00795ECF" w:rsidP="00D85760">
            <w:pPr>
              <w:spacing w:after="0"/>
              <w:ind w:left="28"/>
              <w:jc w:val="center"/>
              <w:rPr>
                <w:bCs/>
              </w:rPr>
            </w:pPr>
            <w:r w:rsidRPr="00871F32">
              <w:rPr>
                <w:rFonts w:eastAsia="Arial"/>
                <w:bCs/>
              </w:rPr>
              <w:t>մեկնաբանություն</w:t>
            </w:r>
          </w:p>
        </w:tc>
      </w:tr>
      <w:tr w:rsidR="000F4677" w:rsidRPr="00871F32" w14:paraId="57E26EDB" w14:textId="77777777" w:rsidTr="00C5020E">
        <w:tc>
          <w:tcPr>
            <w:tcW w:w="850" w:type="dxa"/>
            <w:vMerge w:val="restart"/>
            <w:tcBorders>
              <w:top w:val="single" w:sz="4" w:space="0" w:color="000000"/>
              <w:left w:val="single" w:sz="4" w:space="0" w:color="000000"/>
              <w:right w:val="single" w:sz="4" w:space="0" w:color="000000"/>
            </w:tcBorders>
            <w:shd w:val="clear" w:color="auto" w:fill="D0CECE" w:themeFill="background2" w:themeFillShade="E6"/>
          </w:tcPr>
          <w:p w14:paraId="52B4AB91" w14:textId="77777777" w:rsidR="000F4677" w:rsidRPr="00871F32" w:rsidRDefault="000F4677" w:rsidP="00D85760">
            <w:pPr>
              <w:pStyle w:val="ListParagraph"/>
              <w:numPr>
                <w:ilvl w:val="0"/>
                <w:numId w:val="40"/>
              </w:numPr>
              <w:spacing w:after="0" w:line="276" w:lineRule="auto"/>
              <w:jc w:val="center"/>
              <w:rPr>
                <w:rFonts w:ascii="GHEA Grapalat" w:hAnsi="GHEA Grapalat"/>
                <w:b/>
              </w:rPr>
            </w:pPr>
          </w:p>
        </w:tc>
        <w:tc>
          <w:tcPr>
            <w:tcW w:w="6945" w:type="dxa"/>
            <w:vMerge w:val="restart"/>
            <w:tcBorders>
              <w:top w:val="single" w:sz="4" w:space="0" w:color="000000"/>
              <w:left w:val="single" w:sz="4" w:space="0" w:color="000000"/>
              <w:right w:val="single" w:sz="4" w:space="0" w:color="000000"/>
            </w:tcBorders>
            <w:shd w:val="clear" w:color="auto" w:fill="D0CECE" w:themeFill="background2" w:themeFillShade="E6"/>
          </w:tcPr>
          <w:p w14:paraId="7826B3F6" w14:textId="22F2264E" w:rsidR="000F4677" w:rsidRPr="00871F32" w:rsidRDefault="00643312" w:rsidP="00D85760">
            <w:pPr>
              <w:tabs>
                <w:tab w:val="left" w:pos="27"/>
              </w:tabs>
              <w:spacing w:after="0"/>
              <w:ind w:left="27"/>
              <w:jc w:val="center"/>
              <w:rPr>
                <w:b/>
                <w:color w:val="000000"/>
                <w:lang w:val="hy-AM"/>
              </w:rPr>
            </w:pPr>
            <w:r w:rsidRPr="00871F32">
              <w:rPr>
                <w:b/>
                <w:color w:val="000000"/>
                <w:lang w:val="hy-AM"/>
              </w:rPr>
              <w:t>Ֆինանսների նախարարություն</w:t>
            </w:r>
          </w:p>
        </w:tc>
        <w:tc>
          <w:tcPr>
            <w:tcW w:w="652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7FD2DFD8" w14:textId="466A51B3" w:rsidR="000F4677" w:rsidRPr="00871F32" w:rsidRDefault="002A112E" w:rsidP="00D85760">
            <w:pPr>
              <w:spacing w:after="0"/>
              <w:ind w:left="28"/>
              <w:jc w:val="center"/>
              <w:rPr>
                <w:b/>
                <w:lang w:val="hy-AM"/>
              </w:rPr>
            </w:pPr>
            <w:r w:rsidRPr="00871F32">
              <w:rPr>
                <w:b/>
              </w:rPr>
              <w:t xml:space="preserve">22.06.2026 </w:t>
            </w:r>
            <w:r w:rsidRPr="00871F32">
              <w:rPr>
                <w:b/>
                <w:lang w:val="hy-AM"/>
              </w:rPr>
              <w:t>թ</w:t>
            </w:r>
            <w:r w:rsidRPr="00871F32">
              <w:rPr>
                <w:rFonts w:ascii="Cambria Math" w:hAnsi="Cambria Math" w:cs="Cambria Math"/>
                <w:b/>
                <w:lang w:val="hy-AM"/>
              </w:rPr>
              <w:t>․</w:t>
            </w:r>
          </w:p>
        </w:tc>
      </w:tr>
      <w:tr w:rsidR="000F4677" w:rsidRPr="00871F32" w14:paraId="32D2A144" w14:textId="77777777" w:rsidTr="00C5020E">
        <w:tc>
          <w:tcPr>
            <w:tcW w:w="850" w:type="dxa"/>
            <w:vMerge/>
            <w:tcBorders>
              <w:left w:val="single" w:sz="4" w:space="0" w:color="000000"/>
              <w:right w:val="single" w:sz="4" w:space="0" w:color="000000"/>
            </w:tcBorders>
            <w:shd w:val="clear" w:color="auto" w:fill="D0CECE" w:themeFill="background2" w:themeFillShade="E6"/>
          </w:tcPr>
          <w:p w14:paraId="24C3BE79" w14:textId="77777777" w:rsidR="000F4677" w:rsidRPr="00871F32" w:rsidRDefault="000F4677" w:rsidP="00D85760">
            <w:pPr>
              <w:spacing w:after="0"/>
              <w:jc w:val="center"/>
              <w:rPr>
                <w:b/>
              </w:rPr>
            </w:pPr>
          </w:p>
        </w:tc>
        <w:tc>
          <w:tcPr>
            <w:tcW w:w="6945" w:type="dxa"/>
            <w:vMerge/>
            <w:tcBorders>
              <w:left w:val="single" w:sz="4" w:space="0" w:color="000000"/>
              <w:right w:val="single" w:sz="4" w:space="0" w:color="000000"/>
            </w:tcBorders>
            <w:shd w:val="clear" w:color="auto" w:fill="D0CECE" w:themeFill="background2" w:themeFillShade="E6"/>
          </w:tcPr>
          <w:p w14:paraId="046EE58D" w14:textId="77777777" w:rsidR="000F4677" w:rsidRPr="00871F32" w:rsidRDefault="000F4677" w:rsidP="00D85760">
            <w:pPr>
              <w:tabs>
                <w:tab w:val="left" w:pos="27"/>
              </w:tabs>
              <w:spacing w:after="0"/>
              <w:ind w:left="27"/>
              <w:jc w:val="center"/>
              <w:rPr>
                <w:b/>
                <w:color w:val="000000"/>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2D69118A" w14:textId="3BCBFF05" w:rsidR="000F4677" w:rsidRPr="00871F32" w:rsidRDefault="002A112E" w:rsidP="00D85760">
            <w:pPr>
              <w:spacing w:after="0"/>
              <w:ind w:left="28"/>
              <w:jc w:val="center"/>
              <w:rPr>
                <w:b/>
              </w:rPr>
            </w:pPr>
            <w:r w:rsidRPr="00871F32">
              <w:rPr>
                <w:b/>
                <w:lang w:val="en-US"/>
              </w:rPr>
              <w:t xml:space="preserve">N </w:t>
            </w:r>
            <w:r w:rsidRPr="00871F32">
              <w:rPr>
                <w:b/>
              </w:rPr>
              <w:t>01/9-2/16115-2026</w:t>
            </w:r>
          </w:p>
        </w:tc>
      </w:tr>
      <w:tr w:rsidR="000F4677" w:rsidRPr="00871F32" w14:paraId="14FE3EF4"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5818824" w14:textId="77777777" w:rsidR="000F4677" w:rsidRPr="00871F32" w:rsidRDefault="000F4677"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06B3E984" w14:textId="77777777" w:rsidR="00A40BDB" w:rsidRPr="00871F32" w:rsidRDefault="00A40BDB" w:rsidP="001471CF">
            <w:pPr>
              <w:tabs>
                <w:tab w:val="left" w:pos="27"/>
              </w:tabs>
              <w:spacing w:after="0"/>
              <w:ind w:left="27"/>
              <w:jc w:val="both"/>
              <w:rPr>
                <w:bCs/>
                <w:color w:val="000000"/>
                <w:lang w:val="hy-AM"/>
              </w:rPr>
            </w:pPr>
            <w:r w:rsidRPr="00871F32">
              <w:rPr>
                <w:bCs/>
                <w:color w:val="000000"/>
                <w:lang w:val="hy-AM"/>
              </w:rPr>
              <w:t>1</w:t>
            </w:r>
            <w:r w:rsidRPr="00871F32">
              <w:rPr>
                <w:rFonts w:ascii="Cambria Math" w:hAnsi="Cambria Math" w:cs="Cambria Math"/>
                <w:bCs/>
                <w:color w:val="000000"/>
                <w:lang w:val="hy-AM"/>
              </w:rPr>
              <w:t>․</w:t>
            </w:r>
            <w:r w:rsidRPr="00871F32">
              <w:rPr>
                <w:bCs/>
                <w:color w:val="000000"/>
                <w:lang w:val="hy-AM"/>
              </w:rPr>
              <w:t xml:space="preserve"> Ծրագրով նախատեսվում է ֆինանսական աջակցություն տրամադրել առնվազն 30 շահառուի, սակայն հիմնավորված չէ, թե նշված ցուցանիշը Ծրագրի թիրախային խմբի նկատմամբ ինչ ընդգրկվածություն է ապահովում։ Մասնավորապես, բացակայում են տվյալներ Ծրագրի չափանիշներին համապատասխանող գործող և սկսնակ ՓՄՁ սուբյեկտների ընդհանուր թվաքանակի վերաբերյալ, ինչպես նաև գնահատական այն մասին, թե 30 շահառուն վերջիններիս քանի տոկոսն է կազմում։ Նման տեղեկատվության բացակայության պայմաններում հնարավոր չէ գնահատել Ծրագրի արդյունքային ցուցանիշների բավարարությունը և ակնկալվող տնտեսական ազդեցության իրատեսականությունը։ Բացի այդ, 30 շահառուի ընտրությունը ներկայացված փաստաթղթերում որևէ վերլուծությամբ կամ պահանջարկի գնահատմամբ հիմնավորված չէ, ինչից կարելի է ենթադրել, որ այն բխում է բացառապես բյուջեի և մեկ շահառուի համար սահմանված 2.5 մլն դրամ առավելագույն աջակցության չափի հաշվարկից։ Միաժամանակ, չեն սահմանվում ծրագրի տնտեսական ազդեցությունը գնահատելու ցուցանիշներ, ինչպիսիք են աջակցություն ստացած բիզնեսների հետագա գործունեության կայունությունը, ստեղծված աշխատատեղերը, </w:t>
            </w:r>
            <w:r w:rsidRPr="00871F32">
              <w:rPr>
                <w:bCs/>
                <w:color w:val="000000"/>
                <w:lang w:val="hy-AM"/>
              </w:rPr>
              <w:lastRenderedPageBreak/>
              <w:t>հարկային մուտքերի աճը, արտահանման ծավալները կամ ներգրավված մասնավոր ներդրումները (Ծրագրով նախատեսված մշտադիտարկումը հիմնականում կենտրոնացած է միջոցների օգտագործման, հաշվետվությունների ներկայացման, համաֆինանսավորման ապահովման և ծրագրային ցուցանիշների կատարման վրա)։ Արդյունքում գնահատվում է ծրագրի իրականացման ընթացքը, այլ ոչ թե դրա փաստացի տնտեսական ազդեցությունը։</w:t>
            </w:r>
          </w:p>
          <w:p w14:paraId="2DF98DB7" w14:textId="65F9DE42" w:rsidR="000F4677" w:rsidRPr="00871F32" w:rsidRDefault="000F4677" w:rsidP="001471CF">
            <w:pPr>
              <w:tabs>
                <w:tab w:val="left" w:pos="27"/>
              </w:tabs>
              <w:spacing w:after="0"/>
              <w:ind w:left="27"/>
              <w:jc w:val="both"/>
              <w:rPr>
                <w:bCs/>
                <w:color w:val="000000"/>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0CB0DFC7" w14:textId="77777777" w:rsidR="00EE01A2" w:rsidRPr="00871F32" w:rsidRDefault="00EE01A2" w:rsidP="00D85760">
            <w:pPr>
              <w:spacing w:after="0"/>
              <w:jc w:val="center"/>
              <w:rPr>
                <w:b/>
              </w:rPr>
            </w:pPr>
            <w:r w:rsidRPr="00871F32">
              <w:rPr>
                <w:b/>
              </w:rPr>
              <w:lastRenderedPageBreak/>
              <w:t>Մասամբ է ընդունվել։</w:t>
            </w:r>
          </w:p>
          <w:p w14:paraId="1E6209CF" w14:textId="00B9D2E8" w:rsidR="00A40BDB" w:rsidRPr="00871F32" w:rsidRDefault="00A40BDB" w:rsidP="00D85760">
            <w:pPr>
              <w:spacing w:after="0"/>
              <w:jc w:val="both"/>
              <w:rPr>
                <w:bCs/>
                <w:lang w:val="hy-AM"/>
              </w:rPr>
            </w:pPr>
            <w:r w:rsidRPr="00871F32">
              <w:rPr>
                <w:bCs/>
                <w:lang w:val="hy-AM"/>
              </w:rPr>
              <w:t>Ծրագրի արդյունքային ցուցանիշները և ֆինանսական պարամետրերը ձևավորվել են Հայաստանի Հանրապետության 2026 թվականի պետական բյուջեով 1104 «Գիտելիքահենք, նորարարական տնտեսությանը և փոքր ու միջին ձեռնարկատիրությանը աջակցություն» ծրագրի 11001 «Փոքր և միջին ձեռնարկատիրության սուբյեկտներին աջակցության ծրագրերի համակարգում և կառավարում» միջոցառման համար նախատեսված 100.0 մլն ՀՀ դրամ բյուջետային հատկացումների շրջանակում։</w:t>
            </w:r>
            <w:r w:rsidR="002F5A4E" w:rsidRPr="00871F32">
              <w:rPr>
                <w:bCs/>
                <w:lang w:val="hy-AM"/>
              </w:rPr>
              <w:t xml:space="preserve"> </w:t>
            </w:r>
            <w:r w:rsidRPr="00871F32">
              <w:rPr>
                <w:bCs/>
                <w:lang w:val="hy-AM"/>
              </w:rPr>
              <w:t>Միաժամանակ, Ծրագրի ազդեցության շրջանակը չի սահմանափակվում միայն ֆինանսական աջակցություն ստացող առնվազն 30 շահառուներով։ Ծրագրով նախատեսվում է նախաինկուբացիայի և բիզնես կրթության փուլում ներգրավել առնվազն 100 մասնակցի, ապահովել առնվազն 50 գործարար ծրագրի մշակում և գնահատում, ինչպես նաև մրցակցային ընտրության արդյունքում ֆինանսական աջակցություն տրամադրել առնվազն 30 շահառուի։</w:t>
            </w:r>
          </w:p>
          <w:p w14:paraId="6EFB8DB5" w14:textId="757552FE" w:rsidR="00A40BDB" w:rsidRPr="00871F32" w:rsidRDefault="00A40BDB" w:rsidP="00D85760">
            <w:pPr>
              <w:spacing w:after="0"/>
              <w:jc w:val="both"/>
              <w:rPr>
                <w:bCs/>
                <w:lang w:val="hy-AM"/>
              </w:rPr>
            </w:pPr>
            <w:r w:rsidRPr="00871F32">
              <w:rPr>
                <w:bCs/>
                <w:lang w:val="hy-AM"/>
              </w:rPr>
              <w:t xml:space="preserve">100-50-30 հարաբերակցությունը պայմանավորված է Ծրագրի փուլային կառուցվածքով և հաջորդական ընտրության ու </w:t>
            </w:r>
            <w:r w:rsidRPr="00871F32">
              <w:rPr>
                <w:bCs/>
                <w:lang w:val="hy-AM"/>
              </w:rPr>
              <w:lastRenderedPageBreak/>
              <w:t>գնահատման տրամաբանությամբ։ Նախատեսվում է, որ նախաինկուբացիայի և բիզնես կրթության փուլում ներգրավված մասնակիցների միայն մի մասը կանցնի գործարար ծրագրի մշակման և ֆինանսական աջակցության փուլ։</w:t>
            </w:r>
            <w:r w:rsidR="002F5A4E" w:rsidRPr="00871F32">
              <w:rPr>
                <w:bCs/>
                <w:lang w:val="hy-AM"/>
              </w:rPr>
              <w:t xml:space="preserve"> </w:t>
            </w:r>
            <w:r w:rsidRPr="00871F32">
              <w:rPr>
                <w:bCs/>
                <w:lang w:val="hy-AM"/>
              </w:rPr>
              <w:t>Միաժամանակ, յուրաքանչյուր շահառուի մասով Օպերատորի կողմից առնվազն 1:1 հարաբերակցությամբ համաֆինանսավորման ապահովման պահանջի արդյունքում ֆինանսական աջակցություն ստացող յուրաքանչյուր շահառուի համար կարող է ձևավորվել մինչև 5.0 մլն ՀՀ դրամ ընդհանուր ֆինանսական փաթեթ, իսկ Ծրագրի ընդհանուր ֆինանսական ազդեցությունը կարող է կազմել առնվազն 1</w:t>
            </w:r>
            <w:r w:rsidR="000F3598" w:rsidRPr="00871F32">
              <w:rPr>
                <w:bCs/>
                <w:lang w:val="hy-AM"/>
              </w:rPr>
              <w:t>50</w:t>
            </w:r>
            <w:r w:rsidRPr="00871F32">
              <w:rPr>
                <w:bCs/>
                <w:lang w:val="hy-AM"/>
              </w:rPr>
              <w:t>.0 մլն ՀՀ դրամ։</w:t>
            </w:r>
          </w:p>
          <w:p w14:paraId="0F6E4949" w14:textId="5932F5EF" w:rsidR="00CA7918" w:rsidRPr="00871F32" w:rsidRDefault="00A40BDB" w:rsidP="00D85760">
            <w:pPr>
              <w:spacing w:after="0"/>
              <w:jc w:val="both"/>
              <w:rPr>
                <w:bCs/>
              </w:rPr>
            </w:pPr>
            <w:r w:rsidRPr="00871F32">
              <w:rPr>
                <w:bCs/>
                <w:lang w:val="hy-AM"/>
              </w:rPr>
              <w:t>Ծրագրի ազդեցության գնահատման տեսանկյունից նախագիծը և հիմնավորումը լրամշակվել են՝ ներառելով ոչ միայն ֆինանսական աջակցություն ստացող շահառուների, այլև կարողությունների զարգացման, գործարար ծրագրերի ձևավորման, համաֆինանսավորման ներգրավման, պետություն-մասնավոր երկխոսության և միջազգային համագործակցության ցուցանիշները։</w:t>
            </w:r>
          </w:p>
        </w:tc>
      </w:tr>
      <w:tr w:rsidR="00643312" w:rsidRPr="00871F32" w14:paraId="33ECD4A4"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DBB787C" w14:textId="77777777" w:rsidR="00643312" w:rsidRPr="00871F32" w:rsidRDefault="00643312"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845B54E" w14:textId="77777777" w:rsidR="00607AEA" w:rsidRPr="00871F32" w:rsidRDefault="00607AEA" w:rsidP="001471CF">
            <w:pPr>
              <w:tabs>
                <w:tab w:val="left" w:pos="27"/>
              </w:tabs>
              <w:spacing w:after="0"/>
              <w:ind w:left="27"/>
              <w:jc w:val="both"/>
              <w:rPr>
                <w:bCs/>
                <w:color w:val="000000"/>
                <w:lang w:val="hy-AM"/>
              </w:rPr>
            </w:pPr>
            <w:r w:rsidRPr="00871F32">
              <w:rPr>
                <w:bCs/>
                <w:color w:val="000000"/>
                <w:lang w:val="hy-AM"/>
              </w:rPr>
              <w:t>2</w:t>
            </w:r>
            <w:r w:rsidRPr="00871F32">
              <w:rPr>
                <w:rFonts w:ascii="Cambria Math" w:hAnsi="Cambria Math" w:cs="Cambria Math"/>
                <w:bCs/>
                <w:color w:val="000000"/>
                <w:lang w:val="hy-AM"/>
              </w:rPr>
              <w:t>․</w:t>
            </w:r>
            <w:r w:rsidRPr="00871F32">
              <w:rPr>
                <w:bCs/>
                <w:color w:val="000000"/>
                <w:lang w:val="hy-AM"/>
              </w:rPr>
              <w:t xml:space="preserve"> Նախագծի հիմնավորմամբ բացակայում է յուրաքանչյուր շահառուին մինչև 2.5 մլն դրամ սահմանաչափով տրվող աջակցության չափի ֆինանսատնտեսական հիմնավորումը, մասնավորապես ներկայացված չեն հաշվարկներ, թե 2.5 մլն դրամը ինչ տեսակի գործունեության համար է բավարար։ Փաստացի ընտրվել է գումարի չափ, բայց չի ապացուցվել, որ այդ գումարը կարող է էական ազդեցություն ունենալ բիզնեսի կենսունակության վրա։ Միաժամանակ, հիմնավորման մեջ բերված են ՓՄՁ ոլորտի ընդհանուր վիճակագրական տվյալներ, </w:t>
            </w:r>
            <w:r w:rsidRPr="00871F32">
              <w:rPr>
                <w:bCs/>
                <w:color w:val="000000"/>
                <w:lang w:val="hy-AM"/>
              </w:rPr>
              <w:lastRenderedPageBreak/>
              <w:t>սակայն բացակայում են նախկինում իրականացված նմանատիպ ծրագրերի արդյունավետության գնահատականները, շահառուների գործունեության կայունության վերաբերյալ տվյալները, նախկին աջակցության ծրագրերի ազդեցության վերլուծությունը և միջազգային փորձի համեմատական գնահատումը։ Այդ հանգամանքը թույլ չի տալիս գնահատել առաջարկվող մոդելի ընտրության հիմնավորվածությունն ու ակնկալվող արդյունավետությունը։</w:t>
            </w:r>
          </w:p>
          <w:p w14:paraId="4C0A199E" w14:textId="77777777" w:rsidR="00643312" w:rsidRPr="00871F32" w:rsidRDefault="00643312" w:rsidP="001471CF">
            <w:pPr>
              <w:tabs>
                <w:tab w:val="left" w:pos="27"/>
              </w:tabs>
              <w:spacing w:after="0"/>
              <w:ind w:left="27"/>
              <w:jc w:val="both"/>
              <w:rPr>
                <w:bCs/>
                <w:color w:val="000000"/>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31630F56" w14:textId="28D14A11" w:rsidR="00906FB9" w:rsidRPr="00871F32" w:rsidRDefault="00EE01A2" w:rsidP="00D85760">
            <w:pPr>
              <w:spacing w:after="0"/>
              <w:jc w:val="center"/>
              <w:rPr>
                <w:b/>
                <w:lang w:val="hy-AM"/>
              </w:rPr>
            </w:pPr>
            <w:r w:rsidRPr="00871F32">
              <w:rPr>
                <w:b/>
                <w:lang w:val="hy-AM"/>
              </w:rPr>
              <w:lastRenderedPageBreak/>
              <w:t>Մասամբ է ընդունվել։</w:t>
            </w:r>
          </w:p>
          <w:p w14:paraId="6A1B518B" w14:textId="0B88CFE5" w:rsidR="00643312" w:rsidRPr="00871F32" w:rsidRDefault="00906FB9" w:rsidP="00D85760">
            <w:pPr>
              <w:spacing w:after="0"/>
              <w:jc w:val="both"/>
              <w:rPr>
                <w:bCs/>
                <w:lang w:val="hy-AM"/>
              </w:rPr>
            </w:pPr>
            <w:r w:rsidRPr="00871F32">
              <w:rPr>
                <w:bCs/>
                <w:lang w:val="hy-AM"/>
              </w:rPr>
              <w:t>Նախագծի հիմնավորումը լրամշակվել է՝ ներառելով մեկ շահառուի համար մինչև 2.5 մլն ՀՀ դրամ ֆինանսական աջակցության առավելագույն չափի հաշվարկային տրամաբանությունը։</w:t>
            </w:r>
            <w:r w:rsidR="002F5A4E" w:rsidRPr="00871F32">
              <w:rPr>
                <w:bCs/>
                <w:lang w:val="hy-AM"/>
              </w:rPr>
              <w:t xml:space="preserve"> </w:t>
            </w:r>
            <w:r w:rsidRPr="00871F32">
              <w:rPr>
                <w:bCs/>
                <w:lang w:val="hy-AM"/>
              </w:rPr>
              <w:t xml:space="preserve">Մասնավորապես, «Գաղափարից մինչև բիզնես» ֆինանսական աջակցության բաղադրիչի համար նախատեսվել է 75.0 մլն ՀՀ դրամ, իսկ Ծրագրով նախատեսվում է ֆինանսական աջակցություն տրամադրել առնվազն 30 շահառուի։ Նշված հարաբերակցության </w:t>
            </w:r>
            <w:r w:rsidRPr="00871F32">
              <w:rPr>
                <w:bCs/>
                <w:lang w:val="hy-AM"/>
              </w:rPr>
              <w:lastRenderedPageBreak/>
              <w:t>պայմաններում մեկ շահառուի համար պետական աջակցության առավելագույն չափը կազմում է մինչև 2.5 մլն ՀՀ դրամ։</w:t>
            </w:r>
            <w:r w:rsidR="002F5A4E" w:rsidRPr="00871F32">
              <w:rPr>
                <w:bCs/>
                <w:lang w:val="hy-AM"/>
              </w:rPr>
              <w:t xml:space="preserve"> </w:t>
            </w:r>
            <w:r w:rsidRPr="00871F32">
              <w:rPr>
                <w:bCs/>
                <w:lang w:val="hy-AM"/>
              </w:rPr>
              <w:t>Միաժամանակ, Ծրագրով նախատեսվում է, որ յուրաքանչյուր շահառուի մասով Օպերատորի կողմից ապահովվում է առնվազն 1:1 հարաբերակցությամբ համաֆինանսավորում, ինչի արդյունքում մեկ շահառուի համար կարող է ձևավորվել մինչև 5.0 մլն ՀՀ դրամ ընդհանուր ֆինանսական փաթեթ։ Նշված ֆինանսական փաթեթը կարող է ուղղվել ձեռնարկատիրական գործունեության մեկնարկի համար անհրաժեշտ հիմնական սարքավորումների ձեռքբերմանը, ծառայությունների կազմակերպմանը, թվայնացմանը, շուկա մուտքի նախապատրաստմանը կամ փոքրածավալ արտադրական գործընթացների իրականացմանը։</w:t>
            </w:r>
            <w:r w:rsidR="002F5A4E" w:rsidRPr="00871F32">
              <w:rPr>
                <w:bCs/>
                <w:lang w:val="hy-AM"/>
              </w:rPr>
              <w:t xml:space="preserve"> </w:t>
            </w:r>
            <w:r w:rsidRPr="00871F32">
              <w:rPr>
                <w:bCs/>
                <w:lang w:val="hy-AM"/>
              </w:rPr>
              <w:t>Նախկինում իրականացված ծրագրերի արդյունավետության գնահատման, ինչպես նաև միջազգային փորձի համեմատական վերլուծության մասով դիտողությունն ընդունվել է ի գիտություն։ Հաշվի առնելով, որ առաջարկվող մոդելը նախատեսում է նախկին կենտրոնացված համակարգից անցում դեպի մրցակցային ընտրությամբ ներգրավվող Օպերատորի (Օպերատորների) միջոցով իրականացվող նոր մոդել, դրա ամբողջական ազդեցության գնահատումը հնարավոր կլինի իրականացնել Ծրագրի իրականացման արդյունքներով՝ մշտադիտարկման և ամփոփ հաշվետվությունների հիման վրա։</w:t>
            </w:r>
          </w:p>
          <w:p w14:paraId="3A85A3E1" w14:textId="78D0AD1B" w:rsidR="008733BE" w:rsidRPr="00871F32" w:rsidRDefault="008733BE" w:rsidP="00D85760">
            <w:pPr>
              <w:spacing w:after="0"/>
              <w:jc w:val="both"/>
              <w:rPr>
                <w:bCs/>
                <w:lang w:val="hy-AM"/>
              </w:rPr>
            </w:pPr>
            <w:r w:rsidRPr="00871F32">
              <w:rPr>
                <w:bCs/>
                <w:i/>
                <w:iCs/>
                <w:lang w:val="hy-AM"/>
              </w:rPr>
              <w:t xml:space="preserve">Միաժամանակ հարկ է նշել, որ առաջարկվող մոդելի ընտրությունը հիմնված է Ասիական զարգացման բանկի (ADB) «Asia SME Monitor» պարբերական զեկույցում Հայաստանի վերաբերյալ հավաքագրված տվյալների և միջազգային փորձի </w:t>
            </w:r>
            <w:r w:rsidRPr="00871F32">
              <w:rPr>
                <w:bCs/>
                <w:i/>
                <w:iCs/>
                <w:lang w:val="hy-AM"/>
              </w:rPr>
              <w:lastRenderedPageBreak/>
              <w:t>համադրական վերլուծության վրա</w:t>
            </w:r>
            <w:r w:rsidRPr="00871F32">
              <w:rPr>
                <w:bCs/>
                <w:lang w:val="hy-AM"/>
              </w:rPr>
              <w:t>, որի համաձայն՝ մրցակցային կերպով ընտրված օպերատորների միջոցով իրականացվող արդյունքահեն ֆինանսավորման (result-based financing) մոդելները, ի տարբերություն ուղղակի կենտրոնացված բաշխման, ապահովում են աջակցության ավելի բարձր հասցեականություն, շահառուների որակական նախնական ընտրություն և վարչարարական ծախսերի կրճատում։</w:t>
            </w:r>
            <w:r w:rsidR="002F5A4E" w:rsidRPr="00871F32">
              <w:rPr>
                <w:bCs/>
                <w:lang w:val="hy-AM"/>
              </w:rPr>
              <w:t xml:space="preserve"> </w:t>
            </w:r>
            <w:r w:rsidRPr="00871F32">
              <w:rPr>
                <w:bCs/>
                <w:lang w:val="hy-AM"/>
              </w:rPr>
              <w:t>Բացի այդ, Ծրագրով նախատեսված մոտեցումները և արդյունքային ցուցանիշները համահունչ են «Տնտեսական վերափոխման դոկտրինով» (ՀՀ կառավարության որոշում N 16-Լ) նախանշված արտադրողականության և ավելացված արժեքի բարձրացման նպատակներին։ Այս ռազմավարական համահունչությունը հավելյալ հիմք է հանդիսանում առաջարկվող մեխանիզմի ընտրության և ակնկալվող արդյունավետության համար։</w:t>
            </w:r>
          </w:p>
        </w:tc>
      </w:tr>
      <w:tr w:rsidR="00607AEA" w:rsidRPr="00871F32" w14:paraId="611E0E2A"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FF0DEF" w14:textId="77777777" w:rsidR="00607AEA" w:rsidRPr="00871F32" w:rsidRDefault="00607AEA"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5DE11423" w14:textId="77777777" w:rsidR="00906FB9" w:rsidRPr="00871F32" w:rsidRDefault="00906FB9" w:rsidP="001471CF">
            <w:pPr>
              <w:tabs>
                <w:tab w:val="left" w:pos="27"/>
              </w:tabs>
              <w:spacing w:after="0"/>
              <w:ind w:left="27"/>
              <w:jc w:val="both"/>
              <w:rPr>
                <w:bCs/>
                <w:color w:val="000000"/>
                <w:lang w:val="hy-AM"/>
              </w:rPr>
            </w:pPr>
            <w:r w:rsidRPr="00871F32">
              <w:rPr>
                <w:bCs/>
                <w:color w:val="000000"/>
                <w:lang w:val="hy-AM"/>
              </w:rPr>
              <w:t>3</w:t>
            </w:r>
            <w:r w:rsidRPr="00871F32">
              <w:rPr>
                <w:rFonts w:ascii="Cambria Math" w:hAnsi="Cambria Math" w:cs="Cambria Math"/>
                <w:bCs/>
                <w:color w:val="000000"/>
                <w:lang w:val="hy-AM"/>
              </w:rPr>
              <w:t>․</w:t>
            </w:r>
            <w:r w:rsidRPr="00871F32">
              <w:rPr>
                <w:bCs/>
                <w:color w:val="000000"/>
                <w:lang w:val="hy-AM"/>
              </w:rPr>
              <w:t xml:space="preserve"> Ծրագրով նախատեսված է, որ յուրաքանչյուր շահառուի համար պետական բյուջեից տրամադրվող աջակցության չափին առնվազն հավասար ծավալով համաֆինանսավորում պետք է ապահովվի իրականացնող օպերատորի կողմից։ Նման մոտեցումը, թեև ուղղված է պետական միջոցների մուլտիպլիկատիվ ազդեցության բարձրացմանը, սակայն պարունակում է Ծրագրի իրագործելիության հետ կապված ռիսկեր։ Մասնավորապես, հիմնավորված չէ, թե Հայաստանում առկա են արդյոք բավարար թվով կազմակերպություններ, որոնք կարող են ապահովել պահանջվող ծավալի համաֆինանսավորում, ինչի արդյունքում կարող է սահմանափակվել մրցակցությունը կամ նույնիսկ դժվարանալ օպերատորների ընտրության գործընթացը։ Միաժամանակ, Ծրագրով հստակեցված չեն </w:t>
            </w:r>
            <w:r w:rsidRPr="00871F32">
              <w:rPr>
                <w:bCs/>
                <w:color w:val="000000"/>
                <w:lang w:val="hy-AM"/>
              </w:rPr>
              <w:lastRenderedPageBreak/>
              <w:t>համաֆինանսավորման աղբյուրները և դրանց նկատմամբ ներկայացվող պահանջները, ինչի հետևանքով պարզ չէ՝ համաֆինանսավորումը պետք է ձևավորվի օպերատորի սեփական միջոցների, դոնոր կազմակերպությունների միջոցների, մասնավոր ներդրումների, թե այլ աղբյուրների հաշվին։ Բացի այդ, Նախագծում չեն նախատեսվել համաֆինանսավորման պարտավորությունների կատարման վերահսկման և հաշվետվողականության բավարար մեխանիզմներ, ինչը կարող է լրացուցիչ ռիսկեր ստեղծել պետական միջոցների արդյունավետ օգտագործման և Ծրագրի արդյունքների ապահովման տեսանկյունից։</w:t>
            </w:r>
          </w:p>
          <w:p w14:paraId="1ECE6686" w14:textId="77777777" w:rsidR="00906FB9" w:rsidRPr="00871F32" w:rsidRDefault="00906FB9" w:rsidP="001471CF">
            <w:pPr>
              <w:tabs>
                <w:tab w:val="left" w:pos="27"/>
              </w:tabs>
              <w:spacing w:after="0"/>
              <w:ind w:left="27"/>
              <w:jc w:val="both"/>
              <w:rPr>
                <w:bCs/>
                <w:color w:val="000000"/>
                <w:lang w:val="hy-AM"/>
              </w:rPr>
            </w:pPr>
            <w:r w:rsidRPr="00871F32">
              <w:rPr>
                <w:bCs/>
                <w:color w:val="000000"/>
                <w:lang w:val="hy-AM"/>
              </w:rPr>
              <w:t>Բացի այդ, Նախագծով չեն սահմանվում օպերատորների ընտրության հստակ չափանիշները, նրանց գործունեության գնահատման մեթոդաբանությունը, պատասխանատվության շրջանակը, ինչպես նաև շահերի բախման կանխարգելման և անկախության ապահովման բավարար երաշխիքները։ Արդյունքում, պետական բյուջեի միջոցների զգալի ծավալի բաշխման և կառավարման հետ կապված առանցքային պայմանները պետք է կարգավորվեն հետագայում ընդունվելիք ենթաօրենսդրական ակտերով և մրցութային փաստաթղթերով, ինչը սահմանափակում է Ծրագրի ֆինանսական և կառավարչական ռիսկերի նախնական գնահատման հնարավորությունը և պետական ֆինանսների կառավարման տեսանկյունից առաջացնում է լրացուցիչ անորոշություններ։ Այս համատեքստում առաջարկում ենք Նախագծի ընդունումը հիմնավորող փաստաթղթում բացահայտել նաև, թե ինչով է պայմանավորված աջակցության տրամադրումը Էկոնոմիկայի նախարարության միջոցով չիրականացնելու հանգամանքը։</w:t>
            </w:r>
          </w:p>
          <w:p w14:paraId="43C669F5" w14:textId="77777777" w:rsidR="00607AEA" w:rsidRPr="00871F32" w:rsidRDefault="00607AEA" w:rsidP="001471CF">
            <w:pPr>
              <w:tabs>
                <w:tab w:val="left" w:pos="27"/>
              </w:tabs>
              <w:spacing w:after="0"/>
              <w:ind w:left="27"/>
              <w:jc w:val="both"/>
              <w:rPr>
                <w:bCs/>
                <w:color w:val="000000"/>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5BC7ADEC" w14:textId="7CCA69A0" w:rsidR="00E76C9B" w:rsidRPr="00871F32" w:rsidRDefault="00EE01A2" w:rsidP="00D85760">
            <w:pPr>
              <w:spacing w:after="0"/>
              <w:jc w:val="center"/>
              <w:rPr>
                <w:b/>
                <w:lang w:val="hy-AM"/>
              </w:rPr>
            </w:pPr>
            <w:r w:rsidRPr="00871F32">
              <w:rPr>
                <w:b/>
                <w:lang w:val="hy-AM"/>
              </w:rPr>
              <w:lastRenderedPageBreak/>
              <w:t>Մասամբ է ընդունվել։</w:t>
            </w:r>
          </w:p>
          <w:p w14:paraId="16681F1D" w14:textId="77777777" w:rsidR="00E76C9B" w:rsidRPr="00871F32" w:rsidRDefault="00E76C9B" w:rsidP="00D85760">
            <w:pPr>
              <w:spacing w:after="0"/>
              <w:jc w:val="both"/>
              <w:rPr>
                <w:bCs/>
                <w:lang w:val="hy-AM"/>
              </w:rPr>
            </w:pPr>
            <w:r w:rsidRPr="00871F32">
              <w:rPr>
                <w:bCs/>
                <w:lang w:val="hy-AM"/>
              </w:rPr>
              <w:t>Նախագիծը լրամշակվել է՝ հստակեցնելով Օպերատորի (Օպերատորների) ընտրության, համաֆինանսավորման ապահովման, հաշվետվողականության և շահերի բախման կանխարգելման վերաբերյալ կարգավորումները։</w:t>
            </w:r>
          </w:p>
          <w:p w14:paraId="337E4FFC" w14:textId="77777777" w:rsidR="00E76C9B" w:rsidRPr="00871F32" w:rsidRDefault="00E76C9B" w:rsidP="00D85760">
            <w:pPr>
              <w:spacing w:after="0"/>
              <w:jc w:val="both"/>
              <w:rPr>
                <w:bCs/>
                <w:lang w:val="hy-AM"/>
              </w:rPr>
            </w:pPr>
            <w:r w:rsidRPr="00871F32">
              <w:rPr>
                <w:bCs/>
                <w:lang w:val="hy-AM"/>
              </w:rPr>
              <w:t xml:space="preserve">Մասնավորապես, նախագծով սահմանվել է, որ Օպերատորի (Օպերատորների) ընտրությունն իրականացվում է ՀՀ կառավարության 2003 թվականի դեկտեմբերի 24-ի N 1937-Ն որոշմամբ սահմանված կարգով՝ մրցութային ընթացակարգի միջոցով։ Օպերատորի (Օպերատորների) ընտրության մրցութային փաստաթղթերով նախատեսվելու են ֆինանսական կայունության և կարողությունների նվազագույն պահանջներ, ինչպես նաև Օպերատորի (Օպերատորների) </w:t>
            </w:r>
            <w:r w:rsidRPr="00871F32">
              <w:rPr>
                <w:bCs/>
                <w:lang w:val="hy-AM"/>
              </w:rPr>
              <w:lastRenderedPageBreak/>
              <w:t>կողմից համաֆինանսավորման պարտավորության կատարման ապահովման պայմաններ՝ ներառյալ ֆինանսական միջոցների առկայությունը, ներգրավման հնարավորությունը կամ համարժեք ֆինանսական ապահովվածությունը հաստատող փաստաթղթերի ներկայացման պահանջները։</w:t>
            </w:r>
          </w:p>
          <w:p w14:paraId="20262DCF" w14:textId="74B1ABC4" w:rsidR="00E76C9B" w:rsidRPr="00871F32" w:rsidRDefault="00E76C9B" w:rsidP="00D85760">
            <w:pPr>
              <w:spacing w:after="0"/>
              <w:jc w:val="both"/>
              <w:rPr>
                <w:bCs/>
                <w:lang w:val="hy-AM"/>
              </w:rPr>
            </w:pPr>
            <w:r w:rsidRPr="00871F32">
              <w:rPr>
                <w:bCs/>
                <w:lang w:val="hy-AM"/>
              </w:rPr>
              <w:t>Համաֆինանսավորման աղբյուրները կարող են ձևավորվել Օպերատորի սեփական միջոցների, մասնավոր հատվածի, դոնոր կազմակերպությունների կամ օրենքով չարգելված այլ աղբյուրների հաշվին՝ պայմանով, որ Օպերատորը մրցութային փաստաթղթերով և պայմանագրով ստանձնի յուրաքանչյուր շահառուի մասով պետական աջակցության չափին առնվազն հավասար համաֆինանսավորում ապահովելու պարտավորություն։</w:t>
            </w:r>
            <w:r w:rsidR="002F5A4E" w:rsidRPr="00871F32">
              <w:rPr>
                <w:bCs/>
                <w:lang w:val="hy-AM"/>
              </w:rPr>
              <w:t xml:space="preserve"> </w:t>
            </w:r>
            <w:r w:rsidRPr="00871F32">
              <w:rPr>
                <w:bCs/>
                <w:lang w:val="hy-AM"/>
              </w:rPr>
              <w:t>Համաֆինանսավորման պարտավորության կատարման նկատմամբ վերահսկողությունն իրականացվելու է Օպերատորի (Օպերատորների) կողմից ներկայացվող պարբերական և ամփոփիչ հաշվետվությունների, լիազոր մարմնի հետ կնքվող պայմանագրերի, ինչպես նաև ծրագրի մշտադիտարկման ընթացակարգերի միջոցով։ Նախագծով նաև սահմանվել են շահերի բախման կանխարգելման և Հանձնաժողովի անդամների անաչառության ապահովման մեխանիզմներ։</w:t>
            </w:r>
          </w:p>
          <w:p w14:paraId="2DDBB791" w14:textId="1311C31E" w:rsidR="00607AEA" w:rsidRPr="00871F32" w:rsidRDefault="00E76C9B" w:rsidP="00D85760">
            <w:pPr>
              <w:spacing w:after="0"/>
              <w:jc w:val="both"/>
              <w:rPr>
                <w:bCs/>
              </w:rPr>
            </w:pPr>
            <w:r w:rsidRPr="00871F32">
              <w:rPr>
                <w:bCs/>
                <w:lang w:val="hy-AM"/>
              </w:rPr>
              <w:t xml:space="preserve">Աջակցության տրամադրումը լիազոր մարմնի կողմից անմիջականորեն չիրականացնելու հանգամանքը պայմանավորված է ծրագրի նոր մոդելով, ըստ որի պետությունը հանդես է գալիս որպես քաղաքականություն մշակող, ֆինանսական միջոցներ նախատեսող և վերահսկող կողմ, իսկ ծրագրային միջոցառումների գործառնական </w:t>
            </w:r>
            <w:r w:rsidRPr="00871F32">
              <w:rPr>
                <w:bCs/>
                <w:lang w:val="hy-AM"/>
              </w:rPr>
              <w:lastRenderedPageBreak/>
              <w:t>իրականացումն ապահովվում է մրցակցային կարգով ընտրված Օպերատորի (Օպերատորների) միջոցով։ Նշված մոտեցումը հնարավորություն է տալիս կիրառել մասնավոր հատվածի փորձագիտական կարողությունները, ներգրավել լրացուցիչ համաֆինանսավորում և բարձրացնել պետական միջոցների օգտագործման մուլտիպլիկատիվ ազդեցությունը։</w:t>
            </w:r>
          </w:p>
        </w:tc>
      </w:tr>
      <w:tr w:rsidR="00511F50" w:rsidRPr="00871F32" w14:paraId="72620794"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C877236" w14:textId="77777777" w:rsidR="00511F50" w:rsidRPr="00871F32" w:rsidRDefault="00511F50"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6784DAAE" w14:textId="77777777" w:rsidR="00BF6091" w:rsidRPr="00871F32" w:rsidRDefault="00BF6091" w:rsidP="001471CF">
            <w:pPr>
              <w:tabs>
                <w:tab w:val="left" w:pos="27"/>
              </w:tabs>
              <w:spacing w:after="0"/>
              <w:ind w:left="27"/>
              <w:jc w:val="both"/>
              <w:rPr>
                <w:bCs/>
                <w:color w:val="000000"/>
                <w:lang w:val="hy-AM"/>
              </w:rPr>
            </w:pPr>
            <w:r w:rsidRPr="00871F32">
              <w:rPr>
                <w:bCs/>
                <w:color w:val="000000"/>
                <w:lang w:val="hy-AM"/>
              </w:rPr>
              <w:t>4</w:t>
            </w:r>
            <w:r w:rsidRPr="00871F32">
              <w:rPr>
                <w:rFonts w:ascii="Cambria Math" w:hAnsi="Cambria Math" w:cs="Cambria Math"/>
                <w:bCs/>
                <w:color w:val="000000"/>
                <w:lang w:val="hy-AM"/>
              </w:rPr>
              <w:t>․</w:t>
            </w:r>
            <w:r w:rsidRPr="00871F32">
              <w:rPr>
                <w:bCs/>
                <w:color w:val="000000"/>
                <w:lang w:val="hy-AM"/>
              </w:rPr>
              <w:t>Ծրագրով նախատեսված է, որ շահառուների գնահատման հիմնական չափանիշներն են ներկայացված գործարար գաղափարի կենսունակությունը, շուկայի վերլուծության և բիզնես նախաձեռնության հիմնավորվածության մակարդակը, շահառուի գործունեության իրականացման ներուժը, ինչպես նաև գործունեության նորարարական կամ մրցունակության բարձրացման բաղադրիչի առկայությունը։ Սակայն Նախագծով չեն սահմանվում նշված չափանիշների գնահատման հստակ մեթոդաբանությունը, չափանիշների կշիռները, գնահատման միավորների բաշխումը, նվազագույն անցողիկ շեմերը կամ շահառուների ընտրության ընթացքում կիրառվելիք այլ չափելի ցուցանիշները։ Բացի այդ, չնայած ծրագրով հայտարարվում է արտադրական, նորարարական և արտահանման ներուժ ունեցող գործունեության տեսակների խրախուսման նպատակը, սահմանված չեն ոլորտային առաջնահերթություններ կամ դրանց կիրառման գործնական մեխանիզմները։ Նման պայմաններում շահառուների ընտրության գործընթացում մեծանում է գնահատումների սուբյեկտիվության և տարբեր մեկնաբանությունների հավանականությունը, ինչը կարող է բացասաբար անդրադառնալ Ծրագրի թափանցիկության, կանխատեսելիության և պետական աջակցության միջոցների նպատակային բաշխման վրա։</w:t>
            </w:r>
          </w:p>
          <w:p w14:paraId="6EC63D05" w14:textId="77777777" w:rsidR="00BF6091" w:rsidRPr="00871F32" w:rsidRDefault="00BF6091" w:rsidP="001471CF">
            <w:pPr>
              <w:tabs>
                <w:tab w:val="left" w:pos="27"/>
              </w:tabs>
              <w:spacing w:after="0"/>
              <w:ind w:left="27"/>
              <w:jc w:val="both"/>
              <w:rPr>
                <w:bCs/>
                <w:color w:val="000000"/>
                <w:lang w:val="hy-AM"/>
              </w:rPr>
            </w:pPr>
            <w:r w:rsidRPr="00871F32">
              <w:rPr>
                <w:bCs/>
                <w:color w:val="000000"/>
                <w:lang w:val="hy-AM"/>
              </w:rPr>
              <w:lastRenderedPageBreak/>
              <w:t>Միաժամանակ, Ծրագրի 8-րդ կետի 2-րդ կետով առաջարկվում է սահմանել, որ ծրագրի շրջանակում աջակցություն կարող է տրամադրվել այն շահառուներին, որոնք չունեն ժամկետանց հարկային պարտավորություններ:</w:t>
            </w:r>
          </w:p>
          <w:p w14:paraId="73358ACF" w14:textId="2B7721F4" w:rsidR="00511F50" w:rsidRPr="00871F32" w:rsidRDefault="00BF6091" w:rsidP="001471CF">
            <w:pPr>
              <w:tabs>
                <w:tab w:val="left" w:pos="27"/>
              </w:tabs>
              <w:spacing w:after="0"/>
              <w:ind w:left="27"/>
              <w:jc w:val="both"/>
              <w:rPr>
                <w:bCs/>
                <w:color w:val="000000"/>
                <w:lang w:val="hy-AM"/>
              </w:rPr>
            </w:pPr>
            <w:r w:rsidRPr="00871F32">
              <w:rPr>
                <w:bCs/>
                <w:color w:val="000000"/>
                <w:lang w:val="hy-AM"/>
              </w:rPr>
              <w:tab/>
              <w:t>Վերոգրյալի կապակցությամբ, հաշվի առնելով պետական բյուջեից տրամադրվող աջակցության ծրագրերի մասով արդեն իսկ ամրագրված միատեսակ մոտեցումները պահպանելու կարևորությունը՝ առաջարկում ենք Նախագծով սահմանել, որ շահառուն դիմում-հայտի ներկայացման օրվան նախորդող 365 օրերի ընթացքում չպետք է ունենա հարկային մարմնի կողմից վերահսկվող եկամուտների գծով մեկ միլիոն դրամ և ավելի հարկային պարտավորությունների մասով գանձման որոշում, և հայտի ներկայացման օրվան նախորդող օրվա դրությամբ չպետք է ունենա հարկային մարմնի կողմից վերահսկվող եկամուտների գծով ժամկետանց պարտավորություններ։</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6AA3FCAE" w14:textId="77777777" w:rsidR="00BF6091" w:rsidRPr="00871F32" w:rsidRDefault="00BF6091" w:rsidP="00D85760">
            <w:pPr>
              <w:spacing w:after="0"/>
              <w:jc w:val="center"/>
              <w:rPr>
                <w:b/>
                <w:lang w:val="hy-AM"/>
              </w:rPr>
            </w:pPr>
            <w:r w:rsidRPr="00871F32">
              <w:rPr>
                <w:b/>
                <w:lang w:val="hy-AM"/>
              </w:rPr>
              <w:lastRenderedPageBreak/>
              <w:t>Ընդունվել է։</w:t>
            </w:r>
          </w:p>
          <w:p w14:paraId="6779B410" w14:textId="77777777" w:rsidR="006E3FB9" w:rsidRPr="00871F32" w:rsidRDefault="00BF6091" w:rsidP="00D85760">
            <w:pPr>
              <w:spacing w:after="0"/>
              <w:jc w:val="both"/>
              <w:rPr>
                <w:bCs/>
                <w:lang w:val="hy-AM"/>
              </w:rPr>
            </w:pPr>
            <w:r w:rsidRPr="00871F32">
              <w:rPr>
                <w:bCs/>
                <w:lang w:val="hy-AM"/>
              </w:rPr>
              <w:t>Նախագիծը լրամշակվել է՝ նախատեսելով, որ շահառուների գնահատման չափանիշները, դրանց կշիռները, գնահատման մեթոդաբանությունը, միավորների բաշխման սկզբունքները, նվազագույն անցողիկ շեմերը և գնահատման ընթացակարգերը սահմանվում են լիազոր մարմնի կողմից հաստատվող համապատասխան կարգով և մրցութային փաստաթղթերով։</w:t>
            </w:r>
            <w:r w:rsidR="002F5A4E" w:rsidRPr="00871F32">
              <w:rPr>
                <w:bCs/>
                <w:lang w:val="hy-AM"/>
              </w:rPr>
              <w:t xml:space="preserve"> </w:t>
            </w:r>
            <w:r w:rsidRPr="00871F32">
              <w:rPr>
                <w:bCs/>
                <w:lang w:val="hy-AM"/>
              </w:rPr>
              <w:t>Միաժամանակ, նախագծով պահպանվել է արտադրական, նորարարական և արտահանման ներուժ ունեցող գործունեության տեսակների խրախուսման քաղաքական ուղղվածությունը, իսկ դրանց գործնական կիրառման մեխանիզմները, առաջնահերթությունները և գնահատման ընթացքում կիրառվող լրացուցիչ չափանիշները նախատեսվում է սահմանել լիազոր մարմնի կողմից հաստատվող գնահատման կարգով։</w:t>
            </w:r>
            <w:r w:rsidR="00D85760" w:rsidRPr="00871F32">
              <w:rPr>
                <w:bCs/>
                <w:lang w:val="hy-AM"/>
              </w:rPr>
              <w:t xml:space="preserve"> </w:t>
            </w:r>
          </w:p>
          <w:p w14:paraId="18E91EEB" w14:textId="77777777" w:rsidR="006E3FB9" w:rsidRPr="00871F32" w:rsidRDefault="006E3FB9" w:rsidP="00D85760">
            <w:pPr>
              <w:spacing w:after="0"/>
              <w:jc w:val="both"/>
              <w:rPr>
                <w:bCs/>
                <w:lang w:val="hy-AM"/>
              </w:rPr>
            </w:pPr>
          </w:p>
          <w:p w14:paraId="267CAF9D" w14:textId="77777777" w:rsidR="006E3FB9" w:rsidRPr="00871F32" w:rsidRDefault="006E3FB9" w:rsidP="00D85760">
            <w:pPr>
              <w:spacing w:after="0"/>
              <w:jc w:val="both"/>
              <w:rPr>
                <w:bCs/>
                <w:lang w:val="hy-AM"/>
              </w:rPr>
            </w:pPr>
          </w:p>
          <w:p w14:paraId="33984BBB" w14:textId="77777777" w:rsidR="006E3FB9" w:rsidRPr="00871F32" w:rsidRDefault="006E3FB9" w:rsidP="00D85760">
            <w:pPr>
              <w:spacing w:after="0"/>
              <w:jc w:val="both"/>
              <w:rPr>
                <w:bCs/>
                <w:lang w:val="hy-AM"/>
              </w:rPr>
            </w:pPr>
          </w:p>
          <w:p w14:paraId="6D85EC56" w14:textId="77777777" w:rsidR="006E3FB9" w:rsidRPr="00871F32" w:rsidRDefault="006E3FB9" w:rsidP="00D85760">
            <w:pPr>
              <w:spacing w:after="0"/>
              <w:jc w:val="both"/>
              <w:rPr>
                <w:bCs/>
                <w:lang w:val="hy-AM"/>
              </w:rPr>
            </w:pPr>
          </w:p>
          <w:p w14:paraId="3B9CB58B" w14:textId="77777777" w:rsidR="006E3FB9" w:rsidRPr="00871F32" w:rsidRDefault="006E3FB9" w:rsidP="00D85760">
            <w:pPr>
              <w:spacing w:after="0"/>
              <w:jc w:val="both"/>
              <w:rPr>
                <w:bCs/>
                <w:lang w:val="hy-AM"/>
              </w:rPr>
            </w:pPr>
          </w:p>
          <w:p w14:paraId="7EAA40DF" w14:textId="77777777" w:rsidR="006E3FB9" w:rsidRPr="00871F32" w:rsidRDefault="006E3FB9" w:rsidP="00D85760">
            <w:pPr>
              <w:spacing w:after="0"/>
              <w:jc w:val="both"/>
              <w:rPr>
                <w:bCs/>
                <w:lang w:val="hy-AM"/>
              </w:rPr>
            </w:pPr>
          </w:p>
          <w:p w14:paraId="42252125" w14:textId="77777777" w:rsidR="006E3FB9" w:rsidRPr="00871F32" w:rsidRDefault="006E3FB9" w:rsidP="00D85760">
            <w:pPr>
              <w:spacing w:after="0"/>
              <w:jc w:val="both"/>
              <w:rPr>
                <w:bCs/>
                <w:lang w:val="hy-AM"/>
              </w:rPr>
            </w:pPr>
          </w:p>
          <w:p w14:paraId="254ABEAE" w14:textId="77777777" w:rsidR="006E3FB9" w:rsidRPr="00871F32" w:rsidRDefault="006E3FB9" w:rsidP="00D85760">
            <w:pPr>
              <w:spacing w:after="0"/>
              <w:jc w:val="both"/>
              <w:rPr>
                <w:bCs/>
                <w:lang w:val="hy-AM"/>
              </w:rPr>
            </w:pPr>
          </w:p>
          <w:p w14:paraId="75F47B4C" w14:textId="77777777" w:rsidR="006E3FB9" w:rsidRPr="00871F32" w:rsidRDefault="006E3FB9" w:rsidP="00D85760">
            <w:pPr>
              <w:spacing w:after="0"/>
              <w:jc w:val="both"/>
              <w:rPr>
                <w:bCs/>
                <w:lang w:val="hy-AM"/>
              </w:rPr>
            </w:pPr>
          </w:p>
          <w:p w14:paraId="73A59A10" w14:textId="77777777" w:rsidR="006E3FB9" w:rsidRPr="00871F32" w:rsidRDefault="006E3FB9" w:rsidP="00D85760">
            <w:pPr>
              <w:spacing w:after="0"/>
              <w:jc w:val="both"/>
              <w:rPr>
                <w:bCs/>
                <w:lang w:val="hy-AM"/>
              </w:rPr>
            </w:pPr>
          </w:p>
          <w:p w14:paraId="2A68327B" w14:textId="77777777" w:rsidR="006E3FB9" w:rsidRPr="00871F32" w:rsidRDefault="006E3FB9" w:rsidP="00D85760">
            <w:pPr>
              <w:spacing w:after="0"/>
              <w:jc w:val="both"/>
              <w:rPr>
                <w:bCs/>
                <w:lang w:val="hy-AM"/>
              </w:rPr>
            </w:pPr>
          </w:p>
          <w:p w14:paraId="1E608D74" w14:textId="36D6565C" w:rsidR="006E3FB9" w:rsidRPr="00871F32" w:rsidRDefault="006E3FB9" w:rsidP="006E3FB9">
            <w:pPr>
              <w:spacing w:after="0"/>
              <w:jc w:val="center"/>
              <w:rPr>
                <w:b/>
                <w:lang w:val="hy-AM"/>
              </w:rPr>
            </w:pPr>
            <w:r w:rsidRPr="00871F32">
              <w:rPr>
                <w:b/>
                <w:lang w:val="hy-AM"/>
              </w:rPr>
              <w:t>Ընդունվել է։</w:t>
            </w:r>
          </w:p>
          <w:p w14:paraId="4869AFE2" w14:textId="64FF821E" w:rsidR="00BF6091" w:rsidRPr="00871F32" w:rsidRDefault="006E3FB9" w:rsidP="00D85760">
            <w:pPr>
              <w:spacing w:after="0"/>
              <w:jc w:val="both"/>
              <w:rPr>
                <w:bCs/>
                <w:lang w:val="hy-AM"/>
              </w:rPr>
            </w:pPr>
            <w:r w:rsidRPr="00871F32">
              <w:rPr>
                <w:bCs/>
                <w:lang w:val="hy-AM"/>
              </w:rPr>
              <w:t>Ն</w:t>
            </w:r>
            <w:r w:rsidR="00BF6091" w:rsidRPr="00871F32">
              <w:rPr>
                <w:bCs/>
                <w:lang w:val="hy-AM"/>
              </w:rPr>
              <w:t xml:space="preserve">ախագծում սահմանվել է </w:t>
            </w:r>
            <w:r w:rsidRPr="00871F32">
              <w:rPr>
                <w:bCs/>
                <w:lang w:val="hy-AM"/>
              </w:rPr>
              <w:t>դրույթ</w:t>
            </w:r>
            <w:r w:rsidR="0005109C" w:rsidRPr="00871F32">
              <w:rPr>
                <w:bCs/>
                <w:lang w:val="hy-AM"/>
              </w:rPr>
              <w:t xml:space="preserve">՝ </w:t>
            </w:r>
            <w:r w:rsidR="00BF6091" w:rsidRPr="00871F32">
              <w:rPr>
                <w:bCs/>
                <w:lang w:val="hy-AM"/>
              </w:rPr>
              <w:t>ըստ որի շահառուն դիմում-հայտի ներկայացման օրվան նախորդող 365 օրերի ընթացքում չպետք է ունենա հարկային մարմնի կողմից վերահսկվող եկամուտների գծով մեկ միլիոն դրամ և ավելի հարկային պարտավորությունների մասով գանձման որոշում, ինչպես նաև հայտի ներկայացման օրվան նախորդող օրվա դրությամբ չպետք է ունենա հարկային մարմնի կողմից վերահսկվող եկամուտների գծով ժամկետանց պարտավորություններ։</w:t>
            </w:r>
          </w:p>
          <w:p w14:paraId="681B1784" w14:textId="77777777" w:rsidR="00511F50" w:rsidRPr="00871F32" w:rsidRDefault="00511F50" w:rsidP="00D85760">
            <w:pPr>
              <w:spacing w:after="0"/>
              <w:jc w:val="both"/>
              <w:rPr>
                <w:bCs/>
                <w:lang w:val="hy-AM"/>
              </w:rPr>
            </w:pPr>
          </w:p>
        </w:tc>
      </w:tr>
      <w:tr w:rsidR="00511F50" w:rsidRPr="00871F32" w14:paraId="2B1A59CD"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CEF5659" w14:textId="77777777" w:rsidR="00511F50" w:rsidRPr="00871F32" w:rsidRDefault="00511F50"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25117F96" w14:textId="77777777" w:rsidR="006324B0" w:rsidRPr="00871F32" w:rsidRDefault="006324B0" w:rsidP="001471CF">
            <w:pPr>
              <w:tabs>
                <w:tab w:val="left" w:pos="27"/>
              </w:tabs>
              <w:spacing w:after="0"/>
              <w:ind w:left="27"/>
              <w:jc w:val="both"/>
              <w:rPr>
                <w:bCs/>
                <w:color w:val="000000"/>
                <w:lang w:val="hy-AM"/>
              </w:rPr>
            </w:pPr>
            <w:r w:rsidRPr="00871F32">
              <w:rPr>
                <w:bCs/>
                <w:color w:val="000000"/>
                <w:lang w:val="hy-AM"/>
              </w:rPr>
              <w:t>5</w:t>
            </w:r>
            <w:r w:rsidRPr="00871F32">
              <w:rPr>
                <w:rFonts w:ascii="Cambria Math" w:hAnsi="Cambria Math" w:cs="Cambria Math"/>
                <w:bCs/>
                <w:color w:val="000000"/>
                <w:lang w:val="hy-AM"/>
              </w:rPr>
              <w:t>․</w:t>
            </w:r>
            <w:r w:rsidRPr="00871F32">
              <w:rPr>
                <w:bCs/>
                <w:color w:val="000000"/>
                <w:lang w:val="hy-AM"/>
              </w:rPr>
              <w:t xml:space="preserve"> Ծրագրում որպես սկզբունք ամրագրված է մարզերում, հատկապես հեռավոր և սահմանամերձ բնակավայրերում գործող կամ սկսնակ ՓՄՁ սուբյեկտներին աջակցության առաջնահերթությունը։ Սակայն Ծրագրի արդյունքային ցուցանիշներում, ֆինանսավորման կառուցվածքում և աջակցության տրամադրման մեխանիզմներում չեն նախատեսվում մարզային բաշխման հստակ չափորոշիչներ, քվոտաներ կամ նվազագույն թիրախային ցուցանիշներ։ Մասնավորապես, սահմանված չէ մարզերից ընտրվելիք շահառուների նվազագույն թիվը կամ մասնաբաժինը, բացակայում է ֆինանսական միջոցների բաշխումն ըստ տարածքային ուղղությունների, ինչպես նաև չեն նախատեսվում առանձին մոտեցումներ սահմանամերձ կամ սոցիալ-տնտեսական </w:t>
            </w:r>
            <w:r w:rsidRPr="00871F32">
              <w:rPr>
                <w:bCs/>
                <w:color w:val="000000"/>
                <w:lang w:val="hy-AM"/>
              </w:rPr>
              <w:lastRenderedPageBreak/>
              <w:t>տեսանկյունից առավել խոցելի համայնքների համար։ Արդյունքում առկա է ռիսկ, որ ֆինանսավորման զգալի մասը կկենտրոնանա առավել ակտիվ և զարգացած համայնքներում, մասնավորապես՝ Երևան քաղաքում, ինչի հետևանքով ծրագրով հայտարարված մարզային զարգացման և տարածքային համաչափ զարգացման նպատակները կարող են չապահովվել։</w:t>
            </w:r>
          </w:p>
          <w:p w14:paraId="54D053DF" w14:textId="77777777" w:rsidR="00511F50" w:rsidRPr="00871F32" w:rsidRDefault="00511F50" w:rsidP="001471CF">
            <w:pPr>
              <w:tabs>
                <w:tab w:val="left" w:pos="27"/>
              </w:tabs>
              <w:spacing w:after="0"/>
              <w:ind w:left="27"/>
              <w:jc w:val="both"/>
              <w:rPr>
                <w:bCs/>
                <w:color w:val="000000"/>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542E9EE1" w14:textId="77777777" w:rsidR="00EE01A2" w:rsidRPr="00871F32" w:rsidRDefault="00EE01A2" w:rsidP="0005109C">
            <w:pPr>
              <w:spacing w:after="0"/>
              <w:jc w:val="center"/>
              <w:rPr>
                <w:b/>
                <w:lang w:val="hy-AM"/>
              </w:rPr>
            </w:pPr>
            <w:r w:rsidRPr="00871F32">
              <w:rPr>
                <w:b/>
                <w:lang w:val="hy-AM"/>
              </w:rPr>
              <w:lastRenderedPageBreak/>
              <w:t>Մասամբ է ընդունվել։</w:t>
            </w:r>
          </w:p>
          <w:p w14:paraId="1B99CBE2" w14:textId="4A0F9E09" w:rsidR="002B75C2" w:rsidRPr="00871F32" w:rsidRDefault="002B75C2" w:rsidP="00D85760">
            <w:pPr>
              <w:spacing w:after="0"/>
              <w:jc w:val="both"/>
              <w:rPr>
                <w:bCs/>
                <w:lang w:val="hy-AM"/>
              </w:rPr>
            </w:pPr>
            <w:r w:rsidRPr="00871F32">
              <w:rPr>
                <w:bCs/>
                <w:lang w:val="hy-AM"/>
              </w:rPr>
              <w:t>Նախագծով հստակեցվել է Հայաստանի Հանրապետության մարզերում, այդ թվում՝ հեռավոր և սահմանամերձ բնակավայրերում գործող կամ գործունեություն սկսող ՓՄՁ սուբյեկտներին աջակցության առաջնահերթությունը։</w:t>
            </w:r>
          </w:p>
          <w:p w14:paraId="762F69AD" w14:textId="77777777" w:rsidR="002B75C2" w:rsidRPr="00871F32" w:rsidRDefault="002B75C2" w:rsidP="00D85760">
            <w:pPr>
              <w:spacing w:after="0"/>
              <w:jc w:val="both"/>
              <w:rPr>
                <w:bCs/>
                <w:lang w:val="hy-AM"/>
              </w:rPr>
            </w:pPr>
            <w:r w:rsidRPr="00871F32">
              <w:rPr>
                <w:bCs/>
                <w:lang w:val="hy-AM"/>
              </w:rPr>
              <w:t>Միաժամանակ, մարզային պարտադիր քվոտաների կամ ֆինանսավորման նախապես ամրագրված տարածքային բաշխման սահմանումը նպատակահարմար չի համարվել՝ Ծրագրի մրցակցային ընտրության տրամաբանությունը և գործարար ծրագրերի որակական գնահատման սկզբունքը չխաթարելու նպատակով։</w:t>
            </w:r>
          </w:p>
          <w:p w14:paraId="13F6041E" w14:textId="77777777" w:rsidR="002B75C2" w:rsidRPr="00871F32" w:rsidRDefault="002B75C2" w:rsidP="00D85760">
            <w:pPr>
              <w:spacing w:after="0"/>
              <w:jc w:val="both"/>
              <w:rPr>
                <w:bCs/>
                <w:lang w:val="hy-AM"/>
              </w:rPr>
            </w:pPr>
            <w:r w:rsidRPr="00871F32">
              <w:rPr>
                <w:bCs/>
                <w:lang w:val="hy-AM"/>
              </w:rPr>
              <w:t xml:space="preserve">Տարածքային բաղադրիչը հաշվի է առնվելու շահառուների գնահատման գործընթացում՝ որպես գործունեության </w:t>
            </w:r>
            <w:r w:rsidRPr="00871F32">
              <w:rPr>
                <w:bCs/>
                <w:lang w:val="hy-AM"/>
              </w:rPr>
              <w:lastRenderedPageBreak/>
              <w:t>իրականացման ներուժի և տարածքային զարգացմանը նպաստելու հնարավորության գնահատման տարր։ Բացի այդ, մի քանի Օպերատորի ներգրավման դեպքում նրանց միջև տարածքային և ոլորտային ծածկույթի բաշխման սկզբունքները կսահմանվեն մրցութային փաստաթղթերով։</w:t>
            </w:r>
          </w:p>
          <w:p w14:paraId="572E6D0C" w14:textId="145E4F22" w:rsidR="00511F50" w:rsidRPr="00871F32" w:rsidRDefault="002B75C2" w:rsidP="00D85760">
            <w:pPr>
              <w:spacing w:after="0"/>
              <w:jc w:val="both"/>
              <w:rPr>
                <w:bCs/>
                <w:lang w:val="hy-AM"/>
              </w:rPr>
            </w:pPr>
            <w:r w:rsidRPr="00871F32">
              <w:rPr>
                <w:bCs/>
                <w:lang w:val="hy-AM"/>
              </w:rPr>
              <w:t>Այս մոտեցումը հնարավորություն է տալիս պահպանել մարզային զարգացման առաջնահերթությունը՝ միաժամանակ ապահովելով շահառուների ընտրության մրցակցային, թափանցիկ և որակահեն բնույթը։</w:t>
            </w:r>
          </w:p>
        </w:tc>
      </w:tr>
      <w:tr w:rsidR="0096623D" w:rsidRPr="00871F32" w14:paraId="57D4E54A"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91A1454"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9C46BD3"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6</w:t>
            </w:r>
            <w:r w:rsidRPr="00871F32">
              <w:rPr>
                <w:rFonts w:ascii="Cambria Math" w:hAnsi="Cambria Math" w:cs="Cambria Math"/>
                <w:bCs/>
                <w:color w:val="000000"/>
                <w:lang w:val="hy-AM"/>
              </w:rPr>
              <w:t>․</w:t>
            </w:r>
            <w:r w:rsidRPr="00871F32">
              <w:rPr>
                <w:bCs/>
                <w:color w:val="000000"/>
                <w:lang w:val="hy-AM"/>
              </w:rPr>
              <w:t xml:space="preserve"> Նախագծի հավելված N 2-ով սահմանված միջոցառումների ցանկը և արդյունքային ցուցանիշները բավարար չափով չեն արտացոլում Ծրագրի սոցիալ-տնտեսական ազդեցությունը և չեն ապահովում պետական բյուջեի միջոցների օգտագործման արդյունավետության գնահատման հնարավորությունը։ Մասնավորապես, բացակայում են աշխատատեղերի ստեղծման, հարկային մուտքերի ավելացման, մասնավոր ներդրումների ներգրավման, շահառուների գործունեության կայունության և այլ տնտեսական արդյունքների չափելի ցուցանիշներ։ Միաժամանակ, միջոցառումների ֆինանսավորման ծավալների հիմնավորվածությունը և ծախսարդյունավետությունը պատշաճ կերպով ներկայացված չեն (օրինակ՝ որևէ հաշվարկ ներկայացված չէ, թե ինչու է հենց 15</w:t>
            </w:r>
            <w:r w:rsidRPr="00871F32">
              <w:rPr>
                <w:rFonts w:ascii="Cambria Math" w:hAnsi="Cambria Math" w:cs="Cambria Math"/>
                <w:bCs/>
                <w:color w:val="000000"/>
                <w:lang w:val="hy-AM"/>
              </w:rPr>
              <w:t>․</w:t>
            </w:r>
            <w:r w:rsidRPr="00871F32">
              <w:rPr>
                <w:bCs/>
                <w:color w:val="000000"/>
                <w:lang w:val="hy-AM"/>
              </w:rPr>
              <w:t>0 մլն դրամ անհրաժեշտ 100 մասնակցի ուսուցման համար, փաստացի մեկ մասնակցի հաշվով ուսուցման ծախսը կազմում է մոտ 150 հազար դրամ, սակայն բացակայում են ուսուցման բովանդակության նկարագրությունը, ծառայությունների ինքնարժեքի հիմնավորումը և/կամ օրինակ 10</w:t>
            </w:r>
            <w:r w:rsidRPr="00871F32">
              <w:rPr>
                <w:rFonts w:ascii="Cambria Math" w:hAnsi="Cambria Math" w:cs="Cambria Math"/>
                <w:bCs/>
                <w:color w:val="000000"/>
                <w:lang w:val="hy-AM"/>
              </w:rPr>
              <w:t>․</w:t>
            </w:r>
            <w:r w:rsidRPr="00871F32">
              <w:rPr>
                <w:bCs/>
                <w:color w:val="000000"/>
                <w:lang w:val="hy-AM"/>
              </w:rPr>
              <w:t xml:space="preserve">0 մլն դրամ ֆինանսավորմամբ 1 գիտաժողովի կազմակերպման դիմաց հստակ չափելի արդյունքը)։ Այդ առումով </w:t>
            </w:r>
            <w:r w:rsidRPr="00871F32">
              <w:rPr>
                <w:bCs/>
                <w:color w:val="000000"/>
                <w:lang w:val="hy-AM"/>
              </w:rPr>
              <w:lastRenderedPageBreak/>
              <w:t>նպատակահարմար է վերանայել հավելված N 2-ով նախատեսված արդյունքային ցուցանիշները և դրանք համալրել Ծրագրի տնտեսական ազդեցությունը չափելու հնարավորություն տվող ցուցանիշներով, ինչպես նաև ներկայացնել ֆինանսատնտեսական լրացուցիչ հիմնավորումներ։</w:t>
            </w:r>
          </w:p>
          <w:p w14:paraId="1F693FAB"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Հաշվի առնելով վերոգրյալը՝ կարծում ենք, որ ներկայացված Նախագծով ամբողջական ծավալով չեն հիմնավորվում նախատեսվող միջոցառումների տնտեսական արդյունավետությունը, շահառուների ընտրության և ֆինանսավորման մեխանիզմների իրատեսականությունը, ինչպես նաև պետական բյուջեի միջոցների օգտագործման արդյունքում ակնկալվող սոցիալ-տնտեսական ազդեցությունը։ Մասնավորապես, բացակայում են ծրագրի ծածկույթի, արդյունքահեն ցուցանիշների, բյուջետային արդյունավետության և համաֆինանսավորման մեխանիզմի գործնական կիրառելիության վերաբերյալ բավարար հիմնավորումները։ Այս համատեքստում առաջարկում ենք Նախագծի լրամշակման շրջանակում ներկայացնել Ծրագրի ֆինանսատնտեսական առավել մանրամասն հիմնավորում, հստակեցնել շահառուների ընտրության և գնահատման չափորոշիչները, սահմանել Ծրագրի ազդեցությունը գնահատելու չափելի արդյունքային ցուցանիշներ, ինչպես նաև հիմնավորել նախատեսված ֆինանսավորման ծավալների և թիրախային շահառուների քանակի համապատասխանությունը Ծրագրի սահմանված նպատակներին։</w:t>
            </w:r>
          </w:p>
          <w:p w14:paraId="23BC3793" w14:textId="77777777" w:rsidR="0096623D" w:rsidRPr="00871F32" w:rsidRDefault="0096623D" w:rsidP="001471CF">
            <w:pPr>
              <w:tabs>
                <w:tab w:val="left" w:pos="27"/>
              </w:tabs>
              <w:spacing w:after="0"/>
              <w:ind w:left="27"/>
              <w:jc w:val="both"/>
              <w:rPr>
                <w:bCs/>
                <w:color w:val="000000"/>
                <w:lang w:val="hy-AM"/>
              </w:rPr>
            </w:pPr>
          </w:p>
          <w:p w14:paraId="588AB301" w14:textId="77777777" w:rsidR="0096623D" w:rsidRPr="00871F32" w:rsidRDefault="0096623D" w:rsidP="001471CF">
            <w:pPr>
              <w:tabs>
                <w:tab w:val="left" w:pos="27"/>
              </w:tabs>
              <w:spacing w:after="0"/>
              <w:ind w:left="27"/>
              <w:jc w:val="both"/>
              <w:rPr>
                <w:bCs/>
                <w:color w:val="000000"/>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569CD896" w14:textId="77777777" w:rsidR="0096623D" w:rsidRPr="00871F32" w:rsidRDefault="0096623D" w:rsidP="0005109C">
            <w:pPr>
              <w:spacing w:after="0"/>
              <w:jc w:val="center"/>
              <w:rPr>
                <w:b/>
                <w:lang w:val="hy-AM"/>
              </w:rPr>
            </w:pPr>
            <w:r w:rsidRPr="00871F32">
              <w:rPr>
                <w:b/>
                <w:lang w:val="hy-AM"/>
              </w:rPr>
              <w:lastRenderedPageBreak/>
              <w:t>Մասամբ է ընդունվել։</w:t>
            </w:r>
          </w:p>
          <w:p w14:paraId="5A2DD219" w14:textId="77777777" w:rsidR="0096623D" w:rsidRPr="00871F32" w:rsidRDefault="0096623D" w:rsidP="00D85760">
            <w:pPr>
              <w:spacing w:after="0"/>
              <w:jc w:val="both"/>
              <w:rPr>
                <w:bCs/>
                <w:lang w:val="hy-AM"/>
              </w:rPr>
            </w:pPr>
            <w:r w:rsidRPr="00871F32">
              <w:rPr>
                <w:bCs/>
                <w:lang w:val="hy-AM"/>
              </w:rPr>
              <w:t>Նախագիծը և հիմնավորող փաստաթղթերը լրամշակվել են՝ Ծրագրի արդյունքային ցուցանիշների, ֆինանսավորման ծավալների և ակնկալվող ազդեցության վերաբերյալ լրացուցիչ պարզաբանումներ ու հաշվարկներ ներառելու նպատակով։</w:t>
            </w:r>
          </w:p>
          <w:p w14:paraId="2AE20098" w14:textId="77777777" w:rsidR="0096623D" w:rsidRPr="00871F32" w:rsidRDefault="0096623D" w:rsidP="00D85760">
            <w:pPr>
              <w:spacing w:after="0"/>
              <w:jc w:val="both"/>
              <w:rPr>
                <w:bCs/>
                <w:lang w:val="hy-AM"/>
              </w:rPr>
            </w:pPr>
            <w:r w:rsidRPr="00871F32">
              <w:rPr>
                <w:bCs/>
                <w:lang w:val="hy-AM"/>
              </w:rPr>
              <w:t>Մասնավորապես, միջոցառումների ցանկը և ժամանակացույցը ներառվել են որպես Ծրագրի անբաժանելի մաս, իսկ արդյունքային շրջանակում ամրագրվել են հետևյալ թիրախային ցուցանիշները՝ առնվազն 100 մասնակցի ներգրավում, առնվազն 50 գործարար ծրագրի մշակում և գնահատում, առնվազն 30 շահառուի ֆինանսական աջակցության տրամադրում, առնվազն մեկ պետություն-մասնավոր երկխոսության միջոցառման կազմակերպում, ինչպես նաև միջազգային համագործակցության շրջանակում առնվազն 2 ծրագրային փաստաթղթի ձևավորում։</w:t>
            </w:r>
          </w:p>
          <w:p w14:paraId="3B3D9632" w14:textId="77777777" w:rsidR="0096623D" w:rsidRPr="00871F32" w:rsidRDefault="0096623D" w:rsidP="00D85760">
            <w:pPr>
              <w:spacing w:after="0"/>
              <w:jc w:val="both"/>
              <w:rPr>
                <w:bCs/>
                <w:lang w:val="hy-AM"/>
              </w:rPr>
            </w:pPr>
            <w:r w:rsidRPr="00871F32">
              <w:rPr>
                <w:bCs/>
                <w:lang w:val="hy-AM"/>
              </w:rPr>
              <w:t>Ֆինանսատնտեսական հիմնավորումը լրացվել է ըստ բաղադրիչների կատարված ծախսային հաշվարկներով.</w:t>
            </w:r>
          </w:p>
          <w:p w14:paraId="44B7C0E0" w14:textId="77777777" w:rsidR="0096623D" w:rsidRPr="00871F32" w:rsidRDefault="0096623D" w:rsidP="00D85760">
            <w:pPr>
              <w:numPr>
                <w:ilvl w:val="0"/>
                <w:numId w:val="47"/>
              </w:numPr>
              <w:spacing w:after="0"/>
              <w:ind w:left="0" w:firstLine="0"/>
              <w:jc w:val="both"/>
              <w:rPr>
                <w:bCs/>
                <w:lang w:val="hy-AM"/>
              </w:rPr>
            </w:pPr>
            <w:r w:rsidRPr="00871F32">
              <w:rPr>
                <w:bCs/>
                <w:lang w:val="hy-AM"/>
              </w:rPr>
              <w:t xml:space="preserve">Նախաինկուբացիայի և բիզնես կրթության բաղադրիչի համար նախատեսված 15.0 մլն ՀՀ դրամը հաշվարկվել է </w:t>
            </w:r>
            <w:r w:rsidRPr="00871F32">
              <w:rPr>
                <w:bCs/>
                <w:lang w:val="hy-AM"/>
              </w:rPr>
              <w:lastRenderedPageBreak/>
              <w:t xml:space="preserve">առնվազն 100 մասնակցի ներգրավման հիման վրա (մեկ մասնակցի հաշվով միջին ծախսը՝ շուրջ 150.0 հազ. ՀՀ դրամ), ինչը ներառում է առնվազն 30 ժամ գործնական ուսուցում, ինչպես նաև բիզնես մոդելի մշակման, ֆինանսական պլանավորման, շուկայի գնահատման և մարքեթինգային ռազմավարությունների ուղղությամբ համալիր խորհրդատվական աջակցություն։ </w:t>
            </w:r>
            <w:r w:rsidRPr="00871F32">
              <w:rPr>
                <w:bCs/>
              </w:rPr>
              <w:t>Նշված արժեքը ձևավորվել է շուկայում գործող մասնագիտացված ուսումնական և խորհրդատվական ծառայությունների միջին սակագների վերլուծության հիման վրա։ Միաժամանակ, Ասիական զարգացման բանկի (ADB) «Asia SME Monitor» զեկույցում ներառված տարածաշրջանային համադրելի ծրագրերի փորձը փաստում է, որ արդյունքահեն ֆինանսավորման մոդելով իրականացվող նմանատիպ նախաձեռնությունների միջինացված ծախսատարությունը գերազանցում է սույն Ծրագրով առաջարկվող սահմանաչափը։ Ծրագրով նախատեսված ծախսային օպտիմալացումը պայմանավորված է ոչ թե մատուցվող ծառայությունների որակական հատկանիշների նվազմամբ, այլ մրցակցային ընթացակարգով ընտրված մասնագիտացված Օպերատորների ներգրավմամբ և մասշտաբի էֆեկտով (խոշոր խմբաքանակի հաշվին ինքնարժեքի նվազմամբ)։ Ընդ որում, ծառայությունների բարձր որակի պահպանումը երաշխավորված է Օպերատորի ընտրության խիստ չափորոշիչներով և սույն պատասխանի 3-րդ կետում նշված արդյունքահեն մշտադիտարկման համակարգով։</w:t>
            </w:r>
            <w:r w:rsidRPr="00871F32">
              <w:rPr>
                <w:bCs/>
                <w:lang w:val="hy-AM"/>
              </w:rPr>
              <w:t xml:space="preserve"> «Գաղափարից մինչև բիզնես» ֆինանսական աջակցության բաղադրիչի համար նախատեսված 75.0 մլն ՀՀ դրամը հաշվարկվել է առնվազն 30 շահառուի </w:t>
            </w:r>
            <w:r w:rsidRPr="00871F32">
              <w:rPr>
                <w:bCs/>
                <w:lang w:val="hy-AM"/>
              </w:rPr>
              <w:lastRenderedPageBreak/>
              <w:t>ֆինանսավորման հիման վրա՝ մեկ շահառուին մինչև 2.5 մլն ՀՀ դրամ առավելագույն չափով։ Օպերատորի կողմից առնվազն 1:1 համաֆինանսավորման պահանջի կիրառման արդյունքում յուրաքանչյուր շահառուի մասով կձևավորվի մինչև 5.0 մլն ՀՀ դրամ ընդհանուր ֆինանսական փաթեթ։</w:t>
            </w:r>
          </w:p>
          <w:p w14:paraId="586F1A81" w14:textId="77777777" w:rsidR="0096623D" w:rsidRPr="00871F32" w:rsidRDefault="0096623D" w:rsidP="00D85760">
            <w:pPr>
              <w:numPr>
                <w:ilvl w:val="0"/>
                <w:numId w:val="47"/>
              </w:numPr>
              <w:spacing w:after="0"/>
              <w:ind w:left="0" w:firstLine="0"/>
              <w:jc w:val="both"/>
              <w:rPr>
                <w:bCs/>
                <w:lang w:val="hy-AM"/>
              </w:rPr>
            </w:pPr>
            <w:r w:rsidRPr="00871F32">
              <w:rPr>
                <w:bCs/>
                <w:lang w:val="hy-AM"/>
              </w:rPr>
              <w:t>Պետություն-մասնավոր երկխոսության միջոցառումների համար նախատեսված 10.0 մլն ՀՀ դրամն ուղղվելու է առնվազն մեկ համաժողովի կազմակերպմանը, որի նպատակն է ՓՄՁ ոլորտի հիմնախնդիրների վերհանումը, մասնավոր հատվածի հետ կառուցվածքային երկխոսության ապահովումը և դրա արդյունքներով քաղաքականության բարեփոխումների վերաբերյալ առնվազն 1 ամփոփ առաջարկությունների փաթեթի ձևավորումը։</w:t>
            </w:r>
          </w:p>
          <w:p w14:paraId="19B7D871" w14:textId="77777777" w:rsidR="0096623D" w:rsidRPr="00871F32" w:rsidRDefault="0096623D" w:rsidP="00D85760">
            <w:pPr>
              <w:spacing w:after="0"/>
              <w:jc w:val="both"/>
              <w:rPr>
                <w:bCs/>
                <w:lang w:val="hy-AM"/>
              </w:rPr>
            </w:pPr>
            <w:r w:rsidRPr="00871F32">
              <w:rPr>
                <w:bCs/>
                <w:i/>
                <w:iCs/>
                <w:lang w:val="hy-AM"/>
              </w:rPr>
              <w:t>Ինչ վերաբերում է աշխատատեղերի ստեղծման, հարկային մուտքերի աճի և շահառուների գործունեության կայունության երկարաժամկետ տնտեսական ցուցանիշներին, ապա դրանք հանդիսանում են Ծրագրի ուղղակի արդյունքների հետևանք, ոչ թե Ծրագրի իրականացման նախապայման, և դրանց օբյեկտիվ չափումը հնարավոր է միայն շահառուների գործունեության փաստացի ծավալումից հետո։</w:t>
            </w:r>
            <w:r w:rsidRPr="00871F32">
              <w:rPr>
                <w:bCs/>
                <w:lang w:val="hy-AM"/>
              </w:rPr>
              <w:t xml:space="preserve"> Այդ իսկ պատճառով Ծրագրով նախատեսվել է համապատասխան կառուցակարգ. Ծրագրի 39-40-րդ կետերի համաձայն՝ լիազոր մարմնի կողմից Օպերատոր(ներ)ի ներկայացրած տվյալների հիման վրա ամփոփ հաշվետվության շրջանակում գնահատվելու են նաև ստեղծված աշխատատեղերի քանակը, հարկային մուտքերի փոփոխությունը և ներգրավված մասնավոր ու դոնորական միջոցների ծավալը, իսկ </w:t>
            </w:r>
            <w:r w:rsidRPr="00871F32">
              <w:rPr>
                <w:bCs/>
                <w:lang w:val="hy-AM"/>
              </w:rPr>
              <w:lastRenderedPageBreak/>
              <w:t>արդյունքային ցուցանիշների 80 տոկոսից ցածր կատարման դեպքում նախաձեռնվելու է անկախ գնահատում։</w:t>
            </w:r>
          </w:p>
          <w:p w14:paraId="5C021B0F" w14:textId="6481C29B" w:rsidR="0096623D" w:rsidRPr="00871F32" w:rsidRDefault="0096623D" w:rsidP="00D85760">
            <w:pPr>
              <w:spacing w:after="0"/>
              <w:jc w:val="both"/>
              <w:rPr>
                <w:bCs/>
                <w:lang w:val="hy-AM"/>
              </w:rPr>
            </w:pPr>
            <w:r w:rsidRPr="00871F32">
              <w:rPr>
                <w:bCs/>
                <w:lang w:val="hy-AM"/>
              </w:rPr>
              <w:t>Այսպիսով, նշված ցուցանիշների բացակայությունը Ծրագրի սկզբնական փուլում ոչ թե հիմնավորման բաց է, այլ գիտակցված մեթոդաբանական ընտրություն՝ պայմանավորված արդյունքահեն և փուլային մոդելի տրամաբանությամբ, իսկ դրանց լիարժեք գնահատումն ապահովված է Ծրագրի մշտադիտարկման ներդրված համակարգով։</w:t>
            </w:r>
          </w:p>
        </w:tc>
      </w:tr>
      <w:tr w:rsidR="0096623D" w:rsidRPr="00871F32" w14:paraId="4044F7DE" w14:textId="77777777" w:rsidTr="00C5020E">
        <w:tc>
          <w:tcPr>
            <w:tcW w:w="850" w:type="dxa"/>
            <w:vMerge w:val="restart"/>
            <w:tcBorders>
              <w:top w:val="single" w:sz="4" w:space="0" w:color="000000"/>
              <w:left w:val="single" w:sz="4" w:space="0" w:color="000000"/>
              <w:right w:val="single" w:sz="4" w:space="0" w:color="000000"/>
            </w:tcBorders>
            <w:shd w:val="clear" w:color="auto" w:fill="D9D9D9" w:themeFill="background1" w:themeFillShade="D9"/>
          </w:tcPr>
          <w:p w14:paraId="5D19ADC7" w14:textId="4A8E1A1F" w:rsidR="0096623D" w:rsidRPr="00871F32" w:rsidRDefault="0096623D" w:rsidP="007D4B53">
            <w:pPr>
              <w:spacing w:after="0"/>
              <w:jc w:val="center"/>
              <w:rPr>
                <w:b/>
                <w:lang w:val="en-US"/>
              </w:rPr>
            </w:pPr>
            <w:bookmarkStart w:id="0" w:name="_Hlk242866638"/>
            <w:r w:rsidRPr="00871F32">
              <w:rPr>
                <w:b/>
              </w:rPr>
              <w:lastRenderedPageBreak/>
              <w:t>2</w:t>
            </w:r>
            <w:r w:rsidRPr="00871F32">
              <w:rPr>
                <w:rFonts w:ascii="Cambria Math" w:hAnsi="Cambria Math" w:cs="Cambria Math"/>
                <w:b/>
              </w:rPr>
              <w:t>․</w:t>
            </w:r>
          </w:p>
        </w:tc>
        <w:tc>
          <w:tcPr>
            <w:tcW w:w="6945" w:type="dxa"/>
            <w:vMerge w:val="restart"/>
            <w:tcBorders>
              <w:top w:val="single" w:sz="4" w:space="0" w:color="000000"/>
              <w:left w:val="single" w:sz="4" w:space="0" w:color="000000"/>
              <w:right w:val="single" w:sz="4" w:space="0" w:color="000000"/>
            </w:tcBorders>
            <w:shd w:val="clear" w:color="auto" w:fill="D9D9D9" w:themeFill="background1" w:themeFillShade="D9"/>
          </w:tcPr>
          <w:p w14:paraId="3D2C885B" w14:textId="007C7361" w:rsidR="0096623D" w:rsidRPr="00871F32" w:rsidRDefault="0096623D" w:rsidP="007D4B53">
            <w:pPr>
              <w:tabs>
                <w:tab w:val="left" w:pos="27"/>
              </w:tabs>
              <w:spacing w:after="0"/>
              <w:ind w:left="27"/>
              <w:jc w:val="center"/>
              <w:rPr>
                <w:b/>
                <w:color w:val="000000"/>
                <w:lang w:val="hy-AM"/>
              </w:rPr>
            </w:pPr>
            <w:r w:rsidRPr="00871F32">
              <w:rPr>
                <w:b/>
                <w:color w:val="000000"/>
                <w:lang w:val="hy-AM"/>
              </w:rPr>
              <w:t>Արդարադատության նախարարություն</w:t>
            </w:r>
          </w:p>
        </w:tc>
        <w:tc>
          <w:tcPr>
            <w:tcW w:w="65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77D576" w14:textId="199A8BC0" w:rsidR="0096623D" w:rsidRPr="00871F32" w:rsidRDefault="0096623D" w:rsidP="007D4B53">
            <w:pPr>
              <w:spacing w:after="0"/>
              <w:jc w:val="center"/>
              <w:rPr>
                <w:b/>
                <w:lang w:val="hy-AM"/>
              </w:rPr>
            </w:pPr>
            <w:r w:rsidRPr="00871F32">
              <w:rPr>
                <w:b/>
                <w:lang w:val="hy-AM"/>
              </w:rPr>
              <w:t>25</w:t>
            </w:r>
            <w:r w:rsidRPr="00871F32">
              <w:rPr>
                <w:rFonts w:ascii="Cambria Math" w:hAnsi="Cambria Math" w:cs="Cambria Math"/>
                <w:b/>
                <w:lang w:val="hy-AM"/>
              </w:rPr>
              <w:t>․</w:t>
            </w:r>
            <w:r w:rsidRPr="00871F32">
              <w:rPr>
                <w:b/>
                <w:lang w:val="hy-AM"/>
              </w:rPr>
              <w:t>06</w:t>
            </w:r>
            <w:r w:rsidRPr="00871F32">
              <w:rPr>
                <w:rFonts w:ascii="Cambria Math" w:hAnsi="Cambria Math" w:cs="Cambria Math"/>
                <w:b/>
                <w:lang w:val="hy-AM"/>
              </w:rPr>
              <w:t>․</w:t>
            </w:r>
            <w:r w:rsidRPr="00871F32">
              <w:rPr>
                <w:b/>
                <w:lang w:val="hy-AM"/>
              </w:rPr>
              <w:t>2026թ</w:t>
            </w:r>
            <w:r w:rsidRPr="00871F32">
              <w:rPr>
                <w:rFonts w:ascii="Cambria Math" w:hAnsi="Cambria Math" w:cs="Cambria Math"/>
                <w:b/>
                <w:lang w:val="hy-AM"/>
              </w:rPr>
              <w:t>․</w:t>
            </w:r>
          </w:p>
        </w:tc>
      </w:tr>
      <w:tr w:rsidR="0096623D" w:rsidRPr="00871F32" w14:paraId="175B98D1" w14:textId="77777777" w:rsidTr="00C5020E">
        <w:tc>
          <w:tcPr>
            <w:tcW w:w="850" w:type="dxa"/>
            <w:vMerge/>
            <w:tcBorders>
              <w:left w:val="single" w:sz="4" w:space="0" w:color="000000"/>
              <w:bottom w:val="single" w:sz="4" w:space="0" w:color="000000"/>
              <w:right w:val="single" w:sz="4" w:space="0" w:color="000000"/>
            </w:tcBorders>
            <w:shd w:val="clear" w:color="auto" w:fill="D9D9D9" w:themeFill="background1" w:themeFillShade="D9"/>
          </w:tcPr>
          <w:p w14:paraId="407DEF48" w14:textId="77777777" w:rsidR="0096623D" w:rsidRPr="00871F32" w:rsidRDefault="0096623D" w:rsidP="007D4B53">
            <w:pPr>
              <w:spacing w:after="0"/>
              <w:jc w:val="center"/>
              <w:rPr>
                <w:b/>
              </w:rPr>
            </w:pPr>
          </w:p>
        </w:tc>
        <w:tc>
          <w:tcPr>
            <w:tcW w:w="6945" w:type="dxa"/>
            <w:vMerge/>
            <w:tcBorders>
              <w:left w:val="single" w:sz="4" w:space="0" w:color="000000"/>
              <w:bottom w:val="single" w:sz="4" w:space="0" w:color="000000"/>
              <w:right w:val="single" w:sz="4" w:space="0" w:color="000000"/>
            </w:tcBorders>
            <w:shd w:val="clear" w:color="auto" w:fill="D9D9D9" w:themeFill="background1" w:themeFillShade="D9"/>
          </w:tcPr>
          <w:p w14:paraId="3A5182D6" w14:textId="77777777" w:rsidR="0096623D" w:rsidRPr="00871F32" w:rsidRDefault="0096623D" w:rsidP="007D4B53">
            <w:pPr>
              <w:tabs>
                <w:tab w:val="left" w:pos="27"/>
              </w:tabs>
              <w:spacing w:after="0"/>
              <w:ind w:left="27"/>
              <w:jc w:val="center"/>
              <w:rPr>
                <w:b/>
                <w:color w:val="000000"/>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1511E0" w14:textId="00534A22" w:rsidR="0096623D" w:rsidRPr="00871F32" w:rsidRDefault="0096623D" w:rsidP="007D4B53">
            <w:pPr>
              <w:spacing w:after="0"/>
              <w:jc w:val="center"/>
              <w:rPr>
                <w:b/>
                <w:lang w:val="hy-AM"/>
              </w:rPr>
            </w:pPr>
            <w:r w:rsidRPr="00871F32">
              <w:rPr>
                <w:b/>
              </w:rPr>
              <w:t>/10.2.2/32773-2026</w:t>
            </w:r>
          </w:p>
        </w:tc>
      </w:tr>
      <w:bookmarkEnd w:id="0"/>
      <w:tr w:rsidR="0096623D" w:rsidRPr="00871F32" w14:paraId="60FDE001"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20171BC"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0C6AD0F6"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1</w:t>
            </w:r>
            <w:r w:rsidRPr="00871F32">
              <w:rPr>
                <w:rFonts w:ascii="Cambria Math" w:hAnsi="Cambria Math" w:cs="Cambria Math"/>
                <w:bCs/>
                <w:color w:val="000000"/>
                <w:lang w:val="hy-AM"/>
              </w:rPr>
              <w:t>․</w:t>
            </w:r>
            <w:r w:rsidRPr="00871F32">
              <w:rPr>
                <w:bCs/>
                <w:color w:val="000000"/>
                <w:lang w:val="hy-AM"/>
              </w:rPr>
              <w:t xml:space="preserve"> Նախագծի վերնագրում օգտագործվում է</w:t>
            </w:r>
            <w:r w:rsidRPr="00871F32">
              <w:rPr>
                <w:bCs/>
                <w:iCs/>
                <w:color w:val="000000"/>
                <w:lang w:val="hy-AM"/>
              </w:rPr>
              <w:t xml:space="preserve"> «ՓՄՁ-ի» հապավումը</w:t>
            </w:r>
            <w:r w:rsidRPr="00871F32">
              <w:rPr>
                <w:bCs/>
                <w:color w:val="000000"/>
                <w:lang w:val="hy-AM"/>
              </w:rPr>
              <w:t>։ Այս կապակցությամբ հարկ է նկատել, որ «Նորմատիվ իրավական ակտերի մասին» օրենքի (այսուհետ՝ Օրենք) 12-րդ հոդվածի 3-րդ մասի համաձայն՝ նորմատիվ իրավական ակտերի վերնագրերում արգելվում է կիրառել հապավումներ կամ բառերի կրճատումներ: Նշվածի հաշվառմամբ՝ անհրաժեշտ է խմբագրել Նախագծի վերնագիրը՝ համապատասխանեցնելով այն Օրենքի պահանջին:</w:t>
            </w:r>
          </w:p>
          <w:p w14:paraId="7E92AB0B" w14:textId="77777777" w:rsidR="0075653B" w:rsidRPr="00871F32" w:rsidRDefault="0075653B" w:rsidP="001471CF">
            <w:pPr>
              <w:tabs>
                <w:tab w:val="left" w:pos="27"/>
              </w:tabs>
              <w:spacing w:after="0"/>
              <w:ind w:left="27"/>
              <w:jc w:val="both"/>
              <w:rPr>
                <w:bCs/>
                <w:color w:val="000000"/>
                <w:lang w:val="hy-AM"/>
              </w:rPr>
            </w:pPr>
          </w:p>
          <w:p w14:paraId="78DF3273"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 xml:space="preserve">Միաժամանակ, հարկ է նկատել, որ Նախագծով նախատեսվող աջակցության ծրագրերը վերաբերում են կոնկրետ շահառուների որոշակի շրջանակի և ուղղված են անհատականացված աջակցության միջոցառումների իրականացմանը։ Դրանք չեն սահմանում անորոշ շրջանակի անձանց համար բազմակի կիրառման ենթակա ընդհանուր վարքագծի կանոններ և, հետևաբար, իրենց բնույթով չեն համապատասխանում նորմատիվ իրավական ակտի հատկանիշներին։ Վերոգրյալի և Օրենքի 2-րդ </w:t>
            </w:r>
            <w:r w:rsidRPr="00871F32">
              <w:rPr>
                <w:bCs/>
                <w:color w:val="000000"/>
                <w:lang w:val="hy-AM"/>
              </w:rPr>
              <w:lastRenderedPageBreak/>
              <w:t>հոդվածի 1-ին մասի 6-րդ կետի հաշվառմամբ՝ Նախագծի բնույթը հարկ է դիտարկել որպես լոկալ, ոչ թե՝ նորմատիվ։</w:t>
            </w:r>
          </w:p>
          <w:p w14:paraId="2C74ED00" w14:textId="77777777" w:rsidR="0096623D" w:rsidRPr="00871F32" w:rsidRDefault="0096623D" w:rsidP="001471CF">
            <w:pPr>
              <w:tabs>
                <w:tab w:val="left" w:pos="27"/>
              </w:tabs>
              <w:spacing w:after="0"/>
              <w:ind w:left="27"/>
              <w:jc w:val="both"/>
              <w:rPr>
                <w:bCs/>
                <w:color w:val="000000"/>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5A5F1DD4" w14:textId="0E44C4B4" w:rsidR="0096623D" w:rsidRPr="00871F32" w:rsidRDefault="0075653B" w:rsidP="007D4B53">
            <w:pPr>
              <w:spacing w:after="0"/>
              <w:jc w:val="center"/>
              <w:rPr>
                <w:b/>
              </w:rPr>
            </w:pPr>
            <w:r w:rsidRPr="00871F32">
              <w:rPr>
                <w:b/>
              </w:rPr>
              <w:lastRenderedPageBreak/>
              <w:t>Ը</w:t>
            </w:r>
            <w:r w:rsidR="0096623D" w:rsidRPr="00871F32">
              <w:rPr>
                <w:b/>
              </w:rPr>
              <w:t>նդունվել</w:t>
            </w:r>
            <w:r w:rsidRPr="00871F32">
              <w:rPr>
                <w:b/>
              </w:rPr>
              <w:t xml:space="preserve"> է</w:t>
            </w:r>
            <w:r w:rsidR="0096623D" w:rsidRPr="00871F32">
              <w:rPr>
                <w:b/>
              </w:rPr>
              <w:t>։</w:t>
            </w:r>
          </w:p>
          <w:p w14:paraId="20E3C612" w14:textId="5B655AF4" w:rsidR="0096623D" w:rsidRPr="00871F32" w:rsidRDefault="0096623D" w:rsidP="00D85760">
            <w:pPr>
              <w:spacing w:after="0"/>
              <w:jc w:val="both"/>
              <w:rPr>
                <w:bCs/>
                <w:lang w:val="hy-AM"/>
              </w:rPr>
            </w:pPr>
            <w:r w:rsidRPr="00871F32">
              <w:rPr>
                <w:bCs/>
                <w:lang w:val="hy-AM"/>
              </w:rPr>
              <w:t>Նախագծի վերնագիրը լրամշակվել է՝ դրանից հանելով «ՓՄՁ» հապավումը և այն համապատասխանեցնելով «Նորմատիվ իրավական ակտերի մասին» օրենքի 12-րդ հոդվածի 3-րդ մասի պահանջներին։</w:t>
            </w:r>
          </w:p>
          <w:p w14:paraId="091B6A8C" w14:textId="77777777" w:rsidR="0075653B" w:rsidRPr="00871F32" w:rsidRDefault="0075653B" w:rsidP="00D85760">
            <w:pPr>
              <w:spacing w:after="0"/>
              <w:jc w:val="both"/>
              <w:rPr>
                <w:bCs/>
                <w:lang w:val="hy-AM"/>
              </w:rPr>
            </w:pPr>
          </w:p>
          <w:p w14:paraId="717BF332" w14:textId="77777777" w:rsidR="0075653B" w:rsidRPr="00871F32" w:rsidRDefault="0075653B" w:rsidP="00D85760">
            <w:pPr>
              <w:spacing w:after="0"/>
              <w:jc w:val="both"/>
              <w:rPr>
                <w:bCs/>
                <w:lang w:val="hy-AM"/>
              </w:rPr>
            </w:pPr>
          </w:p>
          <w:p w14:paraId="27651BC0" w14:textId="77777777" w:rsidR="00A10C2D" w:rsidRDefault="00A10C2D" w:rsidP="007D4B53">
            <w:pPr>
              <w:spacing w:after="0"/>
              <w:jc w:val="center"/>
              <w:rPr>
                <w:b/>
                <w:lang w:val="hy-AM"/>
              </w:rPr>
            </w:pPr>
          </w:p>
          <w:p w14:paraId="61CC2901" w14:textId="4BC6DEFB" w:rsidR="0075653B" w:rsidRPr="00871F32" w:rsidRDefault="0075653B" w:rsidP="007D4B53">
            <w:pPr>
              <w:spacing w:after="0"/>
              <w:jc w:val="center"/>
              <w:rPr>
                <w:b/>
                <w:lang w:val="hy-AM"/>
              </w:rPr>
            </w:pPr>
            <w:r w:rsidRPr="00871F32">
              <w:rPr>
                <w:b/>
                <w:lang w:val="hy-AM"/>
              </w:rPr>
              <w:t>Չի ընդունվել։</w:t>
            </w:r>
          </w:p>
          <w:p w14:paraId="188F7311" w14:textId="77777777" w:rsidR="003E71FE" w:rsidRPr="00871F32" w:rsidRDefault="003E71FE" w:rsidP="00D85760">
            <w:pPr>
              <w:spacing w:after="0"/>
              <w:jc w:val="both"/>
              <w:rPr>
                <w:bCs/>
                <w:lang w:val="hy-AM"/>
              </w:rPr>
            </w:pPr>
            <w:r w:rsidRPr="00871F32">
              <w:rPr>
                <w:bCs/>
                <w:lang w:val="hy-AM"/>
              </w:rPr>
              <w:t>Նախագծով սահմանվող կարգավորումներն իրենց իրավական բնույթով համապատասխանում են նորմատիվ իրավական ակտի հատկանիշներին։ «Նորմատիվ իրավական ակտերի մասին» օրենքի 2-րդ հոդվածի 1-ին մասի 1-ին կետի համաձայն՝ նորմատիվ իրավական ակտը սահմանում է վարքագծի պարտադիր կանոններ անորոշ շրջանակի անձանց համար և նախատեսված է բազմակի կիրառման համար։</w:t>
            </w:r>
          </w:p>
          <w:p w14:paraId="3D53C0A5" w14:textId="5C04FB34" w:rsidR="003E71FE" w:rsidRPr="00871F32" w:rsidRDefault="003E71FE" w:rsidP="00D85760">
            <w:pPr>
              <w:spacing w:after="0"/>
              <w:jc w:val="both"/>
              <w:rPr>
                <w:bCs/>
                <w:lang w:val="hy-AM"/>
              </w:rPr>
            </w:pPr>
            <w:r w:rsidRPr="00871F32">
              <w:rPr>
                <w:bCs/>
                <w:lang w:val="hy-AM"/>
              </w:rPr>
              <w:lastRenderedPageBreak/>
              <w:t>Տվյալ դեպքում, թեև Ծրագիրն ուղղված է ձեռնարկատիրության սուբյեկտներին անհատականացված աջակցության տրամադրմանը, դրանով սահմանվում են աջակցության ստացման ընդհանուր պայմանները, շահառուների ընտրության չափորոշիչները, ինչպես նաև Օպերատորի ընտրության և հաշվետվողականության ընթացակարգերը։ Այս կարգավորումները տարածվում են ապագայում Ծրագրին դիմող և սահմանված չափանիշներին համապատասխանող իրավաբանորեն անորոշ շրջանակի բոլոր սուբյեկտների վրա։</w:t>
            </w:r>
            <w:r w:rsidR="006F4488" w:rsidRPr="00871F32">
              <w:rPr>
                <w:bCs/>
                <w:lang w:val="hy-AM"/>
              </w:rPr>
              <w:t xml:space="preserve"> </w:t>
            </w:r>
            <w:r w:rsidRPr="00871F32">
              <w:rPr>
                <w:bCs/>
                <w:lang w:val="hy-AM"/>
              </w:rPr>
              <w:t>Ծրագիրը չի սահմանափակվում կոնկրետ, կանխավ հայտնի ֆիզիկական կամ իրավաբանական անձանց շրջանակով, ունի համապարտադիր բնույթ դրա իրականացմանը ներգրավված բոլոր կողմերի համար և նախատեսում է բազմակի կիրառելիություն։ Հետևաբար, Նախագծի նորմատիվ բնույթի պահպանումը լիովին բխում է օրենսդրության տրամաբանությունից և անհրաժեշտ է Ծրագրի իրավական հիմքերի կայունությունն ու հանրային հասանելիությունն ապահովելու համար։</w:t>
            </w:r>
            <w:r w:rsidR="00A10C2D">
              <w:rPr>
                <w:bCs/>
                <w:lang w:val="hy-AM"/>
              </w:rPr>
              <w:t xml:space="preserve"> Հ</w:t>
            </w:r>
            <w:r w:rsidRPr="00871F32">
              <w:rPr>
                <w:bCs/>
                <w:lang w:val="hy-AM"/>
              </w:rPr>
              <w:t>արկ է նշել, որ նախագծով նախատեսվում է հաստատել Հայաստանի Հանրապետության 2026 թվականի պետական բյուջեով նախատեսված «11001 Փոքր և միջին ձեռնարկատիրության սուբյեկտներին աջակցության ծրագրերի համակարգում և կառավարում» միջոցառման իրականացման ծրագիրը, սահմանել դրա շրջանակներում կիրառվող աջակցության մեխանիզմները, շահառուների ընտրության ընդհանուր մոտեցումները, օպերատորի ներգրավման, ֆինանսավորման, հաշվետվողականության և վերահսկողության շրջանակները։</w:t>
            </w:r>
          </w:p>
          <w:p w14:paraId="1CB4D937" w14:textId="3809D2A3" w:rsidR="0096623D" w:rsidRPr="00871F32" w:rsidRDefault="003E71FE" w:rsidP="00A10C2D">
            <w:pPr>
              <w:spacing w:after="0"/>
              <w:jc w:val="both"/>
              <w:rPr>
                <w:bCs/>
                <w:lang w:val="hy-AM"/>
              </w:rPr>
            </w:pPr>
            <w:r w:rsidRPr="00871F32">
              <w:rPr>
                <w:bCs/>
                <w:lang w:val="hy-AM"/>
              </w:rPr>
              <w:lastRenderedPageBreak/>
              <w:t>Նախագծով սահմանվող կարգավորումները վերաբերում են ոչ թե առանձին անհատական շահառուների, այլ ծրագրով սահմանված չափանիշներին համապատասխանող անձանց անորոշ շրջանակի նկատմամբ կիրառվող ընդհանուր պայմաններին և մոտեցումներին։</w:t>
            </w:r>
            <w:r w:rsidR="00A10C2D">
              <w:rPr>
                <w:bCs/>
                <w:lang w:val="hy-AM"/>
              </w:rPr>
              <w:t xml:space="preserve"> </w:t>
            </w:r>
            <w:r w:rsidRPr="00871F32">
              <w:rPr>
                <w:bCs/>
                <w:lang w:val="hy-AM"/>
              </w:rPr>
              <w:t>Միաժամանակ, հաշվի առնելով նախագծի բովանդակությունը և դրանով կարգավորվող հարաբերությունների առանձնահատկությունները, նախագծի կառուցվածքը և ձևակերպումները լրամշակվել են՝ ապահովելու դրա համապատասխանությունը գործող իրավակարգավորումներին և իրավական տեխնիկայի պահանջներին։</w:t>
            </w:r>
          </w:p>
        </w:tc>
      </w:tr>
      <w:tr w:rsidR="0096623D" w:rsidRPr="00871F32" w14:paraId="1260E6C9"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BB480C"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2AE6FC6A"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2. Նախագծի նախաբանում որպես Նախագծի ընդունման իրավական հիմք նշված են «Փոքր և միջին ձեռնարկատիրության պետական աջակցության մասին» օրենքի 4-րդ հոդվածը և Կառավարության 2025 թվականի դեկտեմբերի 25-ի «Հայաստանի Հանրապետության 2026 թվականի պետական բյուջեի կատարումն ապահովող միջոցառումների մասին» թիվ 1910-Ն որոշման (այսուհետ՝ Որոշում) 11-րդ կետի 2-րդ ենթակետը: Հարկ է նկատել, որ «Փոքր և միջին ձեռնարկատիրության պետական աջակցության մասին» օրենքի 4-րդ հոդվածի համաձայն՝</w:t>
            </w:r>
          </w:p>
          <w:p w14:paraId="7A6E2B32"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«ՓՄՁ-ի պետական աջակցությունը իրականացվում է տարեկան ծրագրով (այսուհետ` Ծրագիր): Ծրագիրը մշակում և հաստատում է Հայաստանի Հանրապետության կառավարությունը: Ծրագրի իրականացման ֆինանսավորումը նշվում է պետական բյուջեում առանձին տողով:</w:t>
            </w:r>
          </w:p>
          <w:p w14:paraId="6F7C224F"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 xml:space="preserve">Ծրագիրը մշակվում է սույն օրենքով սահմանված հիմնական ուղղություններին համապատասխան` ելնելով տվյալ </w:t>
            </w:r>
            <w:r w:rsidRPr="00871F32">
              <w:rPr>
                <w:bCs/>
                <w:color w:val="000000"/>
                <w:lang w:val="hy-AM"/>
              </w:rPr>
              <w:lastRenderedPageBreak/>
              <w:t>ժամանակահատվածում զարգացման գերակայություններից, ներառյալ` ՓՄՁ ոլորտում նոր աշխատատեղերի ստեղծումը:</w:t>
            </w:r>
          </w:p>
          <w:p w14:paraId="083D285D"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Ծրագիրն իրականացվում է Հայաստանի Հանրապետության կառավարության կողմից սահմանված կարգով: Ծրագրի կատարման հաշվետվությունը ներկայացվում է տվյալ տարվա պետական բյուջեի կատարման մասին հաշվետվության հետ:»։</w:t>
            </w:r>
          </w:p>
          <w:p w14:paraId="2D422E69"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Վերոգրյալի համատեքստում հարկ է նկատել, որ քննարկվող նորմով «ՓՄՁ-ի սուբյեկտներին աջակցության ծրագրերի համակարգում և կառավարում» միջոցառման ծրագրի իրականացման միջոցառումների ցանկը և ժամանակացույցը հաստատելու մասով ուղղակիորեն նախատեսված լիազորություն առկա չէ, հետևաբար, առաջարկվում է խմբագրել Նախագծի վերնագիրը՝ համապատասխանեցնելով այն «Փոքր և միջին ձեռնարկատիրության պետական աջակցության մասին» օրենքի 4-րդ հոդվածի բովանդակությանը։</w:t>
            </w:r>
          </w:p>
          <w:p w14:paraId="5EFB3594"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Բացի այդ, նախաբանում որպես լիազորող նորմ նշված՝ Որոշման 11-րդ կետի 2-րդ ենթակետի համաձայն՝</w:t>
            </w:r>
          </w:p>
          <w:p w14:paraId="66435AE3"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«11. Հայաստանի Հանրապետության էկոնոմիկայի նախարարին`</w:t>
            </w:r>
          </w:p>
          <w:p w14:paraId="4102946D" w14:textId="77777777" w:rsidR="0096623D" w:rsidRPr="00871F32" w:rsidRDefault="0096623D" w:rsidP="001471CF">
            <w:pPr>
              <w:tabs>
                <w:tab w:val="left" w:pos="27"/>
              </w:tabs>
              <w:spacing w:after="0"/>
              <w:ind w:left="27"/>
              <w:jc w:val="both"/>
              <w:rPr>
                <w:bCs/>
                <w:color w:val="000000"/>
                <w:lang w:val="hy-AM"/>
              </w:rPr>
            </w:pPr>
            <w:r w:rsidRPr="00871F32">
              <w:rPr>
                <w:bCs/>
                <w:iCs/>
                <w:color w:val="000000"/>
                <w:lang w:val="hy-AM"/>
              </w:rPr>
              <w:t>(…)</w:t>
            </w:r>
          </w:p>
          <w:p w14:paraId="1B04EAE6" w14:textId="77777777" w:rsidR="0096623D" w:rsidRPr="00871F32" w:rsidRDefault="0096623D" w:rsidP="001471CF">
            <w:pPr>
              <w:tabs>
                <w:tab w:val="left" w:pos="27"/>
              </w:tabs>
              <w:spacing w:after="0"/>
              <w:ind w:left="27"/>
              <w:jc w:val="both"/>
              <w:rPr>
                <w:bCs/>
                <w:color w:val="000000"/>
                <w:lang w:val="hy-AM"/>
              </w:rPr>
            </w:pPr>
            <w:r w:rsidRPr="00871F32">
              <w:rPr>
                <w:bCs/>
                <w:color w:val="000000"/>
                <w:lang w:val="hy-AM"/>
              </w:rPr>
              <w:t xml:space="preserve">2) սույն որոշումն ուժի մեջ մտնելուց հետո </w:t>
            </w:r>
            <w:r w:rsidRPr="00871F32">
              <w:rPr>
                <w:bCs/>
                <w:iCs/>
                <w:color w:val="000000"/>
                <w:lang w:val="hy-AM"/>
              </w:rPr>
              <w:t xml:space="preserve">(…) </w:t>
            </w:r>
            <w:r w:rsidRPr="00871F32">
              <w:rPr>
                <w:bCs/>
                <w:color w:val="000000"/>
                <w:lang w:val="hy-AM"/>
              </w:rPr>
              <w:t xml:space="preserve">Հայաստանի Հանրապետության կառավարության հաստատմանը ներկայացնել </w:t>
            </w:r>
            <w:r w:rsidRPr="00871F32">
              <w:rPr>
                <w:bCs/>
                <w:iCs/>
                <w:color w:val="000000"/>
                <w:lang w:val="hy-AM"/>
              </w:rPr>
              <w:t xml:space="preserve">(…) </w:t>
            </w:r>
            <w:r w:rsidRPr="00871F32">
              <w:rPr>
                <w:bCs/>
                <w:color w:val="000000"/>
                <w:lang w:val="hy-AM"/>
              </w:rPr>
              <w:t>«հնգամսյա ժամկետում՝ «1104 Գիտելիքահենք, նորարարական տնտեսությանը և փոքր ու միջին ձեռնարկատիրությանը աջակցություն» ծրագրի «11001 ՓՄՁ-ի սուբյեկտներին աջակցության ծրագրերի համակարգում և կառավարում» միջոցառումների գծով համապատասխան ծրագրեր:»։</w:t>
            </w:r>
          </w:p>
          <w:p w14:paraId="0EC7BA6C" w14:textId="074367B5" w:rsidR="002F5A4E" w:rsidRPr="00871F32" w:rsidRDefault="0096623D" w:rsidP="007D4B53">
            <w:pPr>
              <w:tabs>
                <w:tab w:val="left" w:pos="27"/>
              </w:tabs>
              <w:spacing w:after="0"/>
              <w:ind w:left="27"/>
              <w:jc w:val="both"/>
              <w:rPr>
                <w:bCs/>
                <w:color w:val="000000"/>
                <w:lang w:val="hy-AM"/>
              </w:rPr>
            </w:pPr>
            <w:r w:rsidRPr="00871F32">
              <w:rPr>
                <w:bCs/>
                <w:color w:val="000000"/>
                <w:lang w:val="hy-AM"/>
              </w:rPr>
              <w:lastRenderedPageBreak/>
              <w:t>Վերոգրյալ իրավակարգավորման կապակցությամբ հարկ է նշել, որ թեև այն վերաբերում է «11001 ՓՄՁ-ի սուբյեկտներին աջակցության ծրագրերի համակարգում և կառավարում» միջոցառման ծրագրի ներկայացմանը, սակայն կարգավորման՝ Էկոնոմիկայի նախարարին հասցեագրված լինելու հանգամանքով պայմանավորված, այս դեպքում քննարկվող Կառավարության համար Նախագծի ընդունման տեսանկյունից չի հանդիսանում լիազորող նորմ։</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20D66E55" w14:textId="77777777" w:rsidR="0096623D" w:rsidRPr="00871F32" w:rsidRDefault="0096623D" w:rsidP="007D4B53">
            <w:pPr>
              <w:spacing w:after="0"/>
              <w:jc w:val="center"/>
              <w:rPr>
                <w:b/>
              </w:rPr>
            </w:pPr>
            <w:r w:rsidRPr="00871F32">
              <w:rPr>
                <w:b/>
              </w:rPr>
              <w:lastRenderedPageBreak/>
              <w:t>Մասամբ է ընդունվել։</w:t>
            </w:r>
          </w:p>
          <w:p w14:paraId="4C1B945F" w14:textId="27F55CD7" w:rsidR="0096623D" w:rsidRPr="00871F32" w:rsidRDefault="0096623D" w:rsidP="00D85760">
            <w:pPr>
              <w:spacing w:after="0"/>
              <w:jc w:val="both"/>
              <w:rPr>
                <w:bCs/>
                <w:lang w:val="hy-AM"/>
              </w:rPr>
            </w:pPr>
            <w:r w:rsidRPr="00871F32">
              <w:rPr>
                <w:bCs/>
                <w:lang w:val="hy-AM"/>
              </w:rPr>
              <w:t>Նախագծի վերնագիրը և կառուցվածքը լրամշակվել են՝ դրանք առավելագույնս համապատասխանեցնելով «Փոքր և միջին ձեռնարկատիրության պետական աջակցության մասին» օրենքի 4-րդ հոդվածի բովանդակությանը և կարգավորման առարկային։</w:t>
            </w:r>
            <w:r w:rsidR="006F4488" w:rsidRPr="00871F32">
              <w:rPr>
                <w:bCs/>
                <w:lang w:val="hy-AM"/>
              </w:rPr>
              <w:t xml:space="preserve"> </w:t>
            </w:r>
            <w:r w:rsidRPr="00871F32">
              <w:rPr>
                <w:bCs/>
                <w:lang w:val="hy-AM"/>
              </w:rPr>
              <w:t>Մասնավորապես, նախագծից հանվել են միջոցառումների ցանկի և ժամանակացույցի առանձին հաստատմանը վերաբերող ձևակերպումները, և նախագիծը վերակազմավորվել է որպես «11001 Փոքր և միջին ձեռնարկատիրության սուբյեկտներին աջակցության ծրագրերի համակարգում և կառավարում» միջոցառման 2026 թվականի ծրագրի հաստատման մասին կառավարության որոշում։</w:t>
            </w:r>
          </w:p>
          <w:p w14:paraId="5917EA29" w14:textId="77777777" w:rsidR="0096623D" w:rsidRPr="00871F32" w:rsidRDefault="0096623D" w:rsidP="00D85760">
            <w:pPr>
              <w:spacing w:after="0"/>
              <w:jc w:val="both"/>
              <w:rPr>
                <w:bCs/>
                <w:lang w:val="hy-AM"/>
              </w:rPr>
            </w:pPr>
            <w:r w:rsidRPr="00871F32">
              <w:rPr>
                <w:bCs/>
                <w:lang w:val="hy-AM"/>
              </w:rPr>
              <w:t xml:space="preserve">Միաժամանակ, նախագծի մշակման իրավական հիմք են հանդիսացել «Փոքր և միջին ձեռնարկատիրության պետական աջակցության մասին» օրենքի 4-րդ հոդվածը, որով </w:t>
            </w:r>
            <w:r w:rsidRPr="00871F32">
              <w:rPr>
                <w:bCs/>
                <w:lang w:val="hy-AM"/>
              </w:rPr>
              <w:lastRenderedPageBreak/>
              <w:t>Հայաստանի Հանրապետության կառավարությանը վերապահված է ՓՄՁ պետական աջակցության տարեկան ծրագրերի հաստատման իրավասությունը, ինչպես նաև Հայաստանի Հանրապետության կառավարության 2025 թվականի դեկտեմբերի 25-ի N 1910-Ն որոշման 11-րդ կետի 2-րդ ենթակետը, որով Հայաստանի Հանրապետության էկոնոմիկայի նախարարին հանձնարարվել է Հայաստանի Հանրապետության կառավարության հաստատմանը ներկայացնել «1104 Գիտելիքահենք, նորարարական տնտեսությանը և փոքր ու միջին ձեռնարկատիրությանը աջակցություն» ծրագրի «11001 Փոքր և միջին ձեռնարկատիրության սուբյեկտներին աջակցության ծրագրերի համակարգում և կառավարում» միջոցառման համապատասխան ծրագրերը։</w:t>
            </w:r>
          </w:p>
          <w:p w14:paraId="057F0515" w14:textId="77777777" w:rsidR="0096623D" w:rsidRPr="00871F32" w:rsidRDefault="0096623D" w:rsidP="00D85760">
            <w:pPr>
              <w:spacing w:after="0"/>
              <w:jc w:val="both"/>
              <w:rPr>
                <w:bCs/>
                <w:lang w:val="hy-AM"/>
              </w:rPr>
            </w:pPr>
            <w:r w:rsidRPr="00871F32">
              <w:rPr>
                <w:bCs/>
                <w:lang w:val="hy-AM"/>
              </w:rPr>
              <w:t>Այս առումով N 1910-Ն որոշման համապատասխան դրույթը դիտարկվել է ոչ թե որպես կառավարության իրավասություն սահմանող ինքնուրույն լիազորող նորմ, այլ որպես տվյալ ծրագրի մշակման և կառավարության հաստատմանը ներկայացման հանձնարարական և բյուջետային հիմք։</w:t>
            </w:r>
          </w:p>
          <w:p w14:paraId="1F476E58" w14:textId="77777777" w:rsidR="0096623D" w:rsidRPr="00871F32" w:rsidRDefault="0096623D" w:rsidP="00D85760">
            <w:pPr>
              <w:spacing w:after="0"/>
              <w:jc w:val="both"/>
              <w:rPr>
                <w:bCs/>
                <w:lang w:val="hy-AM"/>
              </w:rPr>
            </w:pPr>
          </w:p>
        </w:tc>
      </w:tr>
      <w:tr w:rsidR="0096623D" w:rsidRPr="00871F32" w14:paraId="6AE26E11"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BF87273"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54B80E5" w14:textId="302F5201" w:rsidR="0096623D" w:rsidRPr="00871F32" w:rsidRDefault="0096623D" w:rsidP="001471CF">
            <w:pPr>
              <w:tabs>
                <w:tab w:val="left" w:pos="27"/>
              </w:tabs>
              <w:spacing w:after="0"/>
              <w:ind w:left="27"/>
              <w:jc w:val="both"/>
              <w:rPr>
                <w:bCs/>
                <w:color w:val="000000"/>
                <w:lang w:val="hy-AM"/>
              </w:rPr>
            </w:pPr>
            <w:r w:rsidRPr="00871F32">
              <w:rPr>
                <w:rFonts w:cs="Sylfaen"/>
                <w:bCs/>
                <w:noProof/>
                <w:lang w:val="hy-AM"/>
              </w:rPr>
              <w:t>3. Առաջարկվում է Նախագծի 1-ին կետի 2-րդ ենթակետում համապատասխան ծրագրի անվանումը գրել ամբողջությամբ կամ հղում տալ Նախագծի 1-ին կետի 1-ին ենթակետին՝ իրավական որոշակիություն ապահովելու նպատակով։</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786F88C1" w14:textId="77777777" w:rsidR="0096623D" w:rsidRPr="00871F32" w:rsidRDefault="0096623D" w:rsidP="007D4B53">
            <w:pPr>
              <w:spacing w:after="0"/>
              <w:jc w:val="center"/>
              <w:rPr>
                <w:b/>
                <w:lang w:val="hy-AM"/>
              </w:rPr>
            </w:pPr>
            <w:r w:rsidRPr="00871F32">
              <w:rPr>
                <w:b/>
                <w:lang w:val="hy-AM"/>
              </w:rPr>
              <w:t>Ընդունվել է։</w:t>
            </w:r>
          </w:p>
          <w:p w14:paraId="0C9C7FE0" w14:textId="3A0B1A5F" w:rsidR="0096623D" w:rsidRPr="00871F32" w:rsidRDefault="0096623D" w:rsidP="00D85760">
            <w:pPr>
              <w:spacing w:after="0"/>
              <w:jc w:val="both"/>
              <w:rPr>
                <w:bCs/>
                <w:lang w:val="hy-AM"/>
              </w:rPr>
            </w:pPr>
            <w:r w:rsidRPr="00871F32">
              <w:rPr>
                <w:bCs/>
                <w:lang w:val="hy-AM"/>
              </w:rPr>
              <w:t>Իրավական որոշակիության ապահովման նպատակով նախագծի 1-ին կետի 2-րդ ենթակետը լրամշակվել է՝ համապատասխան ծրագրի անվանումը նշելով ամբողջությամբ և համապատասխանեցնելով նախագծի 1-ին կետի 1-ին ենթակետում օգտագործված ձևակերպմանը։</w:t>
            </w:r>
          </w:p>
        </w:tc>
      </w:tr>
      <w:tr w:rsidR="0096623D" w:rsidRPr="00871F32" w14:paraId="169AEC4D"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552501"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D7972DA" w14:textId="2269CA81" w:rsidR="0096623D" w:rsidRPr="00871F32" w:rsidRDefault="0096623D" w:rsidP="001471CF">
            <w:pPr>
              <w:tabs>
                <w:tab w:val="left" w:pos="27"/>
              </w:tabs>
              <w:spacing w:after="0"/>
              <w:ind w:left="27"/>
              <w:jc w:val="both"/>
              <w:rPr>
                <w:bCs/>
                <w:color w:val="000000"/>
                <w:lang w:val="hy-AM"/>
              </w:rPr>
            </w:pPr>
            <w:r w:rsidRPr="00871F32">
              <w:rPr>
                <w:rFonts w:cs="Sylfaen"/>
                <w:bCs/>
                <w:noProof/>
                <w:lang w:val="hy-AM"/>
              </w:rPr>
              <w:t>4. Նախագծի 3-րդ կետի 2-րդ ենթակետում հարկ է հստակեցնել, թե ինչ «Օպերատոր»-ի մասին է խոսքը՝ նկատի ունենալով, որ Նախագծում վերջինս հիշատակվում է առաջին անգամ։</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453C3E02" w14:textId="77777777" w:rsidR="0096623D" w:rsidRPr="00871F32" w:rsidRDefault="0096623D" w:rsidP="007D4B53">
            <w:pPr>
              <w:spacing w:after="0"/>
              <w:jc w:val="center"/>
              <w:rPr>
                <w:b/>
                <w:lang w:val="hy-AM"/>
              </w:rPr>
            </w:pPr>
            <w:r w:rsidRPr="00871F32">
              <w:rPr>
                <w:b/>
                <w:lang w:val="hy-AM"/>
              </w:rPr>
              <w:t>Ընդունվել է։</w:t>
            </w:r>
          </w:p>
          <w:p w14:paraId="5737E6B7" w14:textId="56FF880D" w:rsidR="0096623D" w:rsidRPr="00871F32" w:rsidRDefault="0096623D" w:rsidP="00D85760">
            <w:pPr>
              <w:spacing w:after="0"/>
              <w:jc w:val="both"/>
              <w:rPr>
                <w:bCs/>
                <w:lang w:val="hy-AM"/>
              </w:rPr>
            </w:pPr>
            <w:r w:rsidRPr="00871F32">
              <w:rPr>
                <w:bCs/>
                <w:lang w:val="hy-AM"/>
              </w:rPr>
              <w:t>Իրավական որոշակիության ապահովման նպատակով նախագծի 3-րդ կետի 2-րդ ենթակետը լրամշակվել է՝ համապատասխան հղում կատարելով նախագծով սահմանված «Օպերատոր» հասկացությանը։</w:t>
            </w:r>
          </w:p>
        </w:tc>
      </w:tr>
      <w:tr w:rsidR="0096623D" w:rsidRPr="00871F32" w14:paraId="5DCF6A38"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DB1645F"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B098D08" w14:textId="77777777" w:rsidR="0096623D" w:rsidRPr="00871F32" w:rsidRDefault="0096623D" w:rsidP="001471CF">
            <w:pPr>
              <w:tabs>
                <w:tab w:val="left" w:pos="27"/>
              </w:tabs>
              <w:spacing w:after="0"/>
              <w:ind w:left="27"/>
              <w:jc w:val="both"/>
              <w:rPr>
                <w:rFonts w:cs="Sylfaen"/>
                <w:bCs/>
                <w:i/>
                <w:noProof/>
                <w:lang w:val="hy-AM"/>
              </w:rPr>
            </w:pPr>
            <w:r w:rsidRPr="00871F32">
              <w:rPr>
                <w:rFonts w:cs="Sylfaen"/>
                <w:bCs/>
                <w:noProof/>
                <w:lang w:val="hy-AM"/>
              </w:rPr>
              <w:t xml:space="preserve">5. Նախագծի 1-ին կետով հաստատվող Հավելված 1-ի (այսուհետ՝ Հավելված 1) 1-ին կետի համաձայն՝ </w:t>
            </w:r>
            <w:r w:rsidRPr="00871F32">
              <w:rPr>
                <w:rFonts w:cs="Sylfaen"/>
                <w:bCs/>
                <w:i/>
                <w:noProof/>
                <w:lang w:val="hy-AM"/>
              </w:rPr>
              <w:t xml:space="preserve">««ՓՄՁ սուբյեկտներին աջակցության ծրագրերի համակարգում և կառավարում» միջոցառման 2026 թվականի ծրագիրը (այսուհետ՝ Ծրագիր) նպատակն է Հայաստանի Հանրապետության 2026 թվականի պետական բյուջեով նախատեսված 1202 «Փոքր և միջին ձեռնարկատիրության աջակցություն» ծրագրի 11001 «ՓՄՁ սուբյեկտներին աջակցության ծրագրերի համակարգում և կառավարում» միջոցառման շրջանակում ապահովել ՓՄՁ </w:t>
            </w:r>
            <w:r w:rsidRPr="00871F32">
              <w:rPr>
                <w:rFonts w:cs="Sylfaen"/>
                <w:bCs/>
                <w:i/>
                <w:noProof/>
                <w:lang w:val="hy-AM"/>
              </w:rPr>
              <w:lastRenderedPageBreak/>
              <w:t>սուբյեկտներին աջակցության ծրագրերի համակարգված իրականացումը, սկսնակ ձեռնարկատիրության զարգացումը, գործարար գաղափարների կենսագործման խթանումը, ինչպես նաև պետություն–մասնավոր երկխոսության և միջազգային համագործակցության զարգացումը։»:</w:t>
            </w:r>
          </w:p>
          <w:p w14:paraId="5874370F"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 xml:space="preserve">Այս մասով հարկ է նկատել, որ Որոշման 11-րդ կետի 2-րդ ենթակետի համաձայն՝ «11001 ՓՄՁ-ի սուբյեկտներին աջակցության ծրագրերի համակարգում և կառավարում» միջոցառման գծով ծրագիրը մտնում է «1104 Գիտելիքահենք, նորարարական տնտեսությանը և փոքր ու միջին ձեռնարկատիրությանը աջակցություն» ծրագրի շրջանակների մեջ։ Ուստի՝ այս մասով առկա է անհամապատասխանություն Հավելված 1-ի 1-ին կետով առաջարկվող կարգավորման և Որոշման 11-րդ կետի 2-րդ ենթակետի ձևակերպումների միջև։ </w:t>
            </w:r>
          </w:p>
          <w:p w14:paraId="49648D58" w14:textId="77777777" w:rsidR="0096623D" w:rsidRPr="00871F32" w:rsidRDefault="0096623D" w:rsidP="001471CF">
            <w:pPr>
              <w:tabs>
                <w:tab w:val="left" w:pos="27"/>
              </w:tabs>
              <w:spacing w:after="0"/>
              <w:ind w:left="27"/>
              <w:jc w:val="both"/>
              <w:rPr>
                <w:rFonts w:cs="Sylfaen"/>
                <w:bCs/>
                <w:noProof/>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32472CAA" w14:textId="77777777" w:rsidR="0096623D" w:rsidRPr="00871F32" w:rsidRDefault="0096623D" w:rsidP="007D4B53">
            <w:pPr>
              <w:spacing w:after="0"/>
              <w:jc w:val="center"/>
              <w:rPr>
                <w:b/>
                <w:lang w:val="hy-AM"/>
              </w:rPr>
            </w:pPr>
            <w:r w:rsidRPr="00871F32">
              <w:rPr>
                <w:b/>
                <w:lang w:val="hy-AM"/>
              </w:rPr>
              <w:lastRenderedPageBreak/>
              <w:t>Ընդունվել է։</w:t>
            </w:r>
          </w:p>
          <w:p w14:paraId="6F89434E" w14:textId="77777777" w:rsidR="0096623D" w:rsidRPr="00871F32" w:rsidRDefault="0096623D" w:rsidP="00D85760">
            <w:pPr>
              <w:spacing w:after="0"/>
              <w:jc w:val="both"/>
              <w:rPr>
                <w:bCs/>
                <w:lang w:val="hy-AM"/>
              </w:rPr>
            </w:pPr>
            <w:r w:rsidRPr="00871F32">
              <w:rPr>
                <w:bCs/>
                <w:lang w:val="hy-AM"/>
              </w:rPr>
              <w:t>Նախագծում առկա բյուջետային ծրագրի դասիչի և անվանման անհամապատասխանությունը շտկվել է։ Հավելված 1-ի համապատասխան դրույթում «1202 «Փոքր և միջին ձեռնարկատիրության աջակցություն» ծրագիր» ձևակերպումը փոխարինվել է «1104 «Գիտելիքահենք, նորարարական տնտեսությանը և փոքր ու միջին ձեռնարկատիրությանը աջակցություն» ծրագիր» ձևակերպմամբ։</w:t>
            </w:r>
          </w:p>
          <w:p w14:paraId="7FE80776" w14:textId="77777777" w:rsidR="0096623D" w:rsidRPr="00871F32" w:rsidRDefault="0096623D" w:rsidP="00D85760">
            <w:pPr>
              <w:spacing w:after="0"/>
              <w:jc w:val="both"/>
              <w:rPr>
                <w:bCs/>
                <w:lang w:val="hy-AM"/>
              </w:rPr>
            </w:pPr>
            <w:r w:rsidRPr="00871F32">
              <w:rPr>
                <w:bCs/>
                <w:lang w:val="hy-AM"/>
              </w:rPr>
              <w:lastRenderedPageBreak/>
              <w:t>Միաժամանակ, միջոցառման անվանումը համապատասխանեցվել է ՀՀ 2026 թվականի պետական բյուջեով և ՀՀ կառավարության 2025 թվականի դեկտեմբերի 25-ի N 1910-Ն որոշմամբ նախատեսված «11001 Փոքր և միջին ձեռնարկատիրության սուբյեկտներին աջակցության ծրագրերի համակարգում և կառավարում» միջոցառման անվանմանը։</w:t>
            </w:r>
          </w:p>
          <w:p w14:paraId="318F341F" w14:textId="77777777" w:rsidR="0096623D" w:rsidRPr="00871F32" w:rsidRDefault="0096623D" w:rsidP="00D85760">
            <w:pPr>
              <w:spacing w:after="0"/>
              <w:jc w:val="both"/>
              <w:rPr>
                <w:bCs/>
                <w:lang w:val="hy-AM"/>
              </w:rPr>
            </w:pPr>
          </w:p>
        </w:tc>
      </w:tr>
      <w:tr w:rsidR="0096623D" w:rsidRPr="00871F32" w14:paraId="20AB902E"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D73990D"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56C3800E" w14:textId="41D81C12" w:rsidR="0096623D" w:rsidRPr="00871F32" w:rsidRDefault="0096623D" w:rsidP="007C5BC1">
            <w:pPr>
              <w:tabs>
                <w:tab w:val="left" w:pos="27"/>
              </w:tabs>
              <w:spacing w:after="0"/>
              <w:ind w:left="27"/>
              <w:jc w:val="both"/>
              <w:rPr>
                <w:rFonts w:cs="Sylfaen"/>
                <w:bCs/>
                <w:noProof/>
                <w:lang w:val="hy-AM"/>
              </w:rPr>
            </w:pPr>
            <w:r w:rsidRPr="00871F32">
              <w:rPr>
                <w:rFonts w:cs="Sylfaen"/>
                <w:bCs/>
                <w:noProof/>
                <w:lang w:val="hy-AM"/>
              </w:rPr>
              <w:t>6</w:t>
            </w:r>
            <w:r w:rsidRPr="00871F32">
              <w:rPr>
                <w:rFonts w:ascii="Cambria Math" w:hAnsi="Cambria Math" w:cs="Cambria Math"/>
                <w:bCs/>
                <w:noProof/>
                <w:lang w:val="hy-AM"/>
              </w:rPr>
              <w:t>․</w:t>
            </w:r>
            <w:r w:rsidRPr="00871F32">
              <w:rPr>
                <w:rFonts w:cs="Sylfaen"/>
                <w:bCs/>
                <w:noProof/>
                <w:lang w:val="hy-AM"/>
              </w:rPr>
              <w:t xml:space="preserve"> Հավելված 1-ի 2-րդ գլխի 9-րդ կետում «իրագործման» բառն անհրաժեշտ է փոխարինել «իրականացման» բառով՝ համապատասխանեցնելով նշված գլխի վերտառությանը։ Հիշյալ դիտարկումը բխում է Օրենքի 14-րդ հոդվածի 10-րդ մասից, որի համաձայն՝ (…) Բաժիններն ու գլուխները ունենում են վերնագրեր, որոնք պետք է համապատասխանեն դրանց բովանդակությանը, ինչպես նաև Օրենքի 15-րդ հոդվածի 2-րդ մասի պահանջից, համաձայն որի՝ նորմատիվ իրավական ակտում միևնույն միտքն արտահայտելիս կիրառվում են միևնույն բառերը, տերմինները կամ բառակապակցությունները։</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203D9D91" w14:textId="77777777" w:rsidR="0096623D" w:rsidRPr="00871F32" w:rsidRDefault="0096623D" w:rsidP="00644925">
            <w:pPr>
              <w:spacing w:after="0"/>
              <w:jc w:val="center"/>
              <w:rPr>
                <w:b/>
                <w:lang w:val="hy-AM"/>
              </w:rPr>
            </w:pPr>
            <w:r w:rsidRPr="00871F32">
              <w:rPr>
                <w:b/>
                <w:lang w:val="hy-AM"/>
              </w:rPr>
              <w:t>Ընդունվել է։</w:t>
            </w:r>
          </w:p>
          <w:p w14:paraId="76D28E60" w14:textId="77777777" w:rsidR="0096623D" w:rsidRPr="00871F32" w:rsidRDefault="0096623D" w:rsidP="00D85760">
            <w:pPr>
              <w:spacing w:after="0"/>
              <w:jc w:val="both"/>
              <w:rPr>
                <w:bCs/>
                <w:lang w:val="hy-AM"/>
              </w:rPr>
            </w:pPr>
            <w:r w:rsidRPr="00871F32">
              <w:rPr>
                <w:bCs/>
                <w:lang w:val="hy-AM"/>
              </w:rPr>
              <w:t>Հավելված 1-ի համապատասխան դրույթում «իրագործման» բառը փոխարինվել է «իրականացման» բառով՝ ապահովելով տերմինաբանական միասնականությունը և համապատասխանեցնելով 2-րդ գլխի վերտառությանը։</w:t>
            </w:r>
          </w:p>
          <w:p w14:paraId="25148E80" w14:textId="77777777" w:rsidR="0096623D" w:rsidRPr="00871F32" w:rsidRDefault="0096623D" w:rsidP="00D85760">
            <w:pPr>
              <w:spacing w:after="0"/>
              <w:jc w:val="both"/>
              <w:rPr>
                <w:bCs/>
                <w:lang w:val="hy-AM"/>
              </w:rPr>
            </w:pPr>
          </w:p>
        </w:tc>
      </w:tr>
      <w:tr w:rsidR="0096623D" w:rsidRPr="00871F32" w14:paraId="74EFE370"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2028ED7"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041AC6A9"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7</w:t>
            </w:r>
            <w:r w:rsidRPr="00871F32">
              <w:rPr>
                <w:rFonts w:ascii="Cambria Math" w:hAnsi="Cambria Math" w:cs="Cambria Math"/>
                <w:bCs/>
                <w:noProof/>
                <w:lang w:val="hy-AM"/>
              </w:rPr>
              <w:t>․</w:t>
            </w:r>
            <w:r w:rsidRPr="00871F32">
              <w:rPr>
                <w:rFonts w:cs="Sylfaen"/>
                <w:bCs/>
                <w:noProof/>
                <w:lang w:val="hy-AM"/>
              </w:rPr>
              <w:t xml:space="preserve"> Հավելված 1-ի 3-րդ գլուխը վերնագրված է «Ծրագրի իրականացման սկզբունքները», սակայն դրանում ներառված կարգավորումների զգալի մասը, ըստ էության, վերաբերում է </w:t>
            </w:r>
            <w:r w:rsidRPr="00871F32">
              <w:rPr>
                <w:rFonts w:cs="Sylfaen"/>
                <w:bCs/>
                <w:noProof/>
                <w:lang w:val="hy-AM"/>
              </w:rPr>
              <w:lastRenderedPageBreak/>
              <w:t>ծրագրի իրականացման առաջնահերթություններին, կազմակերպական լուծումներին, ոչ թե սկզբունքներին։ Այս համատեքստում անհասկանալի է նաև 10-րդ կետի 3-րդ ենթակետի՝ որպես սկզբունք ամրագրումը</w:t>
            </w:r>
            <w:r w:rsidRPr="00871F32">
              <w:rPr>
                <w:rFonts w:ascii="Cambria Math" w:hAnsi="Cambria Math" w:cs="Cambria Math"/>
                <w:bCs/>
                <w:noProof/>
                <w:lang w:val="hy-AM"/>
              </w:rPr>
              <w:t>․</w:t>
            </w:r>
            <w:r w:rsidRPr="00871F32">
              <w:rPr>
                <w:rFonts w:cs="Sylfaen"/>
                <w:bCs/>
                <w:noProof/>
                <w:lang w:val="hy-AM"/>
              </w:rPr>
              <w:t xml:space="preserve"> վերջինս, ըստ էության, «Փոքր և միջին ձեռնարկատիրության պետական աջակցության մասին» օրենքի 4-րդ հոդվածի ուղղակի շարադրանքն է։ </w:t>
            </w:r>
          </w:p>
          <w:p w14:paraId="372E7841" w14:textId="1AB9B815" w:rsidR="0096623D" w:rsidRPr="00871F32" w:rsidRDefault="0096623D" w:rsidP="007C5BC1">
            <w:pPr>
              <w:tabs>
                <w:tab w:val="left" w:pos="27"/>
              </w:tabs>
              <w:spacing w:after="0"/>
              <w:ind w:left="27"/>
              <w:jc w:val="both"/>
              <w:rPr>
                <w:rFonts w:cs="Sylfaen"/>
                <w:bCs/>
                <w:noProof/>
                <w:lang w:val="hy-AM"/>
              </w:rPr>
            </w:pPr>
            <w:r w:rsidRPr="00871F32">
              <w:rPr>
                <w:rFonts w:cs="Sylfaen"/>
                <w:bCs/>
                <w:noProof/>
                <w:lang w:val="hy-AM"/>
              </w:rPr>
              <w:t>Վերոգրյալի հաշվառմամբ, առաջարկվում է վերանայել քննարկվող գլուխը։</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55DEB51D" w14:textId="77777777" w:rsidR="0096623D" w:rsidRPr="00871F32" w:rsidRDefault="0096623D" w:rsidP="00644925">
            <w:pPr>
              <w:spacing w:after="0"/>
              <w:jc w:val="center"/>
              <w:rPr>
                <w:b/>
              </w:rPr>
            </w:pPr>
            <w:r w:rsidRPr="00871F32">
              <w:rPr>
                <w:b/>
              </w:rPr>
              <w:lastRenderedPageBreak/>
              <w:t>Մասամբ է ընդունվել։</w:t>
            </w:r>
          </w:p>
          <w:p w14:paraId="092529F9" w14:textId="190E54FA" w:rsidR="0096623D" w:rsidRPr="00871F32" w:rsidRDefault="0096623D" w:rsidP="00D85760">
            <w:pPr>
              <w:spacing w:after="0"/>
              <w:jc w:val="both"/>
              <w:rPr>
                <w:bCs/>
                <w:lang w:val="hy-AM"/>
              </w:rPr>
            </w:pPr>
            <w:r w:rsidRPr="00871F32">
              <w:rPr>
                <w:bCs/>
                <w:lang w:val="hy-AM"/>
              </w:rPr>
              <w:t xml:space="preserve">Հավելված 1-ի 3-րդ գլուխը վերանայվել է՝ դրանում ներառված դրույթների ձևակերպումները հստակեցնելու և Ծրագրի </w:t>
            </w:r>
            <w:r w:rsidRPr="00871F32">
              <w:rPr>
                <w:bCs/>
                <w:lang w:val="hy-AM"/>
              </w:rPr>
              <w:lastRenderedPageBreak/>
              <w:t>իրականացման սկզբունքները, առաջնահերթություններն ու կազմակերպական մոտեցումները առավել համահունչ ներկայացնելու նպատակով։</w:t>
            </w:r>
          </w:p>
          <w:p w14:paraId="0CC822E8" w14:textId="241336E3" w:rsidR="0096623D" w:rsidRPr="00871F32" w:rsidRDefault="0096623D" w:rsidP="00D85760">
            <w:pPr>
              <w:spacing w:after="0"/>
              <w:jc w:val="both"/>
              <w:rPr>
                <w:bCs/>
                <w:lang w:val="hy-AM"/>
              </w:rPr>
            </w:pPr>
            <w:r w:rsidRPr="00871F32">
              <w:rPr>
                <w:bCs/>
                <w:lang w:val="hy-AM"/>
              </w:rPr>
              <w:t>Միաժամանակ, գլխում պահպանվել են այն դրույթները, որոնք բխում են «Փոքր և միջին ձեռնարկատիրության պետական աջակցության մասին» օրենքի 4-րդ հոդվածից, քանի որ դրանք արտացոլում են Ծրագրի ֆինանսավորման և իրականացման ընդհանուր իրավական հիմքերը։</w:t>
            </w:r>
          </w:p>
        </w:tc>
      </w:tr>
      <w:tr w:rsidR="0096623D" w:rsidRPr="00871F32" w14:paraId="2BAAF810"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796FAF2"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74C04E48"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8. Հավելված 1-ի 11-րդ կետով նախատեսվում են քննարկվող ծրագրի շրջանակում իրականացվող միջոցառումները։ Հարկ է նկատել, որ անհասկանալի է այդ միջոցառումների սահմանումը Հավելված 1-ում՝ Նախագծի 1-ին կետի 2-րդ ենթակետով ծրագրի իրականացման միջոցառումների ցանկի և ժամանակացույցի վերաբերյալ առանձին հավելված նախատեսված լինելու պայմաններում։</w:t>
            </w:r>
          </w:p>
          <w:p w14:paraId="5625EBEF" w14:textId="77777777" w:rsidR="0096623D" w:rsidRPr="00871F32" w:rsidRDefault="0096623D" w:rsidP="001471CF">
            <w:pPr>
              <w:tabs>
                <w:tab w:val="left" w:pos="27"/>
              </w:tabs>
              <w:spacing w:after="0"/>
              <w:ind w:left="27"/>
              <w:jc w:val="both"/>
              <w:rPr>
                <w:rFonts w:cs="Sylfaen"/>
                <w:bCs/>
                <w:noProof/>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5D0B2041" w14:textId="77777777" w:rsidR="0096623D" w:rsidRPr="00871F32" w:rsidRDefault="0096623D" w:rsidP="00644925">
            <w:pPr>
              <w:spacing w:after="0"/>
              <w:jc w:val="center"/>
              <w:rPr>
                <w:b/>
                <w:lang w:val="hy-AM"/>
              </w:rPr>
            </w:pPr>
            <w:r w:rsidRPr="00871F32">
              <w:rPr>
                <w:b/>
                <w:lang w:val="hy-AM"/>
              </w:rPr>
              <w:t>Ընդունվել է։</w:t>
            </w:r>
          </w:p>
          <w:p w14:paraId="0EE14F5C" w14:textId="77777777" w:rsidR="0096623D" w:rsidRPr="00871F32" w:rsidRDefault="0096623D" w:rsidP="00D85760">
            <w:pPr>
              <w:spacing w:after="0"/>
              <w:jc w:val="both"/>
              <w:rPr>
                <w:bCs/>
                <w:lang w:val="hy-AM"/>
              </w:rPr>
            </w:pPr>
            <w:r w:rsidRPr="00871F32">
              <w:rPr>
                <w:bCs/>
                <w:lang w:val="hy-AM"/>
              </w:rPr>
              <w:t>Նախագծի կառուցվածքը լրամշակվել է։ Ծրագրի իրականացման միջոցառումների ցանկը և ժամանակացույցը այլևս չեն նախատեսվում որպես առանձին ինքնուրույն հավելված, այլ ներառվել են Ծրագրի կազմում՝ որպես դրա բաղկացուցիչ մաս։</w:t>
            </w:r>
          </w:p>
          <w:p w14:paraId="07D9053F" w14:textId="102D65FA" w:rsidR="0096623D" w:rsidRPr="00871F32" w:rsidRDefault="0096623D" w:rsidP="00D85760">
            <w:pPr>
              <w:spacing w:after="0"/>
              <w:jc w:val="both"/>
              <w:rPr>
                <w:bCs/>
                <w:lang w:val="hy-AM"/>
              </w:rPr>
            </w:pPr>
            <w:r w:rsidRPr="00871F32">
              <w:rPr>
                <w:bCs/>
                <w:lang w:val="hy-AM"/>
              </w:rPr>
              <w:t>Նշված փոփոխության արդյունքում վերացվել է Հավելված 1-ում միջոցառումների սահմանման և առանձին հավելվածով միջոցառումների ցանկի ու ժամանակացույցի հաստատման միջև առկա կառուցվածքային կրկնությունը։</w:t>
            </w:r>
          </w:p>
        </w:tc>
      </w:tr>
      <w:tr w:rsidR="0096623D" w:rsidRPr="00871F32" w14:paraId="2FA9A938"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90EDB6D"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4762F751"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9</w:t>
            </w:r>
            <w:r w:rsidRPr="00871F32">
              <w:rPr>
                <w:rFonts w:ascii="Cambria Math" w:hAnsi="Cambria Math" w:cs="Cambria Math"/>
                <w:bCs/>
                <w:noProof/>
                <w:lang w:val="hy-AM"/>
              </w:rPr>
              <w:t>․</w:t>
            </w:r>
            <w:r w:rsidRPr="00871F32">
              <w:rPr>
                <w:rFonts w:cs="Sylfaen"/>
                <w:bCs/>
                <w:noProof/>
                <w:lang w:val="hy-AM"/>
              </w:rPr>
              <w:t xml:space="preserve"> Հավելված 1-ի 20-րդ կետի համաձայն՝ (…) Գնահատող հանձնաժողովի անդամ չեն կարող լինել շահառու հանդիսացող կամ շահառուի հետ փոխկապակցված անձինք, ինչպես նաև շահերի բախում ունեցող այլ անձինք։</w:t>
            </w:r>
          </w:p>
          <w:p w14:paraId="3AB6C78D"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 xml:space="preserve">Վերոգրյալի կապակցությամբ հարկ է նկատել, որ «շահառուի հետ փոխկապակցված անձինք» և «շահերի բախում ունեցող այլ անձինք» ձևակերպումներն անորոշ են, Հավելված 1-ում հստակեցված չէ «շահառուի հետ փոխկապակցված անձանց» և «շահերի բախում ունեցող այլ անձանց» շրջանակը: Իրավական որոշակիության սկզբունքի տեսանկյունից՝ կարող է ստեղծվել </w:t>
            </w:r>
            <w:r w:rsidRPr="00871F32">
              <w:rPr>
                <w:rFonts w:cs="Sylfaen"/>
                <w:bCs/>
                <w:noProof/>
                <w:lang w:val="hy-AM"/>
              </w:rPr>
              <w:lastRenderedPageBreak/>
              <w:t>իրավիճակ, երբ Օպերատորը կամ լիազոր մարմինը ունեն լայն հայեցողական հնարավորություն՝ առանց հստակ, կանխատեսելի և օբյեկտիվ չափանիշների կիրառման, հանձնաժողովի կազմից ցանկացած անձի հեռացնելու՝ նրան որակելով որպես «փոխկապակցված անձ» կամ «շահերի բախման մեջ գտնվող այլ անձ»։</w:t>
            </w:r>
          </w:p>
          <w:p w14:paraId="11123FFF"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Նման կարգավորումը կարող է հանգեցնել իրավական անորոշության և կամայական կիրառման ռիսկի, քանի որ որոշումների կայացումը հիմնվում է գերազանցապես գնահատողական մոտեցումների վրա՝ առանց հստակ և բավարար իրավական չափանիշների։</w:t>
            </w:r>
          </w:p>
          <w:p w14:paraId="042DCFF7"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Բացի այդ, Նախագծով կարգավորված չեն այն դեպքերը, երբ Հանձնաժողովի կազմում ընդգրկվելուց հետո է առաջանում շահերի բախման իրավիճակ:</w:t>
            </w:r>
          </w:p>
          <w:p w14:paraId="6C8FDE4A"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Ուստի, առաջարկվում է հստակեցնել «շահառուի հետ փոխկապակցված անձինք» և «շահերի բախում ունեցող այլ անձինք» հասկացությունները և կարգավորումներ նախատեսել հետագայում շահերի բախման իրավիճակներ առաջանալու հնարավոր դեպքերի համար:</w:t>
            </w:r>
          </w:p>
          <w:p w14:paraId="3A04BCCA" w14:textId="77777777" w:rsidR="0096623D" w:rsidRPr="00871F32" w:rsidRDefault="0096623D" w:rsidP="001471CF">
            <w:pPr>
              <w:tabs>
                <w:tab w:val="left" w:pos="27"/>
              </w:tabs>
              <w:spacing w:after="0"/>
              <w:ind w:left="27"/>
              <w:jc w:val="both"/>
              <w:rPr>
                <w:rFonts w:cs="Sylfaen"/>
                <w:bCs/>
                <w:noProof/>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4910B436" w14:textId="77777777" w:rsidR="0096623D" w:rsidRPr="00871F32" w:rsidRDefault="0096623D" w:rsidP="00644925">
            <w:pPr>
              <w:spacing w:after="0"/>
              <w:jc w:val="center"/>
              <w:rPr>
                <w:b/>
                <w:lang w:val="hy-AM"/>
              </w:rPr>
            </w:pPr>
            <w:r w:rsidRPr="00871F32">
              <w:rPr>
                <w:b/>
                <w:lang w:val="hy-AM"/>
              </w:rPr>
              <w:lastRenderedPageBreak/>
              <w:t>Ընդունվել է։</w:t>
            </w:r>
          </w:p>
          <w:p w14:paraId="20DE47F9" w14:textId="77777777" w:rsidR="0096623D" w:rsidRPr="00871F32" w:rsidRDefault="0096623D" w:rsidP="00D85760">
            <w:pPr>
              <w:spacing w:after="0"/>
              <w:jc w:val="both"/>
              <w:rPr>
                <w:bCs/>
                <w:lang w:val="hy-AM"/>
              </w:rPr>
            </w:pPr>
            <w:r w:rsidRPr="00871F32">
              <w:rPr>
                <w:bCs/>
                <w:lang w:val="hy-AM"/>
              </w:rPr>
              <w:t>Նախագիծը լրամշակվել է՝ հստակեցնելով Գնահատող հանձնաժողովի անդամներին ներկայացվող սահմանափակումները, փոխկապակցվածության և շահերի բախման դեպքերը, ինչպես նաև շահերի բախում առաջանալու դեպքում կիրառվող ընթացակարգը։</w:t>
            </w:r>
          </w:p>
          <w:p w14:paraId="0A7BD275" w14:textId="77777777" w:rsidR="0096623D" w:rsidRPr="00871F32" w:rsidRDefault="0096623D" w:rsidP="00D85760">
            <w:pPr>
              <w:spacing w:after="0"/>
              <w:jc w:val="both"/>
              <w:rPr>
                <w:bCs/>
                <w:lang w:val="hy-AM"/>
              </w:rPr>
            </w:pPr>
            <w:r w:rsidRPr="00871F32">
              <w:rPr>
                <w:bCs/>
                <w:lang w:val="hy-AM"/>
              </w:rPr>
              <w:t xml:space="preserve">Մասնավորապես, նախագծով նախատեսվել է, որ Հանձնաժողովի անդամ չեն կարող լինել տվյալ միջոցառման շահառու կամ հայտատու հանդիսացող անձինք, Հայաստանի Հանրապետության օրենսդրությամբ հայտատուի կամ </w:t>
            </w:r>
            <w:r w:rsidRPr="00871F32">
              <w:rPr>
                <w:bCs/>
                <w:lang w:val="hy-AM"/>
              </w:rPr>
              <w:lastRenderedPageBreak/>
              <w:t>շահառուի հետ փոխկապակցված անձինք, ինչպես նաև այն անձինք, որոնք ունեն անձնական, գույքային կամ ոչ գույքային շահագրգռվածություն համապատասխան հայտի գնահատման արդյունքի նկատմամբ կամ գտնվում են այնպիսի այլ իրավիճակում, որը կարող է ազդել կամ ողջամտորեն կասկածի տակ դնել նրանց անաչառությունն ու օբյեկտիվությունը։</w:t>
            </w:r>
          </w:p>
          <w:p w14:paraId="4B45926B" w14:textId="77777777" w:rsidR="0096623D" w:rsidRPr="00871F32" w:rsidRDefault="0096623D" w:rsidP="00D85760">
            <w:pPr>
              <w:spacing w:after="0"/>
              <w:jc w:val="both"/>
              <w:rPr>
                <w:bCs/>
                <w:lang w:val="hy-AM"/>
              </w:rPr>
            </w:pPr>
            <w:r w:rsidRPr="00871F32">
              <w:rPr>
                <w:bCs/>
                <w:lang w:val="hy-AM"/>
              </w:rPr>
              <w:t>Բացի այդ, նախագծով սահմանվել է շահերի բախման հասկացությունը Ծրագրի իմաստով, ինչպես նաև նախատեսվել է, որ Հանձնաժողովի անդամի մոտ շահերի բախման, այդ թվում՝ հնարավոր կամ իրական շահերի բախման հանգամանք առաջանալու կամ դրա մասին հայտնի դառնալու դեպքում Հանձնաժողովի անդամը պարտավոր է անհապաղ, բայց ոչ ուշ, քան հաջորդ աշխատանքային օրը, գրավոր կամ էլեկտրոնային եղանակով տեղեկացնել Օպերատորին (Օպերատորներին), հայտնել ինքնաբացարկ և չմասնակցել համապատասխան հայտի քննարկմանը, գնահատմանը, քվեարկությանը և դրա վերաբերյալ որոշման ընդունմանը։</w:t>
            </w:r>
          </w:p>
          <w:p w14:paraId="62CB6334" w14:textId="38ADF48C" w:rsidR="0096623D" w:rsidRPr="00871F32" w:rsidRDefault="0096623D" w:rsidP="00D85760">
            <w:pPr>
              <w:spacing w:after="0"/>
              <w:jc w:val="both"/>
              <w:rPr>
                <w:bCs/>
                <w:lang w:val="hy-AM"/>
              </w:rPr>
            </w:pPr>
            <w:r w:rsidRPr="00871F32">
              <w:rPr>
                <w:bCs/>
                <w:lang w:val="hy-AM"/>
              </w:rPr>
              <w:t>Նախագծով նաև ամրագրվել է, որ ինքնաբացարկ հայտնած Հանձնաժողովի անդամի կողմից համապատասխան հայտի վերաբերյալ կատարված գնահատումը, հայտնած դիրքորոշումը կամ տրված ձայնը հաշվի չեն առնվում համապատասխան որոշման ընդունման ժամանակ։</w:t>
            </w:r>
          </w:p>
        </w:tc>
      </w:tr>
      <w:tr w:rsidR="0096623D" w:rsidRPr="00871F32" w14:paraId="316E3EE8"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D6C1DC9"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4B3FA1FE"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10</w:t>
            </w:r>
            <w:r w:rsidRPr="00871F32">
              <w:rPr>
                <w:rFonts w:ascii="Cambria Math" w:hAnsi="Cambria Math" w:cs="Cambria Math"/>
                <w:bCs/>
                <w:noProof/>
                <w:lang w:val="hy-AM"/>
              </w:rPr>
              <w:t>․</w:t>
            </w:r>
            <w:r w:rsidRPr="00871F32">
              <w:rPr>
                <w:rFonts w:cs="Sylfaen"/>
                <w:bCs/>
                <w:noProof/>
                <w:lang w:val="hy-AM"/>
              </w:rPr>
              <w:t xml:space="preserve"> Նախագծում օգտագործվում են մի շարք գնահատողական բնույթի ձևակերպումներ, ինչպիսիք են՝ «հեռանկարային», «կենսունակ», «նորարարական», «արտահանման ներուժ ունեցող», «գործարար գաղափարի կենսունակության մակարդակ» </w:t>
            </w:r>
            <w:r w:rsidRPr="00871F32">
              <w:rPr>
                <w:rFonts w:cs="Sylfaen"/>
                <w:bCs/>
                <w:noProof/>
                <w:lang w:val="hy-AM"/>
              </w:rPr>
              <w:lastRenderedPageBreak/>
              <w:t>ձևակերպումները, սակայն նախատեսված չեն դրանց գնահատման չափանիշները։ Նման ձևակերպումները լայն հայեցողություն են վերապահում Նախագծի իմաստով օպերատորներին և գնահատող հանձնաժողովներին, ինչը կարող է հանգեցնել տարբեր շահառուների նկատմամբ ոչ միասնական մոտեցումների և որոշումների կանխատեսելիության նվազեցման։ Ուստի, առաջարկվում է սահմանել առնվազն այդ չափանիշների ընդհանուր շրջանակը կամ գնահատման հիմնական ցուցիչները՝ իրավական որոշակիություն և կանխատեսելիություն ապահովելու նկատառումով։</w:t>
            </w:r>
          </w:p>
          <w:p w14:paraId="47BF8049" w14:textId="77777777" w:rsidR="0096623D" w:rsidRPr="00871F32" w:rsidRDefault="0096623D" w:rsidP="001471CF">
            <w:pPr>
              <w:tabs>
                <w:tab w:val="left" w:pos="27"/>
              </w:tabs>
              <w:spacing w:after="0"/>
              <w:ind w:left="27"/>
              <w:jc w:val="both"/>
              <w:rPr>
                <w:rFonts w:cs="Sylfaen"/>
                <w:bCs/>
                <w:noProof/>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0FF20CA2" w14:textId="77777777" w:rsidR="0096623D" w:rsidRPr="00871F32" w:rsidRDefault="0096623D" w:rsidP="00644925">
            <w:pPr>
              <w:spacing w:after="0"/>
              <w:jc w:val="center"/>
              <w:rPr>
                <w:b/>
                <w:lang w:val="hy-AM"/>
              </w:rPr>
            </w:pPr>
            <w:r w:rsidRPr="00871F32">
              <w:rPr>
                <w:b/>
                <w:lang w:val="hy-AM"/>
              </w:rPr>
              <w:lastRenderedPageBreak/>
              <w:t>Ընդունվել է։</w:t>
            </w:r>
          </w:p>
          <w:p w14:paraId="41E79C4D" w14:textId="75A03F70" w:rsidR="0096623D" w:rsidRPr="00871F32" w:rsidRDefault="0096623D" w:rsidP="00D85760">
            <w:pPr>
              <w:spacing w:after="0"/>
              <w:jc w:val="both"/>
              <w:rPr>
                <w:bCs/>
                <w:lang w:val="hy-AM"/>
              </w:rPr>
            </w:pPr>
            <w:r w:rsidRPr="00871F32">
              <w:rPr>
                <w:bCs/>
                <w:lang w:val="hy-AM"/>
              </w:rPr>
              <w:t xml:space="preserve">Նախագիծը լրամշակվել է՝ գնահատողական բնույթի ձևակերպումների կիրառման պայմանները հստակեցնելու և շահառուների ընտրության գործընթացում իրավական </w:t>
            </w:r>
            <w:r w:rsidRPr="00871F32">
              <w:rPr>
                <w:bCs/>
                <w:lang w:val="hy-AM"/>
              </w:rPr>
              <w:lastRenderedPageBreak/>
              <w:t>որոշակիություն ու կանխատեսելիություն ապահովելու նպատակով։</w:t>
            </w:r>
            <w:r w:rsidR="002F5A4E" w:rsidRPr="00871F32">
              <w:rPr>
                <w:bCs/>
                <w:lang w:val="hy-AM"/>
              </w:rPr>
              <w:t xml:space="preserve"> </w:t>
            </w:r>
            <w:r w:rsidRPr="00871F32">
              <w:rPr>
                <w:bCs/>
                <w:lang w:val="hy-AM"/>
              </w:rPr>
              <w:t>Մասնավորապես, նախագծով նախատեսվել է, որ Ծրագրով կիրառվող գնահատողական չափանիշների բովանդակությունը, գնահատման ցուցիչները, միավորների բաշխման կարգը, նվազագույն անցողիկ շեմերը և գնահատման մեթոդաբանությունը սահմանվում են լիազոր մարմնի կողմից հաստատվող Ծրագրի իրականացման կարգով։</w:t>
            </w:r>
            <w:r w:rsidR="002F5A4E" w:rsidRPr="00871F32">
              <w:rPr>
                <w:bCs/>
                <w:lang w:val="hy-AM"/>
              </w:rPr>
              <w:t xml:space="preserve"> </w:t>
            </w:r>
            <w:r w:rsidRPr="00871F32">
              <w:rPr>
                <w:bCs/>
                <w:lang w:val="hy-AM"/>
              </w:rPr>
              <w:t>Միաժամանակ, շահառուների գնահատման համար նախագծում ամրագրվել է հիմնական չափանիշների ընդհանուր շրջանակը, ներառյալ՝ ներկայացված գործարար գաղափարի կենսունակության մակարդակը, շուկայի վերլուծության և բիզնես նախաձեռնության հիմնավորվածության մակարդակը, շահառուի գործունեության իրականացման ներուժը, այդ թվում՝ տարածքային զարգացման խթանման հնարավորությունը, ինչպես նաև գործունեության նորարարական կամ մրցունակության բարձրացման բաղադրիչի առկայությունը։</w:t>
            </w:r>
          </w:p>
          <w:p w14:paraId="18A94950" w14:textId="1FAEAC91" w:rsidR="0096623D" w:rsidRPr="00871F32" w:rsidRDefault="0096623D" w:rsidP="00D85760">
            <w:pPr>
              <w:spacing w:after="0"/>
              <w:jc w:val="both"/>
              <w:rPr>
                <w:bCs/>
                <w:lang w:val="hy-AM"/>
              </w:rPr>
            </w:pPr>
            <w:r w:rsidRPr="00871F32">
              <w:rPr>
                <w:bCs/>
                <w:lang w:val="hy-AM"/>
              </w:rPr>
              <w:t>Նշված մոտեցումը հնարավորություն է տալիս պահպանել ծրագրի հիմնական քաղաքական ուղղվածությունը՝ միաժամանակ գնահատման մանրամասն մեթոդաբանությունը, կշիռները և չափելի ցուցանիշները սահմանելով լիազոր մարմնի կողմից հաստատվող կարգով՝ ապահովելով գնահատման միասնական, թափանցիկ և կանխատեսելի իրականացումը։</w:t>
            </w:r>
          </w:p>
        </w:tc>
      </w:tr>
      <w:tr w:rsidR="0096623D" w:rsidRPr="00871F32" w14:paraId="00BB55CD"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5A7734D"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7EEAAF92" w14:textId="77777777"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11</w:t>
            </w:r>
            <w:r w:rsidRPr="00871F32">
              <w:rPr>
                <w:rFonts w:ascii="Cambria Math" w:hAnsi="Cambria Math" w:cs="Cambria Math"/>
                <w:bCs/>
                <w:noProof/>
                <w:lang w:val="hy-AM"/>
              </w:rPr>
              <w:t>․</w:t>
            </w:r>
            <w:r w:rsidRPr="00871F32">
              <w:rPr>
                <w:rFonts w:cs="Sylfaen"/>
                <w:bCs/>
                <w:noProof/>
                <w:lang w:val="hy-AM"/>
              </w:rPr>
              <w:t xml:space="preserve"> Հավելված 1-ի 36-րդ կետի համաձայն՝ անհրաժեշտության դեպքում, ինչպես նաև այն դեպքում, երբ Ծրագրի արդյունքային ցուցանիշների կատարումը 80 տոկոսից ցածր է, լիազոր մարմնի նախաձեռնությամբ կարող է իրականացվել Ծրագրի </w:t>
            </w:r>
            <w:r w:rsidRPr="00871F32">
              <w:rPr>
                <w:rFonts w:cs="Sylfaen"/>
                <w:bCs/>
                <w:noProof/>
                <w:lang w:val="hy-AM"/>
              </w:rPr>
              <w:lastRenderedPageBreak/>
              <w:t>արդյունքների անկախ գնահատում «Հայաստանի Հանրապետության օրենսդրությամբ սահմանված կարգով։</w:t>
            </w:r>
          </w:p>
          <w:p w14:paraId="33FF3CB8" w14:textId="0C5E72BF"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Հարկ է նկատել, որ քննարկվող կետում օգտագործվող «անհրաժեշտության դեպքում» ձևակերպումը գնահատողական կատեգորիա է և իրավական որոշակիության տեսանկյունից՝ խնդրահարույց, քանի որ կարգավորումից պարզ չէ, թե որ դեպքերում կամ ինչ չափանիշների հիման վրա է որոշվելու նման անհրաժեշտության առկայությունը։</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720DDF00" w14:textId="77777777" w:rsidR="0096623D" w:rsidRPr="00871F32" w:rsidRDefault="0096623D" w:rsidP="00644925">
            <w:pPr>
              <w:spacing w:after="0"/>
              <w:jc w:val="center"/>
              <w:rPr>
                <w:b/>
                <w:lang w:val="hy-AM"/>
              </w:rPr>
            </w:pPr>
            <w:r w:rsidRPr="00871F32">
              <w:rPr>
                <w:b/>
                <w:lang w:val="hy-AM"/>
              </w:rPr>
              <w:lastRenderedPageBreak/>
              <w:t>Ընդունվել է։</w:t>
            </w:r>
          </w:p>
          <w:p w14:paraId="61C94079" w14:textId="4F3EF229" w:rsidR="0096623D" w:rsidRPr="00871F32" w:rsidRDefault="0096623D" w:rsidP="00D85760">
            <w:pPr>
              <w:spacing w:after="0"/>
              <w:jc w:val="both"/>
              <w:rPr>
                <w:bCs/>
                <w:lang w:val="hy-AM"/>
              </w:rPr>
            </w:pPr>
            <w:r w:rsidRPr="00871F32">
              <w:rPr>
                <w:bCs/>
                <w:lang w:val="hy-AM"/>
              </w:rPr>
              <w:t>Նախագծի համապատասխան դրույթը լրամշակվել է՝ հանելով «անհրաժեշտության դեպքում» գնահատողական ձևակերպումը։</w:t>
            </w:r>
            <w:r w:rsidR="002F5A4E" w:rsidRPr="00871F32">
              <w:rPr>
                <w:bCs/>
                <w:lang w:val="hy-AM"/>
              </w:rPr>
              <w:t xml:space="preserve"> </w:t>
            </w:r>
            <w:r w:rsidRPr="00871F32">
              <w:rPr>
                <w:bCs/>
                <w:lang w:val="hy-AM"/>
              </w:rPr>
              <w:t xml:space="preserve">Լրամշակված նախագծով սահմանվել է, որ եթե </w:t>
            </w:r>
            <w:r w:rsidRPr="00871F32">
              <w:rPr>
                <w:bCs/>
                <w:lang w:val="hy-AM"/>
              </w:rPr>
              <w:lastRenderedPageBreak/>
              <w:t>Ծրագրի արդյունքային ցուցանիշների կատարումը 80 տոկոսից ցածր է, լիազոր մարմինը կարող է նախաձեռնել անկախ գնահատում՝ Հայաստանի Հանրապետության օրենսդրությամբ սահմանված կարգով։</w:t>
            </w:r>
            <w:r w:rsidR="002F5A4E" w:rsidRPr="00871F32">
              <w:rPr>
                <w:bCs/>
                <w:lang w:val="hy-AM"/>
              </w:rPr>
              <w:t xml:space="preserve"> </w:t>
            </w:r>
            <w:r w:rsidRPr="00871F32">
              <w:rPr>
                <w:bCs/>
                <w:lang w:val="hy-AM"/>
              </w:rPr>
              <w:t>Նշված փոփոխությամբ անկախ գնահատման իրականացման հիմքը կապվել է չափելի ցուցանիշի՝ Ծրագրի արդյունքային ցուցանիշների կատարման մակարդակի հետ, ինչի արդյունքում ապահովվել է դրույթի իրավական որոշակիությունն ու կանխատեսելիությունը։</w:t>
            </w:r>
          </w:p>
        </w:tc>
      </w:tr>
      <w:tr w:rsidR="0096623D" w:rsidRPr="00871F32" w14:paraId="18A38C7C"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B7C5D7A" w14:textId="77777777" w:rsidR="0096623D" w:rsidRPr="00871F32" w:rsidRDefault="0096623D"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3D1ABFB4" w14:textId="50F4C4E9" w:rsidR="0096623D" w:rsidRPr="00871F32" w:rsidRDefault="0096623D" w:rsidP="001471CF">
            <w:pPr>
              <w:tabs>
                <w:tab w:val="left" w:pos="27"/>
              </w:tabs>
              <w:spacing w:after="0"/>
              <w:ind w:left="27"/>
              <w:jc w:val="both"/>
              <w:rPr>
                <w:rFonts w:cs="Sylfaen"/>
                <w:bCs/>
                <w:noProof/>
                <w:lang w:val="hy-AM"/>
              </w:rPr>
            </w:pPr>
            <w:r w:rsidRPr="00871F32">
              <w:rPr>
                <w:rFonts w:cs="Sylfaen"/>
                <w:bCs/>
                <w:noProof/>
                <w:lang w:val="hy-AM"/>
              </w:rPr>
              <w:t>12</w:t>
            </w:r>
            <w:r w:rsidRPr="00871F32">
              <w:rPr>
                <w:rFonts w:ascii="Cambria Math" w:hAnsi="Cambria Math" w:cs="Cambria Math"/>
                <w:bCs/>
                <w:noProof/>
                <w:lang w:val="hy-AM"/>
              </w:rPr>
              <w:t>․</w:t>
            </w:r>
            <w:r w:rsidRPr="00871F32">
              <w:rPr>
                <w:rFonts w:cs="Sylfaen"/>
                <w:bCs/>
                <w:noProof/>
                <w:lang w:val="hy-AM"/>
              </w:rPr>
              <w:t xml:space="preserve"> Նախագծում առկա են նաև տեխնիկական բնույթի մի շարք թերություններ, որպիսիք շտկման կարիք ունեն։ Օրինակ՝ Հավելված 1-ի 1-ին կետում «ծրագիրը» բառի փոխարեն պետք է կիրառվի «ծրագրի» բառը, 19-րդ կետում «Օպերատոր(ներ)ի» բառի փոխարեն՝ «Օպերատոր(ներ)ը» բառը, 21-րդ և 31-րդ կետերում «Օպերատոր(ներ)ը պարտավոր է» բառերի փոխարեն՝ «Օպերատոր(ներ)ը պարտավոր է (են)» բառերը, 23-րդ կետում՝ «Օպերատոր(ներ)ը կարող է» բառերի փոխարեն՝ «Օպերատոր(ներ)ը կարող է (են)» բառերը, 27-րդ կետով նախատեսված է, որ «Օպերատոր(ներ)ի կողմից ներգրավվող համաֆինանսավորումը չի ներառվում սույն գլխի 27-րդ կետով նախատեսված ֆինանսավորման ծավալի մեջ։», սակայն քննարկվող ծրագրի ֆինանսավորման չափի վերաբերյալ կարգավորում նախատեսված է 26-րդ կետով, ոչ թե 27-րդ կետով։</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2E2CB8CD" w14:textId="77777777" w:rsidR="0096623D" w:rsidRPr="00871F32" w:rsidRDefault="0096623D" w:rsidP="00644925">
            <w:pPr>
              <w:spacing w:after="0"/>
              <w:jc w:val="center"/>
              <w:rPr>
                <w:b/>
                <w:lang w:val="hy-AM"/>
              </w:rPr>
            </w:pPr>
            <w:r w:rsidRPr="00871F32">
              <w:rPr>
                <w:b/>
                <w:lang w:val="hy-AM"/>
              </w:rPr>
              <w:t>Ընդունվել է։</w:t>
            </w:r>
          </w:p>
          <w:p w14:paraId="04BA58B5" w14:textId="77777777" w:rsidR="0096623D" w:rsidRPr="00871F32" w:rsidRDefault="0096623D" w:rsidP="00D85760">
            <w:pPr>
              <w:spacing w:after="0"/>
              <w:jc w:val="both"/>
              <w:rPr>
                <w:bCs/>
                <w:lang w:val="hy-AM"/>
              </w:rPr>
            </w:pPr>
            <w:r w:rsidRPr="00871F32">
              <w:rPr>
                <w:bCs/>
                <w:lang w:val="hy-AM"/>
              </w:rPr>
              <w:t>Նախագծում կատարվել են տեխնիկական և խմբագրական բնույթի համապատասխան շտկումներ։</w:t>
            </w:r>
          </w:p>
          <w:p w14:paraId="7BE9CF1F" w14:textId="77777777" w:rsidR="0096623D" w:rsidRPr="00871F32" w:rsidRDefault="0096623D" w:rsidP="00D85760">
            <w:pPr>
              <w:spacing w:after="0"/>
              <w:jc w:val="both"/>
              <w:rPr>
                <w:bCs/>
                <w:lang w:val="hy-AM"/>
              </w:rPr>
            </w:pPr>
            <w:r w:rsidRPr="00871F32">
              <w:rPr>
                <w:bCs/>
                <w:lang w:val="hy-AM"/>
              </w:rPr>
              <w:t>Մասնավորապես, ուղղվել են բառերի հոլովման, Օպերատորի (Օպերատորների) վերաբերյալ ձևակերպումների, եզրույթների միասնական կիրառման և ներքին հղումների հետ կապված թերությունները։ Միաժամանակ, ծրագրի ֆինանսավորման ծավալին կատարվող հղումը համապատասխանեցվել է լրամշակված նախագծի կառուցվածքին և կետերի նոր համարակալմանը։</w:t>
            </w:r>
          </w:p>
          <w:p w14:paraId="46392093" w14:textId="77777777" w:rsidR="0096623D" w:rsidRPr="00871F32" w:rsidRDefault="0096623D" w:rsidP="00D85760">
            <w:pPr>
              <w:spacing w:after="0"/>
              <w:jc w:val="both"/>
              <w:rPr>
                <w:bCs/>
                <w:lang w:val="hy-AM"/>
              </w:rPr>
            </w:pPr>
          </w:p>
        </w:tc>
      </w:tr>
      <w:tr w:rsidR="00DE2DE3" w:rsidRPr="00871F32" w14:paraId="471A88EC" w14:textId="77777777" w:rsidTr="00C5020E">
        <w:trPr>
          <w:trHeight w:val="338"/>
        </w:trPr>
        <w:tc>
          <w:tcPr>
            <w:tcW w:w="850" w:type="dxa"/>
            <w:vMerge w:val="restart"/>
            <w:tcBorders>
              <w:top w:val="single" w:sz="4" w:space="0" w:color="000000"/>
              <w:left w:val="single" w:sz="4" w:space="0" w:color="000000"/>
              <w:right w:val="single" w:sz="4" w:space="0" w:color="000000"/>
            </w:tcBorders>
            <w:shd w:val="clear" w:color="auto" w:fill="D9D9D9" w:themeFill="background1" w:themeFillShade="D9"/>
          </w:tcPr>
          <w:p w14:paraId="6937A574" w14:textId="7BD6D1CE" w:rsidR="00DE2DE3" w:rsidRPr="00DE2DE3" w:rsidRDefault="00DE2DE3" w:rsidP="00DE2DE3">
            <w:pPr>
              <w:spacing w:after="0"/>
              <w:jc w:val="both"/>
              <w:rPr>
                <w:rFonts w:ascii="Cambria Math" w:hAnsi="Cambria Math" w:cs="Cambria Math"/>
                <w:b/>
                <w:bCs/>
              </w:rPr>
            </w:pPr>
            <w:r w:rsidRPr="00DE2DE3">
              <w:rPr>
                <w:b/>
                <w:bCs/>
              </w:rPr>
              <w:t>3</w:t>
            </w:r>
            <w:r w:rsidRPr="00DE2DE3">
              <w:rPr>
                <w:rFonts w:ascii="Cambria Math" w:hAnsi="Cambria Math"/>
                <w:b/>
                <w:bCs/>
              </w:rPr>
              <w:t>․</w:t>
            </w:r>
          </w:p>
          <w:p w14:paraId="0F7DC268" w14:textId="0EA01B81" w:rsidR="00DE2DE3" w:rsidRPr="00DE2DE3" w:rsidRDefault="00DE2DE3" w:rsidP="00DE2DE3">
            <w:pPr>
              <w:spacing w:after="0"/>
              <w:jc w:val="both"/>
              <w:rPr>
                <w:b/>
                <w:bCs/>
              </w:rPr>
            </w:pPr>
          </w:p>
        </w:tc>
        <w:tc>
          <w:tcPr>
            <w:tcW w:w="6945" w:type="dxa"/>
            <w:vMerge w:val="restart"/>
            <w:tcBorders>
              <w:top w:val="single" w:sz="4" w:space="0" w:color="000000"/>
              <w:left w:val="single" w:sz="4" w:space="0" w:color="000000"/>
              <w:right w:val="single" w:sz="4" w:space="0" w:color="000000"/>
            </w:tcBorders>
            <w:shd w:val="clear" w:color="auto" w:fill="D9D9D9" w:themeFill="background1" w:themeFillShade="D9"/>
          </w:tcPr>
          <w:p w14:paraId="77A00588" w14:textId="77777777" w:rsidR="00DE2DE3" w:rsidRPr="00DE2DE3" w:rsidRDefault="00DE2DE3" w:rsidP="00DE2DE3">
            <w:pPr>
              <w:tabs>
                <w:tab w:val="left" w:pos="27"/>
              </w:tabs>
              <w:spacing w:after="0"/>
              <w:ind w:left="27"/>
              <w:jc w:val="center"/>
              <w:rPr>
                <w:b/>
                <w:bCs/>
              </w:rPr>
            </w:pPr>
            <w:r w:rsidRPr="00DE2DE3">
              <w:rPr>
                <w:b/>
                <w:bCs/>
              </w:rPr>
              <w:t>Արդարադատության նախարարություն</w:t>
            </w:r>
          </w:p>
          <w:p w14:paraId="6697BA30" w14:textId="7858D2D1" w:rsidR="00DE2DE3" w:rsidRPr="00DE2DE3" w:rsidRDefault="00DE2DE3" w:rsidP="00DE2DE3">
            <w:pPr>
              <w:tabs>
                <w:tab w:val="left" w:pos="27"/>
              </w:tabs>
              <w:spacing w:after="0"/>
              <w:ind w:left="27"/>
              <w:jc w:val="center"/>
              <w:rPr>
                <w:rFonts w:cs="Sylfaen"/>
                <w:b/>
                <w:bCs/>
                <w:noProof/>
                <w:lang w:val="hy-AM"/>
              </w:rPr>
            </w:pPr>
          </w:p>
        </w:tc>
        <w:tc>
          <w:tcPr>
            <w:tcW w:w="65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CEBC4B" w14:textId="3FC1D0CC" w:rsidR="00DE2DE3" w:rsidRPr="00DE2DE3" w:rsidRDefault="00DE2DE3" w:rsidP="00DE2DE3">
            <w:pPr>
              <w:spacing w:after="0"/>
              <w:jc w:val="center"/>
              <w:rPr>
                <w:rFonts w:ascii="Cambria Math" w:hAnsi="Cambria Math"/>
                <w:b/>
                <w:bCs/>
                <w:lang w:val="hy-AM"/>
              </w:rPr>
            </w:pPr>
            <w:r w:rsidRPr="00DE2DE3">
              <w:rPr>
                <w:b/>
                <w:bCs/>
              </w:rPr>
              <w:t>13</w:t>
            </w:r>
            <w:r w:rsidRPr="00DE2DE3">
              <w:rPr>
                <w:rFonts w:ascii="Cambria Math" w:hAnsi="Cambria Math" w:cs="Cambria Math"/>
                <w:b/>
                <w:bCs/>
              </w:rPr>
              <w:t>․</w:t>
            </w:r>
            <w:r w:rsidRPr="00DE2DE3">
              <w:rPr>
                <w:b/>
                <w:bCs/>
              </w:rPr>
              <w:t>10</w:t>
            </w:r>
            <w:r>
              <w:rPr>
                <w:rFonts w:ascii="Cambria Math" w:hAnsi="Cambria Math"/>
                <w:b/>
                <w:bCs/>
              </w:rPr>
              <w:t>․</w:t>
            </w:r>
            <w:r w:rsidRPr="00DE2DE3">
              <w:rPr>
                <w:b/>
                <w:bCs/>
              </w:rPr>
              <w:t>2026 թ</w:t>
            </w:r>
            <w:r w:rsidRPr="00DE2DE3">
              <w:rPr>
                <w:rFonts w:ascii="Cambria Math" w:hAnsi="Cambria Math" w:cs="Cambria Math"/>
                <w:b/>
                <w:bCs/>
              </w:rPr>
              <w:t>․</w:t>
            </w:r>
            <w:r w:rsidRPr="00DE2DE3">
              <w:rPr>
                <w:b/>
                <w:bCs/>
              </w:rPr>
              <w:t xml:space="preserve"> </w:t>
            </w:r>
          </w:p>
        </w:tc>
      </w:tr>
      <w:tr w:rsidR="00DE2DE3" w:rsidRPr="00871F32" w14:paraId="67AA1DE6" w14:textId="77777777" w:rsidTr="00DD21DB">
        <w:trPr>
          <w:trHeight w:val="337"/>
        </w:trPr>
        <w:tc>
          <w:tcPr>
            <w:tcW w:w="850" w:type="dxa"/>
            <w:vMerge/>
            <w:tcBorders>
              <w:left w:val="single" w:sz="4" w:space="0" w:color="000000"/>
              <w:bottom w:val="single" w:sz="4" w:space="0" w:color="auto"/>
              <w:right w:val="single" w:sz="4" w:space="0" w:color="000000"/>
            </w:tcBorders>
            <w:shd w:val="clear" w:color="auto" w:fill="D9D9D9" w:themeFill="background1" w:themeFillShade="D9"/>
          </w:tcPr>
          <w:p w14:paraId="7CB9E569" w14:textId="77777777" w:rsidR="00DE2DE3" w:rsidRPr="00DE2DE3" w:rsidRDefault="00DE2DE3" w:rsidP="00DE2DE3">
            <w:pPr>
              <w:spacing w:after="0"/>
              <w:jc w:val="both"/>
              <w:rPr>
                <w:b/>
                <w:bCs/>
              </w:rPr>
            </w:pPr>
          </w:p>
        </w:tc>
        <w:tc>
          <w:tcPr>
            <w:tcW w:w="6945" w:type="dxa"/>
            <w:vMerge/>
            <w:tcBorders>
              <w:left w:val="single" w:sz="4" w:space="0" w:color="000000"/>
              <w:bottom w:val="single" w:sz="4" w:space="0" w:color="auto"/>
              <w:right w:val="single" w:sz="4" w:space="0" w:color="000000"/>
            </w:tcBorders>
            <w:shd w:val="clear" w:color="auto" w:fill="D9D9D9" w:themeFill="background1" w:themeFillShade="D9"/>
          </w:tcPr>
          <w:p w14:paraId="02A2F36C" w14:textId="77777777" w:rsidR="00DE2DE3" w:rsidRPr="00DE2DE3" w:rsidRDefault="00DE2DE3" w:rsidP="00DE2DE3">
            <w:pPr>
              <w:tabs>
                <w:tab w:val="left" w:pos="27"/>
              </w:tabs>
              <w:spacing w:after="0"/>
              <w:ind w:left="27"/>
              <w:jc w:val="center"/>
              <w:rPr>
                <w:b/>
                <w:bCs/>
              </w:rPr>
            </w:pPr>
          </w:p>
        </w:tc>
        <w:tc>
          <w:tcPr>
            <w:tcW w:w="6522"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tcPr>
          <w:p w14:paraId="40611687" w14:textId="62058AD3" w:rsidR="00DE2DE3" w:rsidRPr="00DE2DE3" w:rsidRDefault="00DE2DE3" w:rsidP="00DE2DE3">
            <w:pPr>
              <w:spacing w:after="0"/>
              <w:jc w:val="center"/>
              <w:rPr>
                <w:rFonts w:ascii="Cambria Math" w:hAnsi="Cambria Math"/>
                <w:b/>
                <w:bCs/>
                <w:lang w:val="hy-AM"/>
              </w:rPr>
            </w:pPr>
            <w:r w:rsidRPr="00DE2DE3">
              <w:rPr>
                <w:b/>
                <w:bCs/>
              </w:rPr>
              <w:t>/27.2/54004-2026</w:t>
            </w:r>
          </w:p>
        </w:tc>
      </w:tr>
      <w:tr w:rsidR="000C067A" w:rsidRPr="00871F32" w14:paraId="769A3660" w14:textId="77777777" w:rsidTr="00DD21DB">
        <w:trPr>
          <w:trHeight w:val="2536"/>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BC5E700" w14:textId="77777777" w:rsidR="000C067A" w:rsidRPr="00871F32" w:rsidRDefault="000C067A" w:rsidP="001471CF">
            <w:pPr>
              <w:spacing w:after="0"/>
              <w:jc w:val="both"/>
              <w:rPr>
                <w:bCs/>
              </w:rPr>
            </w:pPr>
          </w:p>
        </w:tc>
        <w:tc>
          <w:tcPr>
            <w:tcW w:w="6945" w:type="dxa"/>
            <w:tcBorders>
              <w:top w:val="single" w:sz="4" w:space="0" w:color="auto"/>
              <w:left w:val="single" w:sz="4" w:space="0" w:color="auto"/>
              <w:bottom w:val="single" w:sz="4" w:space="0" w:color="auto"/>
              <w:right w:val="single" w:sz="4" w:space="0" w:color="auto"/>
            </w:tcBorders>
            <w:shd w:val="clear" w:color="auto" w:fill="auto"/>
          </w:tcPr>
          <w:p w14:paraId="029C84C1" w14:textId="77777777" w:rsidR="00DE2DE3" w:rsidRPr="003B638D" w:rsidRDefault="003B638D" w:rsidP="00DE2DE3">
            <w:pPr>
              <w:tabs>
                <w:tab w:val="left" w:pos="27"/>
              </w:tabs>
              <w:spacing w:after="0"/>
              <w:ind w:left="27"/>
              <w:jc w:val="center"/>
              <w:rPr>
                <w:b/>
                <w:bCs/>
                <w:lang w:val="hy-AM"/>
              </w:rPr>
            </w:pPr>
            <w:r w:rsidRPr="003B638D">
              <w:rPr>
                <w:rFonts w:cs="Sylfaen"/>
                <w:bCs/>
                <w:noProof/>
                <w:lang w:val="hy-AM"/>
              </w:rPr>
              <w:t>1</w:t>
            </w:r>
            <w:r w:rsidRPr="003B638D">
              <w:rPr>
                <w:rFonts w:ascii="Cambria Math" w:hAnsi="Cambria Math" w:cs="Cambria Math"/>
                <w:bCs/>
                <w:noProof/>
                <w:lang w:val="hy-AM"/>
              </w:rPr>
              <w:t>․</w:t>
            </w:r>
            <w:r w:rsidRPr="003B638D">
              <w:rPr>
                <w:rFonts w:cs="Sylfaen"/>
                <w:bCs/>
                <w:noProof/>
                <w:lang w:val="hy-AM"/>
              </w:rPr>
              <w:t xml:space="preserve"> </w:t>
            </w:r>
            <w:r w:rsidR="00DE2DE3" w:rsidRPr="003B638D">
              <w:rPr>
                <w:b/>
                <w:bCs/>
                <w:lang w:val="hy-AM"/>
              </w:rPr>
              <w:t>ՊԵՏԱԿԱՆ ՓՈՐՁԱԳԻՏԱԿԱՆ ԵԶՐԱԿԱՑՈՒԹՅՈՒՆ</w:t>
            </w:r>
          </w:p>
          <w:p w14:paraId="61ADD1E0" w14:textId="77777777" w:rsidR="00DE2DE3" w:rsidRDefault="00DE2DE3" w:rsidP="00DE2DE3">
            <w:pPr>
              <w:tabs>
                <w:tab w:val="left" w:pos="27"/>
              </w:tabs>
              <w:spacing w:after="0"/>
              <w:ind w:left="27"/>
              <w:jc w:val="center"/>
              <w:rPr>
                <w:b/>
                <w:bCs/>
                <w:lang w:val="hy-AM"/>
              </w:rPr>
            </w:pPr>
            <w:r w:rsidRPr="003B638D">
              <w:rPr>
                <w:b/>
                <w:bCs/>
                <w:lang w:val="hy-AM"/>
              </w:rPr>
              <w:t xml:space="preserve">««Փոքր և միջին ձեռնարկատիրության սուբյեկտներին աջակցության ծրագրերի համակարգում և կառավարում» միջոցառման 2026 թվականի ծրագիրը հաստատելու մասին» Հայաստանի Հանրապետության կառավարության որոշման </w:t>
            </w:r>
            <w:r w:rsidRPr="003B638D">
              <w:rPr>
                <w:b/>
                <w:bCs/>
                <w:iCs/>
                <w:lang w:val="hy-AM"/>
              </w:rPr>
              <w:t xml:space="preserve">նախագծի </w:t>
            </w:r>
            <w:r w:rsidRPr="003B638D">
              <w:rPr>
                <w:b/>
                <w:bCs/>
                <w:lang w:val="hy-AM"/>
              </w:rPr>
              <w:t>վերաբերյալ</w:t>
            </w:r>
          </w:p>
          <w:p w14:paraId="6A8DBCD4" w14:textId="50BE586F" w:rsidR="003B638D" w:rsidRPr="003B638D" w:rsidRDefault="00DE2DE3" w:rsidP="00DE2DE3">
            <w:pPr>
              <w:tabs>
                <w:tab w:val="left" w:pos="27"/>
              </w:tabs>
              <w:spacing w:after="0"/>
              <w:ind w:left="27"/>
              <w:jc w:val="both"/>
              <w:rPr>
                <w:rFonts w:cs="Sylfaen"/>
                <w:bCs/>
                <w:noProof/>
                <w:lang w:val="hy-AM"/>
              </w:rPr>
            </w:pPr>
            <w:r w:rsidRPr="00DE2DE3">
              <w:rPr>
                <w:lang w:val="hy-AM"/>
              </w:rPr>
              <w:t>1</w:t>
            </w:r>
            <w:r w:rsidRPr="00DE2DE3">
              <w:rPr>
                <w:rFonts w:ascii="Cambria Math" w:hAnsi="Cambria Math"/>
                <w:lang w:val="hy-AM"/>
              </w:rPr>
              <w:t>․</w:t>
            </w:r>
            <w:r>
              <w:rPr>
                <w:rFonts w:ascii="Cambria Math" w:hAnsi="Cambria Math"/>
                <w:b/>
                <w:bCs/>
                <w:lang w:val="hy-AM"/>
              </w:rPr>
              <w:t xml:space="preserve"> </w:t>
            </w:r>
            <w:r w:rsidR="003B638D" w:rsidRPr="003B638D">
              <w:rPr>
                <w:rFonts w:cs="Sylfaen"/>
                <w:bCs/>
                <w:noProof/>
                <w:lang w:val="hy-AM"/>
              </w:rPr>
              <w:t>Նախագծի նախաբանում՝ որպես Հայաստանի Հանրապետության կառավարության կողմից Նախագիծն ընդունելու իրավական հիմք են նշվում «Փոքր և միջին ձեռնարկատիրության պետական աջակցության մասին» օրենքի 4-րդ հոդվածը և Հայաստանի Հանրապետության կառավարության 2025 թվականի դեկտեմբերի 25-ի N 1910-Ն որոշման 11-րդ կետի 2-րդ ենթակետը։</w:t>
            </w:r>
          </w:p>
          <w:p w14:paraId="5A920B4C" w14:textId="77777777" w:rsidR="003B638D" w:rsidRPr="003B638D" w:rsidRDefault="003B638D" w:rsidP="003B638D">
            <w:pPr>
              <w:tabs>
                <w:tab w:val="left" w:pos="27"/>
              </w:tabs>
              <w:spacing w:after="0"/>
              <w:ind w:left="27"/>
              <w:jc w:val="both"/>
              <w:rPr>
                <w:rFonts w:cs="Sylfaen"/>
                <w:bCs/>
                <w:noProof/>
                <w:lang w:val="hy-AM"/>
              </w:rPr>
            </w:pPr>
            <w:r w:rsidRPr="003B638D">
              <w:rPr>
                <w:rFonts w:cs="Sylfaen"/>
                <w:bCs/>
                <w:noProof/>
                <w:lang w:val="hy-AM"/>
              </w:rPr>
              <w:t>Այս առումով հարկ է նկատել, որ Նախագիծն ընդունելու՝ Հայաստանի Հանրապետության կառավարության իրավասությունը բխում է «Փոքր և միջին ձեռնարկատիրության պետական աջակցության մասին» օրենքի 4-րդ հոդվածից։</w:t>
            </w:r>
          </w:p>
          <w:p w14:paraId="523BD420" w14:textId="2FC84D3C" w:rsidR="000C067A" w:rsidRPr="00871F32" w:rsidRDefault="003B638D" w:rsidP="003B638D">
            <w:pPr>
              <w:tabs>
                <w:tab w:val="left" w:pos="27"/>
              </w:tabs>
              <w:spacing w:after="0"/>
              <w:ind w:left="27"/>
              <w:jc w:val="both"/>
              <w:rPr>
                <w:rFonts w:cs="Sylfaen"/>
                <w:bCs/>
                <w:noProof/>
                <w:lang w:val="hy-AM"/>
              </w:rPr>
            </w:pPr>
            <w:r w:rsidRPr="003B638D">
              <w:rPr>
                <w:rFonts w:cs="Sylfaen"/>
                <w:bCs/>
                <w:noProof/>
                <w:lang w:val="hy-AM"/>
              </w:rPr>
              <w:t>Հաշվի առնելով «Նորմատիվ իրավական ակտերի մասին» օրենքի 13-րդ հոդվածի 1-ին մասի պահանջները՝ առաջարկում ենք Նախագծի նախաբանից հանել N 1910-Ն որոշման 11-րդ կետի 2-րդ ենթակետի հղումը, քանի որ հիշյալ դրույթը չի կարող դիտարկվել որպես Նախագծի լիազորող նորմ։</w:t>
            </w:r>
          </w:p>
        </w:tc>
        <w:tc>
          <w:tcPr>
            <w:tcW w:w="6522" w:type="dxa"/>
            <w:tcBorders>
              <w:top w:val="single" w:sz="4" w:space="0" w:color="auto"/>
              <w:left w:val="single" w:sz="4" w:space="0" w:color="auto"/>
              <w:bottom w:val="single" w:sz="4" w:space="0" w:color="auto"/>
              <w:right w:val="single" w:sz="4" w:space="0" w:color="auto"/>
            </w:tcBorders>
            <w:shd w:val="clear" w:color="auto" w:fill="auto"/>
          </w:tcPr>
          <w:p w14:paraId="3939494B" w14:textId="77777777" w:rsidR="00D40644" w:rsidRDefault="00D40644" w:rsidP="00644925">
            <w:pPr>
              <w:spacing w:after="0"/>
              <w:jc w:val="center"/>
              <w:rPr>
                <w:b/>
                <w:lang w:val="hy-AM"/>
              </w:rPr>
            </w:pPr>
            <w:r w:rsidRPr="00D40644">
              <w:rPr>
                <w:b/>
                <w:lang w:val="hy-AM"/>
              </w:rPr>
              <w:t xml:space="preserve">Ընդունվել է։ </w:t>
            </w:r>
          </w:p>
          <w:p w14:paraId="5C45A365" w14:textId="1120FA91" w:rsidR="000C067A" w:rsidRPr="00D40644" w:rsidRDefault="00D40644" w:rsidP="004E40E2">
            <w:pPr>
              <w:spacing w:after="0"/>
              <w:jc w:val="both"/>
              <w:rPr>
                <w:bCs/>
                <w:lang w:val="hy-AM"/>
              </w:rPr>
            </w:pPr>
            <w:r w:rsidRPr="00D40644">
              <w:rPr>
                <w:bCs/>
                <w:lang w:val="hy-AM"/>
              </w:rPr>
              <w:t>Որոշման նախագծի նախաբանից հանվել է ՀՀ կառավարության 2025 թվականի դեկտեմբերի 25-ի N 1910-Ն որոշման 11-րդ կետի 2-րդ ենթակետի հղումը։ Որպես նախագիծն ընդունելու լիազորող իրավական հիմք պահպանվել է «Փոքր և միջին ձեռնարկատիրության պետական աջակցության մասին» օրենքի 4-րդ հոդվածը։</w:t>
            </w:r>
          </w:p>
        </w:tc>
      </w:tr>
      <w:tr w:rsidR="000C067A" w:rsidRPr="00871F32" w14:paraId="491A5467" w14:textId="77777777" w:rsidTr="00DD21DB">
        <w:tc>
          <w:tcPr>
            <w:tcW w:w="850" w:type="dxa"/>
            <w:tcBorders>
              <w:top w:val="single" w:sz="4" w:space="0" w:color="auto"/>
              <w:left w:val="single" w:sz="4" w:space="0" w:color="000000"/>
              <w:bottom w:val="single" w:sz="4" w:space="0" w:color="000000"/>
              <w:right w:val="single" w:sz="4" w:space="0" w:color="000000"/>
            </w:tcBorders>
            <w:shd w:val="clear" w:color="auto" w:fill="auto"/>
          </w:tcPr>
          <w:p w14:paraId="6FD410C0" w14:textId="77777777" w:rsidR="000C067A" w:rsidRPr="00871F32" w:rsidRDefault="000C067A" w:rsidP="001471CF">
            <w:pPr>
              <w:spacing w:after="0"/>
              <w:jc w:val="both"/>
              <w:rPr>
                <w:bCs/>
              </w:rPr>
            </w:pPr>
          </w:p>
        </w:tc>
        <w:tc>
          <w:tcPr>
            <w:tcW w:w="6945" w:type="dxa"/>
            <w:tcBorders>
              <w:top w:val="single" w:sz="4" w:space="0" w:color="auto"/>
              <w:left w:val="single" w:sz="4" w:space="0" w:color="000000"/>
              <w:bottom w:val="single" w:sz="4" w:space="0" w:color="000000"/>
              <w:right w:val="single" w:sz="4" w:space="0" w:color="000000"/>
            </w:tcBorders>
            <w:shd w:val="clear" w:color="auto" w:fill="auto"/>
          </w:tcPr>
          <w:p w14:paraId="2F4B9AA6" w14:textId="77777777" w:rsidR="003B638D" w:rsidRPr="003B638D" w:rsidRDefault="003B638D" w:rsidP="003B638D">
            <w:pPr>
              <w:tabs>
                <w:tab w:val="left" w:pos="27"/>
              </w:tabs>
              <w:spacing w:after="0"/>
              <w:ind w:left="27"/>
              <w:jc w:val="both"/>
              <w:rPr>
                <w:rFonts w:cs="Sylfaen"/>
                <w:bCs/>
                <w:noProof/>
                <w:lang w:val="hy-AM"/>
              </w:rPr>
            </w:pPr>
            <w:r w:rsidRPr="003B638D">
              <w:rPr>
                <w:rFonts w:cs="Sylfaen"/>
                <w:bCs/>
                <w:noProof/>
                <w:lang w:val="hy-AM"/>
              </w:rPr>
              <w:t>2</w:t>
            </w:r>
            <w:r w:rsidRPr="003B638D">
              <w:rPr>
                <w:rFonts w:ascii="Cambria Math" w:hAnsi="Cambria Math" w:cs="Cambria Math"/>
                <w:bCs/>
                <w:noProof/>
                <w:lang w:val="hy-AM"/>
              </w:rPr>
              <w:t>․</w:t>
            </w:r>
            <w:r w:rsidRPr="003B638D">
              <w:rPr>
                <w:rFonts w:cs="Sylfaen"/>
                <w:bCs/>
                <w:noProof/>
                <w:lang w:val="hy-AM"/>
              </w:rPr>
              <w:t xml:space="preserve"> Նախագծի հավելվածի (այսուհետ՝ Հավելված) 3-րդ և 8-րդ կետերով սահմանվում են Ծրագրի շրջանակում աջակցության տրամադրման և իրականացման ուղղությունները, որոնք բովանդակությամբ միմյանց կրկնում են, սակայն ամբողջությամբ նույնական չեն։</w:t>
            </w:r>
          </w:p>
          <w:p w14:paraId="0278A867" w14:textId="77777777" w:rsidR="003B638D" w:rsidRPr="003B638D" w:rsidRDefault="003B638D" w:rsidP="003B638D">
            <w:pPr>
              <w:tabs>
                <w:tab w:val="left" w:pos="27"/>
              </w:tabs>
              <w:spacing w:after="0"/>
              <w:ind w:left="27"/>
              <w:jc w:val="both"/>
              <w:rPr>
                <w:rFonts w:cs="Sylfaen"/>
                <w:bCs/>
                <w:noProof/>
                <w:lang w:val="hy-AM"/>
              </w:rPr>
            </w:pPr>
            <w:r w:rsidRPr="003B638D">
              <w:rPr>
                <w:rFonts w:cs="Sylfaen"/>
                <w:bCs/>
                <w:noProof/>
                <w:lang w:val="hy-AM"/>
              </w:rPr>
              <w:lastRenderedPageBreak/>
              <w:t xml:space="preserve">Միևնույն ժամանակ, «Փոքր և միջին ձեռնարկատիրության պետական աջակցության մասին» օրենքի 3-րդ հոդվածով </w:t>
            </w:r>
            <w:r w:rsidRPr="003B638D">
              <w:rPr>
                <w:rFonts w:cs="Sylfaen"/>
                <w:bCs/>
                <w:i/>
                <w:iCs/>
                <w:noProof/>
                <w:lang w:val="hy-AM"/>
              </w:rPr>
              <w:t>սահմանվում են ՓՄՁ պետական աջակցության հիմնական ուղղությունները,</w:t>
            </w:r>
            <w:r w:rsidRPr="003B638D">
              <w:rPr>
                <w:rFonts w:cs="Sylfaen"/>
                <w:bCs/>
                <w:noProof/>
                <w:lang w:val="hy-AM"/>
              </w:rPr>
              <w:t xml:space="preserve"> իսկ նույն օրենքի 4-րդ հոդվածով նախատեսվում է, որ ծրագիրը մշակվում է այդ ուղղություններին համապատասխան՝ հաշվի առնելով տվյալ ժամանակահատվածի զարգացման գերակայությունները։ Մինչդեռ Նախագծով սահմանված ուղղությունները հստակորեն չեն կապակցվում օրենքով նախատեսված հիմնական ուղղությունների հետ։</w:t>
            </w:r>
          </w:p>
          <w:p w14:paraId="3593786E" w14:textId="1A401C14" w:rsidR="000C067A" w:rsidRPr="00871F32" w:rsidRDefault="003B638D" w:rsidP="00EB56B1">
            <w:pPr>
              <w:tabs>
                <w:tab w:val="left" w:pos="27"/>
              </w:tabs>
              <w:spacing w:after="0"/>
              <w:ind w:left="27"/>
              <w:jc w:val="both"/>
              <w:rPr>
                <w:rFonts w:cs="Sylfaen"/>
                <w:bCs/>
                <w:noProof/>
                <w:lang w:val="hy-AM"/>
              </w:rPr>
            </w:pPr>
            <w:r w:rsidRPr="003B638D">
              <w:rPr>
                <w:rFonts w:cs="Sylfaen"/>
                <w:bCs/>
                <w:noProof/>
                <w:lang w:val="hy-AM"/>
              </w:rPr>
              <w:t>Ուստի առաջարկում ենք վերանայել հիշյալ կետերը՝ ապահովելով դրանց համապատասխանությունը օրենքի 3-րդ և 4-րդ հոդվածների պահանջներին։</w:t>
            </w:r>
          </w:p>
        </w:tc>
        <w:tc>
          <w:tcPr>
            <w:tcW w:w="6522" w:type="dxa"/>
            <w:tcBorders>
              <w:top w:val="single" w:sz="4" w:space="0" w:color="auto"/>
              <w:left w:val="single" w:sz="4" w:space="0" w:color="000000"/>
              <w:bottom w:val="single" w:sz="4" w:space="0" w:color="000000"/>
              <w:right w:val="single" w:sz="4" w:space="0" w:color="000000"/>
            </w:tcBorders>
            <w:shd w:val="clear" w:color="auto" w:fill="auto"/>
          </w:tcPr>
          <w:p w14:paraId="29B31D3C" w14:textId="77777777" w:rsidR="00072FBF" w:rsidRDefault="00072FBF" w:rsidP="00644925">
            <w:pPr>
              <w:spacing w:after="0"/>
              <w:jc w:val="center"/>
              <w:rPr>
                <w:b/>
                <w:lang w:val="hy-AM"/>
              </w:rPr>
            </w:pPr>
            <w:r w:rsidRPr="00072FBF">
              <w:rPr>
                <w:b/>
                <w:lang w:val="hy-AM"/>
              </w:rPr>
              <w:lastRenderedPageBreak/>
              <w:t>Ընդունվել է։</w:t>
            </w:r>
          </w:p>
          <w:p w14:paraId="757FF657" w14:textId="4CFB5FFE" w:rsidR="000C067A" w:rsidRPr="00072FBF" w:rsidRDefault="00072FBF" w:rsidP="004E40E2">
            <w:pPr>
              <w:spacing w:after="0"/>
              <w:jc w:val="both"/>
              <w:rPr>
                <w:bCs/>
                <w:lang w:val="hy-AM"/>
              </w:rPr>
            </w:pPr>
            <w:r w:rsidRPr="00072FBF">
              <w:rPr>
                <w:bCs/>
                <w:lang w:val="hy-AM"/>
              </w:rPr>
              <w:t xml:space="preserve"> </w:t>
            </w:r>
            <w:r w:rsidR="00D61F6C" w:rsidRPr="00D61F6C">
              <w:rPr>
                <w:bCs/>
                <w:lang w:val="hy-AM"/>
              </w:rPr>
              <w:t xml:space="preserve">Հավելվածի 3-րդ կետում ծրագրի ուղղությունները կապակցվել են օրենքի 3-րդ հոդվածին։ 3-րդ կետի 1-ին ենթակետում նախատեսվել են ձեռնարկատիրական գիտելիքների, հմտությունների և գործարար կարողությունների զարգացումը՝ բիզնես կրթության, </w:t>
            </w:r>
            <w:r w:rsidR="00D61F6C" w:rsidRPr="00D61F6C">
              <w:rPr>
                <w:bCs/>
                <w:lang w:val="hy-AM"/>
              </w:rPr>
              <w:lastRenderedPageBreak/>
              <w:t>տեղեկատվական ու խորհրդատվական աջակցության միջոցով, և ֆինանսական աջակցությունը։ 2-րդ ենթակետով պետություն–մասնավոր երկխոսությունը կապակցվել է իրավական բարենպաստ դաշտի ձևավորմանը, իսկ 3-րդ ենթակետով միջազգային համագործակցությունը՝ ՓՄՁ զարգացման համար փորձի և լրացուցիչ աջակցության ներգրավմանը։ Հավելվածի 8-րդ կետը սահմանվել է որպես 3-րդ կետի ուղղություններին համապատասխան նպատակների ցանկ, իսկ 2-րդ բաժնի վերնագիրը փոխարինվել է «Ծրագրի իրականացման նպատակները» վերնագրով։</w:t>
            </w:r>
          </w:p>
        </w:tc>
      </w:tr>
      <w:tr w:rsidR="000C067A" w:rsidRPr="00871F32" w14:paraId="1CC7B64F"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34D7321" w14:textId="77777777" w:rsidR="000C067A" w:rsidRPr="00871F32" w:rsidRDefault="000C067A"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E81B9CC"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3</w:t>
            </w:r>
            <w:r w:rsidRPr="00365299">
              <w:rPr>
                <w:rFonts w:ascii="Cambria Math" w:hAnsi="Cambria Math" w:cs="Cambria Math"/>
                <w:bCs/>
                <w:noProof/>
                <w:lang w:val="hy-AM"/>
              </w:rPr>
              <w:t>․</w:t>
            </w:r>
            <w:r w:rsidRPr="00365299">
              <w:rPr>
                <w:rFonts w:cs="Sylfaen"/>
                <w:bCs/>
                <w:noProof/>
                <w:lang w:val="hy-AM"/>
              </w:rPr>
              <w:t xml:space="preserve"> Հավելվածի 4-րդ կետի 2-րդ ենթակետով Ծրագրի շահառուների շրջանակում ներառվում են գործարար գաղափար ունեցող և ձեռնարկատիրական գործունեություն սկսելու նպատակ ունեցող ֆիզիկական անձինք, որոնք աջակցության պայմանագրի կնքման պահին պետք է Հայաստանի Հանրապետության օրենսդրությամբ սահմանված կարգով հաշվառված լինեն որպես անհատ ձեռնարկատեր։</w:t>
            </w:r>
          </w:p>
          <w:p w14:paraId="71C184EC"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Այս առնչությամբ հարկ է նկատել, որ Նախագծի 4-րդ կետի 1-ին ենթակետով շահառու են սահմանվում «Փոքր և միջին ձեռնարկատիրության պետական աջակցության մասին» օրենքի 2-րդ հոդվածով սահմանված չափանիշներին համապատասխանող սուբյեկտները։ Արդյունքում Ծրագրի շահառուների շրջանակը կարող է ընդլայնվել օրենքով սահմանված՝ փոքր և միջին ձեռնարկատիրության սուբյեկտների շրջանակից դուրս։</w:t>
            </w:r>
          </w:p>
          <w:p w14:paraId="28154C52"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 xml:space="preserve">Միաժամանակ, 2-րդ ենթակետով նախատեսվող անձանց՝ աջակցության պայմանագրի կնքման պահին որպես </w:t>
            </w:r>
            <w:r w:rsidRPr="00365299">
              <w:rPr>
                <w:rFonts w:cs="Sylfaen"/>
                <w:bCs/>
                <w:noProof/>
                <w:lang w:val="hy-AM"/>
              </w:rPr>
              <w:lastRenderedPageBreak/>
              <w:t>իրավաբանական անձ կամ անհատ ձեռնարկատեր գրանցված լինելու պահանջի պայմաններում հստակ չէ նշված անձանց՝ 4-րդ կետի 1-ին ենթակետով նախատեսված շահառուներից տարբերակման չափանիշը և կարգավիճակը, մասնավորապես՝ արդյոք նշված անձինք պետք է համապատասխանեն նաև օրենքով փոքր և միջին ձեռնարկատիրության սուբյեկտների համար սահմանված չափանիշներին։</w:t>
            </w:r>
          </w:p>
          <w:p w14:paraId="4D4662DF" w14:textId="541D9F8F" w:rsidR="000C067A" w:rsidRPr="00871F32" w:rsidRDefault="00365299" w:rsidP="00365299">
            <w:pPr>
              <w:tabs>
                <w:tab w:val="left" w:pos="27"/>
              </w:tabs>
              <w:spacing w:after="0"/>
              <w:ind w:left="27"/>
              <w:jc w:val="both"/>
              <w:rPr>
                <w:rFonts w:cs="Sylfaen"/>
                <w:bCs/>
                <w:noProof/>
                <w:lang w:val="hy-AM"/>
              </w:rPr>
            </w:pPr>
            <w:r w:rsidRPr="00365299">
              <w:rPr>
                <w:rFonts w:cs="Sylfaen"/>
                <w:bCs/>
                <w:noProof/>
                <w:lang w:val="hy-AM"/>
              </w:rPr>
              <w:t>Ուստի առաջարկում ենք հստակեցնել Հավելվածի 4-րդ կետով նախատեսված շահառուների շրջանակը՝ նշված կարգավորումը համապատասխանեցնելով «Փոքր և միջին ձեռնարկատիրության պետական աջակցության մասին» օրենքի 2-րդ հոդվածի պահանջներին։</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37CAC01B" w14:textId="77777777" w:rsidR="000F5DE7" w:rsidRDefault="000F5DE7" w:rsidP="00644925">
            <w:pPr>
              <w:spacing w:after="0"/>
              <w:jc w:val="center"/>
              <w:rPr>
                <w:b/>
                <w:lang w:val="hy-AM"/>
              </w:rPr>
            </w:pPr>
            <w:r w:rsidRPr="000F5DE7">
              <w:rPr>
                <w:b/>
                <w:lang w:val="hy-AM"/>
              </w:rPr>
              <w:lastRenderedPageBreak/>
              <w:t xml:space="preserve">Ընդունվել է։ </w:t>
            </w:r>
          </w:p>
          <w:p w14:paraId="204BF376" w14:textId="03FF4058" w:rsidR="000C067A" w:rsidRPr="000F5DE7" w:rsidRDefault="00415C4B" w:rsidP="004E40E2">
            <w:pPr>
              <w:spacing w:after="0"/>
              <w:jc w:val="both"/>
              <w:rPr>
                <w:bCs/>
                <w:lang w:val="hy-AM"/>
              </w:rPr>
            </w:pPr>
            <w:r w:rsidRPr="00415C4B">
              <w:rPr>
                <w:bCs/>
                <w:lang w:val="hy-AM"/>
              </w:rPr>
              <w:t xml:space="preserve">Հավելվածի 4-րդ կետի սկզբում տարանջատվել են ծրագրի շահառուներն ու մասնակիցները։ 1-ին ենթակետով շահառու են սահմանվել օրենքի 2-րդ հոդվածի չափանիշներին համապատասխանող ՓՄՁ սուբյեկտները, իսկ ֆինանսավորման փուլը կապակցվել է 5-րդ կետի 2-րդ ենթակետով սահմանված սկսնակ ՓՄՁ սուբյեկտներին։ 4-րդ կետի 2-րդ ենթակետով չգրանցված ֆիզիկական անձինք սահմանվել են որպես ուսուցման մասնակիցներ և ֆինանսավորման հայտատուներ։ Գրանցումը կամ հաշվառումն ապահովվում է մինչև աջակցության պայմանագրի կնքումը, որի կողմն է տվյալ ԱՁ-ն կամ առևտրային կազմակերպությունը՝ օրենքի և ծրագրի պայմաններին համապատասխանելու դեպքում։ 5-րդ կետի 4-րդ ենթակետում նախաինկուբացիայի սահմանումը ներառում է նաև ֆիզիկական անձանց, իսկ 11-րդ կետի 1-ին ենթակետի </w:t>
            </w:r>
            <w:r w:rsidRPr="00415C4B">
              <w:rPr>
                <w:bCs/>
                <w:lang w:val="hy-AM"/>
              </w:rPr>
              <w:lastRenderedPageBreak/>
              <w:t>«ա» պարբերությունում ուսուցումը տրամադրվում է մասնակիցներին։</w:t>
            </w:r>
          </w:p>
        </w:tc>
      </w:tr>
      <w:tr w:rsidR="000C067A" w:rsidRPr="00871F32" w14:paraId="54776586"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6298275" w14:textId="77777777" w:rsidR="000C067A" w:rsidRPr="00871F32" w:rsidRDefault="000C067A"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7B831B87"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4</w:t>
            </w:r>
            <w:r w:rsidRPr="00365299">
              <w:rPr>
                <w:rFonts w:ascii="Cambria Math" w:hAnsi="Cambria Math" w:cs="Cambria Math"/>
                <w:bCs/>
                <w:noProof/>
                <w:lang w:val="hy-AM"/>
              </w:rPr>
              <w:t>․</w:t>
            </w:r>
            <w:r w:rsidRPr="00365299">
              <w:rPr>
                <w:rFonts w:cs="Sylfaen"/>
                <w:bCs/>
                <w:noProof/>
                <w:lang w:val="hy-AM"/>
              </w:rPr>
              <w:t xml:space="preserve"> Հավելվածի 5-րդ կետի 2-րդ ենթակետով «Փոքր և միջին ձեռնարկատիրության սուբյեկտ» հասկացությունը սահմանվում է որպես Հայաստանի Հանրապետության օրենսդրությամբ սահմանված կարգով պետական գրանցման կամ հաշվառման պահից մինչև 36 ամիս գործունեություն իրականացնող տնտեսվարող։</w:t>
            </w:r>
          </w:p>
          <w:p w14:paraId="6FC40A64"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Մինչդեռ Նախագծի 4-րդ կետի 1-ին ենթակետով նշված հասկացությունը կիրառվում է «Փոքր և միջին ձեռնարկատիրության պետական աջակցության մասին» օրենքի 2-րդ հոդվածով սահմանված չափանիշներին համապատասխանող սուբյեկտների առնչությամբ։</w:t>
            </w:r>
          </w:p>
          <w:p w14:paraId="4ECFA460"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 xml:space="preserve">Այս առնչությամբ հստակ չէ, թե «մինչև 36 ամիս գործունեություն իրականացնող» չափանիշը ինչ իրավական հիմքով է սահմանվում։ Նշված ձևակերպումը կարող է հանգեցնել օրենքով սահմանված «Փոքր և միջին ձեռնարկատիրության սուբյեկտ» հասկացության </w:t>
            </w:r>
            <w:r w:rsidRPr="00365299">
              <w:rPr>
                <w:rFonts w:cs="Sylfaen"/>
                <w:bCs/>
                <w:noProof/>
                <w:lang w:val="hy-AM"/>
              </w:rPr>
              <w:lastRenderedPageBreak/>
              <w:t>բովանդակության փոփոխության կամ դրա կիրառման շրջանակի անհարկի սահմանափակման։</w:t>
            </w:r>
          </w:p>
          <w:p w14:paraId="017E722A" w14:textId="0EE1CF12" w:rsidR="000C067A" w:rsidRPr="00871F32" w:rsidRDefault="00365299" w:rsidP="00365299">
            <w:pPr>
              <w:tabs>
                <w:tab w:val="left" w:pos="27"/>
              </w:tabs>
              <w:spacing w:after="0"/>
              <w:ind w:left="27"/>
              <w:jc w:val="both"/>
              <w:rPr>
                <w:rFonts w:cs="Sylfaen"/>
                <w:bCs/>
                <w:noProof/>
                <w:lang w:val="hy-AM"/>
              </w:rPr>
            </w:pPr>
            <w:r w:rsidRPr="00365299">
              <w:rPr>
                <w:rFonts w:cs="Sylfaen"/>
                <w:bCs/>
                <w:noProof/>
                <w:lang w:val="hy-AM"/>
              </w:rPr>
              <w:t>Ուստի առաջարկում ենք վերանայել հիշյալ կետը՝ «Փոքր և միջին ձեռնարկատիրության պետական աջակցության մասին» օրենքով սահմանված կարգավորումներին համապատասխանեցնելու նպատակով, իսկ «մինչև 36 ամիս» չափանիշի կիրառման անհրաժեշտության դեպքում նախատեսել լրացուցիչ պարզաբանումը կից ներկայացված հիմնավորմամբ։</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5E05D6B2" w14:textId="77777777" w:rsidR="00214E6E" w:rsidRDefault="00214E6E" w:rsidP="00644925">
            <w:pPr>
              <w:spacing w:after="0"/>
              <w:jc w:val="center"/>
              <w:rPr>
                <w:b/>
              </w:rPr>
            </w:pPr>
            <w:r w:rsidRPr="00214E6E">
              <w:rPr>
                <w:b/>
                <w:bCs/>
              </w:rPr>
              <w:lastRenderedPageBreak/>
              <w:t>Ընդունվել է։</w:t>
            </w:r>
            <w:r w:rsidRPr="00214E6E">
              <w:rPr>
                <w:b/>
              </w:rPr>
              <w:t xml:space="preserve"> </w:t>
            </w:r>
          </w:p>
          <w:p w14:paraId="6AEE5673" w14:textId="56D4C0F2" w:rsidR="00214E6E" w:rsidRPr="00C5020E" w:rsidRDefault="003D6573" w:rsidP="003D6573">
            <w:pPr>
              <w:spacing w:after="0"/>
              <w:jc w:val="both"/>
              <w:rPr>
                <w:bCs/>
                <w:lang w:val="hy-AM"/>
              </w:rPr>
            </w:pPr>
            <w:proofErr w:type="spellStart"/>
            <w:r w:rsidRPr="003D6573">
              <w:rPr>
                <w:bCs/>
                <w:lang w:val="en-US"/>
              </w:rPr>
              <w:t>Հավելվածի</w:t>
            </w:r>
            <w:proofErr w:type="spellEnd"/>
            <w:r w:rsidRPr="003D6573">
              <w:rPr>
                <w:bCs/>
              </w:rPr>
              <w:t xml:space="preserve"> 5-</w:t>
            </w:r>
            <w:proofErr w:type="spellStart"/>
            <w:r w:rsidRPr="003D6573">
              <w:rPr>
                <w:bCs/>
                <w:lang w:val="en-US"/>
              </w:rPr>
              <w:t>րդ</w:t>
            </w:r>
            <w:proofErr w:type="spellEnd"/>
            <w:r w:rsidRPr="003D6573">
              <w:rPr>
                <w:bCs/>
              </w:rPr>
              <w:t xml:space="preserve"> </w:t>
            </w:r>
            <w:proofErr w:type="spellStart"/>
            <w:r w:rsidRPr="003D6573">
              <w:rPr>
                <w:bCs/>
                <w:lang w:val="en-US"/>
              </w:rPr>
              <w:t>կետի</w:t>
            </w:r>
            <w:proofErr w:type="spellEnd"/>
            <w:r w:rsidRPr="003D6573">
              <w:rPr>
                <w:bCs/>
              </w:rPr>
              <w:t xml:space="preserve"> 2-</w:t>
            </w:r>
            <w:proofErr w:type="spellStart"/>
            <w:r w:rsidRPr="003D6573">
              <w:rPr>
                <w:bCs/>
                <w:lang w:val="en-US"/>
              </w:rPr>
              <w:t>րդ</w:t>
            </w:r>
            <w:proofErr w:type="spellEnd"/>
            <w:r w:rsidRPr="003D6573">
              <w:rPr>
                <w:bCs/>
              </w:rPr>
              <w:t xml:space="preserve"> </w:t>
            </w:r>
            <w:proofErr w:type="spellStart"/>
            <w:r w:rsidRPr="003D6573">
              <w:rPr>
                <w:bCs/>
                <w:lang w:val="en-US"/>
              </w:rPr>
              <w:t>ենթակետում</w:t>
            </w:r>
            <w:proofErr w:type="spellEnd"/>
            <w:r w:rsidRPr="003D6573">
              <w:rPr>
                <w:bCs/>
              </w:rPr>
              <w:t xml:space="preserve"> </w:t>
            </w:r>
            <w:proofErr w:type="spellStart"/>
            <w:r w:rsidRPr="003D6573">
              <w:rPr>
                <w:bCs/>
                <w:lang w:val="en-US"/>
              </w:rPr>
              <w:t>սահմանվել</w:t>
            </w:r>
            <w:proofErr w:type="spellEnd"/>
            <w:r w:rsidRPr="003D6573">
              <w:rPr>
                <w:bCs/>
              </w:rPr>
              <w:t xml:space="preserve"> </w:t>
            </w:r>
            <w:r w:rsidRPr="003D6573">
              <w:rPr>
                <w:bCs/>
                <w:lang w:val="en-US"/>
              </w:rPr>
              <w:t>է</w:t>
            </w:r>
            <w:r w:rsidRPr="003D6573">
              <w:rPr>
                <w:bCs/>
              </w:rPr>
              <w:t xml:space="preserve"> «</w:t>
            </w:r>
            <w:proofErr w:type="spellStart"/>
            <w:r w:rsidRPr="003D6573">
              <w:rPr>
                <w:bCs/>
                <w:lang w:val="en-US"/>
              </w:rPr>
              <w:t>սկսնակ</w:t>
            </w:r>
            <w:proofErr w:type="spellEnd"/>
            <w:r w:rsidRPr="003D6573">
              <w:rPr>
                <w:bCs/>
              </w:rPr>
              <w:t xml:space="preserve"> </w:t>
            </w:r>
            <w:proofErr w:type="spellStart"/>
            <w:r w:rsidRPr="003D6573">
              <w:rPr>
                <w:bCs/>
                <w:lang w:val="en-US"/>
              </w:rPr>
              <w:t>փոքր</w:t>
            </w:r>
            <w:proofErr w:type="spellEnd"/>
            <w:r w:rsidRPr="003D6573">
              <w:rPr>
                <w:bCs/>
              </w:rPr>
              <w:t xml:space="preserve"> </w:t>
            </w:r>
            <w:r w:rsidRPr="003D6573">
              <w:rPr>
                <w:bCs/>
                <w:lang w:val="en-US"/>
              </w:rPr>
              <w:t>և</w:t>
            </w:r>
            <w:r w:rsidRPr="003D6573">
              <w:rPr>
                <w:bCs/>
              </w:rPr>
              <w:t xml:space="preserve"> </w:t>
            </w:r>
            <w:proofErr w:type="spellStart"/>
            <w:r w:rsidRPr="003D6573">
              <w:rPr>
                <w:bCs/>
                <w:lang w:val="en-US"/>
              </w:rPr>
              <w:t>միջին</w:t>
            </w:r>
            <w:proofErr w:type="spellEnd"/>
            <w:r w:rsidRPr="003D6573">
              <w:rPr>
                <w:bCs/>
              </w:rPr>
              <w:t xml:space="preserve"> </w:t>
            </w:r>
            <w:proofErr w:type="spellStart"/>
            <w:r w:rsidRPr="003D6573">
              <w:rPr>
                <w:bCs/>
                <w:lang w:val="en-US"/>
              </w:rPr>
              <w:t>ձեռնարկատիրության</w:t>
            </w:r>
            <w:proofErr w:type="spellEnd"/>
            <w:r w:rsidRPr="003D6573">
              <w:rPr>
                <w:bCs/>
              </w:rPr>
              <w:t xml:space="preserve"> </w:t>
            </w:r>
            <w:proofErr w:type="spellStart"/>
            <w:r w:rsidRPr="003D6573">
              <w:rPr>
                <w:bCs/>
                <w:lang w:val="en-US"/>
              </w:rPr>
              <w:t>սուբյեկտ</w:t>
            </w:r>
            <w:proofErr w:type="spellEnd"/>
            <w:r w:rsidRPr="003D6573">
              <w:rPr>
                <w:bCs/>
              </w:rPr>
              <w:t xml:space="preserve">» </w:t>
            </w:r>
            <w:proofErr w:type="spellStart"/>
            <w:r w:rsidRPr="003D6573">
              <w:rPr>
                <w:bCs/>
                <w:lang w:val="en-US"/>
              </w:rPr>
              <w:t>հասկացությունը</w:t>
            </w:r>
            <w:proofErr w:type="spellEnd"/>
            <w:r w:rsidRPr="003D6573">
              <w:rPr>
                <w:bCs/>
                <w:lang w:val="en-US"/>
              </w:rPr>
              <w:t>՝</w:t>
            </w:r>
            <w:r w:rsidRPr="003D6573">
              <w:rPr>
                <w:bCs/>
              </w:rPr>
              <w:t xml:space="preserve"> </w:t>
            </w:r>
            <w:proofErr w:type="spellStart"/>
            <w:r w:rsidRPr="003D6573">
              <w:rPr>
                <w:bCs/>
                <w:lang w:val="en-US"/>
              </w:rPr>
              <w:t>օրենքի</w:t>
            </w:r>
            <w:proofErr w:type="spellEnd"/>
            <w:r w:rsidRPr="003D6573">
              <w:rPr>
                <w:bCs/>
              </w:rPr>
              <w:t xml:space="preserve"> 2-</w:t>
            </w:r>
            <w:proofErr w:type="spellStart"/>
            <w:r w:rsidRPr="003D6573">
              <w:rPr>
                <w:bCs/>
                <w:lang w:val="en-US"/>
              </w:rPr>
              <w:t>րդ</w:t>
            </w:r>
            <w:proofErr w:type="spellEnd"/>
            <w:r w:rsidRPr="003D6573">
              <w:rPr>
                <w:bCs/>
              </w:rPr>
              <w:t xml:space="preserve"> </w:t>
            </w:r>
            <w:proofErr w:type="spellStart"/>
            <w:r w:rsidRPr="003D6573">
              <w:rPr>
                <w:bCs/>
                <w:lang w:val="en-US"/>
              </w:rPr>
              <w:t>հոդվածի</w:t>
            </w:r>
            <w:proofErr w:type="spellEnd"/>
            <w:r w:rsidRPr="003D6573">
              <w:rPr>
                <w:bCs/>
              </w:rPr>
              <w:t xml:space="preserve"> </w:t>
            </w:r>
            <w:proofErr w:type="spellStart"/>
            <w:r w:rsidRPr="003D6573">
              <w:rPr>
                <w:bCs/>
                <w:lang w:val="en-US"/>
              </w:rPr>
              <w:t>չափանիշների</w:t>
            </w:r>
            <w:proofErr w:type="spellEnd"/>
            <w:r w:rsidRPr="003D6573">
              <w:rPr>
                <w:bCs/>
              </w:rPr>
              <w:t xml:space="preserve"> </w:t>
            </w:r>
            <w:proofErr w:type="spellStart"/>
            <w:r w:rsidRPr="003D6573">
              <w:rPr>
                <w:bCs/>
                <w:lang w:val="en-US"/>
              </w:rPr>
              <w:t>պահպանմամբ</w:t>
            </w:r>
            <w:proofErr w:type="spellEnd"/>
            <w:r w:rsidRPr="003D6573">
              <w:rPr>
                <w:bCs/>
                <w:lang w:val="en-US"/>
              </w:rPr>
              <w:t>։</w:t>
            </w:r>
            <w:r w:rsidRPr="003D6573">
              <w:rPr>
                <w:bCs/>
              </w:rPr>
              <w:t xml:space="preserve"> 36-</w:t>
            </w:r>
            <w:proofErr w:type="spellStart"/>
            <w:r w:rsidRPr="003D6573">
              <w:rPr>
                <w:bCs/>
                <w:lang w:val="en-US"/>
              </w:rPr>
              <w:t>ամսյա</w:t>
            </w:r>
            <w:proofErr w:type="spellEnd"/>
            <w:r w:rsidRPr="003D6573">
              <w:rPr>
                <w:bCs/>
              </w:rPr>
              <w:t xml:space="preserve"> </w:t>
            </w:r>
            <w:proofErr w:type="spellStart"/>
            <w:r w:rsidRPr="003D6573">
              <w:rPr>
                <w:bCs/>
                <w:lang w:val="en-US"/>
              </w:rPr>
              <w:t>պայմանը</w:t>
            </w:r>
            <w:proofErr w:type="spellEnd"/>
            <w:r w:rsidRPr="003D6573">
              <w:rPr>
                <w:bCs/>
              </w:rPr>
              <w:t xml:space="preserve"> </w:t>
            </w:r>
            <w:proofErr w:type="spellStart"/>
            <w:r w:rsidRPr="003D6573">
              <w:rPr>
                <w:bCs/>
                <w:lang w:val="en-US"/>
              </w:rPr>
              <w:t>վերաբերում</w:t>
            </w:r>
            <w:proofErr w:type="spellEnd"/>
            <w:r w:rsidRPr="003D6573">
              <w:rPr>
                <w:bCs/>
              </w:rPr>
              <w:t xml:space="preserve"> </w:t>
            </w:r>
            <w:r w:rsidRPr="003D6573">
              <w:rPr>
                <w:bCs/>
                <w:lang w:val="en-US"/>
              </w:rPr>
              <w:t>է</w:t>
            </w:r>
            <w:r w:rsidRPr="003D6573">
              <w:rPr>
                <w:bCs/>
              </w:rPr>
              <w:t xml:space="preserve"> </w:t>
            </w:r>
            <w:proofErr w:type="spellStart"/>
            <w:r w:rsidRPr="003D6573">
              <w:rPr>
                <w:bCs/>
                <w:lang w:val="en-US"/>
              </w:rPr>
              <w:t>միայն</w:t>
            </w:r>
            <w:proofErr w:type="spellEnd"/>
            <w:r w:rsidRPr="003D6573">
              <w:rPr>
                <w:bCs/>
              </w:rPr>
              <w:t xml:space="preserve"> «</w:t>
            </w:r>
            <w:proofErr w:type="spellStart"/>
            <w:r w:rsidRPr="003D6573">
              <w:rPr>
                <w:bCs/>
                <w:lang w:val="en-US"/>
              </w:rPr>
              <w:t>Գաղափարից</w:t>
            </w:r>
            <w:proofErr w:type="spellEnd"/>
            <w:r w:rsidRPr="003D6573">
              <w:rPr>
                <w:bCs/>
              </w:rPr>
              <w:t xml:space="preserve"> </w:t>
            </w:r>
            <w:proofErr w:type="spellStart"/>
            <w:r w:rsidRPr="003D6573">
              <w:rPr>
                <w:bCs/>
                <w:lang w:val="en-US"/>
              </w:rPr>
              <w:t>մինչև</w:t>
            </w:r>
            <w:proofErr w:type="spellEnd"/>
            <w:r w:rsidRPr="003D6573">
              <w:rPr>
                <w:bCs/>
              </w:rPr>
              <w:t xml:space="preserve"> </w:t>
            </w:r>
            <w:proofErr w:type="spellStart"/>
            <w:r w:rsidRPr="003D6573">
              <w:rPr>
                <w:bCs/>
                <w:lang w:val="en-US"/>
              </w:rPr>
              <w:t>բիզնես</w:t>
            </w:r>
            <w:proofErr w:type="spellEnd"/>
            <w:r w:rsidRPr="003D6573">
              <w:rPr>
                <w:bCs/>
              </w:rPr>
              <w:t xml:space="preserve">» </w:t>
            </w:r>
            <w:proofErr w:type="spellStart"/>
            <w:r w:rsidRPr="003D6573">
              <w:rPr>
                <w:bCs/>
                <w:lang w:val="en-US"/>
              </w:rPr>
              <w:t>միջոցառման</w:t>
            </w:r>
            <w:proofErr w:type="spellEnd"/>
            <w:r w:rsidRPr="003D6573">
              <w:rPr>
                <w:bCs/>
              </w:rPr>
              <w:t xml:space="preserve"> </w:t>
            </w:r>
            <w:proofErr w:type="spellStart"/>
            <w:r w:rsidRPr="003D6573">
              <w:rPr>
                <w:bCs/>
                <w:lang w:val="en-US"/>
              </w:rPr>
              <w:t>ֆինանսավորման</w:t>
            </w:r>
            <w:proofErr w:type="spellEnd"/>
            <w:r w:rsidRPr="003D6573">
              <w:rPr>
                <w:bCs/>
              </w:rPr>
              <w:t xml:space="preserve"> </w:t>
            </w:r>
            <w:proofErr w:type="spellStart"/>
            <w:r w:rsidRPr="003D6573">
              <w:rPr>
                <w:bCs/>
                <w:lang w:val="en-US"/>
              </w:rPr>
              <w:t>փուլին</w:t>
            </w:r>
            <w:proofErr w:type="spellEnd"/>
            <w:r w:rsidRPr="003D6573">
              <w:rPr>
                <w:bCs/>
                <w:lang w:val="en-US"/>
              </w:rPr>
              <w:t>՝</w:t>
            </w:r>
            <w:r w:rsidRPr="003D6573">
              <w:rPr>
                <w:bCs/>
              </w:rPr>
              <w:t xml:space="preserve"> </w:t>
            </w:r>
            <w:proofErr w:type="spellStart"/>
            <w:r w:rsidRPr="003D6573">
              <w:rPr>
                <w:bCs/>
                <w:lang w:val="en-US"/>
              </w:rPr>
              <w:t>մինչև</w:t>
            </w:r>
            <w:proofErr w:type="spellEnd"/>
            <w:r w:rsidRPr="003D6573">
              <w:rPr>
                <w:bCs/>
              </w:rPr>
              <w:t xml:space="preserve"> </w:t>
            </w:r>
            <w:proofErr w:type="spellStart"/>
            <w:r w:rsidRPr="003D6573">
              <w:rPr>
                <w:bCs/>
                <w:lang w:val="en-US"/>
              </w:rPr>
              <w:t>ֆինանսավորման</w:t>
            </w:r>
            <w:proofErr w:type="spellEnd"/>
            <w:r w:rsidRPr="003D6573">
              <w:rPr>
                <w:bCs/>
              </w:rPr>
              <w:t xml:space="preserve"> </w:t>
            </w:r>
            <w:proofErr w:type="spellStart"/>
            <w:r w:rsidRPr="003D6573">
              <w:rPr>
                <w:bCs/>
                <w:lang w:val="en-US"/>
              </w:rPr>
              <w:t>հայտի</w:t>
            </w:r>
            <w:proofErr w:type="spellEnd"/>
            <w:r w:rsidRPr="003D6573">
              <w:rPr>
                <w:bCs/>
              </w:rPr>
              <w:t xml:space="preserve"> </w:t>
            </w:r>
            <w:proofErr w:type="spellStart"/>
            <w:r w:rsidRPr="003D6573">
              <w:rPr>
                <w:bCs/>
                <w:lang w:val="en-US"/>
              </w:rPr>
              <w:t>ներկայացման</w:t>
            </w:r>
            <w:proofErr w:type="spellEnd"/>
            <w:r w:rsidRPr="003D6573">
              <w:rPr>
                <w:bCs/>
              </w:rPr>
              <w:t xml:space="preserve"> </w:t>
            </w:r>
            <w:proofErr w:type="spellStart"/>
            <w:r w:rsidRPr="003D6573">
              <w:rPr>
                <w:bCs/>
                <w:lang w:val="en-US"/>
              </w:rPr>
              <w:t>օրը</w:t>
            </w:r>
            <w:proofErr w:type="spellEnd"/>
            <w:r w:rsidRPr="003D6573">
              <w:rPr>
                <w:bCs/>
              </w:rPr>
              <w:t xml:space="preserve"> </w:t>
            </w:r>
            <w:proofErr w:type="spellStart"/>
            <w:r w:rsidRPr="003D6573">
              <w:rPr>
                <w:bCs/>
                <w:lang w:val="en-US"/>
              </w:rPr>
              <w:t>հաշվարկվող</w:t>
            </w:r>
            <w:proofErr w:type="spellEnd"/>
            <w:r w:rsidRPr="003D6573">
              <w:rPr>
                <w:bCs/>
              </w:rPr>
              <w:t xml:space="preserve"> </w:t>
            </w:r>
            <w:proofErr w:type="spellStart"/>
            <w:r w:rsidRPr="003D6573">
              <w:rPr>
                <w:bCs/>
                <w:lang w:val="en-US"/>
              </w:rPr>
              <w:t>ժամկետով</w:t>
            </w:r>
            <w:proofErr w:type="spellEnd"/>
            <w:r w:rsidRPr="003D6573">
              <w:rPr>
                <w:bCs/>
                <w:lang w:val="en-US"/>
              </w:rPr>
              <w:t>։</w:t>
            </w:r>
            <w:r w:rsidRPr="003D6573">
              <w:rPr>
                <w:bCs/>
              </w:rPr>
              <w:t xml:space="preserve"> </w:t>
            </w:r>
            <w:proofErr w:type="spellStart"/>
            <w:r w:rsidRPr="003D6573">
              <w:rPr>
                <w:bCs/>
                <w:lang w:val="en-US"/>
              </w:rPr>
              <w:t>Հայտից</w:t>
            </w:r>
            <w:proofErr w:type="spellEnd"/>
            <w:r w:rsidRPr="003D6573">
              <w:rPr>
                <w:bCs/>
              </w:rPr>
              <w:t xml:space="preserve"> </w:t>
            </w:r>
            <w:proofErr w:type="spellStart"/>
            <w:r w:rsidRPr="003D6573">
              <w:rPr>
                <w:bCs/>
                <w:lang w:val="en-US"/>
              </w:rPr>
              <w:t>հետո</w:t>
            </w:r>
            <w:proofErr w:type="spellEnd"/>
            <w:r w:rsidRPr="003D6573">
              <w:rPr>
                <w:bCs/>
              </w:rPr>
              <w:t xml:space="preserve"> </w:t>
            </w:r>
            <w:proofErr w:type="spellStart"/>
            <w:r w:rsidRPr="003D6573">
              <w:rPr>
                <w:bCs/>
                <w:lang w:val="en-US"/>
              </w:rPr>
              <w:t>գրանցված</w:t>
            </w:r>
            <w:proofErr w:type="spellEnd"/>
            <w:r w:rsidRPr="003D6573">
              <w:rPr>
                <w:bCs/>
              </w:rPr>
              <w:t xml:space="preserve"> </w:t>
            </w:r>
            <w:proofErr w:type="spellStart"/>
            <w:r w:rsidRPr="003D6573">
              <w:rPr>
                <w:bCs/>
                <w:lang w:val="en-US"/>
              </w:rPr>
              <w:t>սուբյեկտների</w:t>
            </w:r>
            <w:proofErr w:type="spellEnd"/>
            <w:r w:rsidRPr="003D6573">
              <w:rPr>
                <w:bCs/>
              </w:rPr>
              <w:t xml:space="preserve"> </w:t>
            </w:r>
            <w:proofErr w:type="spellStart"/>
            <w:r w:rsidRPr="003D6573">
              <w:rPr>
                <w:bCs/>
                <w:lang w:val="en-US"/>
              </w:rPr>
              <w:t>համար</w:t>
            </w:r>
            <w:proofErr w:type="spellEnd"/>
            <w:r w:rsidRPr="003D6573">
              <w:rPr>
                <w:bCs/>
              </w:rPr>
              <w:t xml:space="preserve"> </w:t>
            </w:r>
            <w:proofErr w:type="spellStart"/>
            <w:r w:rsidRPr="003D6573">
              <w:rPr>
                <w:bCs/>
                <w:lang w:val="en-US"/>
              </w:rPr>
              <w:t>այն</w:t>
            </w:r>
            <w:proofErr w:type="spellEnd"/>
            <w:r w:rsidRPr="003D6573">
              <w:rPr>
                <w:bCs/>
              </w:rPr>
              <w:t xml:space="preserve"> </w:t>
            </w:r>
            <w:proofErr w:type="spellStart"/>
            <w:r w:rsidRPr="003D6573">
              <w:rPr>
                <w:bCs/>
                <w:lang w:val="en-US"/>
              </w:rPr>
              <w:t>համարվում</w:t>
            </w:r>
            <w:proofErr w:type="spellEnd"/>
            <w:r w:rsidRPr="003D6573">
              <w:rPr>
                <w:bCs/>
              </w:rPr>
              <w:t xml:space="preserve"> </w:t>
            </w:r>
            <w:r w:rsidRPr="003D6573">
              <w:rPr>
                <w:bCs/>
                <w:lang w:val="en-US"/>
              </w:rPr>
              <w:t>է</w:t>
            </w:r>
            <w:r w:rsidRPr="003D6573">
              <w:rPr>
                <w:bCs/>
              </w:rPr>
              <w:t xml:space="preserve"> </w:t>
            </w:r>
            <w:proofErr w:type="spellStart"/>
            <w:r w:rsidRPr="003D6573">
              <w:rPr>
                <w:bCs/>
                <w:lang w:val="en-US"/>
              </w:rPr>
              <w:t>բավարարված</w:t>
            </w:r>
            <w:proofErr w:type="spellEnd"/>
            <w:r w:rsidRPr="003D6573">
              <w:rPr>
                <w:bCs/>
                <w:lang w:val="en-US"/>
              </w:rPr>
              <w:t>։</w:t>
            </w:r>
            <w:r w:rsidRPr="003D6573">
              <w:rPr>
                <w:bCs/>
              </w:rPr>
              <w:t xml:space="preserve"> </w:t>
            </w:r>
            <w:proofErr w:type="spellStart"/>
            <w:r w:rsidRPr="003D6573">
              <w:rPr>
                <w:bCs/>
                <w:lang w:val="en-US"/>
              </w:rPr>
              <w:t>Համապատասխան</w:t>
            </w:r>
            <w:proofErr w:type="spellEnd"/>
            <w:r w:rsidRPr="003D6573">
              <w:rPr>
                <w:bCs/>
              </w:rPr>
              <w:t xml:space="preserve"> </w:t>
            </w:r>
            <w:proofErr w:type="spellStart"/>
            <w:r w:rsidRPr="003D6573">
              <w:rPr>
                <w:bCs/>
                <w:lang w:val="en-US"/>
              </w:rPr>
              <w:t>պարզաբանումը</w:t>
            </w:r>
            <w:proofErr w:type="spellEnd"/>
            <w:r w:rsidRPr="003D6573">
              <w:rPr>
                <w:bCs/>
              </w:rPr>
              <w:t xml:space="preserve"> </w:t>
            </w:r>
            <w:proofErr w:type="spellStart"/>
            <w:r w:rsidRPr="003D6573">
              <w:rPr>
                <w:bCs/>
                <w:lang w:val="en-US"/>
              </w:rPr>
              <w:t>ներառվել</w:t>
            </w:r>
            <w:proofErr w:type="spellEnd"/>
            <w:r w:rsidRPr="003D6573">
              <w:rPr>
                <w:bCs/>
              </w:rPr>
              <w:t xml:space="preserve"> </w:t>
            </w:r>
            <w:r w:rsidRPr="003D6573">
              <w:rPr>
                <w:bCs/>
                <w:lang w:val="en-US"/>
              </w:rPr>
              <w:t>է</w:t>
            </w:r>
            <w:r w:rsidRPr="003D6573">
              <w:rPr>
                <w:bCs/>
              </w:rPr>
              <w:t xml:space="preserve"> </w:t>
            </w:r>
            <w:proofErr w:type="spellStart"/>
            <w:r w:rsidRPr="003D6573">
              <w:rPr>
                <w:bCs/>
                <w:lang w:val="en-US"/>
              </w:rPr>
              <w:t>հիմնավորման</w:t>
            </w:r>
            <w:proofErr w:type="spellEnd"/>
            <w:r w:rsidRPr="003D6573">
              <w:rPr>
                <w:bCs/>
              </w:rPr>
              <w:t xml:space="preserve"> «</w:t>
            </w:r>
            <w:proofErr w:type="spellStart"/>
            <w:r w:rsidRPr="003D6573">
              <w:rPr>
                <w:bCs/>
                <w:lang w:val="en-US"/>
              </w:rPr>
              <w:t>Կարգավորման</w:t>
            </w:r>
            <w:proofErr w:type="spellEnd"/>
            <w:r w:rsidRPr="003D6573">
              <w:rPr>
                <w:bCs/>
              </w:rPr>
              <w:t xml:space="preserve"> </w:t>
            </w:r>
            <w:proofErr w:type="spellStart"/>
            <w:r w:rsidRPr="003D6573">
              <w:rPr>
                <w:bCs/>
                <w:lang w:val="en-US"/>
              </w:rPr>
              <w:t>նպատակները</w:t>
            </w:r>
            <w:proofErr w:type="spellEnd"/>
            <w:r w:rsidRPr="003D6573">
              <w:rPr>
                <w:bCs/>
              </w:rPr>
              <w:t xml:space="preserve">» </w:t>
            </w:r>
            <w:proofErr w:type="spellStart"/>
            <w:r w:rsidRPr="003D6573">
              <w:rPr>
                <w:bCs/>
                <w:lang w:val="en-US"/>
              </w:rPr>
              <w:t>բաժնում</w:t>
            </w:r>
            <w:proofErr w:type="spellEnd"/>
            <w:r w:rsidRPr="003D6573">
              <w:rPr>
                <w:bCs/>
                <w:lang w:val="en-US"/>
              </w:rPr>
              <w:t>՝</w:t>
            </w:r>
            <w:r w:rsidRPr="003D6573">
              <w:rPr>
                <w:bCs/>
              </w:rPr>
              <w:t xml:space="preserve"> </w:t>
            </w:r>
            <w:proofErr w:type="spellStart"/>
            <w:r w:rsidRPr="003D6573">
              <w:rPr>
                <w:bCs/>
                <w:lang w:val="en-US"/>
              </w:rPr>
              <w:t>բացատրելով</w:t>
            </w:r>
            <w:proofErr w:type="spellEnd"/>
            <w:r w:rsidRPr="003D6573">
              <w:rPr>
                <w:bCs/>
              </w:rPr>
              <w:t xml:space="preserve"> </w:t>
            </w:r>
            <w:proofErr w:type="spellStart"/>
            <w:r w:rsidRPr="003D6573">
              <w:rPr>
                <w:bCs/>
                <w:lang w:val="en-US"/>
              </w:rPr>
              <w:t>ծրագրային</w:t>
            </w:r>
            <w:proofErr w:type="spellEnd"/>
            <w:r w:rsidRPr="003D6573">
              <w:rPr>
                <w:bCs/>
              </w:rPr>
              <w:t xml:space="preserve"> </w:t>
            </w:r>
            <w:proofErr w:type="spellStart"/>
            <w:r w:rsidRPr="003D6573">
              <w:rPr>
                <w:bCs/>
                <w:lang w:val="en-US"/>
              </w:rPr>
              <w:t>թիրախավորումը</w:t>
            </w:r>
            <w:proofErr w:type="spellEnd"/>
            <w:r w:rsidRPr="003D6573">
              <w:rPr>
                <w:bCs/>
              </w:rPr>
              <w:t xml:space="preserve"> </w:t>
            </w:r>
            <w:r w:rsidRPr="003D6573">
              <w:rPr>
                <w:bCs/>
                <w:lang w:val="en-US"/>
              </w:rPr>
              <w:t>և</w:t>
            </w:r>
            <w:r w:rsidRPr="003D6573">
              <w:rPr>
                <w:bCs/>
              </w:rPr>
              <w:t xml:space="preserve"> </w:t>
            </w:r>
            <w:proofErr w:type="spellStart"/>
            <w:r w:rsidRPr="003D6573">
              <w:rPr>
                <w:bCs/>
                <w:lang w:val="en-US"/>
              </w:rPr>
              <w:t>ներկայացնելով</w:t>
            </w:r>
            <w:proofErr w:type="spellEnd"/>
            <w:r w:rsidRPr="003D6573">
              <w:rPr>
                <w:bCs/>
              </w:rPr>
              <w:t xml:space="preserve"> </w:t>
            </w:r>
            <w:proofErr w:type="spellStart"/>
            <w:r w:rsidRPr="003D6573">
              <w:rPr>
                <w:bCs/>
                <w:lang w:val="en-US"/>
              </w:rPr>
              <w:t>Մեծ</w:t>
            </w:r>
            <w:proofErr w:type="spellEnd"/>
            <w:r w:rsidRPr="003D6573">
              <w:rPr>
                <w:bCs/>
              </w:rPr>
              <w:t xml:space="preserve"> </w:t>
            </w:r>
            <w:proofErr w:type="spellStart"/>
            <w:r w:rsidRPr="003D6573">
              <w:rPr>
                <w:bCs/>
                <w:lang w:val="en-US"/>
              </w:rPr>
              <w:t>Բրիտանիայի</w:t>
            </w:r>
            <w:proofErr w:type="spellEnd"/>
            <w:r w:rsidRPr="003D6573">
              <w:rPr>
                <w:bCs/>
              </w:rPr>
              <w:t xml:space="preserve"> Start Up Loans </w:t>
            </w:r>
            <w:proofErr w:type="spellStart"/>
            <w:r w:rsidRPr="003D6573">
              <w:rPr>
                <w:bCs/>
                <w:lang w:val="en-US"/>
              </w:rPr>
              <w:t>ծրագրի</w:t>
            </w:r>
            <w:proofErr w:type="spellEnd"/>
            <w:r w:rsidRPr="003D6573">
              <w:rPr>
                <w:bCs/>
              </w:rPr>
              <w:t xml:space="preserve"> 2024 </w:t>
            </w:r>
            <w:proofErr w:type="spellStart"/>
            <w:r w:rsidRPr="003D6573">
              <w:rPr>
                <w:bCs/>
                <w:lang w:val="en-US"/>
              </w:rPr>
              <w:t>թվականի</w:t>
            </w:r>
            <w:proofErr w:type="spellEnd"/>
            <w:r w:rsidRPr="003D6573">
              <w:rPr>
                <w:bCs/>
              </w:rPr>
              <w:t xml:space="preserve"> </w:t>
            </w:r>
            <w:proofErr w:type="spellStart"/>
            <w:r w:rsidRPr="003D6573">
              <w:rPr>
                <w:bCs/>
                <w:lang w:val="en-US"/>
              </w:rPr>
              <w:t>համադրելի</w:t>
            </w:r>
            <w:proofErr w:type="spellEnd"/>
            <w:r w:rsidRPr="003D6573">
              <w:rPr>
                <w:bCs/>
              </w:rPr>
              <w:t xml:space="preserve"> </w:t>
            </w:r>
            <w:proofErr w:type="spellStart"/>
            <w:r w:rsidRPr="003D6573">
              <w:rPr>
                <w:bCs/>
                <w:lang w:val="en-US"/>
              </w:rPr>
              <w:t>օրինակը</w:t>
            </w:r>
            <w:proofErr w:type="spellEnd"/>
            <w:r w:rsidRPr="003D6573">
              <w:rPr>
                <w:bCs/>
                <w:lang w:val="en-US"/>
              </w:rPr>
              <w:t>՝</w:t>
            </w:r>
            <w:r w:rsidRPr="003D6573">
              <w:rPr>
                <w:bCs/>
              </w:rPr>
              <w:t xml:space="preserve"> </w:t>
            </w:r>
            <w:proofErr w:type="spellStart"/>
            <w:r w:rsidRPr="003D6573">
              <w:rPr>
                <w:bCs/>
                <w:lang w:val="en-US"/>
              </w:rPr>
              <w:t>պաշտոնական</w:t>
            </w:r>
            <w:proofErr w:type="spellEnd"/>
            <w:r w:rsidRPr="003D6573">
              <w:rPr>
                <w:bCs/>
              </w:rPr>
              <w:t xml:space="preserve"> </w:t>
            </w:r>
            <w:proofErr w:type="spellStart"/>
            <w:r w:rsidRPr="003D6573">
              <w:rPr>
                <w:bCs/>
                <w:lang w:val="en-US"/>
              </w:rPr>
              <w:t>աղբյուրներով</w:t>
            </w:r>
            <w:proofErr w:type="spellEnd"/>
            <w:r w:rsidRPr="003D6573">
              <w:rPr>
                <w:bCs/>
                <w:lang w:val="en-US"/>
              </w:rPr>
              <w:t>։</w:t>
            </w:r>
          </w:p>
        </w:tc>
      </w:tr>
      <w:tr w:rsidR="000C067A" w:rsidRPr="00871F32" w14:paraId="55A5D3C6"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735751B" w14:textId="77777777" w:rsidR="000C067A" w:rsidRPr="00871F32" w:rsidRDefault="000C067A"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3AF2EF35"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5</w:t>
            </w:r>
            <w:r w:rsidRPr="00365299">
              <w:rPr>
                <w:rFonts w:ascii="Cambria Math" w:hAnsi="Cambria Math" w:cs="Cambria Math"/>
                <w:bCs/>
                <w:noProof/>
                <w:lang w:val="hy-AM"/>
              </w:rPr>
              <w:t>․</w:t>
            </w:r>
            <w:r w:rsidRPr="00365299">
              <w:rPr>
                <w:rFonts w:cs="Sylfaen"/>
                <w:bCs/>
                <w:noProof/>
                <w:lang w:val="hy-AM"/>
              </w:rPr>
              <w:t xml:space="preserve"> Հավելվածի 23-րդ և 24-րդ կետերով կարգավորվում են Հանձնաժողովի անդամի ինքնաբացարկի ներկայացման և տվյալ անդամի կողմից կատարված գնահատումը կամ տրված ձայնը չհաշվառելու հարցերը, սակայն չեն սահմանվում ինքնաբացարկի հետևանքները Հանձնաժողովի հետագա գործունեության նկատմամբ։</w:t>
            </w:r>
          </w:p>
          <w:p w14:paraId="14CF9242"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Մասնավորապես հստակեցված չէ, թե ինքնաբացարկի դեպքում ինչպես է ապահովվում Հանձնաժողովի անհրաժեշտ թվով անդամների առկայությունը, արդյոք ինքնաբացարկ հայտնած անդամին փոխարինում է այլ անդամ, ինչպես նաև ինչ ընթացակարգ է կիրառվում այն դեպքում, երբ շահերի բախման հանգամանքը բացահայտվում է համապատասխան հայտի գնահատումից կամ որոշման ընդունումից հետո։</w:t>
            </w:r>
          </w:p>
          <w:p w14:paraId="38DA6BBE" w14:textId="666448BE" w:rsidR="000C067A" w:rsidRPr="00871F32" w:rsidRDefault="00365299" w:rsidP="00F44ADF">
            <w:pPr>
              <w:tabs>
                <w:tab w:val="left" w:pos="27"/>
              </w:tabs>
              <w:spacing w:after="0"/>
              <w:ind w:left="27"/>
              <w:jc w:val="both"/>
              <w:rPr>
                <w:rFonts w:cs="Sylfaen"/>
                <w:bCs/>
                <w:noProof/>
                <w:lang w:val="hy-AM"/>
              </w:rPr>
            </w:pPr>
            <w:r w:rsidRPr="00365299">
              <w:rPr>
                <w:rFonts w:cs="Sylfaen"/>
                <w:bCs/>
                <w:noProof/>
                <w:lang w:val="hy-AM"/>
              </w:rPr>
              <w:t>Ուստի առաջարկում ենք սահմանել ինքնաբացարկի դեպքում Հանձնաժողովի կազմի և համապատասխան հայտի գնահատման ու որոշման ընդունման հետագա ընթացակարգը։</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045D78DF" w14:textId="77777777" w:rsidR="00C5020E" w:rsidRDefault="00C5020E" w:rsidP="00644925">
            <w:pPr>
              <w:spacing w:after="0"/>
              <w:jc w:val="center"/>
              <w:rPr>
                <w:b/>
                <w:lang w:val="hy-AM"/>
              </w:rPr>
            </w:pPr>
            <w:r w:rsidRPr="00C5020E">
              <w:rPr>
                <w:b/>
                <w:lang w:val="hy-AM"/>
              </w:rPr>
              <w:t>Ընդունվել է</w:t>
            </w:r>
            <w:r>
              <w:rPr>
                <w:b/>
                <w:lang w:val="hy-AM"/>
              </w:rPr>
              <w:t>։</w:t>
            </w:r>
          </w:p>
          <w:p w14:paraId="2E64372F" w14:textId="61DED39A" w:rsidR="000C067A" w:rsidRPr="00C5020E" w:rsidRDefault="000518D8" w:rsidP="00C5020E">
            <w:pPr>
              <w:spacing w:after="0"/>
              <w:jc w:val="both"/>
              <w:rPr>
                <w:bCs/>
                <w:lang w:val="hy-AM"/>
              </w:rPr>
            </w:pPr>
            <w:r w:rsidRPr="000518D8">
              <w:rPr>
                <w:bCs/>
                <w:lang w:val="hy-AM"/>
              </w:rPr>
              <w:t>Հավելվածի 23-րդ կետում պահպանվել են ինքնաբացարկի և տեղեկացման պարտավորությունները։ 24-րդ կետում հստակեցվել են տվյալ հայտի գնահատմանը առնվազն հինգ՝ շահերի բախում չունեցող անդամի մասնակցությունը, ինքնաբացարկի մասին տեղեկանալու օրվանից հետո 5 աշխատանքային օրվա ընթացքում կազմի համալրումը՝ անհրաժեշտության դեպքում, և մինչև համալրումը քննարկման կասեցումը։ Ուշ բացահայտված շահերի բախման դեպքում նախատեսվել են տեղեկացումը՝ 2 աշխատանքային օրվա ընթացքում, նույն չափանիշներով վերագնահատումը՝ տեղեկացման կամ կազմի համալրման օրվանից հետո 5 աշխատանքային օրվա ընթացքում, և պատճառաբանված որոշումը՝ այն 2 աշխատանքային օրվա ընթացքում ներկայացնելով հայտատուին ու լիազոր մարմնին։ Չտրամադրված աջակցությունը կասեցվում է մինչև վերագնահատման ավարտը, իսկ պայմանագրային հետևանքները կարգավորվում են օրենսդրությամբ ու պայմանագրով։</w:t>
            </w:r>
          </w:p>
        </w:tc>
      </w:tr>
      <w:tr w:rsidR="00F44ADF" w:rsidRPr="00871F32" w14:paraId="79FD1EF1"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0683FBF" w14:textId="77777777" w:rsidR="00F44ADF" w:rsidRPr="00871F32" w:rsidRDefault="00F44ADF"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080D530" w14:textId="77777777" w:rsidR="00F44ADF" w:rsidRPr="00365299" w:rsidRDefault="00F44ADF" w:rsidP="00F44ADF">
            <w:pPr>
              <w:tabs>
                <w:tab w:val="left" w:pos="27"/>
              </w:tabs>
              <w:spacing w:after="0"/>
              <w:ind w:left="27"/>
              <w:jc w:val="both"/>
              <w:rPr>
                <w:rFonts w:cs="Sylfaen"/>
                <w:bCs/>
                <w:noProof/>
                <w:lang w:val="hy-AM"/>
              </w:rPr>
            </w:pPr>
            <w:r w:rsidRPr="00365299">
              <w:rPr>
                <w:rFonts w:cs="Sylfaen"/>
                <w:bCs/>
                <w:noProof/>
                <w:lang w:val="hy-AM"/>
              </w:rPr>
              <w:t>6</w:t>
            </w:r>
            <w:r w:rsidRPr="00365299">
              <w:rPr>
                <w:rFonts w:ascii="Cambria Math" w:hAnsi="Cambria Math" w:cs="Cambria Math"/>
                <w:bCs/>
                <w:noProof/>
                <w:lang w:val="hy-AM"/>
              </w:rPr>
              <w:t>․</w:t>
            </w:r>
            <w:r w:rsidRPr="00365299">
              <w:rPr>
                <w:rFonts w:cs="Sylfaen"/>
                <w:bCs/>
                <w:noProof/>
                <w:lang w:val="hy-AM"/>
              </w:rPr>
              <w:t xml:space="preserve"> Հավելվածի 40-րդ կետով նախատեսվում է ծրագրի իրականացման վերաբերյալ ամփոփ հաշվետվության հրապարակում։</w:t>
            </w:r>
          </w:p>
          <w:p w14:paraId="6A62655D" w14:textId="397F5ECA" w:rsidR="00F44ADF" w:rsidRPr="00365299" w:rsidRDefault="00F44ADF" w:rsidP="00F44ADF">
            <w:pPr>
              <w:tabs>
                <w:tab w:val="left" w:pos="27"/>
              </w:tabs>
              <w:spacing w:after="0"/>
              <w:ind w:left="27"/>
              <w:jc w:val="both"/>
              <w:rPr>
                <w:rFonts w:cs="Sylfaen"/>
                <w:bCs/>
                <w:noProof/>
                <w:lang w:val="hy-AM"/>
              </w:rPr>
            </w:pPr>
            <w:r w:rsidRPr="00365299">
              <w:rPr>
                <w:rFonts w:cs="Sylfaen"/>
                <w:bCs/>
                <w:noProof/>
                <w:lang w:val="hy-AM"/>
              </w:rPr>
              <w:t>Հաշվի առնելով ծրագրի իրականացման վերաբերյալ տեղեկատվության հասանելիության և թափանցիկության ապահովման անհրաժեշտությունը՝ առաջարկում ենք հստակեցնել ամփոփ հաշվետվության հրապարակման կարգը՝ նախատեսելով դրա հրապարակումը լիազոր մարմնի պաշտոնական կայքում, ինչպես նաև սահմանելով հրապարակման ժամկետը։</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3AD21D87" w14:textId="77777777" w:rsidR="00F44ADF" w:rsidRDefault="00F44ADF" w:rsidP="00644925">
            <w:pPr>
              <w:spacing w:after="0"/>
              <w:jc w:val="center"/>
              <w:rPr>
                <w:b/>
                <w:lang w:val="hy-AM"/>
              </w:rPr>
            </w:pPr>
            <w:r w:rsidRPr="00F44ADF">
              <w:rPr>
                <w:b/>
                <w:lang w:val="hy-AM"/>
              </w:rPr>
              <w:t xml:space="preserve">Ընդունվել է։ </w:t>
            </w:r>
          </w:p>
          <w:p w14:paraId="5BD79F0A" w14:textId="15566997" w:rsidR="00F44ADF" w:rsidRPr="00F44ADF" w:rsidRDefault="00AD56CD" w:rsidP="00F44ADF">
            <w:pPr>
              <w:spacing w:after="0"/>
              <w:jc w:val="both"/>
              <w:rPr>
                <w:bCs/>
                <w:lang w:val="hy-AM"/>
              </w:rPr>
            </w:pPr>
            <w:r w:rsidRPr="00AD56CD">
              <w:rPr>
                <w:bCs/>
                <w:lang w:val="hy-AM"/>
              </w:rPr>
              <w:t>Հավելվածի 40-րդ կետում սահմանվել է ամփոփ հաշվետվության հրապարակումը լիազոր մարմնի պաշտոնական կայքում՝ այն կազմելու օրվանից հետո 10 աշխատանքային օրվա ընթացքում։ Հավելվածի 37-րդ կետում պահպանվել է հաշվետվության կազմման՝ հաշվետու տարվա ավարտից հետո 60 աշխատանքային օրվա ժամկետը։</w:t>
            </w:r>
          </w:p>
        </w:tc>
      </w:tr>
      <w:tr w:rsidR="00365299" w:rsidRPr="00871F32" w14:paraId="187AA8A3"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B5AAE5" w14:textId="77777777" w:rsidR="00365299" w:rsidRPr="00871F32" w:rsidRDefault="00365299"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427D18AD"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7</w:t>
            </w:r>
            <w:r w:rsidRPr="00365299">
              <w:rPr>
                <w:rFonts w:ascii="Cambria Math" w:hAnsi="Cambria Math" w:cs="Cambria Math"/>
                <w:bCs/>
                <w:noProof/>
                <w:lang w:val="hy-AM"/>
              </w:rPr>
              <w:t>․</w:t>
            </w:r>
            <w:r w:rsidRPr="00365299">
              <w:rPr>
                <w:rFonts w:cs="Sylfaen"/>
                <w:bCs/>
                <w:noProof/>
                <w:lang w:val="hy-AM"/>
              </w:rPr>
              <w:t xml:space="preserve"> Հավելվածի 41-րդ կետով նախատեսվում է, որ Ծրագրի իրականացման նպատակով լիազոր մարմինը շահառուների վերաբերյալ տեղեկություններ տրամադրում է կամ ստանում է համապատասխան պետական մարմիններից։</w:t>
            </w:r>
          </w:p>
          <w:p w14:paraId="4F69E05E" w14:textId="5428856E"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Հաշվի առնելով այն հանգամանքը, որ նշված տեղեկությունները կարող են ներառել անձնական տվյալներ, ինչպես նաև օրենքով պահպանվող գաղտնի տեղեկություններ, առաջարկում ենք 41-րդ կետը լրացնել՝ նախատեսելով, որ տեղեկությունների տրամադրումն ու ստացումն իրականացվում են Հայաստանի Հանրապետության օրենսդրությամբ սահմանված կարգով՝ պահպանելով «Անձնական տվյալների պաշտպանության մասին» օրենքի պահանջները։</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61865586" w14:textId="77777777" w:rsidR="00CC477E" w:rsidRDefault="00CC477E" w:rsidP="00644925">
            <w:pPr>
              <w:spacing w:after="0"/>
              <w:jc w:val="center"/>
              <w:rPr>
                <w:b/>
                <w:lang w:val="hy-AM"/>
              </w:rPr>
            </w:pPr>
            <w:r w:rsidRPr="00CC477E">
              <w:rPr>
                <w:b/>
                <w:lang w:val="hy-AM"/>
              </w:rPr>
              <w:t xml:space="preserve">Ընդունվել է։ </w:t>
            </w:r>
          </w:p>
          <w:p w14:paraId="2BD15370" w14:textId="6BE658E2" w:rsidR="00365299" w:rsidRPr="00871F32" w:rsidRDefault="00776344" w:rsidP="00CC477E">
            <w:pPr>
              <w:spacing w:after="0"/>
              <w:jc w:val="both"/>
              <w:rPr>
                <w:b/>
                <w:lang w:val="hy-AM"/>
              </w:rPr>
            </w:pPr>
            <w:r w:rsidRPr="00776344">
              <w:rPr>
                <w:bCs/>
                <w:lang w:val="hy-AM"/>
              </w:rPr>
              <w:t>Հավելվածի 41-րդ կետը լրացվել է «Անձնական տվյալների պաշտպանության մասին» օրենքի և օրենքով պահպանվող գաղտնի տեղեկությունների պաշտպանության պահանջների պահպանման վերաբերյալ դրույթներով։ Նույն կետով սահմանվել է, որ տրամադրվող կամ ստացվող տեղեկությունների ծավալը սահմանափակվում է ծրագրի իրականացման համար անհրաժեշտ տվյալներով։</w:t>
            </w:r>
          </w:p>
        </w:tc>
      </w:tr>
      <w:tr w:rsidR="00365299" w:rsidRPr="00871F32" w14:paraId="6AD1D53C"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236D3EC" w14:textId="77777777" w:rsidR="00365299" w:rsidRPr="00871F32" w:rsidRDefault="00365299"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7A2DE95D"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8</w:t>
            </w:r>
            <w:r w:rsidRPr="00365299">
              <w:rPr>
                <w:rFonts w:ascii="Cambria Math" w:hAnsi="Cambria Math" w:cs="Cambria Math"/>
                <w:bCs/>
                <w:noProof/>
                <w:lang w:val="hy-AM"/>
              </w:rPr>
              <w:t>․</w:t>
            </w:r>
            <w:r w:rsidRPr="00365299">
              <w:rPr>
                <w:rFonts w:cs="Sylfaen"/>
                <w:bCs/>
                <w:noProof/>
                <w:lang w:val="hy-AM"/>
              </w:rPr>
              <w:t xml:space="preserve"> Նախագծի 3-րդ կետի 2-րդ ենթակետով և Հավելվածի 12-րդ կետով կրկնվում է օպերատորի (օպերատորների) ընտրության՝ Հայաստանի Հանրապետության կառավարության 2003 թվականի դեկտեմբերի 24-ի N 1937-Ն որոշմամբ սահմանված կարգով իրականացվելու վերաբերյալ դրույթը։</w:t>
            </w:r>
          </w:p>
          <w:p w14:paraId="4C6CEF0F" w14:textId="4E5E97AF"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lastRenderedPageBreak/>
              <w:t>Հաշվի առնելով «Նորմատիվ իրավական ակտերի մասին» օրենքի 13-րդ հոդվածի 8-րդ մասի պահանջը՝ առաջարկում ենք վերանայել նշված դրույթները։</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289127DA" w14:textId="77777777" w:rsidR="009969A0" w:rsidRDefault="009969A0" w:rsidP="00644925">
            <w:pPr>
              <w:spacing w:after="0"/>
              <w:jc w:val="center"/>
              <w:rPr>
                <w:b/>
                <w:lang w:val="hy-AM"/>
              </w:rPr>
            </w:pPr>
            <w:r w:rsidRPr="009969A0">
              <w:rPr>
                <w:b/>
                <w:lang w:val="hy-AM"/>
              </w:rPr>
              <w:lastRenderedPageBreak/>
              <w:t xml:space="preserve">Ընդունվել է։ </w:t>
            </w:r>
          </w:p>
          <w:p w14:paraId="0A1BE2A0" w14:textId="48A69262" w:rsidR="00365299" w:rsidRPr="009969A0" w:rsidRDefault="00141D19" w:rsidP="009969A0">
            <w:pPr>
              <w:spacing w:after="0"/>
              <w:jc w:val="both"/>
              <w:rPr>
                <w:bCs/>
                <w:lang w:val="hy-AM"/>
              </w:rPr>
            </w:pPr>
            <w:r w:rsidRPr="00141D19">
              <w:rPr>
                <w:bCs/>
                <w:lang w:val="hy-AM"/>
              </w:rPr>
              <w:t xml:space="preserve">Որոշման նախագծի 3-րդ կետի 2-րդ ենթակետում N 1937-Ն որոշման հղումը փոխարինվել է հավելվածի 12-րդ կետին հղումով։ Մրցութային ընթացակարգերի կազմակերպման ժամկետը սահմանվել է 10 աշխատանքային օր։ Հավելվածի 12-րդ կետում պահպանվել է N 1937-Ն որոշմամբ սահմանված ընտրության կարգի հղումը։ Հավելվածի 5-րդ կետի 3-րդ </w:t>
            </w:r>
            <w:r w:rsidRPr="00141D19">
              <w:rPr>
                <w:bCs/>
                <w:lang w:val="hy-AM"/>
              </w:rPr>
              <w:lastRenderedPageBreak/>
              <w:t>ենթակետում և 13-րդ կետում օգտագործվել է 12-րդ կետին հղում՝ կրկնվող ամբողջական հղումները բացառելու նպատակով։</w:t>
            </w:r>
          </w:p>
        </w:tc>
      </w:tr>
      <w:tr w:rsidR="00365299" w:rsidRPr="00871F32" w14:paraId="04786A6C"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18855BC" w14:textId="77777777" w:rsidR="00365299" w:rsidRPr="00871F32" w:rsidRDefault="00365299"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164DEF3B" w14:textId="5AF42EF4"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9</w:t>
            </w:r>
            <w:r w:rsidRPr="00365299">
              <w:rPr>
                <w:rFonts w:ascii="Cambria Math" w:hAnsi="Cambria Math" w:cs="Cambria Math"/>
                <w:bCs/>
                <w:noProof/>
                <w:lang w:val="hy-AM"/>
              </w:rPr>
              <w:t>․</w:t>
            </w:r>
            <w:r w:rsidRPr="00365299">
              <w:rPr>
                <w:rFonts w:cs="Sylfaen"/>
                <w:bCs/>
                <w:noProof/>
                <w:lang w:val="hy-AM"/>
              </w:rPr>
              <w:t xml:space="preserve"> Հավելվածի վավերապայմաններում անհրաժեշտ է լրացնել «</w:t>
            </w:r>
            <w:r w:rsidRPr="00365299">
              <w:rPr>
                <w:rFonts w:cs="Sylfaen"/>
                <w:bCs/>
                <w:i/>
                <w:iCs/>
                <w:noProof/>
                <w:lang w:val="hy-AM"/>
              </w:rPr>
              <w:t>Հավելված</w:t>
            </w:r>
            <w:r w:rsidRPr="00365299">
              <w:rPr>
                <w:rFonts w:cs="Sylfaen"/>
                <w:bCs/>
                <w:noProof/>
                <w:lang w:val="hy-AM"/>
              </w:rPr>
              <w:t xml:space="preserve">» բառը։ </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76598F4D" w14:textId="77777777" w:rsidR="00CC477E" w:rsidRDefault="00CC477E" w:rsidP="00644925">
            <w:pPr>
              <w:spacing w:after="0"/>
              <w:jc w:val="center"/>
              <w:rPr>
                <w:b/>
                <w:lang w:val="hy-AM"/>
              </w:rPr>
            </w:pPr>
            <w:r w:rsidRPr="00CC477E">
              <w:rPr>
                <w:b/>
                <w:lang w:val="hy-AM"/>
              </w:rPr>
              <w:t xml:space="preserve">Ընդունվել է։ </w:t>
            </w:r>
          </w:p>
          <w:p w14:paraId="46DF6D7F" w14:textId="3DBC280F" w:rsidR="00365299" w:rsidRPr="00CC477E" w:rsidRDefault="00CC477E" w:rsidP="00CC477E">
            <w:pPr>
              <w:spacing w:after="0"/>
              <w:jc w:val="both"/>
              <w:rPr>
                <w:bCs/>
                <w:lang w:val="hy-AM"/>
              </w:rPr>
            </w:pPr>
            <w:r w:rsidRPr="00CC477E">
              <w:rPr>
                <w:bCs/>
                <w:lang w:val="hy-AM"/>
              </w:rPr>
              <w:t>Հավելվածի վավերապայմաններում՝ կառավարության որոշման ամսաթվի և համարի նշումից առաջ, լրացվել է «Հավելված» բառը։</w:t>
            </w:r>
          </w:p>
        </w:tc>
      </w:tr>
      <w:tr w:rsidR="00365299" w:rsidRPr="00871F32" w14:paraId="203D21E9" w14:textId="77777777" w:rsidTr="00C5020E">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3915E40" w14:textId="77777777" w:rsidR="00365299" w:rsidRPr="00871F32" w:rsidRDefault="00365299" w:rsidP="001471CF">
            <w:pPr>
              <w:spacing w:after="0"/>
              <w:jc w:val="both"/>
              <w:rPr>
                <w:bCs/>
              </w:rPr>
            </w:pP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7821F2C6" w14:textId="77777777"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10</w:t>
            </w:r>
            <w:r w:rsidRPr="00365299">
              <w:rPr>
                <w:rFonts w:ascii="Cambria Math" w:hAnsi="Cambria Math" w:cs="Cambria Math"/>
                <w:bCs/>
                <w:noProof/>
                <w:lang w:val="hy-AM"/>
              </w:rPr>
              <w:t>․</w:t>
            </w:r>
            <w:r w:rsidRPr="00365299">
              <w:rPr>
                <w:rFonts w:cs="Sylfaen"/>
                <w:bCs/>
                <w:noProof/>
                <w:lang w:val="hy-AM"/>
              </w:rPr>
              <w:t xml:space="preserve"> Նախագծի մի շարք դրույթներում կիրառվում է «օպերատոր(ներ)» ձևակերպումը։ Այս առնչությամբ հարկ է նկատել, որ «Նորմատիվ իրավական ակտերի մասին» օրենքի 16-րդ հոդվածի 8-րդ մասի համաձայն՝ «եթե նորմատիվ իրավական ակտում բառը նշված է եզակի թվով, ապա դա տարածվում է նաև այդ բառի հոգնակիի վրա և ընդհակառակը</w:t>
            </w:r>
            <w:r w:rsidRPr="00365299">
              <w:rPr>
                <w:rFonts w:ascii="Cambria Math" w:hAnsi="Cambria Math" w:cs="Cambria Math"/>
                <w:bCs/>
                <w:noProof/>
                <w:lang w:val="hy-AM"/>
              </w:rPr>
              <w:t>․․․</w:t>
            </w:r>
            <w:r w:rsidRPr="00365299">
              <w:rPr>
                <w:rFonts w:cs="Sylfaen"/>
                <w:bCs/>
                <w:noProof/>
                <w:lang w:val="hy-AM"/>
              </w:rPr>
              <w:t>»։</w:t>
            </w:r>
          </w:p>
          <w:p w14:paraId="0AD9A421" w14:textId="496B953C" w:rsidR="00365299" w:rsidRPr="00365299" w:rsidRDefault="00365299" w:rsidP="00365299">
            <w:pPr>
              <w:tabs>
                <w:tab w:val="left" w:pos="27"/>
              </w:tabs>
              <w:spacing w:after="0"/>
              <w:ind w:left="27"/>
              <w:jc w:val="both"/>
              <w:rPr>
                <w:rFonts w:cs="Sylfaen"/>
                <w:bCs/>
                <w:noProof/>
                <w:lang w:val="hy-AM"/>
              </w:rPr>
            </w:pPr>
            <w:r w:rsidRPr="00365299">
              <w:rPr>
                <w:rFonts w:cs="Sylfaen"/>
                <w:bCs/>
                <w:noProof/>
                <w:lang w:val="hy-AM"/>
              </w:rPr>
              <w:t>Ուստի առաջարկում ենք Հավելվածում առաջին իսկ կիրառման ժամանակ սահմանել «Օպերատոր» կրճատ տարբերակը և ամբողջ տեքստում կիրառել այն՝ բացառելով «օպերատոր(ներ)» ձևակերպման կիրառումը։</w:t>
            </w:r>
          </w:p>
        </w:tc>
        <w:tc>
          <w:tcPr>
            <w:tcW w:w="6522" w:type="dxa"/>
            <w:tcBorders>
              <w:top w:val="single" w:sz="4" w:space="0" w:color="000000"/>
              <w:left w:val="single" w:sz="4" w:space="0" w:color="000000"/>
              <w:bottom w:val="single" w:sz="4" w:space="0" w:color="000000"/>
              <w:right w:val="single" w:sz="4" w:space="0" w:color="000000"/>
            </w:tcBorders>
            <w:shd w:val="clear" w:color="auto" w:fill="auto"/>
          </w:tcPr>
          <w:p w14:paraId="627D2F25" w14:textId="77777777" w:rsidR="00F9487D" w:rsidRDefault="00F9487D" w:rsidP="00644925">
            <w:pPr>
              <w:spacing w:after="0"/>
              <w:jc w:val="center"/>
              <w:rPr>
                <w:b/>
                <w:lang w:val="hy-AM"/>
              </w:rPr>
            </w:pPr>
            <w:r w:rsidRPr="00F9487D">
              <w:rPr>
                <w:b/>
                <w:lang w:val="hy-AM"/>
              </w:rPr>
              <w:t xml:space="preserve">Ընդունվել է։ </w:t>
            </w:r>
          </w:p>
          <w:p w14:paraId="5A7A4886" w14:textId="34FBA9FE" w:rsidR="00365299" w:rsidRPr="00F9487D" w:rsidRDefault="00FE2C70" w:rsidP="00F9487D">
            <w:pPr>
              <w:spacing w:after="0"/>
              <w:jc w:val="both"/>
              <w:rPr>
                <w:b/>
                <w:lang w:val="hy-AM"/>
              </w:rPr>
            </w:pPr>
            <w:r w:rsidRPr="00FE2C70">
              <w:rPr>
                <w:bCs/>
                <w:lang w:val="hy-AM"/>
              </w:rPr>
              <w:t>Հավելվածի 5-րդ կետի 3-րդ ենթակետում սահմանվել է «իրականացնող օպերատոր (այսուհետ՝ Օպերատոր)» հասկացությունը։ Որոշման նախագծի 3-րդ կետի 2-րդ ենթակետում և հավելվածի ամբողջ տեքստում «օպերատոր(ներ)» ու համարժեք փակագծային ձևակերպումները փոխարինվել են եզակի թվով համապատասխան ձևերով։ Հավելվածի 15-րդ կետում պահպանվել է մի քանի Օպերատորի ներգրավման դեպքում գործառույթների, տարածքային և ոլորտային ծածկույթի բաշխման կարգավորումը։</w:t>
            </w:r>
          </w:p>
        </w:tc>
      </w:tr>
    </w:tbl>
    <w:p w14:paraId="78D069FC" w14:textId="77777777" w:rsidR="00DE3FB3" w:rsidRPr="00871F32" w:rsidRDefault="00DE3FB3" w:rsidP="001471CF">
      <w:pPr>
        <w:spacing w:after="0"/>
        <w:ind w:left="-630" w:firstLine="360"/>
        <w:jc w:val="both"/>
        <w:rPr>
          <w:bCs/>
          <w:lang w:val="hy-AM"/>
        </w:rPr>
      </w:pPr>
    </w:p>
    <w:p w14:paraId="6E7EE347" w14:textId="77777777" w:rsidR="007C62AB" w:rsidRPr="00871F32" w:rsidRDefault="007C62AB" w:rsidP="001471CF">
      <w:pPr>
        <w:spacing w:after="0"/>
        <w:ind w:left="-630" w:firstLine="360"/>
        <w:jc w:val="both"/>
        <w:rPr>
          <w:bCs/>
          <w:lang w:val="hy-AM"/>
        </w:rPr>
      </w:pPr>
    </w:p>
    <w:sectPr w:rsidR="007C62AB" w:rsidRPr="00871F32" w:rsidSect="007D4B53">
      <w:headerReference w:type="default" r:id="rId9"/>
      <w:pgSz w:w="15840" w:h="12240" w:orient="landscape"/>
      <w:pgMar w:top="1418" w:right="454" w:bottom="1134" w:left="45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16FD3A" w14:textId="77777777" w:rsidR="001A31E6" w:rsidRDefault="001A31E6">
      <w:pPr>
        <w:spacing w:after="0" w:line="240" w:lineRule="auto"/>
      </w:pPr>
      <w:r>
        <w:separator/>
      </w:r>
    </w:p>
  </w:endnote>
  <w:endnote w:type="continuationSeparator" w:id="0">
    <w:p w14:paraId="52149832" w14:textId="77777777" w:rsidR="001A31E6" w:rsidRDefault="001A3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embedRegular r:id="rId1" w:fontKey="{FBB6A516-A281-4476-B78E-B55A375988B7}"/>
    <w:embedBold r:id="rId2" w:fontKey="{78EB724D-183E-4AF1-A1E9-D723B0022D7D}"/>
    <w:embedBoldItalic r:id="rId3" w:fontKey="{AE492DBF-9633-4B3D-BE47-344DC7F4BE9A}"/>
  </w:font>
  <w:font w:name="ghrapalat">
    <w:altName w:val="Cambria"/>
    <w:panose1 w:val="00000000000000000000"/>
    <w:charset w:val="00"/>
    <w:family w:val="roman"/>
    <w:notTrueType/>
    <w:pitch w:val="default"/>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embedRegular r:id="rId4" w:fontKey="{E91ED4FE-20E4-42C8-954D-C09AE35A4807}"/>
    <w:embedBold r:id="rId5" w:fontKey="{3FFA40DA-4F85-4860-8340-56B527E0C8CE}"/>
  </w:font>
  <w:font w:name="Segoe UI">
    <w:panose1 w:val="020B0502040204020203"/>
    <w:charset w:val="00"/>
    <w:family w:val="swiss"/>
    <w:pitch w:val="variable"/>
    <w:sig w:usb0="E4002EFF" w:usb1="C000E47F" w:usb2="00000009" w:usb3="00000000" w:csb0="000001FF" w:csb1="00000000"/>
    <w:embedRegular r:id="rId6" w:fontKey="{DA3F655C-71A5-48F0-9DFD-121953B271E5}"/>
  </w:font>
  <w:font w:name="Georgia">
    <w:panose1 w:val="02040502050405020303"/>
    <w:charset w:val="00"/>
    <w:family w:val="roman"/>
    <w:pitch w:val="variable"/>
    <w:sig w:usb0="00000287" w:usb1="00000000" w:usb2="00000000" w:usb3="00000000" w:csb0="0000009F" w:csb1="00000000"/>
    <w:embedRegular r:id="rId7" w:fontKey="{100BA9D4-96F5-4181-AE45-1AA076D1EAD1}"/>
    <w:embedItalic r:id="rId8" w:fontKey="{3DED5E5F-A8DB-4D14-9093-23863A1DDD36}"/>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9" w:fontKey="{4BCE9313-8FD5-4E2C-BFAC-580E6209BCA4}"/>
    <w:embedBold r:id="rId10" w:fontKey="{8D72A0A6-568B-4AA8-9982-4D0AE6190938}"/>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embedRegular r:id="rId11" w:fontKey="{72C709F0-3466-4937-BDD7-0020978644CE}"/>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D0E0B9" w14:textId="77777777" w:rsidR="001A31E6" w:rsidRDefault="001A31E6">
      <w:pPr>
        <w:spacing w:after="0" w:line="240" w:lineRule="auto"/>
      </w:pPr>
      <w:r>
        <w:separator/>
      </w:r>
    </w:p>
  </w:footnote>
  <w:footnote w:type="continuationSeparator" w:id="0">
    <w:p w14:paraId="4A474963" w14:textId="77777777" w:rsidR="001A31E6" w:rsidRDefault="001A31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BF2AC" w14:textId="77777777" w:rsidR="00DE3FB3" w:rsidRDefault="00DE3FB3" w:rsidP="004600DD">
    <w:pPr>
      <w:pStyle w:val="Header"/>
      <w:rPr>
        <w:lang w:val="hy-AM"/>
      </w:rPr>
    </w:pPr>
  </w:p>
  <w:p w14:paraId="47B965D5" w14:textId="77777777" w:rsidR="004600DD" w:rsidRPr="004600DD" w:rsidRDefault="004600DD" w:rsidP="004600DD">
    <w:pPr>
      <w:pStyle w:val="Header"/>
      <w:rPr>
        <w:lang w:val="hy-A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DB5"/>
    <w:multiLevelType w:val="multilevel"/>
    <w:tmpl w:val="813E9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51136C"/>
    <w:multiLevelType w:val="hybridMultilevel"/>
    <w:tmpl w:val="840A06E6"/>
    <w:lvl w:ilvl="0" w:tplc="4402647A">
      <w:start w:val="1"/>
      <w:numFmt w:val="decimal"/>
      <w:lvlText w:val="%1)"/>
      <w:lvlJc w:val="left"/>
      <w:pPr>
        <w:ind w:left="470" w:hanging="360"/>
      </w:pPr>
      <w:rPr>
        <w:rFonts w:hint="default"/>
        <w:b w:val="0"/>
        <w:i w:val="0"/>
        <w:sz w:val="22"/>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abstractNum w:abstractNumId="2" w15:restartNumberingAfterBreak="0">
    <w:nsid w:val="0D523326"/>
    <w:multiLevelType w:val="hybridMultilevel"/>
    <w:tmpl w:val="56546FAE"/>
    <w:lvl w:ilvl="0" w:tplc="0409000B">
      <w:start w:val="1"/>
      <w:numFmt w:val="bullet"/>
      <w:lvlText w:val=""/>
      <w:lvlJc w:val="left"/>
      <w:pPr>
        <w:ind w:left="1359" w:hanging="360"/>
      </w:pPr>
      <w:rPr>
        <w:rFonts w:ascii="Wingdings" w:hAnsi="Wingdings" w:hint="default"/>
      </w:rPr>
    </w:lvl>
    <w:lvl w:ilvl="1" w:tplc="04090003">
      <w:start w:val="1"/>
      <w:numFmt w:val="bullet"/>
      <w:lvlText w:val="o"/>
      <w:lvlJc w:val="left"/>
      <w:pPr>
        <w:ind w:left="2079" w:hanging="360"/>
      </w:pPr>
      <w:rPr>
        <w:rFonts w:ascii="Courier New" w:hAnsi="Courier New" w:cs="Courier New" w:hint="default"/>
      </w:rPr>
    </w:lvl>
    <w:lvl w:ilvl="2" w:tplc="04090005">
      <w:start w:val="1"/>
      <w:numFmt w:val="bullet"/>
      <w:lvlText w:val=""/>
      <w:lvlJc w:val="left"/>
      <w:pPr>
        <w:ind w:left="2799" w:hanging="360"/>
      </w:pPr>
      <w:rPr>
        <w:rFonts w:ascii="Wingdings" w:hAnsi="Wingdings" w:hint="default"/>
      </w:rPr>
    </w:lvl>
    <w:lvl w:ilvl="3" w:tplc="04090001">
      <w:start w:val="1"/>
      <w:numFmt w:val="bullet"/>
      <w:lvlText w:val=""/>
      <w:lvlJc w:val="left"/>
      <w:pPr>
        <w:ind w:left="3519" w:hanging="360"/>
      </w:pPr>
      <w:rPr>
        <w:rFonts w:ascii="Symbol" w:hAnsi="Symbol" w:hint="default"/>
      </w:rPr>
    </w:lvl>
    <w:lvl w:ilvl="4" w:tplc="04090003">
      <w:start w:val="1"/>
      <w:numFmt w:val="bullet"/>
      <w:lvlText w:val="o"/>
      <w:lvlJc w:val="left"/>
      <w:pPr>
        <w:ind w:left="4239" w:hanging="360"/>
      </w:pPr>
      <w:rPr>
        <w:rFonts w:ascii="Courier New" w:hAnsi="Courier New" w:cs="Courier New" w:hint="default"/>
      </w:rPr>
    </w:lvl>
    <w:lvl w:ilvl="5" w:tplc="04090005">
      <w:start w:val="1"/>
      <w:numFmt w:val="bullet"/>
      <w:lvlText w:val=""/>
      <w:lvlJc w:val="left"/>
      <w:pPr>
        <w:ind w:left="4959" w:hanging="360"/>
      </w:pPr>
      <w:rPr>
        <w:rFonts w:ascii="Wingdings" w:hAnsi="Wingdings" w:hint="default"/>
      </w:rPr>
    </w:lvl>
    <w:lvl w:ilvl="6" w:tplc="04090001">
      <w:start w:val="1"/>
      <w:numFmt w:val="bullet"/>
      <w:lvlText w:val=""/>
      <w:lvlJc w:val="left"/>
      <w:pPr>
        <w:ind w:left="5679" w:hanging="360"/>
      </w:pPr>
      <w:rPr>
        <w:rFonts w:ascii="Symbol" w:hAnsi="Symbol" w:hint="default"/>
      </w:rPr>
    </w:lvl>
    <w:lvl w:ilvl="7" w:tplc="04090003">
      <w:start w:val="1"/>
      <w:numFmt w:val="bullet"/>
      <w:lvlText w:val="o"/>
      <w:lvlJc w:val="left"/>
      <w:pPr>
        <w:ind w:left="6399" w:hanging="360"/>
      </w:pPr>
      <w:rPr>
        <w:rFonts w:ascii="Courier New" w:hAnsi="Courier New" w:cs="Courier New" w:hint="default"/>
      </w:rPr>
    </w:lvl>
    <w:lvl w:ilvl="8" w:tplc="04090005">
      <w:start w:val="1"/>
      <w:numFmt w:val="bullet"/>
      <w:lvlText w:val=""/>
      <w:lvlJc w:val="left"/>
      <w:pPr>
        <w:ind w:left="7119" w:hanging="360"/>
      </w:pPr>
      <w:rPr>
        <w:rFonts w:ascii="Wingdings" w:hAnsi="Wingdings" w:hint="default"/>
      </w:rPr>
    </w:lvl>
  </w:abstractNum>
  <w:abstractNum w:abstractNumId="3" w15:restartNumberingAfterBreak="0">
    <w:nsid w:val="0FF550D0"/>
    <w:multiLevelType w:val="hybridMultilevel"/>
    <w:tmpl w:val="15640532"/>
    <w:lvl w:ilvl="0" w:tplc="D5268E84">
      <w:start w:val="1"/>
      <w:numFmt w:val="decimal"/>
      <w:lvlText w:val="%1)"/>
      <w:lvlJc w:val="right"/>
      <w:pPr>
        <w:ind w:left="7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514A6"/>
    <w:multiLevelType w:val="hybridMultilevel"/>
    <w:tmpl w:val="17E03FE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C94ADE"/>
    <w:multiLevelType w:val="hybridMultilevel"/>
    <w:tmpl w:val="E9527EA8"/>
    <w:lvl w:ilvl="0" w:tplc="0409000F">
      <w:start w:val="1"/>
      <w:numFmt w:val="decimal"/>
      <w:lvlText w:val="%1."/>
      <w:lvlJc w:val="left"/>
      <w:pPr>
        <w:ind w:left="1499" w:hanging="360"/>
      </w:p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6" w15:restartNumberingAfterBreak="0">
    <w:nsid w:val="14D020F1"/>
    <w:multiLevelType w:val="hybridMultilevel"/>
    <w:tmpl w:val="520C00C4"/>
    <w:lvl w:ilvl="0" w:tplc="9C68C164">
      <w:start w:val="2"/>
      <w:numFmt w:val="decimal"/>
      <w:lvlText w:val="%1."/>
      <w:lvlJc w:val="right"/>
      <w:pPr>
        <w:ind w:left="1499" w:hanging="360"/>
      </w:pPr>
      <w:rPr>
        <w:rFonts w:hint="default"/>
      </w:r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7" w15:restartNumberingAfterBreak="0">
    <w:nsid w:val="18743DC4"/>
    <w:multiLevelType w:val="hybridMultilevel"/>
    <w:tmpl w:val="44F253A2"/>
    <w:lvl w:ilvl="0" w:tplc="11C40B18">
      <w:start w:val="1"/>
      <w:numFmt w:val="decimal"/>
      <w:lvlText w:val="%1."/>
      <w:lvlJc w:val="right"/>
      <w:pPr>
        <w:ind w:left="1152" w:hanging="360"/>
      </w:pPr>
      <w:rPr>
        <w:rFonts w:hint="default"/>
      </w:rPr>
    </w:lvl>
    <w:lvl w:ilvl="1" w:tplc="04090019" w:tentative="1">
      <w:start w:val="1"/>
      <w:numFmt w:val="lowerLetter"/>
      <w:lvlText w:val="%2."/>
      <w:lvlJc w:val="left"/>
      <w:pPr>
        <w:ind w:left="1836" w:hanging="360"/>
      </w:pPr>
    </w:lvl>
    <w:lvl w:ilvl="2" w:tplc="0409001B" w:tentative="1">
      <w:start w:val="1"/>
      <w:numFmt w:val="lowerRoman"/>
      <w:lvlText w:val="%3."/>
      <w:lvlJc w:val="right"/>
      <w:pPr>
        <w:ind w:left="2556" w:hanging="180"/>
      </w:pPr>
    </w:lvl>
    <w:lvl w:ilvl="3" w:tplc="0409000F" w:tentative="1">
      <w:start w:val="1"/>
      <w:numFmt w:val="decimal"/>
      <w:lvlText w:val="%4."/>
      <w:lvlJc w:val="left"/>
      <w:pPr>
        <w:ind w:left="3276" w:hanging="360"/>
      </w:pPr>
    </w:lvl>
    <w:lvl w:ilvl="4" w:tplc="04090019" w:tentative="1">
      <w:start w:val="1"/>
      <w:numFmt w:val="lowerLetter"/>
      <w:lvlText w:val="%5."/>
      <w:lvlJc w:val="left"/>
      <w:pPr>
        <w:ind w:left="3996" w:hanging="360"/>
      </w:pPr>
    </w:lvl>
    <w:lvl w:ilvl="5" w:tplc="0409001B" w:tentative="1">
      <w:start w:val="1"/>
      <w:numFmt w:val="lowerRoman"/>
      <w:lvlText w:val="%6."/>
      <w:lvlJc w:val="right"/>
      <w:pPr>
        <w:ind w:left="4716" w:hanging="180"/>
      </w:pPr>
    </w:lvl>
    <w:lvl w:ilvl="6" w:tplc="0409000F" w:tentative="1">
      <w:start w:val="1"/>
      <w:numFmt w:val="decimal"/>
      <w:lvlText w:val="%7."/>
      <w:lvlJc w:val="left"/>
      <w:pPr>
        <w:ind w:left="5436" w:hanging="360"/>
      </w:pPr>
    </w:lvl>
    <w:lvl w:ilvl="7" w:tplc="04090019" w:tentative="1">
      <w:start w:val="1"/>
      <w:numFmt w:val="lowerLetter"/>
      <w:lvlText w:val="%8."/>
      <w:lvlJc w:val="left"/>
      <w:pPr>
        <w:ind w:left="6156" w:hanging="360"/>
      </w:pPr>
    </w:lvl>
    <w:lvl w:ilvl="8" w:tplc="0409001B" w:tentative="1">
      <w:start w:val="1"/>
      <w:numFmt w:val="lowerRoman"/>
      <w:lvlText w:val="%9."/>
      <w:lvlJc w:val="right"/>
      <w:pPr>
        <w:ind w:left="6876" w:hanging="180"/>
      </w:pPr>
    </w:lvl>
  </w:abstractNum>
  <w:abstractNum w:abstractNumId="8" w15:restartNumberingAfterBreak="0">
    <w:nsid w:val="1A777FD5"/>
    <w:multiLevelType w:val="hybridMultilevel"/>
    <w:tmpl w:val="63D68260"/>
    <w:lvl w:ilvl="0" w:tplc="FFFFFFFF">
      <w:start w:val="1"/>
      <w:numFmt w:val="decimal"/>
      <w:lvlText w:val="%1."/>
      <w:lvlJc w:val="left"/>
      <w:pPr>
        <w:ind w:left="927" w:hanging="360"/>
      </w:pPr>
      <w:rPr>
        <w:rFonts w:eastAsia="Times New Roman" w:cs="Sylfaen"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9" w15:restartNumberingAfterBreak="0">
    <w:nsid w:val="1CD71C04"/>
    <w:multiLevelType w:val="hybridMultilevel"/>
    <w:tmpl w:val="63D68260"/>
    <w:lvl w:ilvl="0" w:tplc="FFFFFFFF">
      <w:start w:val="1"/>
      <w:numFmt w:val="decimal"/>
      <w:lvlText w:val="%1."/>
      <w:lvlJc w:val="left"/>
      <w:pPr>
        <w:ind w:left="927" w:hanging="360"/>
      </w:pPr>
      <w:rPr>
        <w:rFonts w:eastAsia="Times New Roman" w:cs="Sylfaen"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1EE33305"/>
    <w:multiLevelType w:val="hybridMultilevel"/>
    <w:tmpl w:val="234454FE"/>
    <w:lvl w:ilvl="0" w:tplc="E7485826">
      <w:start w:val="1"/>
      <w:numFmt w:val="decimal"/>
      <w:lvlText w:val="%1."/>
      <w:lvlJc w:val="right"/>
      <w:pPr>
        <w:ind w:left="1152" w:hanging="360"/>
      </w:pPr>
      <w:rPr>
        <w:rFonts w:hint="default"/>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25005E"/>
    <w:multiLevelType w:val="hybridMultilevel"/>
    <w:tmpl w:val="56BCE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A7431"/>
    <w:multiLevelType w:val="hybridMultilevel"/>
    <w:tmpl w:val="05BA12BA"/>
    <w:lvl w:ilvl="0" w:tplc="7D1C33E6">
      <w:start w:val="1"/>
      <w:numFmt w:val="decimal"/>
      <w:lvlText w:val="%1)"/>
      <w:lvlJc w:val="center"/>
      <w:pPr>
        <w:ind w:left="77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9700B2"/>
    <w:multiLevelType w:val="hybridMultilevel"/>
    <w:tmpl w:val="3E9447AE"/>
    <w:lvl w:ilvl="0" w:tplc="27900D10">
      <w:start w:val="1"/>
      <w:numFmt w:val="decimal"/>
      <w:lvlText w:val="%1."/>
      <w:lvlJc w:val="right"/>
      <w:pPr>
        <w:ind w:left="1499" w:hanging="360"/>
      </w:pPr>
      <w:rPr>
        <w:rFonts w:ascii="ghrapalat" w:hAnsi="ghrapalat" w:hint="default"/>
        <w:sz w:val="24"/>
      </w:r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14" w15:restartNumberingAfterBreak="0">
    <w:nsid w:val="25417642"/>
    <w:multiLevelType w:val="hybridMultilevel"/>
    <w:tmpl w:val="0A129256"/>
    <w:lvl w:ilvl="0" w:tplc="9C68C164">
      <w:start w:val="2"/>
      <w:numFmt w:val="decimal"/>
      <w:lvlText w:val="%1."/>
      <w:lvlJc w:val="right"/>
      <w:pPr>
        <w:ind w:left="75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6C7BE7"/>
    <w:multiLevelType w:val="hybridMultilevel"/>
    <w:tmpl w:val="641E314E"/>
    <w:lvl w:ilvl="0" w:tplc="E7485826">
      <w:start w:val="1"/>
      <w:numFmt w:val="decimal"/>
      <w:lvlText w:val="%1."/>
      <w:lvlJc w:val="right"/>
      <w:pPr>
        <w:ind w:left="1152" w:hanging="360"/>
      </w:pPr>
      <w:rPr>
        <w:rFonts w:hint="default"/>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960873"/>
    <w:multiLevelType w:val="hybridMultilevel"/>
    <w:tmpl w:val="8B2EEBB4"/>
    <w:lvl w:ilvl="0" w:tplc="6824B160">
      <w:start w:val="1"/>
      <w:numFmt w:val="decimal"/>
      <w:lvlText w:val="%1)"/>
      <w:lvlJc w:val="right"/>
      <w:pPr>
        <w:ind w:left="7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11314A"/>
    <w:multiLevelType w:val="multilevel"/>
    <w:tmpl w:val="28A6D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6C1DD8"/>
    <w:multiLevelType w:val="hybridMultilevel"/>
    <w:tmpl w:val="C916D516"/>
    <w:lvl w:ilvl="0" w:tplc="B77A4904">
      <w:start w:val="9"/>
      <w:numFmt w:val="decimal"/>
      <w:lvlText w:val="%1."/>
      <w:lvlJc w:val="left"/>
      <w:pPr>
        <w:ind w:left="748" w:hanging="360"/>
      </w:pPr>
      <w:rPr>
        <w:rFonts w:hint="default"/>
      </w:rPr>
    </w:lvl>
    <w:lvl w:ilvl="1" w:tplc="04090019" w:tentative="1">
      <w:start w:val="1"/>
      <w:numFmt w:val="lowerLetter"/>
      <w:lvlText w:val="%2."/>
      <w:lvlJc w:val="left"/>
      <w:pPr>
        <w:ind w:left="1468" w:hanging="360"/>
      </w:pPr>
    </w:lvl>
    <w:lvl w:ilvl="2" w:tplc="0409001B" w:tentative="1">
      <w:start w:val="1"/>
      <w:numFmt w:val="lowerRoman"/>
      <w:lvlText w:val="%3."/>
      <w:lvlJc w:val="right"/>
      <w:pPr>
        <w:ind w:left="2188" w:hanging="180"/>
      </w:pPr>
    </w:lvl>
    <w:lvl w:ilvl="3" w:tplc="0409000F" w:tentative="1">
      <w:start w:val="1"/>
      <w:numFmt w:val="decimal"/>
      <w:lvlText w:val="%4."/>
      <w:lvlJc w:val="left"/>
      <w:pPr>
        <w:ind w:left="2908" w:hanging="360"/>
      </w:pPr>
    </w:lvl>
    <w:lvl w:ilvl="4" w:tplc="04090019" w:tentative="1">
      <w:start w:val="1"/>
      <w:numFmt w:val="lowerLetter"/>
      <w:lvlText w:val="%5."/>
      <w:lvlJc w:val="left"/>
      <w:pPr>
        <w:ind w:left="3628" w:hanging="360"/>
      </w:pPr>
    </w:lvl>
    <w:lvl w:ilvl="5" w:tplc="0409001B" w:tentative="1">
      <w:start w:val="1"/>
      <w:numFmt w:val="lowerRoman"/>
      <w:lvlText w:val="%6."/>
      <w:lvlJc w:val="right"/>
      <w:pPr>
        <w:ind w:left="4348" w:hanging="180"/>
      </w:pPr>
    </w:lvl>
    <w:lvl w:ilvl="6" w:tplc="0409000F" w:tentative="1">
      <w:start w:val="1"/>
      <w:numFmt w:val="decimal"/>
      <w:lvlText w:val="%7."/>
      <w:lvlJc w:val="left"/>
      <w:pPr>
        <w:ind w:left="5068" w:hanging="360"/>
      </w:pPr>
    </w:lvl>
    <w:lvl w:ilvl="7" w:tplc="04090019" w:tentative="1">
      <w:start w:val="1"/>
      <w:numFmt w:val="lowerLetter"/>
      <w:lvlText w:val="%8."/>
      <w:lvlJc w:val="left"/>
      <w:pPr>
        <w:ind w:left="5788" w:hanging="360"/>
      </w:pPr>
    </w:lvl>
    <w:lvl w:ilvl="8" w:tplc="0409001B" w:tentative="1">
      <w:start w:val="1"/>
      <w:numFmt w:val="lowerRoman"/>
      <w:lvlText w:val="%9."/>
      <w:lvlJc w:val="right"/>
      <w:pPr>
        <w:ind w:left="6508" w:hanging="180"/>
      </w:pPr>
    </w:lvl>
  </w:abstractNum>
  <w:abstractNum w:abstractNumId="19" w15:restartNumberingAfterBreak="0">
    <w:nsid w:val="31D6176D"/>
    <w:multiLevelType w:val="multilevel"/>
    <w:tmpl w:val="4D6207EE"/>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35C75BA7"/>
    <w:multiLevelType w:val="hybridMultilevel"/>
    <w:tmpl w:val="9A9492CC"/>
    <w:lvl w:ilvl="0" w:tplc="DCBA7368">
      <w:start w:val="11"/>
      <w:numFmt w:val="decimal"/>
      <w:lvlText w:val="%1."/>
      <w:lvlJc w:val="left"/>
      <w:pPr>
        <w:ind w:left="748" w:hanging="360"/>
      </w:pPr>
      <w:rPr>
        <w:rFonts w:hint="default"/>
      </w:rPr>
    </w:lvl>
    <w:lvl w:ilvl="1" w:tplc="04090019" w:tentative="1">
      <w:start w:val="1"/>
      <w:numFmt w:val="lowerLetter"/>
      <w:lvlText w:val="%2."/>
      <w:lvlJc w:val="left"/>
      <w:pPr>
        <w:ind w:left="1468" w:hanging="360"/>
      </w:pPr>
    </w:lvl>
    <w:lvl w:ilvl="2" w:tplc="0409001B" w:tentative="1">
      <w:start w:val="1"/>
      <w:numFmt w:val="lowerRoman"/>
      <w:lvlText w:val="%3."/>
      <w:lvlJc w:val="right"/>
      <w:pPr>
        <w:ind w:left="2188" w:hanging="180"/>
      </w:pPr>
    </w:lvl>
    <w:lvl w:ilvl="3" w:tplc="0409000F" w:tentative="1">
      <w:start w:val="1"/>
      <w:numFmt w:val="decimal"/>
      <w:lvlText w:val="%4."/>
      <w:lvlJc w:val="left"/>
      <w:pPr>
        <w:ind w:left="2908" w:hanging="360"/>
      </w:pPr>
    </w:lvl>
    <w:lvl w:ilvl="4" w:tplc="04090019" w:tentative="1">
      <w:start w:val="1"/>
      <w:numFmt w:val="lowerLetter"/>
      <w:lvlText w:val="%5."/>
      <w:lvlJc w:val="left"/>
      <w:pPr>
        <w:ind w:left="3628" w:hanging="360"/>
      </w:pPr>
    </w:lvl>
    <w:lvl w:ilvl="5" w:tplc="0409001B" w:tentative="1">
      <w:start w:val="1"/>
      <w:numFmt w:val="lowerRoman"/>
      <w:lvlText w:val="%6."/>
      <w:lvlJc w:val="right"/>
      <w:pPr>
        <w:ind w:left="4348" w:hanging="180"/>
      </w:pPr>
    </w:lvl>
    <w:lvl w:ilvl="6" w:tplc="0409000F" w:tentative="1">
      <w:start w:val="1"/>
      <w:numFmt w:val="decimal"/>
      <w:lvlText w:val="%7."/>
      <w:lvlJc w:val="left"/>
      <w:pPr>
        <w:ind w:left="5068" w:hanging="360"/>
      </w:pPr>
    </w:lvl>
    <w:lvl w:ilvl="7" w:tplc="04090019" w:tentative="1">
      <w:start w:val="1"/>
      <w:numFmt w:val="lowerLetter"/>
      <w:lvlText w:val="%8."/>
      <w:lvlJc w:val="left"/>
      <w:pPr>
        <w:ind w:left="5788" w:hanging="360"/>
      </w:pPr>
    </w:lvl>
    <w:lvl w:ilvl="8" w:tplc="0409001B" w:tentative="1">
      <w:start w:val="1"/>
      <w:numFmt w:val="lowerRoman"/>
      <w:lvlText w:val="%9."/>
      <w:lvlJc w:val="right"/>
      <w:pPr>
        <w:ind w:left="6508" w:hanging="180"/>
      </w:pPr>
    </w:lvl>
  </w:abstractNum>
  <w:abstractNum w:abstractNumId="21" w15:restartNumberingAfterBreak="0">
    <w:nsid w:val="374B7854"/>
    <w:multiLevelType w:val="hybridMultilevel"/>
    <w:tmpl w:val="F0A81BF2"/>
    <w:lvl w:ilvl="0" w:tplc="74569D60">
      <w:start w:val="1"/>
      <w:numFmt w:val="decimal"/>
      <w:lvlText w:val="%1."/>
      <w:lvlJc w:val="left"/>
      <w:pPr>
        <w:ind w:left="721" w:hanging="750"/>
      </w:pPr>
      <w:rPr>
        <w:rFonts w:hint="default"/>
      </w:rPr>
    </w:lvl>
    <w:lvl w:ilvl="1" w:tplc="04090019" w:tentative="1">
      <w:start w:val="1"/>
      <w:numFmt w:val="lowerLetter"/>
      <w:lvlText w:val="%2."/>
      <w:lvlJc w:val="left"/>
      <w:pPr>
        <w:ind w:left="1051" w:hanging="360"/>
      </w:pPr>
    </w:lvl>
    <w:lvl w:ilvl="2" w:tplc="0409001B" w:tentative="1">
      <w:start w:val="1"/>
      <w:numFmt w:val="lowerRoman"/>
      <w:lvlText w:val="%3."/>
      <w:lvlJc w:val="right"/>
      <w:pPr>
        <w:ind w:left="1771" w:hanging="180"/>
      </w:pPr>
    </w:lvl>
    <w:lvl w:ilvl="3" w:tplc="0409000F" w:tentative="1">
      <w:start w:val="1"/>
      <w:numFmt w:val="decimal"/>
      <w:lvlText w:val="%4."/>
      <w:lvlJc w:val="left"/>
      <w:pPr>
        <w:ind w:left="2491" w:hanging="360"/>
      </w:pPr>
    </w:lvl>
    <w:lvl w:ilvl="4" w:tplc="04090019" w:tentative="1">
      <w:start w:val="1"/>
      <w:numFmt w:val="lowerLetter"/>
      <w:lvlText w:val="%5."/>
      <w:lvlJc w:val="left"/>
      <w:pPr>
        <w:ind w:left="3211" w:hanging="360"/>
      </w:pPr>
    </w:lvl>
    <w:lvl w:ilvl="5" w:tplc="0409001B" w:tentative="1">
      <w:start w:val="1"/>
      <w:numFmt w:val="lowerRoman"/>
      <w:lvlText w:val="%6."/>
      <w:lvlJc w:val="right"/>
      <w:pPr>
        <w:ind w:left="3931" w:hanging="180"/>
      </w:pPr>
    </w:lvl>
    <w:lvl w:ilvl="6" w:tplc="0409000F" w:tentative="1">
      <w:start w:val="1"/>
      <w:numFmt w:val="decimal"/>
      <w:lvlText w:val="%7."/>
      <w:lvlJc w:val="left"/>
      <w:pPr>
        <w:ind w:left="4651" w:hanging="360"/>
      </w:pPr>
    </w:lvl>
    <w:lvl w:ilvl="7" w:tplc="04090019" w:tentative="1">
      <w:start w:val="1"/>
      <w:numFmt w:val="lowerLetter"/>
      <w:lvlText w:val="%8."/>
      <w:lvlJc w:val="left"/>
      <w:pPr>
        <w:ind w:left="5371" w:hanging="360"/>
      </w:pPr>
    </w:lvl>
    <w:lvl w:ilvl="8" w:tplc="0409001B" w:tentative="1">
      <w:start w:val="1"/>
      <w:numFmt w:val="lowerRoman"/>
      <w:lvlText w:val="%9."/>
      <w:lvlJc w:val="right"/>
      <w:pPr>
        <w:ind w:left="6091" w:hanging="180"/>
      </w:pPr>
    </w:lvl>
  </w:abstractNum>
  <w:abstractNum w:abstractNumId="22" w15:restartNumberingAfterBreak="0">
    <w:nsid w:val="37A97FA6"/>
    <w:multiLevelType w:val="hybridMultilevel"/>
    <w:tmpl w:val="3B7A3C4A"/>
    <w:lvl w:ilvl="0" w:tplc="15BAF8F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363C6D"/>
    <w:multiLevelType w:val="hybridMultilevel"/>
    <w:tmpl w:val="63D68260"/>
    <w:lvl w:ilvl="0" w:tplc="F09E7C8C">
      <w:start w:val="1"/>
      <w:numFmt w:val="decimal"/>
      <w:lvlText w:val="%1."/>
      <w:lvlJc w:val="left"/>
      <w:pPr>
        <w:ind w:left="927" w:hanging="360"/>
      </w:pPr>
      <w:rPr>
        <w:rFonts w:eastAsia="Times New Roman"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38EC72C4"/>
    <w:multiLevelType w:val="hybridMultilevel"/>
    <w:tmpl w:val="2DA8DB22"/>
    <w:lvl w:ilvl="0" w:tplc="BF1871FE">
      <w:start w:val="1"/>
      <w:numFmt w:val="decimal"/>
      <w:lvlText w:val="%1."/>
      <w:lvlJc w:val="right"/>
      <w:pPr>
        <w:ind w:left="720" w:hanging="360"/>
      </w:pPr>
      <w:rPr>
        <w:rFonts w:ascii="ghrapalat" w:hAnsi="gh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B9202C"/>
    <w:multiLevelType w:val="hybridMultilevel"/>
    <w:tmpl w:val="0FEC1264"/>
    <w:lvl w:ilvl="0" w:tplc="4402647A">
      <w:start w:val="1"/>
      <w:numFmt w:val="decimal"/>
      <w:lvlText w:val="%1)"/>
      <w:lvlJc w:val="left"/>
      <w:pPr>
        <w:ind w:left="470" w:hanging="360"/>
      </w:pPr>
      <w:rPr>
        <w:rFonts w:hint="default"/>
        <w:b w:val="0"/>
        <w:i w:val="0"/>
        <w:sz w:val="22"/>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abstractNum w:abstractNumId="26" w15:restartNumberingAfterBreak="0">
    <w:nsid w:val="39EF4525"/>
    <w:multiLevelType w:val="hybridMultilevel"/>
    <w:tmpl w:val="B02E5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615EAD"/>
    <w:multiLevelType w:val="hybridMultilevel"/>
    <w:tmpl w:val="D534D56C"/>
    <w:lvl w:ilvl="0" w:tplc="79AA0344">
      <w:start w:val="1"/>
      <w:numFmt w:val="decimal"/>
      <w:lvlText w:val="%1."/>
      <w:lvlJc w:val="right"/>
      <w:pPr>
        <w:ind w:left="1152" w:hanging="360"/>
      </w:pPr>
      <w:rPr>
        <w:rFonts w:hint="default"/>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F762F4"/>
    <w:multiLevelType w:val="hybridMultilevel"/>
    <w:tmpl w:val="606C733A"/>
    <w:lvl w:ilvl="0" w:tplc="BF1871FE">
      <w:start w:val="1"/>
      <w:numFmt w:val="decimal"/>
      <w:lvlText w:val="%1."/>
      <w:lvlJc w:val="right"/>
      <w:pPr>
        <w:ind w:left="756" w:hanging="360"/>
      </w:pPr>
      <w:rPr>
        <w:rFonts w:ascii="ghrapalat" w:hAnsi="ghrapalat" w:hint="default"/>
        <w:sz w:val="24"/>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29" w15:restartNumberingAfterBreak="0">
    <w:nsid w:val="42BF5EC3"/>
    <w:multiLevelType w:val="hybridMultilevel"/>
    <w:tmpl w:val="68FAAA06"/>
    <w:lvl w:ilvl="0" w:tplc="0409000B">
      <w:start w:val="1"/>
      <w:numFmt w:val="bullet"/>
      <w:lvlText w:val=""/>
      <w:lvlJc w:val="left"/>
      <w:pPr>
        <w:ind w:left="1359" w:hanging="360"/>
      </w:pPr>
      <w:rPr>
        <w:rFonts w:ascii="Wingdings" w:hAnsi="Wingdings" w:hint="default"/>
      </w:rPr>
    </w:lvl>
    <w:lvl w:ilvl="1" w:tplc="04090003">
      <w:start w:val="1"/>
      <w:numFmt w:val="bullet"/>
      <w:lvlText w:val="o"/>
      <w:lvlJc w:val="left"/>
      <w:pPr>
        <w:ind w:left="2079" w:hanging="360"/>
      </w:pPr>
      <w:rPr>
        <w:rFonts w:ascii="Courier New" w:hAnsi="Courier New" w:cs="Courier New" w:hint="default"/>
      </w:rPr>
    </w:lvl>
    <w:lvl w:ilvl="2" w:tplc="04090005">
      <w:start w:val="1"/>
      <w:numFmt w:val="bullet"/>
      <w:lvlText w:val=""/>
      <w:lvlJc w:val="left"/>
      <w:pPr>
        <w:ind w:left="2799" w:hanging="360"/>
      </w:pPr>
      <w:rPr>
        <w:rFonts w:ascii="Wingdings" w:hAnsi="Wingdings" w:hint="default"/>
      </w:rPr>
    </w:lvl>
    <w:lvl w:ilvl="3" w:tplc="04090001">
      <w:start w:val="1"/>
      <w:numFmt w:val="bullet"/>
      <w:lvlText w:val=""/>
      <w:lvlJc w:val="left"/>
      <w:pPr>
        <w:ind w:left="3519" w:hanging="360"/>
      </w:pPr>
      <w:rPr>
        <w:rFonts w:ascii="Symbol" w:hAnsi="Symbol" w:hint="default"/>
      </w:rPr>
    </w:lvl>
    <w:lvl w:ilvl="4" w:tplc="04090003">
      <w:start w:val="1"/>
      <w:numFmt w:val="bullet"/>
      <w:lvlText w:val="o"/>
      <w:lvlJc w:val="left"/>
      <w:pPr>
        <w:ind w:left="4239" w:hanging="360"/>
      </w:pPr>
      <w:rPr>
        <w:rFonts w:ascii="Courier New" w:hAnsi="Courier New" w:cs="Courier New" w:hint="default"/>
      </w:rPr>
    </w:lvl>
    <w:lvl w:ilvl="5" w:tplc="04090005">
      <w:start w:val="1"/>
      <w:numFmt w:val="bullet"/>
      <w:lvlText w:val=""/>
      <w:lvlJc w:val="left"/>
      <w:pPr>
        <w:ind w:left="4959" w:hanging="360"/>
      </w:pPr>
      <w:rPr>
        <w:rFonts w:ascii="Wingdings" w:hAnsi="Wingdings" w:hint="default"/>
      </w:rPr>
    </w:lvl>
    <w:lvl w:ilvl="6" w:tplc="04090001">
      <w:start w:val="1"/>
      <w:numFmt w:val="bullet"/>
      <w:lvlText w:val=""/>
      <w:lvlJc w:val="left"/>
      <w:pPr>
        <w:ind w:left="5679" w:hanging="360"/>
      </w:pPr>
      <w:rPr>
        <w:rFonts w:ascii="Symbol" w:hAnsi="Symbol" w:hint="default"/>
      </w:rPr>
    </w:lvl>
    <w:lvl w:ilvl="7" w:tplc="04090003">
      <w:start w:val="1"/>
      <w:numFmt w:val="bullet"/>
      <w:lvlText w:val="o"/>
      <w:lvlJc w:val="left"/>
      <w:pPr>
        <w:ind w:left="6399" w:hanging="360"/>
      </w:pPr>
      <w:rPr>
        <w:rFonts w:ascii="Courier New" w:hAnsi="Courier New" w:cs="Courier New" w:hint="default"/>
      </w:rPr>
    </w:lvl>
    <w:lvl w:ilvl="8" w:tplc="04090005">
      <w:start w:val="1"/>
      <w:numFmt w:val="bullet"/>
      <w:lvlText w:val=""/>
      <w:lvlJc w:val="left"/>
      <w:pPr>
        <w:ind w:left="7119" w:hanging="360"/>
      </w:pPr>
      <w:rPr>
        <w:rFonts w:ascii="Wingdings" w:hAnsi="Wingdings" w:hint="default"/>
      </w:rPr>
    </w:lvl>
  </w:abstractNum>
  <w:abstractNum w:abstractNumId="30" w15:restartNumberingAfterBreak="0">
    <w:nsid w:val="43F013F6"/>
    <w:multiLevelType w:val="multilevel"/>
    <w:tmpl w:val="DB5C0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697DE6"/>
    <w:multiLevelType w:val="hybridMultilevel"/>
    <w:tmpl w:val="F07091FE"/>
    <w:lvl w:ilvl="0" w:tplc="D5268E84">
      <w:start w:val="1"/>
      <w:numFmt w:val="decimal"/>
      <w:lvlText w:val="%1)"/>
      <w:lvlJc w:val="right"/>
      <w:pPr>
        <w:ind w:left="1139" w:hanging="360"/>
      </w:pPr>
      <w:rPr>
        <w:rFonts w:hint="default"/>
      </w:rPr>
    </w:lvl>
    <w:lvl w:ilvl="1" w:tplc="04090019" w:tentative="1">
      <w:start w:val="1"/>
      <w:numFmt w:val="lowerLetter"/>
      <w:lvlText w:val="%2."/>
      <w:lvlJc w:val="left"/>
      <w:pPr>
        <w:ind w:left="1859" w:hanging="360"/>
      </w:pPr>
    </w:lvl>
    <w:lvl w:ilvl="2" w:tplc="0409001B" w:tentative="1">
      <w:start w:val="1"/>
      <w:numFmt w:val="lowerRoman"/>
      <w:lvlText w:val="%3."/>
      <w:lvlJc w:val="right"/>
      <w:pPr>
        <w:ind w:left="2579" w:hanging="180"/>
      </w:pPr>
    </w:lvl>
    <w:lvl w:ilvl="3" w:tplc="0409000F" w:tentative="1">
      <w:start w:val="1"/>
      <w:numFmt w:val="decimal"/>
      <w:lvlText w:val="%4."/>
      <w:lvlJc w:val="left"/>
      <w:pPr>
        <w:ind w:left="3299" w:hanging="360"/>
      </w:pPr>
    </w:lvl>
    <w:lvl w:ilvl="4" w:tplc="04090019" w:tentative="1">
      <w:start w:val="1"/>
      <w:numFmt w:val="lowerLetter"/>
      <w:lvlText w:val="%5."/>
      <w:lvlJc w:val="left"/>
      <w:pPr>
        <w:ind w:left="4019" w:hanging="360"/>
      </w:pPr>
    </w:lvl>
    <w:lvl w:ilvl="5" w:tplc="0409001B" w:tentative="1">
      <w:start w:val="1"/>
      <w:numFmt w:val="lowerRoman"/>
      <w:lvlText w:val="%6."/>
      <w:lvlJc w:val="right"/>
      <w:pPr>
        <w:ind w:left="4739" w:hanging="180"/>
      </w:pPr>
    </w:lvl>
    <w:lvl w:ilvl="6" w:tplc="0409000F" w:tentative="1">
      <w:start w:val="1"/>
      <w:numFmt w:val="decimal"/>
      <w:lvlText w:val="%7."/>
      <w:lvlJc w:val="left"/>
      <w:pPr>
        <w:ind w:left="5459" w:hanging="360"/>
      </w:pPr>
    </w:lvl>
    <w:lvl w:ilvl="7" w:tplc="04090019" w:tentative="1">
      <w:start w:val="1"/>
      <w:numFmt w:val="lowerLetter"/>
      <w:lvlText w:val="%8."/>
      <w:lvlJc w:val="left"/>
      <w:pPr>
        <w:ind w:left="6179" w:hanging="360"/>
      </w:pPr>
    </w:lvl>
    <w:lvl w:ilvl="8" w:tplc="0409001B" w:tentative="1">
      <w:start w:val="1"/>
      <w:numFmt w:val="lowerRoman"/>
      <w:lvlText w:val="%9."/>
      <w:lvlJc w:val="right"/>
      <w:pPr>
        <w:ind w:left="6899" w:hanging="180"/>
      </w:pPr>
    </w:lvl>
  </w:abstractNum>
  <w:abstractNum w:abstractNumId="32" w15:restartNumberingAfterBreak="0">
    <w:nsid w:val="4BCB5CB2"/>
    <w:multiLevelType w:val="hybridMultilevel"/>
    <w:tmpl w:val="BBF63FF8"/>
    <w:lvl w:ilvl="0" w:tplc="CB200292">
      <w:start w:val="1"/>
      <w:numFmt w:val="decimal"/>
      <w:lvlText w:val="%1)"/>
      <w:lvlJc w:val="right"/>
      <w:pPr>
        <w:ind w:left="7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DE566F"/>
    <w:multiLevelType w:val="multilevel"/>
    <w:tmpl w:val="55669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1CC4E9B"/>
    <w:multiLevelType w:val="multilevel"/>
    <w:tmpl w:val="B95A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DD40B5"/>
    <w:multiLevelType w:val="hybridMultilevel"/>
    <w:tmpl w:val="44DE85DC"/>
    <w:lvl w:ilvl="0" w:tplc="68002BCC">
      <w:start w:val="12"/>
      <w:numFmt w:val="decimal"/>
      <w:lvlText w:val="%1."/>
      <w:lvlJc w:val="left"/>
      <w:pPr>
        <w:ind w:left="7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463999"/>
    <w:multiLevelType w:val="hybridMultilevel"/>
    <w:tmpl w:val="C50E38D4"/>
    <w:lvl w:ilvl="0" w:tplc="4600EF86">
      <w:start w:val="1"/>
      <w:numFmt w:val="decimal"/>
      <w:lvlText w:val="%1."/>
      <w:lvlJc w:val="righ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7" w15:restartNumberingAfterBreak="0">
    <w:nsid w:val="5A703B00"/>
    <w:multiLevelType w:val="hybridMultilevel"/>
    <w:tmpl w:val="78F84A9E"/>
    <w:lvl w:ilvl="0" w:tplc="6824B16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C97883"/>
    <w:multiLevelType w:val="hybridMultilevel"/>
    <w:tmpl w:val="4F8075FA"/>
    <w:lvl w:ilvl="0" w:tplc="E7485826">
      <w:start w:val="1"/>
      <w:numFmt w:val="decimal"/>
      <w:lvlText w:val="%1."/>
      <w:lvlJc w:val="right"/>
      <w:pPr>
        <w:ind w:left="1152" w:hanging="360"/>
      </w:pPr>
      <w:rPr>
        <w:rFonts w:hint="default"/>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503419"/>
    <w:multiLevelType w:val="hybridMultilevel"/>
    <w:tmpl w:val="E67EFE9E"/>
    <w:lvl w:ilvl="0" w:tplc="151C290C">
      <w:start w:val="1"/>
      <w:numFmt w:val="decimal"/>
      <w:lvlText w:val="%1."/>
      <w:lvlJc w:val="right"/>
      <w:pPr>
        <w:ind w:left="1499" w:hanging="360"/>
      </w:pPr>
      <w:rPr>
        <w:rFonts w:ascii="ghrapalat" w:hAnsi="ghrapalat" w:hint="default"/>
        <w:sz w:val="24"/>
      </w:r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40" w15:restartNumberingAfterBreak="0">
    <w:nsid w:val="638114C5"/>
    <w:multiLevelType w:val="hybridMultilevel"/>
    <w:tmpl w:val="0E16D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9C7FC5"/>
    <w:multiLevelType w:val="hybridMultilevel"/>
    <w:tmpl w:val="DC624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F473DA"/>
    <w:multiLevelType w:val="multilevel"/>
    <w:tmpl w:val="94284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061455"/>
    <w:multiLevelType w:val="multilevel"/>
    <w:tmpl w:val="8C680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FE7E9D"/>
    <w:multiLevelType w:val="hybridMultilevel"/>
    <w:tmpl w:val="51606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74140E"/>
    <w:multiLevelType w:val="hybridMultilevel"/>
    <w:tmpl w:val="A8F43A4C"/>
    <w:lvl w:ilvl="0" w:tplc="61FA4E2E">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40253100">
    <w:abstractNumId w:val="11"/>
  </w:num>
  <w:num w:numId="2" w16cid:durableId="1554926451">
    <w:abstractNumId w:val="23"/>
  </w:num>
  <w:num w:numId="3" w16cid:durableId="949051537">
    <w:abstractNumId w:val="9"/>
  </w:num>
  <w:num w:numId="4" w16cid:durableId="1439832207">
    <w:abstractNumId w:val="8"/>
  </w:num>
  <w:num w:numId="5" w16cid:durableId="1829439316">
    <w:abstractNumId w:val="1"/>
  </w:num>
  <w:num w:numId="6" w16cid:durableId="299653102">
    <w:abstractNumId w:val="25"/>
  </w:num>
  <w:num w:numId="7" w16cid:durableId="166489665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3068256">
    <w:abstractNumId w:val="29"/>
  </w:num>
  <w:num w:numId="9" w16cid:durableId="536165220">
    <w:abstractNumId w:val="2"/>
  </w:num>
  <w:num w:numId="10" w16cid:durableId="870874906">
    <w:abstractNumId w:val="2"/>
  </w:num>
  <w:num w:numId="11" w16cid:durableId="1434545235">
    <w:abstractNumId w:val="36"/>
  </w:num>
  <w:num w:numId="12" w16cid:durableId="660545937">
    <w:abstractNumId w:val="16"/>
  </w:num>
  <w:num w:numId="13" w16cid:durableId="1222791763">
    <w:abstractNumId w:val="39"/>
  </w:num>
  <w:num w:numId="14" w16cid:durableId="225455578">
    <w:abstractNumId w:val="24"/>
  </w:num>
  <w:num w:numId="15" w16cid:durableId="465397537">
    <w:abstractNumId w:val="12"/>
  </w:num>
  <w:num w:numId="16" w16cid:durableId="649209415">
    <w:abstractNumId w:val="32"/>
  </w:num>
  <w:num w:numId="17" w16cid:durableId="1958174128">
    <w:abstractNumId w:val="13"/>
  </w:num>
  <w:num w:numId="18" w16cid:durableId="2049990034">
    <w:abstractNumId w:val="28"/>
  </w:num>
  <w:num w:numId="19" w16cid:durableId="1355690082">
    <w:abstractNumId w:val="31"/>
  </w:num>
  <w:num w:numId="20" w16cid:durableId="1893879864">
    <w:abstractNumId w:val="3"/>
  </w:num>
  <w:num w:numId="21" w16cid:durableId="1331912284">
    <w:abstractNumId w:val="37"/>
  </w:num>
  <w:num w:numId="22" w16cid:durableId="1261061691">
    <w:abstractNumId w:val="5"/>
  </w:num>
  <w:num w:numId="23" w16cid:durableId="381829955">
    <w:abstractNumId w:val="6"/>
  </w:num>
  <w:num w:numId="24" w16cid:durableId="1822116091">
    <w:abstractNumId w:val="14"/>
  </w:num>
  <w:num w:numId="25" w16cid:durableId="1076898642">
    <w:abstractNumId w:val="7"/>
  </w:num>
  <w:num w:numId="26" w16cid:durableId="1283079199">
    <w:abstractNumId w:val="27"/>
  </w:num>
  <w:num w:numId="27" w16cid:durableId="1623418327">
    <w:abstractNumId w:val="38"/>
  </w:num>
  <w:num w:numId="28" w16cid:durableId="2102335781">
    <w:abstractNumId w:val="15"/>
  </w:num>
  <w:num w:numId="29" w16cid:durableId="1145122818">
    <w:abstractNumId w:val="10"/>
  </w:num>
  <w:num w:numId="30" w16cid:durableId="718021009">
    <w:abstractNumId w:val="26"/>
  </w:num>
  <w:num w:numId="31" w16cid:durableId="2143500771">
    <w:abstractNumId w:val="4"/>
  </w:num>
  <w:num w:numId="32" w16cid:durableId="711464050">
    <w:abstractNumId w:val="40"/>
  </w:num>
  <w:num w:numId="33" w16cid:durableId="1196966816">
    <w:abstractNumId w:val="17"/>
  </w:num>
  <w:num w:numId="34" w16cid:durableId="662897630">
    <w:abstractNumId w:val="34"/>
  </w:num>
  <w:num w:numId="35" w16cid:durableId="1791779828">
    <w:abstractNumId w:val="33"/>
  </w:num>
  <w:num w:numId="36" w16cid:durableId="1225263899">
    <w:abstractNumId w:val="43"/>
  </w:num>
  <w:num w:numId="37" w16cid:durableId="370081857">
    <w:abstractNumId w:val="42"/>
  </w:num>
  <w:num w:numId="38" w16cid:durableId="1232541688">
    <w:abstractNumId w:val="44"/>
  </w:num>
  <w:num w:numId="39" w16cid:durableId="836380849">
    <w:abstractNumId w:val="41"/>
  </w:num>
  <w:num w:numId="40" w16cid:durableId="1888177938">
    <w:abstractNumId w:val="22"/>
  </w:num>
  <w:num w:numId="41" w16cid:durableId="180315197">
    <w:abstractNumId w:val="0"/>
  </w:num>
  <w:num w:numId="42" w16cid:durableId="1329137622">
    <w:abstractNumId w:val="21"/>
  </w:num>
  <w:num w:numId="43" w16cid:durableId="67314051">
    <w:abstractNumId w:val="19"/>
  </w:num>
  <w:num w:numId="44" w16cid:durableId="1942491335">
    <w:abstractNumId w:val="18"/>
  </w:num>
  <w:num w:numId="45" w16cid:durableId="615060730">
    <w:abstractNumId w:val="20"/>
  </w:num>
  <w:num w:numId="46" w16cid:durableId="48965647">
    <w:abstractNumId w:val="35"/>
  </w:num>
  <w:num w:numId="47" w16cid:durableId="33295292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FB3"/>
    <w:rsid w:val="00001E4F"/>
    <w:rsid w:val="000123AF"/>
    <w:rsid w:val="000155E4"/>
    <w:rsid w:val="00020641"/>
    <w:rsid w:val="00021951"/>
    <w:rsid w:val="000237CD"/>
    <w:rsid w:val="000266C7"/>
    <w:rsid w:val="00027984"/>
    <w:rsid w:val="00034007"/>
    <w:rsid w:val="00034C7B"/>
    <w:rsid w:val="000405E5"/>
    <w:rsid w:val="00041600"/>
    <w:rsid w:val="0005109C"/>
    <w:rsid w:val="000518D8"/>
    <w:rsid w:val="00072FBF"/>
    <w:rsid w:val="000757B4"/>
    <w:rsid w:val="00081FB5"/>
    <w:rsid w:val="00090BCD"/>
    <w:rsid w:val="00092F7B"/>
    <w:rsid w:val="0009626B"/>
    <w:rsid w:val="000A12EB"/>
    <w:rsid w:val="000A2208"/>
    <w:rsid w:val="000A51EB"/>
    <w:rsid w:val="000A747F"/>
    <w:rsid w:val="000A7B1C"/>
    <w:rsid w:val="000B3434"/>
    <w:rsid w:val="000B41AA"/>
    <w:rsid w:val="000B435E"/>
    <w:rsid w:val="000B5D27"/>
    <w:rsid w:val="000C067A"/>
    <w:rsid w:val="000C0853"/>
    <w:rsid w:val="000C0BB0"/>
    <w:rsid w:val="000C1D9E"/>
    <w:rsid w:val="000C35CD"/>
    <w:rsid w:val="000C4381"/>
    <w:rsid w:val="000C58F8"/>
    <w:rsid w:val="000F0524"/>
    <w:rsid w:val="000F134B"/>
    <w:rsid w:val="000F15C7"/>
    <w:rsid w:val="000F3598"/>
    <w:rsid w:val="000F4677"/>
    <w:rsid w:val="000F4E19"/>
    <w:rsid w:val="000F5DE7"/>
    <w:rsid w:val="00100B4A"/>
    <w:rsid w:val="00106F66"/>
    <w:rsid w:val="00123485"/>
    <w:rsid w:val="00125AC0"/>
    <w:rsid w:val="00127A18"/>
    <w:rsid w:val="001366ED"/>
    <w:rsid w:val="00141D19"/>
    <w:rsid w:val="00144468"/>
    <w:rsid w:val="0014515D"/>
    <w:rsid w:val="001471CF"/>
    <w:rsid w:val="00150473"/>
    <w:rsid w:val="00163C13"/>
    <w:rsid w:val="00165303"/>
    <w:rsid w:val="0016662E"/>
    <w:rsid w:val="00183036"/>
    <w:rsid w:val="0018662B"/>
    <w:rsid w:val="001A1968"/>
    <w:rsid w:val="001A1E7A"/>
    <w:rsid w:val="001A1F47"/>
    <w:rsid w:val="001A2927"/>
    <w:rsid w:val="001A31E6"/>
    <w:rsid w:val="001A437E"/>
    <w:rsid w:val="001A4FC2"/>
    <w:rsid w:val="001B1A3A"/>
    <w:rsid w:val="001B5809"/>
    <w:rsid w:val="001C1720"/>
    <w:rsid w:val="001C3B29"/>
    <w:rsid w:val="001C72B3"/>
    <w:rsid w:val="001D3277"/>
    <w:rsid w:val="001D594D"/>
    <w:rsid w:val="001D7965"/>
    <w:rsid w:val="001E6D69"/>
    <w:rsid w:val="001F02F3"/>
    <w:rsid w:val="001F535B"/>
    <w:rsid w:val="001F7097"/>
    <w:rsid w:val="00200E91"/>
    <w:rsid w:val="002049CB"/>
    <w:rsid w:val="002104D7"/>
    <w:rsid w:val="00213F01"/>
    <w:rsid w:val="00214E6E"/>
    <w:rsid w:val="0021721E"/>
    <w:rsid w:val="00220277"/>
    <w:rsid w:val="00223222"/>
    <w:rsid w:val="00225C3A"/>
    <w:rsid w:val="00232210"/>
    <w:rsid w:val="002468A3"/>
    <w:rsid w:val="00254D45"/>
    <w:rsid w:val="00255B59"/>
    <w:rsid w:val="002565E0"/>
    <w:rsid w:val="002613EB"/>
    <w:rsid w:val="00267C66"/>
    <w:rsid w:val="00270139"/>
    <w:rsid w:val="00272DCA"/>
    <w:rsid w:val="00280A4F"/>
    <w:rsid w:val="00284282"/>
    <w:rsid w:val="00285994"/>
    <w:rsid w:val="002A112E"/>
    <w:rsid w:val="002A651D"/>
    <w:rsid w:val="002B75C2"/>
    <w:rsid w:val="002C2E47"/>
    <w:rsid w:val="002C429C"/>
    <w:rsid w:val="002C7CCA"/>
    <w:rsid w:val="002D70C4"/>
    <w:rsid w:val="002E0512"/>
    <w:rsid w:val="002E0722"/>
    <w:rsid w:val="002E31A3"/>
    <w:rsid w:val="002E745F"/>
    <w:rsid w:val="002F34ED"/>
    <w:rsid w:val="002F3F6B"/>
    <w:rsid w:val="002F436E"/>
    <w:rsid w:val="002F46B0"/>
    <w:rsid w:val="002F5A4E"/>
    <w:rsid w:val="00306691"/>
    <w:rsid w:val="003068B3"/>
    <w:rsid w:val="00306D46"/>
    <w:rsid w:val="003131EF"/>
    <w:rsid w:val="003142F9"/>
    <w:rsid w:val="003152C9"/>
    <w:rsid w:val="003160EC"/>
    <w:rsid w:val="00320296"/>
    <w:rsid w:val="00331FF4"/>
    <w:rsid w:val="0033432E"/>
    <w:rsid w:val="00334954"/>
    <w:rsid w:val="00336B77"/>
    <w:rsid w:val="00344396"/>
    <w:rsid w:val="00365299"/>
    <w:rsid w:val="00365719"/>
    <w:rsid w:val="00370D48"/>
    <w:rsid w:val="00373C1D"/>
    <w:rsid w:val="00374037"/>
    <w:rsid w:val="00376185"/>
    <w:rsid w:val="00387591"/>
    <w:rsid w:val="00390868"/>
    <w:rsid w:val="00394832"/>
    <w:rsid w:val="00396501"/>
    <w:rsid w:val="003A40F5"/>
    <w:rsid w:val="003B03EF"/>
    <w:rsid w:val="003B5A2F"/>
    <w:rsid w:val="003B638D"/>
    <w:rsid w:val="003B68F4"/>
    <w:rsid w:val="003B6C01"/>
    <w:rsid w:val="003B7AD4"/>
    <w:rsid w:val="003C327C"/>
    <w:rsid w:val="003D1D77"/>
    <w:rsid w:val="003D4BDF"/>
    <w:rsid w:val="003D6573"/>
    <w:rsid w:val="003E1969"/>
    <w:rsid w:val="003E4B57"/>
    <w:rsid w:val="003E4D8C"/>
    <w:rsid w:val="003E71FE"/>
    <w:rsid w:val="003E779F"/>
    <w:rsid w:val="003E7CD7"/>
    <w:rsid w:val="003F15BE"/>
    <w:rsid w:val="003F2214"/>
    <w:rsid w:val="004021F7"/>
    <w:rsid w:val="004056F6"/>
    <w:rsid w:val="00406E4C"/>
    <w:rsid w:val="00407078"/>
    <w:rsid w:val="004120A7"/>
    <w:rsid w:val="00415C4B"/>
    <w:rsid w:val="004172D4"/>
    <w:rsid w:val="004206FF"/>
    <w:rsid w:val="00424C74"/>
    <w:rsid w:val="00424D63"/>
    <w:rsid w:val="00434519"/>
    <w:rsid w:val="00454BC2"/>
    <w:rsid w:val="0045579B"/>
    <w:rsid w:val="004600DD"/>
    <w:rsid w:val="00466DD6"/>
    <w:rsid w:val="00484226"/>
    <w:rsid w:val="0048674B"/>
    <w:rsid w:val="004904FC"/>
    <w:rsid w:val="00491630"/>
    <w:rsid w:val="00493A58"/>
    <w:rsid w:val="00494208"/>
    <w:rsid w:val="00495524"/>
    <w:rsid w:val="004956E0"/>
    <w:rsid w:val="004A08D1"/>
    <w:rsid w:val="004A0EC3"/>
    <w:rsid w:val="004A3912"/>
    <w:rsid w:val="004B2CBF"/>
    <w:rsid w:val="004B2CE1"/>
    <w:rsid w:val="004B6ABB"/>
    <w:rsid w:val="004C022C"/>
    <w:rsid w:val="004C0AF4"/>
    <w:rsid w:val="004C16E6"/>
    <w:rsid w:val="004C57D6"/>
    <w:rsid w:val="004C7964"/>
    <w:rsid w:val="004D4A2E"/>
    <w:rsid w:val="004D59C5"/>
    <w:rsid w:val="004D6472"/>
    <w:rsid w:val="004D67E0"/>
    <w:rsid w:val="004D69BE"/>
    <w:rsid w:val="004E40E2"/>
    <w:rsid w:val="004E673B"/>
    <w:rsid w:val="004F30A9"/>
    <w:rsid w:val="00510C48"/>
    <w:rsid w:val="00511F50"/>
    <w:rsid w:val="00520FB1"/>
    <w:rsid w:val="005232D7"/>
    <w:rsid w:val="0052675B"/>
    <w:rsid w:val="00534C9A"/>
    <w:rsid w:val="00536511"/>
    <w:rsid w:val="00542F69"/>
    <w:rsid w:val="005448BA"/>
    <w:rsid w:val="00545D1A"/>
    <w:rsid w:val="00546266"/>
    <w:rsid w:val="005534FF"/>
    <w:rsid w:val="00553E8E"/>
    <w:rsid w:val="00554E00"/>
    <w:rsid w:val="00556C06"/>
    <w:rsid w:val="005650BF"/>
    <w:rsid w:val="00570D31"/>
    <w:rsid w:val="00580D58"/>
    <w:rsid w:val="00591311"/>
    <w:rsid w:val="005941AA"/>
    <w:rsid w:val="00595821"/>
    <w:rsid w:val="005A7AE7"/>
    <w:rsid w:val="005B0D94"/>
    <w:rsid w:val="005B6571"/>
    <w:rsid w:val="005D02B3"/>
    <w:rsid w:val="005D04FC"/>
    <w:rsid w:val="005D4120"/>
    <w:rsid w:val="005D49CC"/>
    <w:rsid w:val="005D4B4B"/>
    <w:rsid w:val="005E28BD"/>
    <w:rsid w:val="005E3A40"/>
    <w:rsid w:val="005E529E"/>
    <w:rsid w:val="005E5508"/>
    <w:rsid w:val="00605374"/>
    <w:rsid w:val="006072AD"/>
    <w:rsid w:val="00607AEA"/>
    <w:rsid w:val="00610B29"/>
    <w:rsid w:val="0061121F"/>
    <w:rsid w:val="00611CDF"/>
    <w:rsid w:val="0061241C"/>
    <w:rsid w:val="00612FDD"/>
    <w:rsid w:val="00615E60"/>
    <w:rsid w:val="0062161D"/>
    <w:rsid w:val="006324B0"/>
    <w:rsid w:val="00632D43"/>
    <w:rsid w:val="0063532F"/>
    <w:rsid w:val="00643312"/>
    <w:rsid w:val="006438FF"/>
    <w:rsid w:val="00644925"/>
    <w:rsid w:val="006624DC"/>
    <w:rsid w:val="006677DF"/>
    <w:rsid w:val="00682C8F"/>
    <w:rsid w:val="00685ECB"/>
    <w:rsid w:val="006A1E1F"/>
    <w:rsid w:val="006A5789"/>
    <w:rsid w:val="006B2397"/>
    <w:rsid w:val="006B355F"/>
    <w:rsid w:val="006B3C54"/>
    <w:rsid w:val="006B48F0"/>
    <w:rsid w:val="006C07B7"/>
    <w:rsid w:val="006C3349"/>
    <w:rsid w:val="006C7DAB"/>
    <w:rsid w:val="006E3FB9"/>
    <w:rsid w:val="006F4488"/>
    <w:rsid w:val="00704FC5"/>
    <w:rsid w:val="007123F5"/>
    <w:rsid w:val="0071318A"/>
    <w:rsid w:val="00716F57"/>
    <w:rsid w:val="00722A16"/>
    <w:rsid w:val="0072646F"/>
    <w:rsid w:val="00732FDB"/>
    <w:rsid w:val="0073734A"/>
    <w:rsid w:val="00741ACA"/>
    <w:rsid w:val="007434E3"/>
    <w:rsid w:val="00747DCB"/>
    <w:rsid w:val="007504F4"/>
    <w:rsid w:val="0075138C"/>
    <w:rsid w:val="00751D12"/>
    <w:rsid w:val="00752504"/>
    <w:rsid w:val="0075653B"/>
    <w:rsid w:val="0076439F"/>
    <w:rsid w:val="00764D02"/>
    <w:rsid w:val="00773303"/>
    <w:rsid w:val="00773452"/>
    <w:rsid w:val="00776344"/>
    <w:rsid w:val="007865ED"/>
    <w:rsid w:val="0078702B"/>
    <w:rsid w:val="00787FBA"/>
    <w:rsid w:val="00792324"/>
    <w:rsid w:val="00795ECF"/>
    <w:rsid w:val="0079613F"/>
    <w:rsid w:val="007968AA"/>
    <w:rsid w:val="007A2C6F"/>
    <w:rsid w:val="007A30F6"/>
    <w:rsid w:val="007A3A2E"/>
    <w:rsid w:val="007B4198"/>
    <w:rsid w:val="007C53A1"/>
    <w:rsid w:val="007C5BC1"/>
    <w:rsid w:val="007C62AB"/>
    <w:rsid w:val="007D39BE"/>
    <w:rsid w:val="007D4B53"/>
    <w:rsid w:val="007D5815"/>
    <w:rsid w:val="007D7D10"/>
    <w:rsid w:val="007E22F8"/>
    <w:rsid w:val="007E259F"/>
    <w:rsid w:val="007E3A2F"/>
    <w:rsid w:val="007E7389"/>
    <w:rsid w:val="007F343C"/>
    <w:rsid w:val="007F3A9A"/>
    <w:rsid w:val="00804BD9"/>
    <w:rsid w:val="00810F30"/>
    <w:rsid w:val="008148E2"/>
    <w:rsid w:val="0082048E"/>
    <w:rsid w:val="00823DB2"/>
    <w:rsid w:val="00823F9D"/>
    <w:rsid w:val="0082497D"/>
    <w:rsid w:val="00826B44"/>
    <w:rsid w:val="00840941"/>
    <w:rsid w:val="00840ECA"/>
    <w:rsid w:val="00842F4F"/>
    <w:rsid w:val="0084374D"/>
    <w:rsid w:val="008557BB"/>
    <w:rsid w:val="00856C7A"/>
    <w:rsid w:val="00862133"/>
    <w:rsid w:val="00866B71"/>
    <w:rsid w:val="00871F32"/>
    <w:rsid w:val="008733BE"/>
    <w:rsid w:val="008767EA"/>
    <w:rsid w:val="00882BD7"/>
    <w:rsid w:val="0088727C"/>
    <w:rsid w:val="0089026D"/>
    <w:rsid w:val="00891D11"/>
    <w:rsid w:val="0089501B"/>
    <w:rsid w:val="008A34C9"/>
    <w:rsid w:val="008A47C9"/>
    <w:rsid w:val="008A7659"/>
    <w:rsid w:val="008B20CE"/>
    <w:rsid w:val="008B56E4"/>
    <w:rsid w:val="008B7EA7"/>
    <w:rsid w:val="008C23C2"/>
    <w:rsid w:val="008D43A9"/>
    <w:rsid w:val="008D4807"/>
    <w:rsid w:val="008E2A0A"/>
    <w:rsid w:val="008E3069"/>
    <w:rsid w:val="008E4667"/>
    <w:rsid w:val="008E63D3"/>
    <w:rsid w:val="008E7375"/>
    <w:rsid w:val="008F6261"/>
    <w:rsid w:val="008F6D0A"/>
    <w:rsid w:val="00906A4B"/>
    <w:rsid w:val="00906FB9"/>
    <w:rsid w:val="00913A57"/>
    <w:rsid w:val="00913EAC"/>
    <w:rsid w:val="00921FE5"/>
    <w:rsid w:val="00922051"/>
    <w:rsid w:val="00923E7E"/>
    <w:rsid w:val="00924824"/>
    <w:rsid w:val="00924AE2"/>
    <w:rsid w:val="0092632A"/>
    <w:rsid w:val="00926564"/>
    <w:rsid w:val="0093111A"/>
    <w:rsid w:val="0093216D"/>
    <w:rsid w:val="009333CF"/>
    <w:rsid w:val="009347F5"/>
    <w:rsid w:val="009369BB"/>
    <w:rsid w:val="009418A7"/>
    <w:rsid w:val="009423D4"/>
    <w:rsid w:val="0094539B"/>
    <w:rsid w:val="00954D9C"/>
    <w:rsid w:val="0095647A"/>
    <w:rsid w:val="009576A4"/>
    <w:rsid w:val="0096315A"/>
    <w:rsid w:val="0096623D"/>
    <w:rsid w:val="00966D9E"/>
    <w:rsid w:val="00980556"/>
    <w:rsid w:val="00981A0C"/>
    <w:rsid w:val="0098279B"/>
    <w:rsid w:val="00984930"/>
    <w:rsid w:val="00993A36"/>
    <w:rsid w:val="009969A0"/>
    <w:rsid w:val="009A10F0"/>
    <w:rsid w:val="009B3852"/>
    <w:rsid w:val="009B765F"/>
    <w:rsid w:val="009C2113"/>
    <w:rsid w:val="009C2915"/>
    <w:rsid w:val="009C3988"/>
    <w:rsid w:val="009C3E5F"/>
    <w:rsid w:val="009C691D"/>
    <w:rsid w:val="009C6B2D"/>
    <w:rsid w:val="009D5A39"/>
    <w:rsid w:val="009D736F"/>
    <w:rsid w:val="009E0C46"/>
    <w:rsid w:val="009E117A"/>
    <w:rsid w:val="009E1F51"/>
    <w:rsid w:val="009F2844"/>
    <w:rsid w:val="009F686A"/>
    <w:rsid w:val="009F7A7C"/>
    <w:rsid w:val="00A00E8C"/>
    <w:rsid w:val="00A038BB"/>
    <w:rsid w:val="00A06C05"/>
    <w:rsid w:val="00A10C2D"/>
    <w:rsid w:val="00A10EC4"/>
    <w:rsid w:val="00A147CA"/>
    <w:rsid w:val="00A15772"/>
    <w:rsid w:val="00A16B6E"/>
    <w:rsid w:val="00A20EE1"/>
    <w:rsid w:val="00A30E8A"/>
    <w:rsid w:val="00A3603F"/>
    <w:rsid w:val="00A375C8"/>
    <w:rsid w:val="00A40BDB"/>
    <w:rsid w:val="00A421E1"/>
    <w:rsid w:val="00A47D62"/>
    <w:rsid w:val="00A51AD1"/>
    <w:rsid w:val="00A540A8"/>
    <w:rsid w:val="00A55F86"/>
    <w:rsid w:val="00A740E9"/>
    <w:rsid w:val="00A836DA"/>
    <w:rsid w:val="00A83B3E"/>
    <w:rsid w:val="00A841F6"/>
    <w:rsid w:val="00A86DAF"/>
    <w:rsid w:val="00A90717"/>
    <w:rsid w:val="00A91B14"/>
    <w:rsid w:val="00A921BA"/>
    <w:rsid w:val="00A93FF3"/>
    <w:rsid w:val="00A966C8"/>
    <w:rsid w:val="00AB17AC"/>
    <w:rsid w:val="00AB241A"/>
    <w:rsid w:val="00AC484F"/>
    <w:rsid w:val="00AD071F"/>
    <w:rsid w:val="00AD56CD"/>
    <w:rsid w:val="00AE6AF8"/>
    <w:rsid w:val="00AE71D4"/>
    <w:rsid w:val="00AF01FA"/>
    <w:rsid w:val="00AF52B7"/>
    <w:rsid w:val="00B018CC"/>
    <w:rsid w:val="00B07E5E"/>
    <w:rsid w:val="00B10BD9"/>
    <w:rsid w:val="00B42CAB"/>
    <w:rsid w:val="00B45744"/>
    <w:rsid w:val="00B55964"/>
    <w:rsid w:val="00B60106"/>
    <w:rsid w:val="00B63D3C"/>
    <w:rsid w:val="00B6679C"/>
    <w:rsid w:val="00B66FF3"/>
    <w:rsid w:val="00B734F2"/>
    <w:rsid w:val="00B82B76"/>
    <w:rsid w:val="00B86CF8"/>
    <w:rsid w:val="00B966B1"/>
    <w:rsid w:val="00BA374E"/>
    <w:rsid w:val="00BB01BC"/>
    <w:rsid w:val="00BB7DA5"/>
    <w:rsid w:val="00BC1500"/>
    <w:rsid w:val="00BD0B12"/>
    <w:rsid w:val="00BD0D6B"/>
    <w:rsid w:val="00BD2D03"/>
    <w:rsid w:val="00BD53C9"/>
    <w:rsid w:val="00BE03F2"/>
    <w:rsid w:val="00BE5673"/>
    <w:rsid w:val="00BF6091"/>
    <w:rsid w:val="00C03CA6"/>
    <w:rsid w:val="00C105D7"/>
    <w:rsid w:val="00C23C72"/>
    <w:rsid w:val="00C2588E"/>
    <w:rsid w:val="00C31F62"/>
    <w:rsid w:val="00C32430"/>
    <w:rsid w:val="00C32665"/>
    <w:rsid w:val="00C32D0A"/>
    <w:rsid w:val="00C345AC"/>
    <w:rsid w:val="00C35994"/>
    <w:rsid w:val="00C424C2"/>
    <w:rsid w:val="00C5020E"/>
    <w:rsid w:val="00C50E36"/>
    <w:rsid w:val="00C56221"/>
    <w:rsid w:val="00C57EE2"/>
    <w:rsid w:val="00C630D4"/>
    <w:rsid w:val="00C637BE"/>
    <w:rsid w:val="00C64236"/>
    <w:rsid w:val="00C64B4A"/>
    <w:rsid w:val="00C66905"/>
    <w:rsid w:val="00C71866"/>
    <w:rsid w:val="00C746DA"/>
    <w:rsid w:val="00C754DA"/>
    <w:rsid w:val="00C75521"/>
    <w:rsid w:val="00C76B99"/>
    <w:rsid w:val="00C90EB9"/>
    <w:rsid w:val="00C92C74"/>
    <w:rsid w:val="00C931E1"/>
    <w:rsid w:val="00CA2E46"/>
    <w:rsid w:val="00CA7918"/>
    <w:rsid w:val="00CB23F5"/>
    <w:rsid w:val="00CB3439"/>
    <w:rsid w:val="00CB360E"/>
    <w:rsid w:val="00CB3669"/>
    <w:rsid w:val="00CC0E92"/>
    <w:rsid w:val="00CC477E"/>
    <w:rsid w:val="00CD18E4"/>
    <w:rsid w:val="00CD3D6E"/>
    <w:rsid w:val="00CD4A4F"/>
    <w:rsid w:val="00CD6C87"/>
    <w:rsid w:val="00CE1A4F"/>
    <w:rsid w:val="00CE1CA1"/>
    <w:rsid w:val="00CE5054"/>
    <w:rsid w:val="00CE608A"/>
    <w:rsid w:val="00CF419C"/>
    <w:rsid w:val="00CF7858"/>
    <w:rsid w:val="00D005E2"/>
    <w:rsid w:val="00D1012F"/>
    <w:rsid w:val="00D212A4"/>
    <w:rsid w:val="00D24124"/>
    <w:rsid w:val="00D31606"/>
    <w:rsid w:val="00D367A6"/>
    <w:rsid w:val="00D40644"/>
    <w:rsid w:val="00D4119C"/>
    <w:rsid w:val="00D45018"/>
    <w:rsid w:val="00D5069D"/>
    <w:rsid w:val="00D53855"/>
    <w:rsid w:val="00D544BA"/>
    <w:rsid w:val="00D54BC1"/>
    <w:rsid w:val="00D60A5A"/>
    <w:rsid w:val="00D60E6F"/>
    <w:rsid w:val="00D61F6C"/>
    <w:rsid w:val="00D646C4"/>
    <w:rsid w:val="00D67E4E"/>
    <w:rsid w:val="00D77236"/>
    <w:rsid w:val="00D80B41"/>
    <w:rsid w:val="00D85760"/>
    <w:rsid w:val="00D87F34"/>
    <w:rsid w:val="00D91F82"/>
    <w:rsid w:val="00D9325D"/>
    <w:rsid w:val="00D94B15"/>
    <w:rsid w:val="00DA0AFE"/>
    <w:rsid w:val="00DA0D81"/>
    <w:rsid w:val="00DA28A2"/>
    <w:rsid w:val="00DA3635"/>
    <w:rsid w:val="00DB059C"/>
    <w:rsid w:val="00DB2C0A"/>
    <w:rsid w:val="00DB2C6C"/>
    <w:rsid w:val="00DC1400"/>
    <w:rsid w:val="00DC2126"/>
    <w:rsid w:val="00DC3CFA"/>
    <w:rsid w:val="00DD14E8"/>
    <w:rsid w:val="00DD21DB"/>
    <w:rsid w:val="00DD2C90"/>
    <w:rsid w:val="00DD7DE7"/>
    <w:rsid w:val="00DE2DE3"/>
    <w:rsid w:val="00DE3FB3"/>
    <w:rsid w:val="00DF46F6"/>
    <w:rsid w:val="00E00A71"/>
    <w:rsid w:val="00E025FE"/>
    <w:rsid w:val="00E02DBB"/>
    <w:rsid w:val="00E05850"/>
    <w:rsid w:val="00E10F20"/>
    <w:rsid w:val="00E11887"/>
    <w:rsid w:val="00E22AEA"/>
    <w:rsid w:val="00E24DCA"/>
    <w:rsid w:val="00E2742A"/>
    <w:rsid w:val="00E31731"/>
    <w:rsid w:val="00E32425"/>
    <w:rsid w:val="00E32B89"/>
    <w:rsid w:val="00E351AA"/>
    <w:rsid w:val="00E53645"/>
    <w:rsid w:val="00E540D9"/>
    <w:rsid w:val="00E747DF"/>
    <w:rsid w:val="00E75ABF"/>
    <w:rsid w:val="00E76C9B"/>
    <w:rsid w:val="00E8177A"/>
    <w:rsid w:val="00E8320D"/>
    <w:rsid w:val="00E86822"/>
    <w:rsid w:val="00E92F38"/>
    <w:rsid w:val="00E953C6"/>
    <w:rsid w:val="00E9568E"/>
    <w:rsid w:val="00E9648C"/>
    <w:rsid w:val="00E97404"/>
    <w:rsid w:val="00EA0233"/>
    <w:rsid w:val="00EA1002"/>
    <w:rsid w:val="00EA1914"/>
    <w:rsid w:val="00EA32C3"/>
    <w:rsid w:val="00EA49B1"/>
    <w:rsid w:val="00EB5197"/>
    <w:rsid w:val="00EB56B1"/>
    <w:rsid w:val="00EB6734"/>
    <w:rsid w:val="00EC1FE8"/>
    <w:rsid w:val="00EC563B"/>
    <w:rsid w:val="00EE01A2"/>
    <w:rsid w:val="00EE2C88"/>
    <w:rsid w:val="00EE547A"/>
    <w:rsid w:val="00EE7907"/>
    <w:rsid w:val="00EF26CF"/>
    <w:rsid w:val="00EF3268"/>
    <w:rsid w:val="00EF3B32"/>
    <w:rsid w:val="00EF4E14"/>
    <w:rsid w:val="00EF6949"/>
    <w:rsid w:val="00F00BB2"/>
    <w:rsid w:val="00F0234C"/>
    <w:rsid w:val="00F046A6"/>
    <w:rsid w:val="00F06E88"/>
    <w:rsid w:val="00F13403"/>
    <w:rsid w:val="00F26415"/>
    <w:rsid w:val="00F300C4"/>
    <w:rsid w:val="00F335EE"/>
    <w:rsid w:val="00F44A5C"/>
    <w:rsid w:val="00F44ADF"/>
    <w:rsid w:val="00F54089"/>
    <w:rsid w:val="00F60EEC"/>
    <w:rsid w:val="00F61C6D"/>
    <w:rsid w:val="00F64194"/>
    <w:rsid w:val="00F6558A"/>
    <w:rsid w:val="00F80843"/>
    <w:rsid w:val="00F8279C"/>
    <w:rsid w:val="00F8668F"/>
    <w:rsid w:val="00F90584"/>
    <w:rsid w:val="00F920DC"/>
    <w:rsid w:val="00F92605"/>
    <w:rsid w:val="00F93079"/>
    <w:rsid w:val="00F93371"/>
    <w:rsid w:val="00F9487D"/>
    <w:rsid w:val="00F95DBC"/>
    <w:rsid w:val="00F97828"/>
    <w:rsid w:val="00FA5AE1"/>
    <w:rsid w:val="00FB22ED"/>
    <w:rsid w:val="00FB67C3"/>
    <w:rsid w:val="00FC2065"/>
    <w:rsid w:val="00FC338C"/>
    <w:rsid w:val="00FC6D14"/>
    <w:rsid w:val="00FD0B77"/>
    <w:rsid w:val="00FE2C70"/>
    <w:rsid w:val="00FE365A"/>
    <w:rsid w:val="00FE5F1B"/>
    <w:rsid w:val="00FF05D6"/>
    <w:rsid w:val="00FF108D"/>
    <w:rsid w:val="00FF48BB"/>
    <w:rsid w:val="00FF70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BECC1"/>
  <w15:docId w15:val="{D1D77271-E50F-4AA3-B9FA-17951A7A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GHEA Grapalat" w:hAnsi="GHEA Grapalat" w:cs="GHEA Grapalat"/>
        <w:sz w:val="22"/>
        <w:szCs w:val="22"/>
        <w:lang w:val="hy" w:eastAsia="ja-JP"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5E0"/>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paragraph" w:customStyle="1" w:styleId="vhc">
    <w:name w:val="vhc"/>
    <w:basedOn w:val="Normal"/>
    <w:rsid w:val="005172B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17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172BD"/>
    <w:rPr>
      <w:b/>
      <w:bCs/>
    </w:rPr>
  </w:style>
  <w:style w:type="character" w:styleId="CommentReference">
    <w:name w:val="annotation reference"/>
    <w:basedOn w:val="DefaultParagraphFont"/>
    <w:uiPriority w:val="99"/>
    <w:semiHidden/>
    <w:unhideWhenUsed/>
    <w:rsid w:val="005172BD"/>
    <w:rPr>
      <w:sz w:val="16"/>
      <w:szCs w:val="16"/>
    </w:rPr>
  </w:style>
  <w:style w:type="paragraph" w:styleId="CommentText">
    <w:name w:val="annotation text"/>
    <w:basedOn w:val="Normal"/>
    <w:link w:val="CommentTextChar"/>
    <w:uiPriority w:val="99"/>
    <w:semiHidden/>
    <w:unhideWhenUsed/>
    <w:rsid w:val="005172BD"/>
    <w:pPr>
      <w:spacing w:line="240" w:lineRule="auto"/>
    </w:pPr>
    <w:rPr>
      <w:sz w:val="20"/>
      <w:szCs w:val="20"/>
    </w:rPr>
  </w:style>
  <w:style w:type="character" w:customStyle="1" w:styleId="CommentTextChar">
    <w:name w:val="Comment Text Char"/>
    <w:basedOn w:val="DefaultParagraphFont"/>
    <w:link w:val="CommentText"/>
    <w:uiPriority w:val="99"/>
    <w:semiHidden/>
    <w:rsid w:val="005172BD"/>
    <w:rPr>
      <w:sz w:val="20"/>
      <w:szCs w:val="20"/>
    </w:rPr>
  </w:style>
  <w:style w:type="paragraph" w:styleId="CommentSubject">
    <w:name w:val="annotation subject"/>
    <w:basedOn w:val="CommentText"/>
    <w:next w:val="CommentText"/>
    <w:link w:val="CommentSubjectChar"/>
    <w:uiPriority w:val="99"/>
    <w:semiHidden/>
    <w:unhideWhenUsed/>
    <w:rsid w:val="005172BD"/>
    <w:rPr>
      <w:b/>
      <w:bCs/>
    </w:rPr>
  </w:style>
  <w:style w:type="character" w:customStyle="1" w:styleId="CommentSubjectChar">
    <w:name w:val="Comment Subject Char"/>
    <w:basedOn w:val="CommentTextChar"/>
    <w:link w:val="CommentSubject"/>
    <w:uiPriority w:val="99"/>
    <w:semiHidden/>
    <w:rsid w:val="005172BD"/>
    <w:rPr>
      <w:b/>
      <w:bCs/>
      <w:sz w:val="20"/>
      <w:szCs w:val="20"/>
    </w:rPr>
  </w:style>
  <w:style w:type="paragraph" w:styleId="Header">
    <w:name w:val="header"/>
    <w:basedOn w:val="Normal"/>
    <w:link w:val="HeaderChar"/>
    <w:uiPriority w:val="99"/>
    <w:unhideWhenUsed/>
    <w:rsid w:val="00A5492D"/>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A5492D"/>
  </w:style>
  <w:style w:type="paragraph" w:styleId="Footer">
    <w:name w:val="footer"/>
    <w:basedOn w:val="Normal"/>
    <w:link w:val="FooterChar"/>
    <w:uiPriority w:val="99"/>
    <w:unhideWhenUsed/>
    <w:rsid w:val="00A5492D"/>
    <w:pPr>
      <w:tabs>
        <w:tab w:val="center" w:pos="4844"/>
        <w:tab w:val="right" w:pos="9689"/>
      </w:tabs>
      <w:spacing w:after="0" w:line="240" w:lineRule="auto"/>
    </w:pPr>
  </w:style>
  <w:style w:type="character" w:customStyle="1" w:styleId="FooterChar">
    <w:name w:val="Footer Char"/>
    <w:basedOn w:val="DefaultParagraphFont"/>
    <w:link w:val="Footer"/>
    <w:uiPriority w:val="99"/>
    <w:rsid w:val="00A5492D"/>
  </w:style>
  <w:style w:type="character" w:styleId="Hyperlink">
    <w:name w:val="Hyperlink"/>
    <w:basedOn w:val="DefaultParagraphFont"/>
    <w:uiPriority w:val="99"/>
    <w:unhideWhenUsed/>
    <w:rsid w:val="00014BE5"/>
    <w:rPr>
      <w:color w:val="0563C1" w:themeColor="hyperlink"/>
      <w:u w:val="single"/>
    </w:rPr>
  </w:style>
  <w:style w:type="paragraph" w:styleId="FootnoteText">
    <w:name w:val="footnote text"/>
    <w:basedOn w:val="Normal"/>
    <w:link w:val="FootnoteTextChar"/>
    <w:uiPriority w:val="99"/>
    <w:semiHidden/>
    <w:unhideWhenUsed/>
    <w:rsid w:val="00014BE5"/>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014BE5"/>
    <w:rPr>
      <w:sz w:val="20"/>
      <w:szCs w:val="20"/>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014BE5"/>
    <w:pPr>
      <w:spacing w:after="160" w:line="256" w:lineRule="auto"/>
      <w:ind w:left="720"/>
      <w:contextualSpacing/>
    </w:pPr>
    <w:rPr>
      <w:rFonts w:asciiTheme="minorHAnsi" w:eastAsiaTheme="minorHAnsi" w:hAnsiTheme="minorHAnsi" w:cstheme="minorBidi"/>
      <w:lang w:val="en-US"/>
    </w:rPr>
  </w:style>
  <w:style w:type="character" w:styleId="FootnoteReference">
    <w:name w:val="footnote reference"/>
    <w:basedOn w:val="DefaultParagraphFont"/>
    <w:uiPriority w:val="99"/>
    <w:semiHidden/>
    <w:unhideWhenUsed/>
    <w:rsid w:val="00014BE5"/>
    <w:rPr>
      <w:vertAlign w:val="superscript"/>
    </w:rPr>
  </w:style>
  <w:style w:type="paragraph" w:styleId="BalloonText">
    <w:name w:val="Balloon Text"/>
    <w:basedOn w:val="Normal"/>
    <w:link w:val="BalloonTextChar"/>
    <w:uiPriority w:val="99"/>
    <w:semiHidden/>
    <w:unhideWhenUsed/>
    <w:rsid w:val="0047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160"/>
    <w:rPr>
      <w:rFonts w:ascii="Segoe U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2B0253"/>
    <w:rPr>
      <w:rFonts w:asciiTheme="minorHAnsi" w:eastAsiaTheme="minorHAnsi" w:hAnsiTheme="minorHAnsi" w:cstheme="minorBidi"/>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5941AA"/>
    <w:pPr>
      <w:spacing w:after="0" w:line="240" w:lineRule="auto"/>
    </w:pPr>
    <w:rPr>
      <w:rFonts w:asciiTheme="minorHAnsi" w:eastAsiaTheme="minorHAnsi" w:hAnsiTheme="minorHAnsi" w:cstheme="minorBid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2F436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214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5866">
      <w:bodyDiv w:val="1"/>
      <w:marLeft w:val="0"/>
      <w:marRight w:val="0"/>
      <w:marTop w:val="0"/>
      <w:marBottom w:val="0"/>
      <w:divBdr>
        <w:top w:val="none" w:sz="0" w:space="0" w:color="auto"/>
        <w:left w:val="none" w:sz="0" w:space="0" w:color="auto"/>
        <w:bottom w:val="none" w:sz="0" w:space="0" w:color="auto"/>
        <w:right w:val="none" w:sz="0" w:space="0" w:color="auto"/>
      </w:divBdr>
    </w:div>
    <w:div w:id="39716037">
      <w:bodyDiv w:val="1"/>
      <w:marLeft w:val="0"/>
      <w:marRight w:val="0"/>
      <w:marTop w:val="0"/>
      <w:marBottom w:val="0"/>
      <w:divBdr>
        <w:top w:val="none" w:sz="0" w:space="0" w:color="auto"/>
        <w:left w:val="none" w:sz="0" w:space="0" w:color="auto"/>
        <w:bottom w:val="none" w:sz="0" w:space="0" w:color="auto"/>
        <w:right w:val="none" w:sz="0" w:space="0" w:color="auto"/>
      </w:divBdr>
    </w:div>
    <w:div w:id="52697222">
      <w:bodyDiv w:val="1"/>
      <w:marLeft w:val="0"/>
      <w:marRight w:val="0"/>
      <w:marTop w:val="0"/>
      <w:marBottom w:val="0"/>
      <w:divBdr>
        <w:top w:val="none" w:sz="0" w:space="0" w:color="auto"/>
        <w:left w:val="none" w:sz="0" w:space="0" w:color="auto"/>
        <w:bottom w:val="none" w:sz="0" w:space="0" w:color="auto"/>
        <w:right w:val="none" w:sz="0" w:space="0" w:color="auto"/>
      </w:divBdr>
    </w:div>
    <w:div w:id="60100421">
      <w:bodyDiv w:val="1"/>
      <w:marLeft w:val="0"/>
      <w:marRight w:val="0"/>
      <w:marTop w:val="0"/>
      <w:marBottom w:val="0"/>
      <w:divBdr>
        <w:top w:val="none" w:sz="0" w:space="0" w:color="auto"/>
        <w:left w:val="none" w:sz="0" w:space="0" w:color="auto"/>
        <w:bottom w:val="none" w:sz="0" w:space="0" w:color="auto"/>
        <w:right w:val="none" w:sz="0" w:space="0" w:color="auto"/>
      </w:divBdr>
    </w:div>
    <w:div w:id="82116768">
      <w:bodyDiv w:val="1"/>
      <w:marLeft w:val="0"/>
      <w:marRight w:val="0"/>
      <w:marTop w:val="0"/>
      <w:marBottom w:val="0"/>
      <w:divBdr>
        <w:top w:val="none" w:sz="0" w:space="0" w:color="auto"/>
        <w:left w:val="none" w:sz="0" w:space="0" w:color="auto"/>
        <w:bottom w:val="none" w:sz="0" w:space="0" w:color="auto"/>
        <w:right w:val="none" w:sz="0" w:space="0" w:color="auto"/>
      </w:divBdr>
    </w:div>
    <w:div w:id="124541886">
      <w:bodyDiv w:val="1"/>
      <w:marLeft w:val="0"/>
      <w:marRight w:val="0"/>
      <w:marTop w:val="0"/>
      <w:marBottom w:val="0"/>
      <w:divBdr>
        <w:top w:val="none" w:sz="0" w:space="0" w:color="auto"/>
        <w:left w:val="none" w:sz="0" w:space="0" w:color="auto"/>
        <w:bottom w:val="none" w:sz="0" w:space="0" w:color="auto"/>
        <w:right w:val="none" w:sz="0" w:space="0" w:color="auto"/>
      </w:divBdr>
    </w:div>
    <w:div w:id="147063849">
      <w:bodyDiv w:val="1"/>
      <w:marLeft w:val="0"/>
      <w:marRight w:val="0"/>
      <w:marTop w:val="0"/>
      <w:marBottom w:val="0"/>
      <w:divBdr>
        <w:top w:val="none" w:sz="0" w:space="0" w:color="auto"/>
        <w:left w:val="none" w:sz="0" w:space="0" w:color="auto"/>
        <w:bottom w:val="none" w:sz="0" w:space="0" w:color="auto"/>
        <w:right w:val="none" w:sz="0" w:space="0" w:color="auto"/>
      </w:divBdr>
    </w:div>
    <w:div w:id="154223601">
      <w:bodyDiv w:val="1"/>
      <w:marLeft w:val="0"/>
      <w:marRight w:val="0"/>
      <w:marTop w:val="0"/>
      <w:marBottom w:val="0"/>
      <w:divBdr>
        <w:top w:val="none" w:sz="0" w:space="0" w:color="auto"/>
        <w:left w:val="none" w:sz="0" w:space="0" w:color="auto"/>
        <w:bottom w:val="none" w:sz="0" w:space="0" w:color="auto"/>
        <w:right w:val="none" w:sz="0" w:space="0" w:color="auto"/>
      </w:divBdr>
    </w:div>
    <w:div w:id="194972483">
      <w:bodyDiv w:val="1"/>
      <w:marLeft w:val="0"/>
      <w:marRight w:val="0"/>
      <w:marTop w:val="0"/>
      <w:marBottom w:val="0"/>
      <w:divBdr>
        <w:top w:val="none" w:sz="0" w:space="0" w:color="auto"/>
        <w:left w:val="none" w:sz="0" w:space="0" w:color="auto"/>
        <w:bottom w:val="none" w:sz="0" w:space="0" w:color="auto"/>
        <w:right w:val="none" w:sz="0" w:space="0" w:color="auto"/>
      </w:divBdr>
    </w:div>
    <w:div w:id="217478280">
      <w:bodyDiv w:val="1"/>
      <w:marLeft w:val="0"/>
      <w:marRight w:val="0"/>
      <w:marTop w:val="0"/>
      <w:marBottom w:val="0"/>
      <w:divBdr>
        <w:top w:val="none" w:sz="0" w:space="0" w:color="auto"/>
        <w:left w:val="none" w:sz="0" w:space="0" w:color="auto"/>
        <w:bottom w:val="none" w:sz="0" w:space="0" w:color="auto"/>
        <w:right w:val="none" w:sz="0" w:space="0" w:color="auto"/>
      </w:divBdr>
    </w:div>
    <w:div w:id="219751064">
      <w:bodyDiv w:val="1"/>
      <w:marLeft w:val="0"/>
      <w:marRight w:val="0"/>
      <w:marTop w:val="0"/>
      <w:marBottom w:val="0"/>
      <w:divBdr>
        <w:top w:val="none" w:sz="0" w:space="0" w:color="auto"/>
        <w:left w:val="none" w:sz="0" w:space="0" w:color="auto"/>
        <w:bottom w:val="none" w:sz="0" w:space="0" w:color="auto"/>
        <w:right w:val="none" w:sz="0" w:space="0" w:color="auto"/>
      </w:divBdr>
    </w:div>
    <w:div w:id="226575180">
      <w:bodyDiv w:val="1"/>
      <w:marLeft w:val="0"/>
      <w:marRight w:val="0"/>
      <w:marTop w:val="0"/>
      <w:marBottom w:val="0"/>
      <w:divBdr>
        <w:top w:val="none" w:sz="0" w:space="0" w:color="auto"/>
        <w:left w:val="none" w:sz="0" w:space="0" w:color="auto"/>
        <w:bottom w:val="none" w:sz="0" w:space="0" w:color="auto"/>
        <w:right w:val="none" w:sz="0" w:space="0" w:color="auto"/>
      </w:divBdr>
    </w:div>
    <w:div w:id="245725739">
      <w:bodyDiv w:val="1"/>
      <w:marLeft w:val="0"/>
      <w:marRight w:val="0"/>
      <w:marTop w:val="0"/>
      <w:marBottom w:val="0"/>
      <w:divBdr>
        <w:top w:val="none" w:sz="0" w:space="0" w:color="auto"/>
        <w:left w:val="none" w:sz="0" w:space="0" w:color="auto"/>
        <w:bottom w:val="none" w:sz="0" w:space="0" w:color="auto"/>
        <w:right w:val="none" w:sz="0" w:space="0" w:color="auto"/>
      </w:divBdr>
    </w:div>
    <w:div w:id="248346620">
      <w:bodyDiv w:val="1"/>
      <w:marLeft w:val="0"/>
      <w:marRight w:val="0"/>
      <w:marTop w:val="0"/>
      <w:marBottom w:val="0"/>
      <w:divBdr>
        <w:top w:val="none" w:sz="0" w:space="0" w:color="auto"/>
        <w:left w:val="none" w:sz="0" w:space="0" w:color="auto"/>
        <w:bottom w:val="none" w:sz="0" w:space="0" w:color="auto"/>
        <w:right w:val="none" w:sz="0" w:space="0" w:color="auto"/>
      </w:divBdr>
    </w:div>
    <w:div w:id="269747154">
      <w:bodyDiv w:val="1"/>
      <w:marLeft w:val="0"/>
      <w:marRight w:val="0"/>
      <w:marTop w:val="0"/>
      <w:marBottom w:val="0"/>
      <w:divBdr>
        <w:top w:val="none" w:sz="0" w:space="0" w:color="auto"/>
        <w:left w:val="none" w:sz="0" w:space="0" w:color="auto"/>
        <w:bottom w:val="none" w:sz="0" w:space="0" w:color="auto"/>
        <w:right w:val="none" w:sz="0" w:space="0" w:color="auto"/>
      </w:divBdr>
    </w:div>
    <w:div w:id="270162189">
      <w:bodyDiv w:val="1"/>
      <w:marLeft w:val="0"/>
      <w:marRight w:val="0"/>
      <w:marTop w:val="0"/>
      <w:marBottom w:val="0"/>
      <w:divBdr>
        <w:top w:val="none" w:sz="0" w:space="0" w:color="auto"/>
        <w:left w:val="none" w:sz="0" w:space="0" w:color="auto"/>
        <w:bottom w:val="none" w:sz="0" w:space="0" w:color="auto"/>
        <w:right w:val="none" w:sz="0" w:space="0" w:color="auto"/>
      </w:divBdr>
    </w:div>
    <w:div w:id="277565744">
      <w:bodyDiv w:val="1"/>
      <w:marLeft w:val="0"/>
      <w:marRight w:val="0"/>
      <w:marTop w:val="0"/>
      <w:marBottom w:val="0"/>
      <w:divBdr>
        <w:top w:val="none" w:sz="0" w:space="0" w:color="auto"/>
        <w:left w:val="none" w:sz="0" w:space="0" w:color="auto"/>
        <w:bottom w:val="none" w:sz="0" w:space="0" w:color="auto"/>
        <w:right w:val="none" w:sz="0" w:space="0" w:color="auto"/>
      </w:divBdr>
    </w:div>
    <w:div w:id="296686271">
      <w:bodyDiv w:val="1"/>
      <w:marLeft w:val="0"/>
      <w:marRight w:val="0"/>
      <w:marTop w:val="0"/>
      <w:marBottom w:val="0"/>
      <w:divBdr>
        <w:top w:val="none" w:sz="0" w:space="0" w:color="auto"/>
        <w:left w:val="none" w:sz="0" w:space="0" w:color="auto"/>
        <w:bottom w:val="none" w:sz="0" w:space="0" w:color="auto"/>
        <w:right w:val="none" w:sz="0" w:space="0" w:color="auto"/>
      </w:divBdr>
    </w:div>
    <w:div w:id="353775970">
      <w:bodyDiv w:val="1"/>
      <w:marLeft w:val="0"/>
      <w:marRight w:val="0"/>
      <w:marTop w:val="0"/>
      <w:marBottom w:val="0"/>
      <w:divBdr>
        <w:top w:val="none" w:sz="0" w:space="0" w:color="auto"/>
        <w:left w:val="none" w:sz="0" w:space="0" w:color="auto"/>
        <w:bottom w:val="none" w:sz="0" w:space="0" w:color="auto"/>
        <w:right w:val="none" w:sz="0" w:space="0" w:color="auto"/>
      </w:divBdr>
    </w:div>
    <w:div w:id="372075822">
      <w:bodyDiv w:val="1"/>
      <w:marLeft w:val="0"/>
      <w:marRight w:val="0"/>
      <w:marTop w:val="0"/>
      <w:marBottom w:val="0"/>
      <w:divBdr>
        <w:top w:val="none" w:sz="0" w:space="0" w:color="auto"/>
        <w:left w:val="none" w:sz="0" w:space="0" w:color="auto"/>
        <w:bottom w:val="none" w:sz="0" w:space="0" w:color="auto"/>
        <w:right w:val="none" w:sz="0" w:space="0" w:color="auto"/>
      </w:divBdr>
    </w:div>
    <w:div w:id="405230025">
      <w:bodyDiv w:val="1"/>
      <w:marLeft w:val="0"/>
      <w:marRight w:val="0"/>
      <w:marTop w:val="0"/>
      <w:marBottom w:val="0"/>
      <w:divBdr>
        <w:top w:val="none" w:sz="0" w:space="0" w:color="auto"/>
        <w:left w:val="none" w:sz="0" w:space="0" w:color="auto"/>
        <w:bottom w:val="none" w:sz="0" w:space="0" w:color="auto"/>
        <w:right w:val="none" w:sz="0" w:space="0" w:color="auto"/>
      </w:divBdr>
    </w:div>
    <w:div w:id="470634968">
      <w:bodyDiv w:val="1"/>
      <w:marLeft w:val="0"/>
      <w:marRight w:val="0"/>
      <w:marTop w:val="0"/>
      <w:marBottom w:val="0"/>
      <w:divBdr>
        <w:top w:val="none" w:sz="0" w:space="0" w:color="auto"/>
        <w:left w:val="none" w:sz="0" w:space="0" w:color="auto"/>
        <w:bottom w:val="none" w:sz="0" w:space="0" w:color="auto"/>
        <w:right w:val="none" w:sz="0" w:space="0" w:color="auto"/>
      </w:divBdr>
    </w:div>
    <w:div w:id="498809924">
      <w:bodyDiv w:val="1"/>
      <w:marLeft w:val="0"/>
      <w:marRight w:val="0"/>
      <w:marTop w:val="0"/>
      <w:marBottom w:val="0"/>
      <w:divBdr>
        <w:top w:val="none" w:sz="0" w:space="0" w:color="auto"/>
        <w:left w:val="none" w:sz="0" w:space="0" w:color="auto"/>
        <w:bottom w:val="none" w:sz="0" w:space="0" w:color="auto"/>
        <w:right w:val="none" w:sz="0" w:space="0" w:color="auto"/>
      </w:divBdr>
    </w:div>
    <w:div w:id="532351700">
      <w:bodyDiv w:val="1"/>
      <w:marLeft w:val="0"/>
      <w:marRight w:val="0"/>
      <w:marTop w:val="0"/>
      <w:marBottom w:val="0"/>
      <w:divBdr>
        <w:top w:val="none" w:sz="0" w:space="0" w:color="auto"/>
        <w:left w:val="none" w:sz="0" w:space="0" w:color="auto"/>
        <w:bottom w:val="none" w:sz="0" w:space="0" w:color="auto"/>
        <w:right w:val="none" w:sz="0" w:space="0" w:color="auto"/>
      </w:divBdr>
    </w:div>
    <w:div w:id="557975552">
      <w:bodyDiv w:val="1"/>
      <w:marLeft w:val="0"/>
      <w:marRight w:val="0"/>
      <w:marTop w:val="0"/>
      <w:marBottom w:val="0"/>
      <w:divBdr>
        <w:top w:val="none" w:sz="0" w:space="0" w:color="auto"/>
        <w:left w:val="none" w:sz="0" w:space="0" w:color="auto"/>
        <w:bottom w:val="none" w:sz="0" w:space="0" w:color="auto"/>
        <w:right w:val="none" w:sz="0" w:space="0" w:color="auto"/>
      </w:divBdr>
    </w:div>
    <w:div w:id="567807154">
      <w:bodyDiv w:val="1"/>
      <w:marLeft w:val="0"/>
      <w:marRight w:val="0"/>
      <w:marTop w:val="0"/>
      <w:marBottom w:val="0"/>
      <w:divBdr>
        <w:top w:val="none" w:sz="0" w:space="0" w:color="auto"/>
        <w:left w:val="none" w:sz="0" w:space="0" w:color="auto"/>
        <w:bottom w:val="none" w:sz="0" w:space="0" w:color="auto"/>
        <w:right w:val="none" w:sz="0" w:space="0" w:color="auto"/>
      </w:divBdr>
    </w:div>
    <w:div w:id="569075859">
      <w:bodyDiv w:val="1"/>
      <w:marLeft w:val="0"/>
      <w:marRight w:val="0"/>
      <w:marTop w:val="0"/>
      <w:marBottom w:val="0"/>
      <w:divBdr>
        <w:top w:val="none" w:sz="0" w:space="0" w:color="auto"/>
        <w:left w:val="none" w:sz="0" w:space="0" w:color="auto"/>
        <w:bottom w:val="none" w:sz="0" w:space="0" w:color="auto"/>
        <w:right w:val="none" w:sz="0" w:space="0" w:color="auto"/>
      </w:divBdr>
      <w:divsChild>
        <w:div w:id="1387803412">
          <w:marLeft w:val="0"/>
          <w:marRight w:val="0"/>
          <w:marTop w:val="0"/>
          <w:marBottom w:val="0"/>
          <w:divBdr>
            <w:top w:val="none" w:sz="0" w:space="0" w:color="auto"/>
            <w:left w:val="none" w:sz="0" w:space="0" w:color="auto"/>
            <w:bottom w:val="none" w:sz="0" w:space="0" w:color="auto"/>
            <w:right w:val="none" w:sz="0" w:space="0" w:color="auto"/>
          </w:divBdr>
          <w:divsChild>
            <w:div w:id="1982416429">
              <w:marLeft w:val="0"/>
              <w:marRight w:val="0"/>
              <w:marTop w:val="0"/>
              <w:marBottom w:val="0"/>
              <w:divBdr>
                <w:top w:val="none" w:sz="0" w:space="0" w:color="auto"/>
                <w:left w:val="none" w:sz="0" w:space="0" w:color="auto"/>
                <w:bottom w:val="none" w:sz="0" w:space="0" w:color="auto"/>
                <w:right w:val="none" w:sz="0" w:space="0" w:color="auto"/>
              </w:divBdr>
              <w:divsChild>
                <w:div w:id="99765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849594">
      <w:bodyDiv w:val="1"/>
      <w:marLeft w:val="0"/>
      <w:marRight w:val="0"/>
      <w:marTop w:val="0"/>
      <w:marBottom w:val="0"/>
      <w:divBdr>
        <w:top w:val="none" w:sz="0" w:space="0" w:color="auto"/>
        <w:left w:val="none" w:sz="0" w:space="0" w:color="auto"/>
        <w:bottom w:val="none" w:sz="0" w:space="0" w:color="auto"/>
        <w:right w:val="none" w:sz="0" w:space="0" w:color="auto"/>
      </w:divBdr>
    </w:div>
    <w:div w:id="595360724">
      <w:bodyDiv w:val="1"/>
      <w:marLeft w:val="0"/>
      <w:marRight w:val="0"/>
      <w:marTop w:val="0"/>
      <w:marBottom w:val="0"/>
      <w:divBdr>
        <w:top w:val="none" w:sz="0" w:space="0" w:color="auto"/>
        <w:left w:val="none" w:sz="0" w:space="0" w:color="auto"/>
        <w:bottom w:val="none" w:sz="0" w:space="0" w:color="auto"/>
        <w:right w:val="none" w:sz="0" w:space="0" w:color="auto"/>
      </w:divBdr>
    </w:div>
    <w:div w:id="610362113">
      <w:bodyDiv w:val="1"/>
      <w:marLeft w:val="0"/>
      <w:marRight w:val="0"/>
      <w:marTop w:val="0"/>
      <w:marBottom w:val="0"/>
      <w:divBdr>
        <w:top w:val="none" w:sz="0" w:space="0" w:color="auto"/>
        <w:left w:val="none" w:sz="0" w:space="0" w:color="auto"/>
        <w:bottom w:val="none" w:sz="0" w:space="0" w:color="auto"/>
        <w:right w:val="none" w:sz="0" w:space="0" w:color="auto"/>
      </w:divBdr>
    </w:div>
    <w:div w:id="611012510">
      <w:bodyDiv w:val="1"/>
      <w:marLeft w:val="0"/>
      <w:marRight w:val="0"/>
      <w:marTop w:val="0"/>
      <w:marBottom w:val="0"/>
      <w:divBdr>
        <w:top w:val="none" w:sz="0" w:space="0" w:color="auto"/>
        <w:left w:val="none" w:sz="0" w:space="0" w:color="auto"/>
        <w:bottom w:val="none" w:sz="0" w:space="0" w:color="auto"/>
        <w:right w:val="none" w:sz="0" w:space="0" w:color="auto"/>
      </w:divBdr>
    </w:div>
    <w:div w:id="636112043">
      <w:bodyDiv w:val="1"/>
      <w:marLeft w:val="0"/>
      <w:marRight w:val="0"/>
      <w:marTop w:val="0"/>
      <w:marBottom w:val="0"/>
      <w:divBdr>
        <w:top w:val="none" w:sz="0" w:space="0" w:color="auto"/>
        <w:left w:val="none" w:sz="0" w:space="0" w:color="auto"/>
        <w:bottom w:val="none" w:sz="0" w:space="0" w:color="auto"/>
        <w:right w:val="none" w:sz="0" w:space="0" w:color="auto"/>
      </w:divBdr>
    </w:div>
    <w:div w:id="641885868">
      <w:bodyDiv w:val="1"/>
      <w:marLeft w:val="0"/>
      <w:marRight w:val="0"/>
      <w:marTop w:val="0"/>
      <w:marBottom w:val="0"/>
      <w:divBdr>
        <w:top w:val="none" w:sz="0" w:space="0" w:color="auto"/>
        <w:left w:val="none" w:sz="0" w:space="0" w:color="auto"/>
        <w:bottom w:val="none" w:sz="0" w:space="0" w:color="auto"/>
        <w:right w:val="none" w:sz="0" w:space="0" w:color="auto"/>
      </w:divBdr>
    </w:div>
    <w:div w:id="656081677">
      <w:bodyDiv w:val="1"/>
      <w:marLeft w:val="0"/>
      <w:marRight w:val="0"/>
      <w:marTop w:val="0"/>
      <w:marBottom w:val="0"/>
      <w:divBdr>
        <w:top w:val="none" w:sz="0" w:space="0" w:color="auto"/>
        <w:left w:val="none" w:sz="0" w:space="0" w:color="auto"/>
        <w:bottom w:val="none" w:sz="0" w:space="0" w:color="auto"/>
        <w:right w:val="none" w:sz="0" w:space="0" w:color="auto"/>
      </w:divBdr>
    </w:div>
    <w:div w:id="670529469">
      <w:bodyDiv w:val="1"/>
      <w:marLeft w:val="0"/>
      <w:marRight w:val="0"/>
      <w:marTop w:val="0"/>
      <w:marBottom w:val="0"/>
      <w:divBdr>
        <w:top w:val="none" w:sz="0" w:space="0" w:color="auto"/>
        <w:left w:val="none" w:sz="0" w:space="0" w:color="auto"/>
        <w:bottom w:val="none" w:sz="0" w:space="0" w:color="auto"/>
        <w:right w:val="none" w:sz="0" w:space="0" w:color="auto"/>
      </w:divBdr>
    </w:div>
    <w:div w:id="680088855">
      <w:bodyDiv w:val="1"/>
      <w:marLeft w:val="0"/>
      <w:marRight w:val="0"/>
      <w:marTop w:val="0"/>
      <w:marBottom w:val="0"/>
      <w:divBdr>
        <w:top w:val="none" w:sz="0" w:space="0" w:color="auto"/>
        <w:left w:val="none" w:sz="0" w:space="0" w:color="auto"/>
        <w:bottom w:val="none" w:sz="0" w:space="0" w:color="auto"/>
        <w:right w:val="none" w:sz="0" w:space="0" w:color="auto"/>
      </w:divBdr>
    </w:div>
    <w:div w:id="688487563">
      <w:bodyDiv w:val="1"/>
      <w:marLeft w:val="0"/>
      <w:marRight w:val="0"/>
      <w:marTop w:val="0"/>
      <w:marBottom w:val="0"/>
      <w:divBdr>
        <w:top w:val="none" w:sz="0" w:space="0" w:color="auto"/>
        <w:left w:val="none" w:sz="0" w:space="0" w:color="auto"/>
        <w:bottom w:val="none" w:sz="0" w:space="0" w:color="auto"/>
        <w:right w:val="none" w:sz="0" w:space="0" w:color="auto"/>
      </w:divBdr>
    </w:div>
    <w:div w:id="713385055">
      <w:bodyDiv w:val="1"/>
      <w:marLeft w:val="0"/>
      <w:marRight w:val="0"/>
      <w:marTop w:val="0"/>
      <w:marBottom w:val="0"/>
      <w:divBdr>
        <w:top w:val="none" w:sz="0" w:space="0" w:color="auto"/>
        <w:left w:val="none" w:sz="0" w:space="0" w:color="auto"/>
        <w:bottom w:val="none" w:sz="0" w:space="0" w:color="auto"/>
        <w:right w:val="none" w:sz="0" w:space="0" w:color="auto"/>
      </w:divBdr>
    </w:div>
    <w:div w:id="723017672">
      <w:bodyDiv w:val="1"/>
      <w:marLeft w:val="0"/>
      <w:marRight w:val="0"/>
      <w:marTop w:val="0"/>
      <w:marBottom w:val="0"/>
      <w:divBdr>
        <w:top w:val="none" w:sz="0" w:space="0" w:color="auto"/>
        <w:left w:val="none" w:sz="0" w:space="0" w:color="auto"/>
        <w:bottom w:val="none" w:sz="0" w:space="0" w:color="auto"/>
        <w:right w:val="none" w:sz="0" w:space="0" w:color="auto"/>
      </w:divBdr>
    </w:div>
    <w:div w:id="726226706">
      <w:bodyDiv w:val="1"/>
      <w:marLeft w:val="0"/>
      <w:marRight w:val="0"/>
      <w:marTop w:val="0"/>
      <w:marBottom w:val="0"/>
      <w:divBdr>
        <w:top w:val="none" w:sz="0" w:space="0" w:color="auto"/>
        <w:left w:val="none" w:sz="0" w:space="0" w:color="auto"/>
        <w:bottom w:val="none" w:sz="0" w:space="0" w:color="auto"/>
        <w:right w:val="none" w:sz="0" w:space="0" w:color="auto"/>
      </w:divBdr>
    </w:div>
    <w:div w:id="746801679">
      <w:bodyDiv w:val="1"/>
      <w:marLeft w:val="0"/>
      <w:marRight w:val="0"/>
      <w:marTop w:val="0"/>
      <w:marBottom w:val="0"/>
      <w:divBdr>
        <w:top w:val="none" w:sz="0" w:space="0" w:color="auto"/>
        <w:left w:val="none" w:sz="0" w:space="0" w:color="auto"/>
        <w:bottom w:val="none" w:sz="0" w:space="0" w:color="auto"/>
        <w:right w:val="none" w:sz="0" w:space="0" w:color="auto"/>
      </w:divBdr>
    </w:div>
    <w:div w:id="751698895">
      <w:bodyDiv w:val="1"/>
      <w:marLeft w:val="0"/>
      <w:marRight w:val="0"/>
      <w:marTop w:val="0"/>
      <w:marBottom w:val="0"/>
      <w:divBdr>
        <w:top w:val="none" w:sz="0" w:space="0" w:color="auto"/>
        <w:left w:val="none" w:sz="0" w:space="0" w:color="auto"/>
        <w:bottom w:val="none" w:sz="0" w:space="0" w:color="auto"/>
        <w:right w:val="none" w:sz="0" w:space="0" w:color="auto"/>
      </w:divBdr>
    </w:div>
    <w:div w:id="772168522">
      <w:bodyDiv w:val="1"/>
      <w:marLeft w:val="0"/>
      <w:marRight w:val="0"/>
      <w:marTop w:val="0"/>
      <w:marBottom w:val="0"/>
      <w:divBdr>
        <w:top w:val="none" w:sz="0" w:space="0" w:color="auto"/>
        <w:left w:val="none" w:sz="0" w:space="0" w:color="auto"/>
        <w:bottom w:val="none" w:sz="0" w:space="0" w:color="auto"/>
        <w:right w:val="none" w:sz="0" w:space="0" w:color="auto"/>
      </w:divBdr>
    </w:div>
    <w:div w:id="777288626">
      <w:bodyDiv w:val="1"/>
      <w:marLeft w:val="0"/>
      <w:marRight w:val="0"/>
      <w:marTop w:val="0"/>
      <w:marBottom w:val="0"/>
      <w:divBdr>
        <w:top w:val="none" w:sz="0" w:space="0" w:color="auto"/>
        <w:left w:val="none" w:sz="0" w:space="0" w:color="auto"/>
        <w:bottom w:val="none" w:sz="0" w:space="0" w:color="auto"/>
        <w:right w:val="none" w:sz="0" w:space="0" w:color="auto"/>
      </w:divBdr>
    </w:div>
    <w:div w:id="785464119">
      <w:bodyDiv w:val="1"/>
      <w:marLeft w:val="0"/>
      <w:marRight w:val="0"/>
      <w:marTop w:val="0"/>
      <w:marBottom w:val="0"/>
      <w:divBdr>
        <w:top w:val="none" w:sz="0" w:space="0" w:color="auto"/>
        <w:left w:val="none" w:sz="0" w:space="0" w:color="auto"/>
        <w:bottom w:val="none" w:sz="0" w:space="0" w:color="auto"/>
        <w:right w:val="none" w:sz="0" w:space="0" w:color="auto"/>
      </w:divBdr>
    </w:div>
    <w:div w:id="791479741">
      <w:bodyDiv w:val="1"/>
      <w:marLeft w:val="0"/>
      <w:marRight w:val="0"/>
      <w:marTop w:val="0"/>
      <w:marBottom w:val="0"/>
      <w:divBdr>
        <w:top w:val="none" w:sz="0" w:space="0" w:color="auto"/>
        <w:left w:val="none" w:sz="0" w:space="0" w:color="auto"/>
        <w:bottom w:val="none" w:sz="0" w:space="0" w:color="auto"/>
        <w:right w:val="none" w:sz="0" w:space="0" w:color="auto"/>
      </w:divBdr>
    </w:div>
    <w:div w:id="801534804">
      <w:bodyDiv w:val="1"/>
      <w:marLeft w:val="0"/>
      <w:marRight w:val="0"/>
      <w:marTop w:val="0"/>
      <w:marBottom w:val="0"/>
      <w:divBdr>
        <w:top w:val="none" w:sz="0" w:space="0" w:color="auto"/>
        <w:left w:val="none" w:sz="0" w:space="0" w:color="auto"/>
        <w:bottom w:val="none" w:sz="0" w:space="0" w:color="auto"/>
        <w:right w:val="none" w:sz="0" w:space="0" w:color="auto"/>
      </w:divBdr>
    </w:div>
    <w:div w:id="841747759">
      <w:bodyDiv w:val="1"/>
      <w:marLeft w:val="0"/>
      <w:marRight w:val="0"/>
      <w:marTop w:val="0"/>
      <w:marBottom w:val="0"/>
      <w:divBdr>
        <w:top w:val="none" w:sz="0" w:space="0" w:color="auto"/>
        <w:left w:val="none" w:sz="0" w:space="0" w:color="auto"/>
        <w:bottom w:val="none" w:sz="0" w:space="0" w:color="auto"/>
        <w:right w:val="none" w:sz="0" w:space="0" w:color="auto"/>
      </w:divBdr>
    </w:div>
    <w:div w:id="870991667">
      <w:bodyDiv w:val="1"/>
      <w:marLeft w:val="0"/>
      <w:marRight w:val="0"/>
      <w:marTop w:val="0"/>
      <w:marBottom w:val="0"/>
      <w:divBdr>
        <w:top w:val="none" w:sz="0" w:space="0" w:color="auto"/>
        <w:left w:val="none" w:sz="0" w:space="0" w:color="auto"/>
        <w:bottom w:val="none" w:sz="0" w:space="0" w:color="auto"/>
        <w:right w:val="none" w:sz="0" w:space="0" w:color="auto"/>
      </w:divBdr>
    </w:div>
    <w:div w:id="874653470">
      <w:bodyDiv w:val="1"/>
      <w:marLeft w:val="0"/>
      <w:marRight w:val="0"/>
      <w:marTop w:val="0"/>
      <w:marBottom w:val="0"/>
      <w:divBdr>
        <w:top w:val="none" w:sz="0" w:space="0" w:color="auto"/>
        <w:left w:val="none" w:sz="0" w:space="0" w:color="auto"/>
        <w:bottom w:val="none" w:sz="0" w:space="0" w:color="auto"/>
        <w:right w:val="none" w:sz="0" w:space="0" w:color="auto"/>
      </w:divBdr>
    </w:div>
    <w:div w:id="930702735">
      <w:bodyDiv w:val="1"/>
      <w:marLeft w:val="0"/>
      <w:marRight w:val="0"/>
      <w:marTop w:val="0"/>
      <w:marBottom w:val="0"/>
      <w:divBdr>
        <w:top w:val="none" w:sz="0" w:space="0" w:color="auto"/>
        <w:left w:val="none" w:sz="0" w:space="0" w:color="auto"/>
        <w:bottom w:val="none" w:sz="0" w:space="0" w:color="auto"/>
        <w:right w:val="none" w:sz="0" w:space="0" w:color="auto"/>
      </w:divBdr>
    </w:div>
    <w:div w:id="959604262">
      <w:bodyDiv w:val="1"/>
      <w:marLeft w:val="0"/>
      <w:marRight w:val="0"/>
      <w:marTop w:val="0"/>
      <w:marBottom w:val="0"/>
      <w:divBdr>
        <w:top w:val="none" w:sz="0" w:space="0" w:color="auto"/>
        <w:left w:val="none" w:sz="0" w:space="0" w:color="auto"/>
        <w:bottom w:val="none" w:sz="0" w:space="0" w:color="auto"/>
        <w:right w:val="none" w:sz="0" w:space="0" w:color="auto"/>
      </w:divBdr>
    </w:div>
    <w:div w:id="963777530">
      <w:bodyDiv w:val="1"/>
      <w:marLeft w:val="0"/>
      <w:marRight w:val="0"/>
      <w:marTop w:val="0"/>
      <w:marBottom w:val="0"/>
      <w:divBdr>
        <w:top w:val="none" w:sz="0" w:space="0" w:color="auto"/>
        <w:left w:val="none" w:sz="0" w:space="0" w:color="auto"/>
        <w:bottom w:val="none" w:sz="0" w:space="0" w:color="auto"/>
        <w:right w:val="none" w:sz="0" w:space="0" w:color="auto"/>
      </w:divBdr>
    </w:div>
    <w:div w:id="966549804">
      <w:bodyDiv w:val="1"/>
      <w:marLeft w:val="0"/>
      <w:marRight w:val="0"/>
      <w:marTop w:val="0"/>
      <w:marBottom w:val="0"/>
      <w:divBdr>
        <w:top w:val="none" w:sz="0" w:space="0" w:color="auto"/>
        <w:left w:val="none" w:sz="0" w:space="0" w:color="auto"/>
        <w:bottom w:val="none" w:sz="0" w:space="0" w:color="auto"/>
        <w:right w:val="none" w:sz="0" w:space="0" w:color="auto"/>
      </w:divBdr>
    </w:div>
    <w:div w:id="987397126">
      <w:bodyDiv w:val="1"/>
      <w:marLeft w:val="0"/>
      <w:marRight w:val="0"/>
      <w:marTop w:val="0"/>
      <w:marBottom w:val="0"/>
      <w:divBdr>
        <w:top w:val="none" w:sz="0" w:space="0" w:color="auto"/>
        <w:left w:val="none" w:sz="0" w:space="0" w:color="auto"/>
        <w:bottom w:val="none" w:sz="0" w:space="0" w:color="auto"/>
        <w:right w:val="none" w:sz="0" w:space="0" w:color="auto"/>
      </w:divBdr>
    </w:div>
    <w:div w:id="1010565902">
      <w:bodyDiv w:val="1"/>
      <w:marLeft w:val="0"/>
      <w:marRight w:val="0"/>
      <w:marTop w:val="0"/>
      <w:marBottom w:val="0"/>
      <w:divBdr>
        <w:top w:val="none" w:sz="0" w:space="0" w:color="auto"/>
        <w:left w:val="none" w:sz="0" w:space="0" w:color="auto"/>
        <w:bottom w:val="none" w:sz="0" w:space="0" w:color="auto"/>
        <w:right w:val="none" w:sz="0" w:space="0" w:color="auto"/>
      </w:divBdr>
    </w:div>
    <w:div w:id="1056971577">
      <w:bodyDiv w:val="1"/>
      <w:marLeft w:val="0"/>
      <w:marRight w:val="0"/>
      <w:marTop w:val="0"/>
      <w:marBottom w:val="0"/>
      <w:divBdr>
        <w:top w:val="none" w:sz="0" w:space="0" w:color="auto"/>
        <w:left w:val="none" w:sz="0" w:space="0" w:color="auto"/>
        <w:bottom w:val="none" w:sz="0" w:space="0" w:color="auto"/>
        <w:right w:val="none" w:sz="0" w:space="0" w:color="auto"/>
      </w:divBdr>
    </w:div>
    <w:div w:id="1134641099">
      <w:bodyDiv w:val="1"/>
      <w:marLeft w:val="0"/>
      <w:marRight w:val="0"/>
      <w:marTop w:val="0"/>
      <w:marBottom w:val="0"/>
      <w:divBdr>
        <w:top w:val="none" w:sz="0" w:space="0" w:color="auto"/>
        <w:left w:val="none" w:sz="0" w:space="0" w:color="auto"/>
        <w:bottom w:val="none" w:sz="0" w:space="0" w:color="auto"/>
        <w:right w:val="none" w:sz="0" w:space="0" w:color="auto"/>
      </w:divBdr>
    </w:div>
    <w:div w:id="1148980803">
      <w:bodyDiv w:val="1"/>
      <w:marLeft w:val="0"/>
      <w:marRight w:val="0"/>
      <w:marTop w:val="0"/>
      <w:marBottom w:val="0"/>
      <w:divBdr>
        <w:top w:val="none" w:sz="0" w:space="0" w:color="auto"/>
        <w:left w:val="none" w:sz="0" w:space="0" w:color="auto"/>
        <w:bottom w:val="none" w:sz="0" w:space="0" w:color="auto"/>
        <w:right w:val="none" w:sz="0" w:space="0" w:color="auto"/>
      </w:divBdr>
    </w:div>
    <w:div w:id="1165364455">
      <w:bodyDiv w:val="1"/>
      <w:marLeft w:val="0"/>
      <w:marRight w:val="0"/>
      <w:marTop w:val="0"/>
      <w:marBottom w:val="0"/>
      <w:divBdr>
        <w:top w:val="none" w:sz="0" w:space="0" w:color="auto"/>
        <w:left w:val="none" w:sz="0" w:space="0" w:color="auto"/>
        <w:bottom w:val="none" w:sz="0" w:space="0" w:color="auto"/>
        <w:right w:val="none" w:sz="0" w:space="0" w:color="auto"/>
      </w:divBdr>
    </w:div>
    <w:div w:id="1194463678">
      <w:bodyDiv w:val="1"/>
      <w:marLeft w:val="0"/>
      <w:marRight w:val="0"/>
      <w:marTop w:val="0"/>
      <w:marBottom w:val="0"/>
      <w:divBdr>
        <w:top w:val="none" w:sz="0" w:space="0" w:color="auto"/>
        <w:left w:val="none" w:sz="0" w:space="0" w:color="auto"/>
        <w:bottom w:val="none" w:sz="0" w:space="0" w:color="auto"/>
        <w:right w:val="none" w:sz="0" w:space="0" w:color="auto"/>
      </w:divBdr>
    </w:div>
    <w:div w:id="1263105958">
      <w:bodyDiv w:val="1"/>
      <w:marLeft w:val="0"/>
      <w:marRight w:val="0"/>
      <w:marTop w:val="0"/>
      <w:marBottom w:val="0"/>
      <w:divBdr>
        <w:top w:val="none" w:sz="0" w:space="0" w:color="auto"/>
        <w:left w:val="none" w:sz="0" w:space="0" w:color="auto"/>
        <w:bottom w:val="none" w:sz="0" w:space="0" w:color="auto"/>
        <w:right w:val="none" w:sz="0" w:space="0" w:color="auto"/>
      </w:divBdr>
    </w:div>
    <w:div w:id="1276867939">
      <w:bodyDiv w:val="1"/>
      <w:marLeft w:val="0"/>
      <w:marRight w:val="0"/>
      <w:marTop w:val="0"/>
      <w:marBottom w:val="0"/>
      <w:divBdr>
        <w:top w:val="none" w:sz="0" w:space="0" w:color="auto"/>
        <w:left w:val="none" w:sz="0" w:space="0" w:color="auto"/>
        <w:bottom w:val="none" w:sz="0" w:space="0" w:color="auto"/>
        <w:right w:val="none" w:sz="0" w:space="0" w:color="auto"/>
      </w:divBdr>
    </w:div>
    <w:div w:id="1301106531">
      <w:bodyDiv w:val="1"/>
      <w:marLeft w:val="0"/>
      <w:marRight w:val="0"/>
      <w:marTop w:val="0"/>
      <w:marBottom w:val="0"/>
      <w:divBdr>
        <w:top w:val="none" w:sz="0" w:space="0" w:color="auto"/>
        <w:left w:val="none" w:sz="0" w:space="0" w:color="auto"/>
        <w:bottom w:val="none" w:sz="0" w:space="0" w:color="auto"/>
        <w:right w:val="none" w:sz="0" w:space="0" w:color="auto"/>
      </w:divBdr>
    </w:div>
    <w:div w:id="1310138613">
      <w:bodyDiv w:val="1"/>
      <w:marLeft w:val="0"/>
      <w:marRight w:val="0"/>
      <w:marTop w:val="0"/>
      <w:marBottom w:val="0"/>
      <w:divBdr>
        <w:top w:val="none" w:sz="0" w:space="0" w:color="auto"/>
        <w:left w:val="none" w:sz="0" w:space="0" w:color="auto"/>
        <w:bottom w:val="none" w:sz="0" w:space="0" w:color="auto"/>
        <w:right w:val="none" w:sz="0" w:space="0" w:color="auto"/>
      </w:divBdr>
    </w:div>
    <w:div w:id="1313215540">
      <w:bodyDiv w:val="1"/>
      <w:marLeft w:val="0"/>
      <w:marRight w:val="0"/>
      <w:marTop w:val="0"/>
      <w:marBottom w:val="0"/>
      <w:divBdr>
        <w:top w:val="none" w:sz="0" w:space="0" w:color="auto"/>
        <w:left w:val="none" w:sz="0" w:space="0" w:color="auto"/>
        <w:bottom w:val="none" w:sz="0" w:space="0" w:color="auto"/>
        <w:right w:val="none" w:sz="0" w:space="0" w:color="auto"/>
      </w:divBdr>
    </w:div>
    <w:div w:id="1333751330">
      <w:bodyDiv w:val="1"/>
      <w:marLeft w:val="0"/>
      <w:marRight w:val="0"/>
      <w:marTop w:val="0"/>
      <w:marBottom w:val="0"/>
      <w:divBdr>
        <w:top w:val="none" w:sz="0" w:space="0" w:color="auto"/>
        <w:left w:val="none" w:sz="0" w:space="0" w:color="auto"/>
        <w:bottom w:val="none" w:sz="0" w:space="0" w:color="auto"/>
        <w:right w:val="none" w:sz="0" w:space="0" w:color="auto"/>
      </w:divBdr>
    </w:div>
    <w:div w:id="1345014152">
      <w:bodyDiv w:val="1"/>
      <w:marLeft w:val="0"/>
      <w:marRight w:val="0"/>
      <w:marTop w:val="0"/>
      <w:marBottom w:val="0"/>
      <w:divBdr>
        <w:top w:val="none" w:sz="0" w:space="0" w:color="auto"/>
        <w:left w:val="none" w:sz="0" w:space="0" w:color="auto"/>
        <w:bottom w:val="none" w:sz="0" w:space="0" w:color="auto"/>
        <w:right w:val="none" w:sz="0" w:space="0" w:color="auto"/>
      </w:divBdr>
      <w:divsChild>
        <w:div w:id="85074548">
          <w:marLeft w:val="0"/>
          <w:marRight w:val="0"/>
          <w:marTop w:val="0"/>
          <w:marBottom w:val="0"/>
          <w:divBdr>
            <w:top w:val="none" w:sz="0" w:space="0" w:color="auto"/>
            <w:left w:val="none" w:sz="0" w:space="0" w:color="auto"/>
            <w:bottom w:val="none" w:sz="0" w:space="0" w:color="auto"/>
            <w:right w:val="none" w:sz="0" w:space="0" w:color="auto"/>
          </w:divBdr>
          <w:divsChild>
            <w:div w:id="435248915">
              <w:marLeft w:val="0"/>
              <w:marRight w:val="0"/>
              <w:marTop w:val="0"/>
              <w:marBottom w:val="0"/>
              <w:divBdr>
                <w:top w:val="none" w:sz="0" w:space="0" w:color="auto"/>
                <w:left w:val="none" w:sz="0" w:space="0" w:color="auto"/>
                <w:bottom w:val="none" w:sz="0" w:space="0" w:color="auto"/>
                <w:right w:val="none" w:sz="0" w:space="0" w:color="auto"/>
              </w:divBdr>
              <w:divsChild>
                <w:div w:id="1320647059">
                  <w:marLeft w:val="0"/>
                  <w:marRight w:val="0"/>
                  <w:marTop w:val="0"/>
                  <w:marBottom w:val="0"/>
                  <w:divBdr>
                    <w:top w:val="none" w:sz="0" w:space="0" w:color="auto"/>
                    <w:left w:val="none" w:sz="0" w:space="0" w:color="auto"/>
                    <w:bottom w:val="none" w:sz="0" w:space="0" w:color="auto"/>
                    <w:right w:val="none" w:sz="0" w:space="0" w:color="auto"/>
                  </w:divBdr>
                  <w:divsChild>
                    <w:div w:id="623392387">
                      <w:marLeft w:val="0"/>
                      <w:marRight w:val="0"/>
                      <w:marTop w:val="0"/>
                      <w:marBottom w:val="0"/>
                      <w:divBdr>
                        <w:top w:val="none" w:sz="0" w:space="0" w:color="auto"/>
                        <w:left w:val="none" w:sz="0" w:space="0" w:color="auto"/>
                        <w:bottom w:val="none" w:sz="0" w:space="0" w:color="auto"/>
                        <w:right w:val="none" w:sz="0" w:space="0" w:color="auto"/>
                      </w:divBdr>
                      <w:divsChild>
                        <w:div w:id="1995255492">
                          <w:marLeft w:val="0"/>
                          <w:marRight w:val="0"/>
                          <w:marTop w:val="0"/>
                          <w:marBottom w:val="0"/>
                          <w:divBdr>
                            <w:top w:val="none" w:sz="0" w:space="0" w:color="auto"/>
                            <w:left w:val="none" w:sz="0" w:space="0" w:color="auto"/>
                            <w:bottom w:val="none" w:sz="0" w:space="0" w:color="auto"/>
                            <w:right w:val="none" w:sz="0" w:space="0" w:color="auto"/>
                          </w:divBdr>
                          <w:divsChild>
                            <w:div w:id="1914781230">
                              <w:marLeft w:val="0"/>
                              <w:marRight w:val="0"/>
                              <w:marTop w:val="0"/>
                              <w:marBottom w:val="0"/>
                              <w:divBdr>
                                <w:top w:val="none" w:sz="0" w:space="0" w:color="auto"/>
                                <w:left w:val="none" w:sz="0" w:space="0" w:color="auto"/>
                                <w:bottom w:val="none" w:sz="0" w:space="0" w:color="auto"/>
                                <w:right w:val="none" w:sz="0" w:space="0" w:color="auto"/>
                              </w:divBdr>
                              <w:divsChild>
                                <w:div w:id="208536275">
                                  <w:marLeft w:val="0"/>
                                  <w:marRight w:val="0"/>
                                  <w:marTop w:val="0"/>
                                  <w:marBottom w:val="0"/>
                                  <w:divBdr>
                                    <w:top w:val="none" w:sz="0" w:space="0" w:color="auto"/>
                                    <w:left w:val="none" w:sz="0" w:space="0" w:color="auto"/>
                                    <w:bottom w:val="none" w:sz="0" w:space="0" w:color="auto"/>
                                    <w:right w:val="none" w:sz="0" w:space="0" w:color="auto"/>
                                  </w:divBdr>
                                  <w:divsChild>
                                    <w:div w:id="3913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1029801">
      <w:bodyDiv w:val="1"/>
      <w:marLeft w:val="0"/>
      <w:marRight w:val="0"/>
      <w:marTop w:val="0"/>
      <w:marBottom w:val="0"/>
      <w:divBdr>
        <w:top w:val="none" w:sz="0" w:space="0" w:color="auto"/>
        <w:left w:val="none" w:sz="0" w:space="0" w:color="auto"/>
        <w:bottom w:val="none" w:sz="0" w:space="0" w:color="auto"/>
        <w:right w:val="none" w:sz="0" w:space="0" w:color="auto"/>
      </w:divBdr>
    </w:div>
    <w:div w:id="1373774510">
      <w:bodyDiv w:val="1"/>
      <w:marLeft w:val="0"/>
      <w:marRight w:val="0"/>
      <w:marTop w:val="0"/>
      <w:marBottom w:val="0"/>
      <w:divBdr>
        <w:top w:val="none" w:sz="0" w:space="0" w:color="auto"/>
        <w:left w:val="none" w:sz="0" w:space="0" w:color="auto"/>
        <w:bottom w:val="none" w:sz="0" w:space="0" w:color="auto"/>
        <w:right w:val="none" w:sz="0" w:space="0" w:color="auto"/>
      </w:divBdr>
      <w:divsChild>
        <w:div w:id="2097170122">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379237321">
      <w:bodyDiv w:val="1"/>
      <w:marLeft w:val="0"/>
      <w:marRight w:val="0"/>
      <w:marTop w:val="0"/>
      <w:marBottom w:val="0"/>
      <w:divBdr>
        <w:top w:val="none" w:sz="0" w:space="0" w:color="auto"/>
        <w:left w:val="none" w:sz="0" w:space="0" w:color="auto"/>
        <w:bottom w:val="none" w:sz="0" w:space="0" w:color="auto"/>
        <w:right w:val="none" w:sz="0" w:space="0" w:color="auto"/>
      </w:divBdr>
    </w:div>
    <w:div w:id="1415591982">
      <w:bodyDiv w:val="1"/>
      <w:marLeft w:val="0"/>
      <w:marRight w:val="0"/>
      <w:marTop w:val="0"/>
      <w:marBottom w:val="0"/>
      <w:divBdr>
        <w:top w:val="none" w:sz="0" w:space="0" w:color="auto"/>
        <w:left w:val="none" w:sz="0" w:space="0" w:color="auto"/>
        <w:bottom w:val="none" w:sz="0" w:space="0" w:color="auto"/>
        <w:right w:val="none" w:sz="0" w:space="0" w:color="auto"/>
      </w:divBdr>
    </w:div>
    <w:div w:id="1451821613">
      <w:bodyDiv w:val="1"/>
      <w:marLeft w:val="0"/>
      <w:marRight w:val="0"/>
      <w:marTop w:val="0"/>
      <w:marBottom w:val="0"/>
      <w:divBdr>
        <w:top w:val="none" w:sz="0" w:space="0" w:color="auto"/>
        <w:left w:val="none" w:sz="0" w:space="0" w:color="auto"/>
        <w:bottom w:val="none" w:sz="0" w:space="0" w:color="auto"/>
        <w:right w:val="none" w:sz="0" w:space="0" w:color="auto"/>
      </w:divBdr>
    </w:div>
    <w:div w:id="1459488585">
      <w:bodyDiv w:val="1"/>
      <w:marLeft w:val="0"/>
      <w:marRight w:val="0"/>
      <w:marTop w:val="0"/>
      <w:marBottom w:val="0"/>
      <w:divBdr>
        <w:top w:val="none" w:sz="0" w:space="0" w:color="auto"/>
        <w:left w:val="none" w:sz="0" w:space="0" w:color="auto"/>
        <w:bottom w:val="none" w:sz="0" w:space="0" w:color="auto"/>
        <w:right w:val="none" w:sz="0" w:space="0" w:color="auto"/>
      </w:divBdr>
    </w:div>
    <w:div w:id="1485969244">
      <w:bodyDiv w:val="1"/>
      <w:marLeft w:val="0"/>
      <w:marRight w:val="0"/>
      <w:marTop w:val="0"/>
      <w:marBottom w:val="0"/>
      <w:divBdr>
        <w:top w:val="none" w:sz="0" w:space="0" w:color="auto"/>
        <w:left w:val="none" w:sz="0" w:space="0" w:color="auto"/>
        <w:bottom w:val="none" w:sz="0" w:space="0" w:color="auto"/>
        <w:right w:val="none" w:sz="0" w:space="0" w:color="auto"/>
      </w:divBdr>
    </w:div>
    <w:div w:id="1524200591">
      <w:bodyDiv w:val="1"/>
      <w:marLeft w:val="0"/>
      <w:marRight w:val="0"/>
      <w:marTop w:val="0"/>
      <w:marBottom w:val="0"/>
      <w:divBdr>
        <w:top w:val="none" w:sz="0" w:space="0" w:color="auto"/>
        <w:left w:val="none" w:sz="0" w:space="0" w:color="auto"/>
        <w:bottom w:val="none" w:sz="0" w:space="0" w:color="auto"/>
        <w:right w:val="none" w:sz="0" w:space="0" w:color="auto"/>
      </w:divBdr>
      <w:divsChild>
        <w:div w:id="53626320">
          <w:marLeft w:val="0"/>
          <w:marRight w:val="0"/>
          <w:marTop w:val="0"/>
          <w:marBottom w:val="0"/>
          <w:divBdr>
            <w:top w:val="none" w:sz="0" w:space="0" w:color="auto"/>
            <w:left w:val="none" w:sz="0" w:space="0" w:color="auto"/>
            <w:bottom w:val="none" w:sz="0" w:space="0" w:color="auto"/>
            <w:right w:val="none" w:sz="0" w:space="0" w:color="auto"/>
          </w:divBdr>
          <w:divsChild>
            <w:div w:id="1409810882">
              <w:marLeft w:val="0"/>
              <w:marRight w:val="0"/>
              <w:marTop w:val="0"/>
              <w:marBottom w:val="0"/>
              <w:divBdr>
                <w:top w:val="none" w:sz="0" w:space="0" w:color="auto"/>
                <w:left w:val="none" w:sz="0" w:space="0" w:color="auto"/>
                <w:bottom w:val="none" w:sz="0" w:space="0" w:color="auto"/>
                <w:right w:val="none" w:sz="0" w:space="0" w:color="auto"/>
              </w:divBdr>
              <w:divsChild>
                <w:div w:id="7504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142815">
      <w:bodyDiv w:val="1"/>
      <w:marLeft w:val="0"/>
      <w:marRight w:val="0"/>
      <w:marTop w:val="0"/>
      <w:marBottom w:val="0"/>
      <w:divBdr>
        <w:top w:val="none" w:sz="0" w:space="0" w:color="auto"/>
        <w:left w:val="none" w:sz="0" w:space="0" w:color="auto"/>
        <w:bottom w:val="none" w:sz="0" w:space="0" w:color="auto"/>
        <w:right w:val="none" w:sz="0" w:space="0" w:color="auto"/>
      </w:divBdr>
    </w:div>
    <w:div w:id="1550607050">
      <w:bodyDiv w:val="1"/>
      <w:marLeft w:val="0"/>
      <w:marRight w:val="0"/>
      <w:marTop w:val="0"/>
      <w:marBottom w:val="0"/>
      <w:divBdr>
        <w:top w:val="none" w:sz="0" w:space="0" w:color="auto"/>
        <w:left w:val="none" w:sz="0" w:space="0" w:color="auto"/>
        <w:bottom w:val="none" w:sz="0" w:space="0" w:color="auto"/>
        <w:right w:val="none" w:sz="0" w:space="0" w:color="auto"/>
      </w:divBdr>
    </w:div>
    <w:div w:id="1568957217">
      <w:bodyDiv w:val="1"/>
      <w:marLeft w:val="0"/>
      <w:marRight w:val="0"/>
      <w:marTop w:val="0"/>
      <w:marBottom w:val="0"/>
      <w:divBdr>
        <w:top w:val="none" w:sz="0" w:space="0" w:color="auto"/>
        <w:left w:val="none" w:sz="0" w:space="0" w:color="auto"/>
        <w:bottom w:val="none" w:sz="0" w:space="0" w:color="auto"/>
        <w:right w:val="none" w:sz="0" w:space="0" w:color="auto"/>
      </w:divBdr>
    </w:div>
    <w:div w:id="1570076218">
      <w:bodyDiv w:val="1"/>
      <w:marLeft w:val="0"/>
      <w:marRight w:val="0"/>
      <w:marTop w:val="0"/>
      <w:marBottom w:val="0"/>
      <w:divBdr>
        <w:top w:val="none" w:sz="0" w:space="0" w:color="auto"/>
        <w:left w:val="none" w:sz="0" w:space="0" w:color="auto"/>
        <w:bottom w:val="none" w:sz="0" w:space="0" w:color="auto"/>
        <w:right w:val="none" w:sz="0" w:space="0" w:color="auto"/>
      </w:divBdr>
    </w:div>
    <w:div w:id="1582132042">
      <w:bodyDiv w:val="1"/>
      <w:marLeft w:val="0"/>
      <w:marRight w:val="0"/>
      <w:marTop w:val="0"/>
      <w:marBottom w:val="0"/>
      <w:divBdr>
        <w:top w:val="none" w:sz="0" w:space="0" w:color="auto"/>
        <w:left w:val="none" w:sz="0" w:space="0" w:color="auto"/>
        <w:bottom w:val="none" w:sz="0" w:space="0" w:color="auto"/>
        <w:right w:val="none" w:sz="0" w:space="0" w:color="auto"/>
      </w:divBdr>
    </w:div>
    <w:div w:id="1606380504">
      <w:bodyDiv w:val="1"/>
      <w:marLeft w:val="0"/>
      <w:marRight w:val="0"/>
      <w:marTop w:val="0"/>
      <w:marBottom w:val="0"/>
      <w:divBdr>
        <w:top w:val="none" w:sz="0" w:space="0" w:color="auto"/>
        <w:left w:val="none" w:sz="0" w:space="0" w:color="auto"/>
        <w:bottom w:val="none" w:sz="0" w:space="0" w:color="auto"/>
        <w:right w:val="none" w:sz="0" w:space="0" w:color="auto"/>
      </w:divBdr>
    </w:div>
    <w:div w:id="1626038988">
      <w:bodyDiv w:val="1"/>
      <w:marLeft w:val="0"/>
      <w:marRight w:val="0"/>
      <w:marTop w:val="0"/>
      <w:marBottom w:val="0"/>
      <w:divBdr>
        <w:top w:val="none" w:sz="0" w:space="0" w:color="auto"/>
        <w:left w:val="none" w:sz="0" w:space="0" w:color="auto"/>
        <w:bottom w:val="none" w:sz="0" w:space="0" w:color="auto"/>
        <w:right w:val="none" w:sz="0" w:space="0" w:color="auto"/>
      </w:divBdr>
    </w:div>
    <w:div w:id="1628121734">
      <w:bodyDiv w:val="1"/>
      <w:marLeft w:val="0"/>
      <w:marRight w:val="0"/>
      <w:marTop w:val="0"/>
      <w:marBottom w:val="0"/>
      <w:divBdr>
        <w:top w:val="none" w:sz="0" w:space="0" w:color="auto"/>
        <w:left w:val="none" w:sz="0" w:space="0" w:color="auto"/>
        <w:bottom w:val="none" w:sz="0" w:space="0" w:color="auto"/>
        <w:right w:val="none" w:sz="0" w:space="0" w:color="auto"/>
      </w:divBdr>
    </w:div>
    <w:div w:id="1637100750">
      <w:bodyDiv w:val="1"/>
      <w:marLeft w:val="0"/>
      <w:marRight w:val="0"/>
      <w:marTop w:val="0"/>
      <w:marBottom w:val="0"/>
      <w:divBdr>
        <w:top w:val="none" w:sz="0" w:space="0" w:color="auto"/>
        <w:left w:val="none" w:sz="0" w:space="0" w:color="auto"/>
        <w:bottom w:val="none" w:sz="0" w:space="0" w:color="auto"/>
        <w:right w:val="none" w:sz="0" w:space="0" w:color="auto"/>
      </w:divBdr>
    </w:div>
    <w:div w:id="1637298036">
      <w:bodyDiv w:val="1"/>
      <w:marLeft w:val="0"/>
      <w:marRight w:val="0"/>
      <w:marTop w:val="0"/>
      <w:marBottom w:val="0"/>
      <w:divBdr>
        <w:top w:val="none" w:sz="0" w:space="0" w:color="auto"/>
        <w:left w:val="none" w:sz="0" w:space="0" w:color="auto"/>
        <w:bottom w:val="none" w:sz="0" w:space="0" w:color="auto"/>
        <w:right w:val="none" w:sz="0" w:space="0" w:color="auto"/>
      </w:divBdr>
    </w:div>
    <w:div w:id="1654680893">
      <w:bodyDiv w:val="1"/>
      <w:marLeft w:val="0"/>
      <w:marRight w:val="0"/>
      <w:marTop w:val="0"/>
      <w:marBottom w:val="0"/>
      <w:divBdr>
        <w:top w:val="none" w:sz="0" w:space="0" w:color="auto"/>
        <w:left w:val="none" w:sz="0" w:space="0" w:color="auto"/>
        <w:bottom w:val="none" w:sz="0" w:space="0" w:color="auto"/>
        <w:right w:val="none" w:sz="0" w:space="0" w:color="auto"/>
      </w:divBdr>
    </w:div>
    <w:div w:id="1654986811">
      <w:bodyDiv w:val="1"/>
      <w:marLeft w:val="0"/>
      <w:marRight w:val="0"/>
      <w:marTop w:val="0"/>
      <w:marBottom w:val="0"/>
      <w:divBdr>
        <w:top w:val="none" w:sz="0" w:space="0" w:color="auto"/>
        <w:left w:val="none" w:sz="0" w:space="0" w:color="auto"/>
        <w:bottom w:val="none" w:sz="0" w:space="0" w:color="auto"/>
        <w:right w:val="none" w:sz="0" w:space="0" w:color="auto"/>
      </w:divBdr>
    </w:div>
    <w:div w:id="1675840299">
      <w:bodyDiv w:val="1"/>
      <w:marLeft w:val="0"/>
      <w:marRight w:val="0"/>
      <w:marTop w:val="0"/>
      <w:marBottom w:val="0"/>
      <w:divBdr>
        <w:top w:val="none" w:sz="0" w:space="0" w:color="auto"/>
        <w:left w:val="none" w:sz="0" w:space="0" w:color="auto"/>
        <w:bottom w:val="none" w:sz="0" w:space="0" w:color="auto"/>
        <w:right w:val="none" w:sz="0" w:space="0" w:color="auto"/>
      </w:divBdr>
    </w:div>
    <w:div w:id="1681851299">
      <w:bodyDiv w:val="1"/>
      <w:marLeft w:val="0"/>
      <w:marRight w:val="0"/>
      <w:marTop w:val="0"/>
      <w:marBottom w:val="0"/>
      <w:divBdr>
        <w:top w:val="none" w:sz="0" w:space="0" w:color="auto"/>
        <w:left w:val="none" w:sz="0" w:space="0" w:color="auto"/>
        <w:bottom w:val="none" w:sz="0" w:space="0" w:color="auto"/>
        <w:right w:val="none" w:sz="0" w:space="0" w:color="auto"/>
      </w:divBdr>
    </w:div>
    <w:div w:id="1699427403">
      <w:bodyDiv w:val="1"/>
      <w:marLeft w:val="0"/>
      <w:marRight w:val="0"/>
      <w:marTop w:val="0"/>
      <w:marBottom w:val="0"/>
      <w:divBdr>
        <w:top w:val="none" w:sz="0" w:space="0" w:color="auto"/>
        <w:left w:val="none" w:sz="0" w:space="0" w:color="auto"/>
        <w:bottom w:val="none" w:sz="0" w:space="0" w:color="auto"/>
        <w:right w:val="none" w:sz="0" w:space="0" w:color="auto"/>
      </w:divBdr>
    </w:div>
    <w:div w:id="1714302554">
      <w:bodyDiv w:val="1"/>
      <w:marLeft w:val="0"/>
      <w:marRight w:val="0"/>
      <w:marTop w:val="0"/>
      <w:marBottom w:val="0"/>
      <w:divBdr>
        <w:top w:val="none" w:sz="0" w:space="0" w:color="auto"/>
        <w:left w:val="none" w:sz="0" w:space="0" w:color="auto"/>
        <w:bottom w:val="none" w:sz="0" w:space="0" w:color="auto"/>
        <w:right w:val="none" w:sz="0" w:space="0" w:color="auto"/>
      </w:divBdr>
    </w:div>
    <w:div w:id="1724862537">
      <w:bodyDiv w:val="1"/>
      <w:marLeft w:val="0"/>
      <w:marRight w:val="0"/>
      <w:marTop w:val="0"/>
      <w:marBottom w:val="0"/>
      <w:divBdr>
        <w:top w:val="none" w:sz="0" w:space="0" w:color="auto"/>
        <w:left w:val="none" w:sz="0" w:space="0" w:color="auto"/>
        <w:bottom w:val="none" w:sz="0" w:space="0" w:color="auto"/>
        <w:right w:val="none" w:sz="0" w:space="0" w:color="auto"/>
      </w:divBdr>
    </w:div>
    <w:div w:id="1730761790">
      <w:bodyDiv w:val="1"/>
      <w:marLeft w:val="0"/>
      <w:marRight w:val="0"/>
      <w:marTop w:val="0"/>
      <w:marBottom w:val="0"/>
      <w:divBdr>
        <w:top w:val="none" w:sz="0" w:space="0" w:color="auto"/>
        <w:left w:val="none" w:sz="0" w:space="0" w:color="auto"/>
        <w:bottom w:val="none" w:sz="0" w:space="0" w:color="auto"/>
        <w:right w:val="none" w:sz="0" w:space="0" w:color="auto"/>
      </w:divBdr>
      <w:divsChild>
        <w:div w:id="106313875">
          <w:marLeft w:val="0"/>
          <w:marRight w:val="0"/>
          <w:marTop w:val="0"/>
          <w:marBottom w:val="0"/>
          <w:divBdr>
            <w:top w:val="none" w:sz="0" w:space="0" w:color="auto"/>
            <w:left w:val="none" w:sz="0" w:space="0" w:color="auto"/>
            <w:bottom w:val="none" w:sz="0" w:space="0" w:color="auto"/>
            <w:right w:val="none" w:sz="0" w:space="0" w:color="auto"/>
          </w:divBdr>
          <w:divsChild>
            <w:div w:id="2068340613">
              <w:marLeft w:val="0"/>
              <w:marRight w:val="0"/>
              <w:marTop w:val="0"/>
              <w:marBottom w:val="0"/>
              <w:divBdr>
                <w:top w:val="none" w:sz="0" w:space="0" w:color="auto"/>
                <w:left w:val="none" w:sz="0" w:space="0" w:color="auto"/>
                <w:bottom w:val="none" w:sz="0" w:space="0" w:color="auto"/>
                <w:right w:val="none" w:sz="0" w:space="0" w:color="auto"/>
              </w:divBdr>
              <w:divsChild>
                <w:div w:id="1065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101517">
      <w:bodyDiv w:val="1"/>
      <w:marLeft w:val="0"/>
      <w:marRight w:val="0"/>
      <w:marTop w:val="0"/>
      <w:marBottom w:val="0"/>
      <w:divBdr>
        <w:top w:val="none" w:sz="0" w:space="0" w:color="auto"/>
        <w:left w:val="none" w:sz="0" w:space="0" w:color="auto"/>
        <w:bottom w:val="none" w:sz="0" w:space="0" w:color="auto"/>
        <w:right w:val="none" w:sz="0" w:space="0" w:color="auto"/>
      </w:divBdr>
    </w:div>
    <w:div w:id="1796220132">
      <w:bodyDiv w:val="1"/>
      <w:marLeft w:val="0"/>
      <w:marRight w:val="0"/>
      <w:marTop w:val="0"/>
      <w:marBottom w:val="0"/>
      <w:divBdr>
        <w:top w:val="none" w:sz="0" w:space="0" w:color="auto"/>
        <w:left w:val="none" w:sz="0" w:space="0" w:color="auto"/>
        <w:bottom w:val="none" w:sz="0" w:space="0" w:color="auto"/>
        <w:right w:val="none" w:sz="0" w:space="0" w:color="auto"/>
      </w:divBdr>
    </w:div>
    <w:div w:id="1801991371">
      <w:bodyDiv w:val="1"/>
      <w:marLeft w:val="0"/>
      <w:marRight w:val="0"/>
      <w:marTop w:val="0"/>
      <w:marBottom w:val="0"/>
      <w:divBdr>
        <w:top w:val="none" w:sz="0" w:space="0" w:color="auto"/>
        <w:left w:val="none" w:sz="0" w:space="0" w:color="auto"/>
        <w:bottom w:val="none" w:sz="0" w:space="0" w:color="auto"/>
        <w:right w:val="none" w:sz="0" w:space="0" w:color="auto"/>
      </w:divBdr>
      <w:divsChild>
        <w:div w:id="1456633550">
          <w:marLeft w:val="0"/>
          <w:marRight w:val="0"/>
          <w:marTop w:val="0"/>
          <w:marBottom w:val="0"/>
          <w:divBdr>
            <w:top w:val="none" w:sz="0" w:space="0" w:color="auto"/>
            <w:left w:val="none" w:sz="0" w:space="0" w:color="auto"/>
            <w:bottom w:val="none" w:sz="0" w:space="0" w:color="auto"/>
            <w:right w:val="none" w:sz="0" w:space="0" w:color="auto"/>
          </w:divBdr>
          <w:divsChild>
            <w:div w:id="1733846312">
              <w:marLeft w:val="0"/>
              <w:marRight w:val="0"/>
              <w:marTop w:val="0"/>
              <w:marBottom w:val="0"/>
              <w:divBdr>
                <w:top w:val="none" w:sz="0" w:space="0" w:color="auto"/>
                <w:left w:val="none" w:sz="0" w:space="0" w:color="auto"/>
                <w:bottom w:val="none" w:sz="0" w:space="0" w:color="auto"/>
                <w:right w:val="none" w:sz="0" w:space="0" w:color="auto"/>
              </w:divBdr>
              <w:divsChild>
                <w:div w:id="105481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852967">
      <w:bodyDiv w:val="1"/>
      <w:marLeft w:val="0"/>
      <w:marRight w:val="0"/>
      <w:marTop w:val="0"/>
      <w:marBottom w:val="0"/>
      <w:divBdr>
        <w:top w:val="none" w:sz="0" w:space="0" w:color="auto"/>
        <w:left w:val="none" w:sz="0" w:space="0" w:color="auto"/>
        <w:bottom w:val="none" w:sz="0" w:space="0" w:color="auto"/>
        <w:right w:val="none" w:sz="0" w:space="0" w:color="auto"/>
      </w:divBdr>
    </w:div>
    <w:div w:id="1828747866">
      <w:bodyDiv w:val="1"/>
      <w:marLeft w:val="0"/>
      <w:marRight w:val="0"/>
      <w:marTop w:val="0"/>
      <w:marBottom w:val="0"/>
      <w:divBdr>
        <w:top w:val="none" w:sz="0" w:space="0" w:color="auto"/>
        <w:left w:val="none" w:sz="0" w:space="0" w:color="auto"/>
        <w:bottom w:val="none" w:sz="0" w:space="0" w:color="auto"/>
        <w:right w:val="none" w:sz="0" w:space="0" w:color="auto"/>
      </w:divBdr>
    </w:div>
    <w:div w:id="1839691759">
      <w:bodyDiv w:val="1"/>
      <w:marLeft w:val="0"/>
      <w:marRight w:val="0"/>
      <w:marTop w:val="0"/>
      <w:marBottom w:val="0"/>
      <w:divBdr>
        <w:top w:val="none" w:sz="0" w:space="0" w:color="auto"/>
        <w:left w:val="none" w:sz="0" w:space="0" w:color="auto"/>
        <w:bottom w:val="none" w:sz="0" w:space="0" w:color="auto"/>
        <w:right w:val="none" w:sz="0" w:space="0" w:color="auto"/>
      </w:divBdr>
    </w:div>
    <w:div w:id="1870293425">
      <w:bodyDiv w:val="1"/>
      <w:marLeft w:val="0"/>
      <w:marRight w:val="0"/>
      <w:marTop w:val="0"/>
      <w:marBottom w:val="0"/>
      <w:divBdr>
        <w:top w:val="none" w:sz="0" w:space="0" w:color="auto"/>
        <w:left w:val="none" w:sz="0" w:space="0" w:color="auto"/>
        <w:bottom w:val="none" w:sz="0" w:space="0" w:color="auto"/>
        <w:right w:val="none" w:sz="0" w:space="0" w:color="auto"/>
      </w:divBdr>
    </w:div>
    <w:div w:id="1909146153">
      <w:bodyDiv w:val="1"/>
      <w:marLeft w:val="0"/>
      <w:marRight w:val="0"/>
      <w:marTop w:val="0"/>
      <w:marBottom w:val="0"/>
      <w:divBdr>
        <w:top w:val="none" w:sz="0" w:space="0" w:color="auto"/>
        <w:left w:val="none" w:sz="0" w:space="0" w:color="auto"/>
        <w:bottom w:val="none" w:sz="0" w:space="0" w:color="auto"/>
        <w:right w:val="none" w:sz="0" w:space="0" w:color="auto"/>
      </w:divBdr>
    </w:div>
    <w:div w:id="1995598481">
      <w:bodyDiv w:val="1"/>
      <w:marLeft w:val="0"/>
      <w:marRight w:val="0"/>
      <w:marTop w:val="0"/>
      <w:marBottom w:val="0"/>
      <w:divBdr>
        <w:top w:val="none" w:sz="0" w:space="0" w:color="auto"/>
        <w:left w:val="none" w:sz="0" w:space="0" w:color="auto"/>
        <w:bottom w:val="none" w:sz="0" w:space="0" w:color="auto"/>
        <w:right w:val="none" w:sz="0" w:space="0" w:color="auto"/>
      </w:divBdr>
    </w:div>
    <w:div w:id="2030598711">
      <w:bodyDiv w:val="1"/>
      <w:marLeft w:val="0"/>
      <w:marRight w:val="0"/>
      <w:marTop w:val="0"/>
      <w:marBottom w:val="0"/>
      <w:divBdr>
        <w:top w:val="none" w:sz="0" w:space="0" w:color="auto"/>
        <w:left w:val="none" w:sz="0" w:space="0" w:color="auto"/>
        <w:bottom w:val="none" w:sz="0" w:space="0" w:color="auto"/>
        <w:right w:val="none" w:sz="0" w:space="0" w:color="auto"/>
      </w:divBdr>
    </w:div>
    <w:div w:id="2032146988">
      <w:bodyDiv w:val="1"/>
      <w:marLeft w:val="0"/>
      <w:marRight w:val="0"/>
      <w:marTop w:val="0"/>
      <w:marBottom w:val="0"/>
      <w:divBdr>
        <w:top w:val="none" w:sz="0" w:space="0" w:color="auto"/>
        <w:left w:val="none" w:sz="0" w:space="0" w:color="auto"/>
        <w:bottom w:val="none" w:sz="0" w:space="0" w:color="auto"/>
        <w:right w:val="none" w:sz="0" w:space="0" w:color="auto"/>
      </w:divBdr>
    </w:div>
    <w:div w:id="2041976800">
      <w:bodyDiv w:val="1"/>
      <w:marLeft w:val="0"/>
      <w:marRight w:val="0"/>
      <w:marTop w:val="0"/>
      <w:marBottom w:val="0"/>
      <w:divBdr>
        <w:top w:val="none" w:sz="0" w:space="0" w:color="auto"/>
        <w:left w:val="none" w:sz="0" w:space="0" w:color="auto"/>
        <w:bottom w:val="none" w:sz="0" w:space="0" w:color="auto"/>
        <w:right w:val="none" w:sz="0" w:space="0" w:color="auto"/>
      </w:divBdr>
    </w:div>
    <w:div w:id="2082019703">
      <w:bodyDiv w:val="1"/>
      <w:marLeft w:val="0"/>
      <w:marRight w:val="0"/>
      <w:marTop w:val="0"/>
      <w:marBottom w:val="0"/>
      <w:divBdr>
        <w:top w:val="none" w:sz="0" w:space="0" w:color="auto"/>
        <w:left w:val="none" w:sz="0" w:space="0" w:color="auto"/>
        <w:bottom w:val="none" w:sz="0" w:space="0" w:color="auto"/>
        <w:right w:val="none" w:sz="0" w:space="0" w:color="auto"/>
      </w:divBdr>
    </w:div>
    <w:div w:id="2132900907">
      <w:bodyDiv w:val="1"/>
      <w:marLeft w:val="0"/>
      <w:marRight w:val="0"/>
      <w:marTop w:val="0"/>
      <w:marBottom w:val="0"/>
      <w:divBdr>
        <w:top w:val="none" w:sz="0" w:space="0" w:color="auto"/>
        <w:left w:val="none" w:sz="0" w:space="0" w:color="auto"/>
        <w:bottom w:val="none" w:sz="0" w:space="0" w:color="auto"/>
        <w:right w:val="none" w:sz="0" w:space="0" w:color="auto"/>
      </w:divBdr>
    </w:div>
    <w:div w:id="2138404891">
      <w:bodyDiv w:val="1"/>
      <w:marLeft w:val="0"/>
      <w:marRight w:val="0"/>
      <w:marTop w:val="0"/>
      <w:marBottom w:val="0"/>
      <w:divBdr>
        <w:top w:val="none" w:sz="0" w:space="0" w:color="auto"/>
        <w:left w:val="none" w:sz="0" w:space="0" w:color="auto"/>
        <w:bottom w:val="none" w:sz="0" w:space="0" w:color="auto"/>
        <w:right w:val="none" w:sz="0" w:space="0" w:color="auto"/>
      </w:divBdr>
    </w:div>
    <w:div w:id="2138643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uoihrH6nGBN1AwMytgSmNhjkCw==">CgMxLjAyCGguZ2pkZ3hzOAByITFwWlNWUWJpYlNJZ3FkeU51b0JGbEY5dHlXTDd3amZTbg==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E91A498-1442-40C5-ADE2-89B301240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26</Pages>
  <Words>7817</Words>
  <Characters>44563</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keywords>https:/mul2-mineconomy.gov.am/tasks/1046031/oneclick?token=34174f6ab373ba92ae5a15941646fb5f</cp:keywords>
  <cp:lastModifiedBy>Hripsime Hovhannisyan</cp:lastModifiedBy>
  <cp:revision>18</cp:revision>
  <cp:lastPrinted>2026-07-06T06:26:00Z</cp:lastPrinted>
  <dcterms:created xsi:type="dcterms:W3CDTF">2026-10-14T06:51:00Z</dcterms:created>
  <dcterms:modified xsi:type="dcterms:W3CDTF">2026-10-14T14:01:00Z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14d49c677da83cdf5848d3ad9a6b8227635b99d3a04c665b97cc6dadb019f640</vt:lpwstr>
  </property>
</Properties>
</file>