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765A35" w:rsidRDefault="00506B8B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915925" w:rsidRPr="00765A35" w:rsidRDefault="0091592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E1FAA" w:rsidRPr="001E1FAA" w:rsidRDefault="001E1FAA" w:rsidP="001E1FA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ԵՎ ՎԵՐԱԿԱՌՈՒՑՄԱՆ ԵՎ ԶԱՐԳԱՑՄԱՆ ԵՎՐՈՊԱԿԱՆ ԲԱՆԿԻ ՄԻՋԵՎ </w:t>
      </w:r>
      <w:r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«ՀԱՅԱՍՏԱՆ՝ ԵՐԵՎԱՆԻ ԵՎ ՍՅՈՒՆԻՔԻ ՄԱՔՍԱՅԻՆ ԵՎ ԼՈԳԻՍՏԻԿ ԿԵՆՏՐՈՆՆԵՐ. ԿԱՆԱՉ ՀԱՎԱՍՏԱԳՐՄԱՆ ԽՈՐՀՐԴԱՏՎԱԿԱՆ ԱՋԱԿՑՈՒԹՅՈՒՆ»</w:t>
      </w:r>
      <w:r w:rsidR="001A1830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 xml:space="preserve"> </w:t>
      </w:r>
      <w:r w:rsidR="009E22C0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ԴՐԱՄԱՇՆՈՐՀԱՅԻՆ ՀԱՄԱՁԱՅՆԱԳՐ</w:t>
      </w: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 </w:t>
      </w:r>
      <w:r w:rsidR="007965AF" w:rsidRPr="007965A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ՀԱՍՏԱՏՄԱՆ </w:t>
      </w: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ՆՊԱՏԱԿԱՀԱՐՄԱՐՈՒԹՅԱՆ ՎԵՐԱԲԵՐՅԱԼ</w:t>
      </w:r>
    </w:p>
    <w:p w:rsidR="001E1FAA" w:rsidRPr="001E1FAA" w:rsidRDefault="001E1FAA" w:rsidP="001E1FA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15925" w:rsidRPr="00915925" w:rsidRDefault="00915925" w:rsidP="0091592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00D86" w:rsidRPr="00CA0C52" w:rsidRDefault="00BC6F4F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 թվականի մայիսի 14-ին </w:t>
      </w:r>
      <w:r w:rsidR="00DC061D"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կառուցման նպատակով 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Վերակառուցման և զարգացման եվրոպական բանկի միջև ստ</w:t>
      </w:r>
      <w:r w:rsidR="00882DC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որագրվել են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։ Վարկային համաձայնագի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2024թ</w:t>
      </w:r>
      <w:r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նոյեմբերին, դրամաշնորհային համաձայնագիրը ՀՀ նախագահի կողմից հաստատվել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2024թ</w:t>
      </w:r>
      <w:r w:rsidR="00DC061D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061D"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հուլիսին։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120F6" w:rsidRPr="00CA0C52" w:rsidRDefault="00BC6F4F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</w:t>
      </w:r>
      <w:r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սեպտեմբերի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</w:t>
      </w:r>
      <w:r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52396"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ստորագրվել են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համաձայնագիրը ԱԺ կողմից վավերացվել է 2026թ</w:t>
      </w:r>
      <w:r w:rsidR="009120F6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ապրիլին, դրամաշնորհային համաձայնագիրը ՀՀ նախագահի կողմից հաստատվել է 2026թ</w:t>
      </w:r>
      <w:r w:rsidR="009120F6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փետրվարին։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650EE9" w:rsidRPr="00CA0C52" w:rsidRDefault="00BC6F4F" w:rsidP="00CA0C52">
      <w:pPr>
        <w:spacing w:after="0" w:line="276" w:lineRule="auto"/>
        <w:ind w:firstLine="54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կնքված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 w:rsidR="0079656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է Հայաստանի Հանրապետությանը հատկացնել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0EE9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12.0 մլն եվրո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31A50" w:rsidRPr="00CA0C52">
        <w:rPr>
          <w:rFonts w:ascii="GHEA Grapalat" w:hAnsi="GHEA Grapalat"/>
          <w:color w:val="212121"/>
          <w:sz w:val="24"/>
          <w:szCs w:val="24"/>
          <w:lang w:val="hy-AM"/>
        </w:rPr>
        <w:t>որից վարկային միջոցներ՝ 10 մլն եվրո և դրամաշնորհային միջոցներ՝ 2 մլն եվրո:</w:t>
      </w:r>
    </w:p>
    <w:p w:rsidR="00131A50" w:rsidRPr="00CA0C52" w:rsidRDefault="00131A50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կնքված համաձայնագրերով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նախատեսվում է Հայաստանի Հանրապետությանը հատկացնել շուրջ 45.0 մլն եվրո, որից վարկային միջոցներ` 39.0 մլն եվրո (2 տրանշով) և դրամաշնորհային միջոցներ՝ 6.0 մլն եվրո:</w:t>
      </w:r>
      <w:r w:rsidRPr="00CA0C52">
        <w:rPr>
          <w:rFonts w:ascii="Calibri" w:hAnsi="Calibri" w:cs="Calibri"/>
          <w:color w:val="212121"/>
          <w:sz w:val="24"/>
          <w:szCs w:val="24"/>
          <w:lang w:val="hy-AM"/>
        </w:rPr>
        <w:t>   </w:t>
      </w:r>
    </w:p>
    <w:p w:rsidR="00131A50" w:rsidRPr="00CA0C52" w:rsidRDefault="00131A50" w:rsidP="00CA0C52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 xml:space="preserve">Միաժամանակ նախատեսվում է որոշակի գումար հատկացնել նաև ծրագրերի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(այսուհետ՝ Ծրագրեր)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իրականացման տեխնիկական աջակցությանը (մոբիլիզացմանը)՝ որպես դրամաշնորհ: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43E0E" w:rsidRPr="00CA0C52" w:rsidRDefault="00D43E0E" w:rsidP="00CA0C52">
      <w:pPr>
        <w:tabs>
          <w:tab w:val="left" w:pos="360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ab/>
        <w:t xml:space="preserve">Սյունիքի և Երևանի մաքսային և լոգիստիկ կենտրոնների ստեղծումն ու գործարկումը հնարավորություն կտան արտաքին տնտեսական գործունեության մասնակիցներին մատուցել ժամանակակից, բարձրակարգ և միջազգային չափանիշներին համապատասխան ծառայություններ՝ էականորեն բարելավելով սպասարկման որակը և գործընթացների արագությունը։ </w:t>
      </w:r>
    </w:p>
    <w:p w:rsidR="00D43E0E" w:rsidRPr="00CA0C52" w:rsidRDefault="00D43E0E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Միաժամանակ, նշված կենտրոնները կապահովեն մաքսային հսկողության և վարչարարության իրականացման համար անհրաժեշտ բարձր արդյունավետություն, 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թափանցիկություն և կանխատեսելիություն՝ նպաստելով ռիսկերի նվազեցմանը և մաքսային հսկողության դյուրացմանը։ </w:t>
      </w:r>
    </w:p>
    <w:p w:rsidR="00131A50" w:rsidRPr="00CA0C52" w:rsidRDefault="00925F6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hAnsi="GHEA Grapalat"/>
          <w:b/>
          <w:sz w:val="24"/>
          <w:szCs w:val="24"/>
          <w:lang w:val="hy-AM"/>
        </w:rPr>
        <w:t>Սյունիքի մաքսային և լոգիստիկ կենտրոնի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 ստեղծման </w:t>
      </w:r>
      <w:r w:rsidR="003A2126" w:rsidRPr="00CA0C52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նպատակն է Սյունիքի մարզի Շաքի գյուղի մոտակայքում (Սիսիանից 7 կմ հեռավորության վրա) գտնվող 7.7 հա հողատարածքում </w:t>
      </w:r>
      <w:r w:rsidR="003A2126" w:rsidRPr="00CA0C52">
        <w:rPr>
          <w:rFonts w:ascii="GHEA Grapalat" w:hAnsi="GHEA Grapalat"/>
          <w:sz w:val="24"/>
          <w:szCs w:val="24"/>
          <w:lang w:val="hy-AM"/>
        </w:rPr>
        <w:t>արտաքին տնտեսական գործունեության սպասարկման կենտրոնի ստեղծումը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, դրա տեխնիկական ապահովումն ու Ծրագրի իրականացման աջակցության խորհրդատվական ծառայությունների մատուցումը: Ծրագրի շրջանակներում նախատեսվում է կառուցել վարչական շենք՝ տանիքում արևային էներգակայանով: </w:t>
      </w:r>
    </w:p>
    <w:p w:rsidR="00131A50" w:rsidRPr="00CA0C52" w:rsidRDefault="00131A50" w:rsidP="00CA0C52">
      <w:pPr>
        <w:spacing w:after="0" w:line="276" w:lineRule="auto"/>
        <w:ind w:firstLine="54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 xml:space="preserve">Ներկայումս առկա ենթակառուցվածքային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բացը կլրացվի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ՊԵԿ մաքսային ծառայության Սիսիան քաղաքում տեղակայված ստորաբաժանման բազայի վրա նոր մաքսային ու լոգիստիկ կենտրոն ստեղծելով, ինչը հնարավորություն կտա ԱՏԳ մասնակիցներին մատուցելու բարձրակարգ ծառայություններ՝ «Մեկ կանգառ, մեկ պատուհան» սկզբունքով և ապահովել մաքսային հսկողության համար անհրաժեշտ արդյունավետություն։</w:t>
      </w:r>
    </w:p>
    <w:p w:rsidR="00E351A2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Երևանի մաքսային և լոգիստիկ կենտրոնի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ստեղծման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ծրագրի նպատակն է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Կոտայքի մարզի Նաիրի համայնքի Պռոշյան գյուղի Գևորգ Չաուշի խճուղի թիվ 5 հասցեում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գործունեության սպասարկման կենտրոնի ստեղծումը և դրա տեխնիկական ապահովումը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Ծրագրի շրջանակում նախատեսվում է կառուցել արտաքին տնտեսական գործունեության կենտրոն (ԱՏԳ) և ՀՀ ՊԵԿ վարչական շենք:</w:t>
      </w:r>
    </w:p>
    <w:p w:rsidR="00E351A2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Երևանի մաքսային և լոգիստիկ կենտրոնի ստեղծումը հնարավորություն կտա ԱՏԳ մասնակիցներին մատուցել բարձրակարգ ծառայություններ՝ «Մեկ կանգառ, մեկ պատուհան» սկզբունքի կիրառմամբ՝ ապահովելով մաքսային հսկողության համար անհրաժեշտ արդյունավետություն։ Այստեղ հիմնական գործընթացները հիմնված են լինելու էլեկտրոնային համակարգերի և ծրագրային լուծումների կիրառման վրա։</w:t>
      </w:r>
    </w:p>
    <w:p w:rsidR="001E1FAA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Ընդհանուր առմամբ, Կենտրոնի ստեղծմամբ հնարավորություն կընձեռվի ունենալ բավարար մաքսային ենթակառուցվածք թե՛ շենքային պայմանների, թե՛ տեխնիկական հագեցվածության և թե՛ տեղեկատվական համակարգերի հասանելիության տեսանկյունից։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ծրագրերի շրջանակում իրականացվելիք աշխատանքների մեծածավալ բնույթը, ինչպես նաև այն հանգամանքը, որ ծրագրերի իրականացման համար նախատեսվում է Հայաստանի Հանրապետությանը հատկացնել որոշակի գումար՝ որպես դրամաշնորհ, որն ուղղվելու է ծրագրի իրականացման տեխնիկական աջակցությանը՝ Ծրագրերի իրականացման աշխատանքներն առավել արդյունավետ, համակարգված և նպատակային </w:t>
      </w:r>
      <w:r w:rsidR="00C6758A" w:rsidRPr="00CA0C52">
        <w:rPr>
          <w:rFonts w:ascii="GHEA Grapalat" w:eastAsia="Calibri" w:hAnsi="GHEA Grapalat" w:cs="Times New Roman"/>
          <w:sz w:val="24"/>
          <w:szCs w:val="24"/>
          <w:lang w:val="hy-AM"/>
        </w:rPr>
        <w:t>կազմակերպելու նպատակով 2026 թվականի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օգոստոսի 12-ին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ՊԵԿ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Վերակառուցման և զարգացման եվրոպական բանկի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միջև ստորագրվել 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E22C0" w:rsidRPr="009E22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«Հայաստան՝ Երևանի և Սյունիքի մաքսային և լոգիստիկ կենտրոններ. Կանաչ հավաստագրման խորհրդատվական աջակցություն»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դրամաշնորհային 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համաձայնագրիրը։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left="72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351A2" w:rsidRPr="00CA0C52" w:rsidRDefault="00CA0C52" w:rsidP="009E22C0">
      <w:pPr>
        <w:tabs>
          <w:tab w:val="left" w:pos="426"/>
        </w:tabs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ab/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Կանաչ հավաստագրման խորհրդատվական աջակցությունը (Green Certification Advisory Support) ներառում է համապարփակ փորձագիտական ուղղորդում և մասնագիտական խորհրդատվություն, որի նպատակն է ծրագր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ի բոլոր փուլերում համապատասխան բնապահպանական հավաստագրերի ձեռքբերման գործընթացների ապահովումը։ Տվյալ աջակցությունը միտված է ապահովելու ծրագր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ի լիարժեք համապատասխանությունը միջազգային ճանաչում ունեցող կանաչ չափանիշներին, կայուն զարգացման սկզբունքներին և բնապահպանական պատասխանատվության լավագույն փորձին։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Խորհրդատվական աջակցությունը ներառում է նաև շրջակա միջավայրի վրա ազդեցության գնահատման, էներգաարդյունավետության բարձրացման, ռեսուրսների խնայողաբար օգտագործման, ինչպես նաև էկոլոգիապես մաքուր նյութերի և տեխնոլոգիաների կիրառման վերաբերյալ առաջարկությունների մշակումը։ Միաժամանակ, այն նպաստում է համապատասխան փաստաթղթավորման պատրաստմանը, ներքին ընթացակարգերի մշակմանը և միջազգային հավաստագրող կառույցների պահանջներին համապատասխանեցմանը՝ ապահովելով ծրագրի կայուն, թափանցիկ և երկարաժամկետ բնապահպանական արդյունավետություն։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Այսպիսով, հաշվի առնելով վերոգրյալը՝ ՀՀ պետական եկամուտների կոմիտեն նպատակահարմար է գտնում Վերակառուցման և զարգացման եվրոպական բանկի հետ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DD0C53" w:rsidRPr="00CA0C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DD0C53" w:rsidRPr="00CA0C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օգոստոսի 12-ին ստորագրված «Հայաստան՝ Երևանի և Սյունիքի մաքսային և լոգիստիկ կենտրոններ. կանաչ հավաստագրման խորհրդատվական աջակցություն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դրամաշնորհային </w:t>
      </w:r>
      <w:r w:rsidR="009E22C0">
        <w:rPr>
          <w:rFonts w:ascii="GHEA Grapalat" w:eastAsia="Calibri" w:hAnsi="GHEA Grapalat" w:cs="Times New Roman"/>
          <w:sz w:val="24"/>
          <w:szCs w:val="24"/>
          <w:lang w:val="hy-AM"/>
        </w:rPr>
        <w:t>համաձայնագր</w:t>
      </w:r>
      <w:bookmarkStart w:id="0" w:name="_GoBack"/>
      <w:bookmarkEnd w:id="0"/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հաստատումը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42DBE" w:rsidRPr="00CA0C52" w:rsidRDefault="00C42DBE" w:rsidP="00CA0C52">
      <w:pPr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sectPr w:rsidR="00C42DBE" w:rsidRPr="00CA0C52" w:rsidSect="00915925">
      <w:pgSz w:w="12240" w:h="15840"/>
      <w:pgMar w:top="90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271C0"/>
    <w:multiLevelType w:val="hybridMultilevel"/>
    <w:tmpl w:val="2EB42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11D4F"/>
    <w:rsid w:val="000575DC"/>
    <w:rsid w:val="00083356"/>
    <w:rsid w:val="000D2801"/>
    <w:rsid w:val="000F7B3D"/>
    <w:rsid w:val="00114BA1"/>
    <w:rsid w:val="00131A50"/>
    <w:rsid w:val="00134A92"/>
    <w:rsid w:val="00177488"/>
    <w:rsid w:val="00196F05"/>
    <w:rsid w:val="001A1830"/>
    <w:rsid w:val="001C5C79"/>
    <w:rsid w:val="001D4949"/>
    <w:rsid w:val="001E1FAA"/>
    <w:rsid w:val="001E7A3B"/>
    <w:rsid w:val="00203F9D"/>
    <w:rsid w:val="00247612"/>
    <w:rsid w:val="00282AFB"/>
    <w:rsid w:val="002A693E"/>
    <w:rsid w:val="002A6F9E"/>
    <w:rsid w:val="002E269E"/>
    <w:rsid w:val="002E6785"/>
    <w:rsid w:val="003A2126"/>
    <w:rsid w:val="003D38FE"/>
    <w:rsid w:val="003D3EAE"/>
    <w:rsid w:val="003D5B84"/>
    <w:rsid w:val="003F2330"/>
    <w:rsid w:val="003F58BC"/>
    <w:rsid w:val="00417E6C"/>
    <w:rsid w:val="0042440E"/>
    <w:rsid w:val="00425E3B"/>
    <w:rsid w:val="00494A25"/>
    <w:rsid w:val="004A5DEE"/>
    <w:rsid w:val="004C16CB"/>
    <w:rsid w:val="00502DB4"/>
    <w:rsid w:val="00506B8B"/>
    <w:rsid w:val="00546C8D"/>
    <w:rsid w:val="00552396"/>
    <w:rsid w:val="00597C30"/>
    <w:rsid w:val="005C293E"/>
    <w:rsid w:val="005D3AFB"/>
    <w:rsid w:val="005E15DC"/>
    <w:rsid w:val="006036A9"/>
    <w:rsid w:val="00650EE9"/>
    <w:rsid w:val="00667A41"/>
    <w:rsid w:val="00672BD5"/>
    <w:rsid w:val="006A093B"/>
    <w:rsid w:val="006D3C9C"/>
    <w:rsid w:val="007320AA"/>
    <w:rsid w:val="00745000"/>
    <w:rsid w:val="00745BF8"/>
    <w:rsid w:val="00765A35"/>
    <w:rsid w:val="00766171"/>
    <w:rsid w:val="00796560"/>
    <w:rsid w:val="007965AF"/>
    <w:rsid w:val="007C6646"/>
    <w:rsid w:val="007D2B38"/>
    <w:rsid w:val="00800D86"/>
    <w:rsid w:val="0080560D"/>
    <w:rsid w:val="00811F1B"/>
    <w:rsid w:val="008510CD"/>
    <w:rsid w:val="00882DC0"/>
    <w:rsid w:val="00891CE5"/>
    <w:rsid w:val="008C0E30"/>
    <w:rsid w:val="008C510F"/>
    <w:rsid w:val="008E0A34"/>
    <w:rsid w:val="008F10F6"/>
    <w:rsid w:val="009120F6"/>
    <w:rsid w:val="00915925"/>
    <w:rsid w:val="00925F6B"/>
    <w:rsid w:val="00932D96"/>
    <w:rsid w:val="0093774B"/>
    <w:rsid w:val="0095560A"/>
    <w:rsid w:val="0097383A"/>
    <w:rsid w:val="009760E4"/>
    <w:rsid w:val="0098025E"/>
    <w:rsid w:val="009877C1"/>
    <w:rsid w:val="009B1C34"/>
    <w:rsid w:val="009D4CAF"/>
    <w:rsid w:val="009D69D0"/>
    <w:rsid w:val="009E22C0"/>
    <w:rsid w:val="009E6646"/>
    <w:rsid w:val="009E758D"/>
    <w:rsid w:val="00A04BFD"/>
    <w:rsid w:val="00A33695"/>
    <w:rsid w:val="00A34619"/>
    <w:rsid w:val="00A62E51"/>
    <w:rsid w:val="00A95EAE"/>
    <w:rsid w:val="00AC413B"/>
    <w:rsid w:val="00AE2DB6"/>
    <w:rsid w:val="00AF10C6"/>
    <w:rsid w:val="00B92C56"/>
    <w:rsid w:val="00BC6F4F"/>
    <w:rsid w:val="00BF17DA"/>
    <w:rsid w:val="00C01333"/>
    <w:rsid w:val="00C42DBE"/>
    <w:rsid w:val="00C550FA"/>
    <w:rsid w:val="00C6758A"/>
    <w:rsid w:val="00C70348"/>
    <w:rsid w:val="00CA0C52"/>
    <w:rsid w:val="00CB5771"/>
    <w:rsid w:val="00CE407A"/>
    <w:rsid w:val="00CF20F8"/>
    <w:rsid w:val="00D01899"/>
    <w:rsid w:val="00D07FE3"/>
    <w:rsid w:val="00D43E0E"/>
    <w:rsid w:val="00D77F14"/>
    <w:rsid w:val="00D96BED"/>
    <w:rsid w:val="00DA218B"/>
    <w:rsid w:val="00DC061D"/>
    <w:rsid w:val="00DD0C53"/>
    <w:rsid w:val="00DF71A9"/>
    <w:rsid w:val="00E26E8B"/>
    <w:rsid w:val="00E31EBD"/>
    <w:rsid w:val="00E351A2"/>
    <w:rsid w:val="00E475C0"/>
    <w:rsid w:val="00E62B85"/>
    <w:rsid w:val="00E73D9F"/>
    <w:rsid w:val="00EA460C"/>
    <w:rsid w:val="00EA5335"/>
    <w:rsid w:val="00F01E3B"/>
    <w:rsid w:val="00F112F7"/>
    <w:rsid w:val="00F23F73"/>
    <w:rsid w:val="00F64093"/>
    <w:rsid w:val="00F917FE"/>
    <w:rsid w:val="00F96B01"/>
    <w:rsid w:val="00FA454B"/>
    <w:rsid w:val="00FD3061"/>
    <w:rsid w:val="00FF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59786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6065B-5932-41B7-9593-00B1F704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https:/mul2-taxservice.gov.am/tasks/4340585/oneclick?token=e2eaae1cfa43b96bb7f21bdfbf9ad2da</cp:keywords>
  <dc:description/>
  <cp:lastModifiedBy>Inga Poghosyan</cp:lastModifiedBy>
  <cp:revision>13</cp:revision>
  <cp:lastPrinted>2025-03-24T08:00:00Z</cp:lastPrinted>
  <dcterms:created xsi:type="dcterms:W3CDTF">2026-09-30T07:45:00Z</dcterms:created>
  <dcterms:modified xsi:type="dcterms:W3CDTF">2026-10-07T10:37:00Z</dcterms:modified>
</cp:coreProperties>
</file>