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 w:after="0" w:line="360" w:lineRule="auto"/>
        <w:ind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bookmarkStart w:id="0" w:name="_GoBack"/>
      <w:bookmarkEnd w:id="0"/>
      <w:r>
        <w:rPr>
          <w:rFonts w:ascii="GHEA Grapalat" w:hAnsi="GHEA Grapalat"/>
          <w:color w:val="000000"/>
          <w:sz w:val="24"/>
          <w:szCs w:val="24"/>
          <w:lang w:val="hy-AM"/>
        </w:rPr>
      </w:r>
    </w:p>
    <w:p>
      <w:pPr>
        <w:pBdr/>
        <w:spacing w:after="0" w:line="240" w:lineRule="auto"/>
        <w:ind/>
        <w:jc w:val="center"/>
        <w:rPr>
          <w:rFonts w:ascii="GHEA Grapalat" w:hAnsi="GHEA Grapalat" w:cs="GHEA Grapalat"/>
          <w:b/>
          <w:bCs/>
          <w:sz w:val="23"/>
          <w:szCs w:val="23"/>
          <w:lang w:val="pt-BR"/>
        </w:rPr>
      </w:pPr>
      <w:r>
        <w:rPr>
          <w:rFonts w:ascii="GHEA Grapalat" w:hAnsi="GHEA Grapalat" w:cs="GHEA Grapalat"/>
          <w:b/>
          <w:bCs/>
          <w:sz w:val="23"/>
          <w:szCs w:val="23"/>
          <w:lang w:val="hy-AM"/>
        </w:rPr>
        <w:t xml:space="preserve">ՏԵՂԵԿԱՆՔ</w:t>
      </w:r>
      <w:r>
        <w:rPr>
          <w:rFonts w:ascii="GHEA Grapalat" w:hAnsi="GHEA Grapalat" w:cs="GHEA Grapalat"/>
          <w:b/>
          <w:bCs/>
          <w:sz w:val="23"/>
          <w:szCs w:val="23"/>
          <w:lang w:val="pt-BR"/>
        </w:rPr>
        <w:t xml:space="preserve">-</w:t>
      </w:r>
      <w:r>
        <w:rPr>
          <w:rFonts w:ascii="GHEA Grapalat" w:hAnsi="GHEA Grapalat" w:cs="GHEA Grapalat"/>
          <w:b/>
          <w:bCs/>
          <w:sz w:val="23"/>
          <w:szCs w:val="23"/>
          <w:lang w:val="hy-AM"/>
        </w:rPr>
        <w:t xml:space="preserve">ՀԻՄՆԱՎՈՐՈՒՄ</w:t>
      </w:r>
      <w:r>
        <w:rPr>
          <w:rFonts w:ascii="GHEA Grapalat" w:hAnsi="GHEA Grapalat" w:cs="GHEA Grapalat"/>
          <w:b/>
          <w:bCs/>
          <w:sz w:val="23"/>
          <w:szCs w:val="23"/>
          <w:lang w:val="pt-BR"/>
        </w:rPr>
      </w:r>
    </w:p>
    <w:p>
      <w:pPr>
        <w:pBdr/>
        <w:spacing w:after="0" w:line="240" w:lineRule="auto"/>
        <w:ind/>
        <w:jc w:val="center"/>
        <w:rPr>
          <w:rFonts w:ascii="GHEA Grapalat" w:hAnsi="GHEA Grapalat" w:cs="Sylfaen"/>
          <w:b/>
          <w:bCs/>
          <w:sz w:val="23"/>
          <w:szCs w:val="23"/>
          <w:lang w:val="pt-BR"/>
        </w:rPr>
      </w:pPr>
      <w:r>
        <w:rPr>
          <w:rFonts w:ascii="GHEA Grapalat" w:hAnsi="GHEA Grapalat"/>
          <w:b/>
          <w:color w:val="000000"/>
          <w:sz w:val="23"/>
          <w:szCs w:val="23"/>
          <w:lang w:val="es-ES"/>
        </w:rPr>
        <w:t xml:space="preserve">«</w:t>
      </w:r>
      <w:r>
        <w:rPr>
          <w:rFonts w:ascii="GHEA Grapalat" w:hAnsi="GHEA Grapalat" w:cs="Sylfaen"/>
          <w:b/>
          <w:bCs/>
          <w:sz w:val="23"/>
          <w:szCs w:val="23"/>
          <w:lang w:val="hy-AM"/>
        </w:rPr>
        <w:t xml:space="preserve">Հայաստանի</w:t>
      </w:r>
      <w:r>
        <w:rPr>
          <w:rFonts w:ascii="GHEA Grapalat" w:hAnsi="GHEA Grapalat" w:cs="Sylfaen"/>
          <w:b/>
          <w:bCs/>
          <w:sz w:val="23"/>
          <w:szCs w:val="23"/>
          <w:lang w:val="pt-BR"/>
        </w:rPr>
        <w:t xml:space="preserve"> </w:t>
      </w:r>
      <w:r>
        <w:rPr>
          <w:rFonts w:ascii="GHEA Grapalat" w:hAnsi="GHEA Grapalat" w:cs="Sylfaen"/>
          <w:b/>
          <w:bCs/>
          <w:sz w:val="23"/>
          <w:szCs w:val="23"/>
          <w:lang w:val="hy-AM"/>
        </w:rPr>
        <w:t xml:space="preserve">Հանրապետության</w:t>
      </w:r>
      <w:r>
        <w:rPr>
          <w:rFonts w:ascii="GHEA Grapalat" w:hAnsi="GHEA Grapalat" w:cs="Sylfaen"/>
          <w:b/>
          <w:bCs/>
          <w:sz w:val="23"/>
          <w:szCs w:val="23"/>
          <w:lang w:val="pt-BR"/>
        </w:rPr>
        <w:t xml:space="preserve"> </w:t>
      </w:r>
      <w:r>
        <w:rPr>
          <w:rFonts w:ascii="GHEA Grapalat" w:hAnsi="GHEA Grapalat" w:cs="Sylfaen"/>
          <w:b/>
          <w:bCs/>
          <w:sz w:val="23"/>
          <w:szCs w:val="23"/>
          <w:lang w:val="hy-AM"/>
        </w:rPr>
        <w:t xml:space="preserve">կառավարության</w:t>
      </w:r>
      <w:r>
        <w:rPr>
          <w:rFonts w:ascii="GHEA Grapalat" w:hAnsi="GHEA Grapalat" w:cs="Sylfaen"/>
          <w:b/>
          <w:bCs/>
          <w:sz w:val="23"/>
          <w:szCs w:val="23"/>
          <w:lang w:val="pt-BR"/>
        </w:rPr>
        <w:t xml:space="preserve"> 2026</w:t>
      </w:r>
      <w:r>
        <w:rPr>
          <w:rFonts w:ascii="GHEA Grapalat" w:hAnsi="GHEA Grapalat" w:cs="Sylfaen"/>
          <w:b/>
          <w:bCs/>
          <w:sz w:val="23"/>
          <w:szCs w:val="23"/>
          <w:lang w:val="pt-BR"/>
        </w:rPr>
        <w:t xml:space="preserve"> </w:t>
      </w:r>
      <w:r>
        <w:rPr>
          <w:rFonts w:ascii="GHEA Grapalat" w:hAnsi="GHEA Grapalat" w:cs="Sylfaen"/>
          <w:b/>
          <w:bCs/>
          <w:sz w:val="23"/>
          <w:szCs w:val="23"/>
          <w:lang w:val="hy-AM"/>
        </w:rPr>
        <w:t xml:space="preserve">թվականի</w:t>
      </w:r>
      <w:r>
        <w:rPr>
          <w:rFonts w:ascii="GHEA Grapalat" w:hAnsi="GHEA Grapalat" w:cs="Sylfaen"/>
          <w:b/>
          <w:bCs/>
          <w:sz w:val="23"/>
          <w:szCs w:val="23"/>
          <w:lang w:val="pt-BR"/>
        </w:rPr>
        <w:t xml:space="preserve"> </w:t>
      </w:r>
      <w:r>
        <w:rPr>
          <w:rFonts w:ascii="GHEA Grapalat" w:hAnsi="GHEA Grapalat" w:cs="Sylfaen"/>
          <w:b/>
          <w:bCs/>
          <w:sz w:val="23"/>
          <w:szCs w:val="23"/>
          <w:lang w:val="hy-AM"/>
        </w:rPr>
        <w:t xml:space="preserve">փետրվարի 5</w:t>
      </w:r>
      <w:r>
        <w:rPr>
          <w:rFonts w:ascii="GHEA Grapalat" w:hAnsi="GHEA Grapalat" w:cs="Sylfaen"/>
          <w:b/>
          <w:bCs/>
          <w:sz w:val="23"/>
          <w:szCs w:val="23"/>
          <w:lang w:val="pt-BR"/>
        </w:rPr>
        <w:t xml:space="preserve">-</w:t>
      </w:r>
      <w:r>
        <w:rPr>
          <w:rFonts w:ascii="GHEA Grapalat" w:hAnsi="GHEA Grapalat" w:cs="Sylfaen"/>
          <w:b/>
          <w:bCs/>
          <w:sz w:val="23"/>
          <w:szCs w:val="23"/>
          <w:lang w:val="hy-AM"/>
        </w:rPr>
        <w:t xml:space="preserve">ի</w:t>
      </w:r>
      <w:r>
        <w:rPr>
          <w:rFonts w:ascii="GHEA Grapalat" w:hAnsi="GHEA Grapalat" w:cs="Sylfaen"/>
          <w:b/>
          <w:bCs/>
          <w:sz w:val="23"/>
          <w:szCs w:val="23"/>
          <w:lang w:val="pt-BR"/>
        </w:rPr>
        <w:t xml:space="preserve"> </w:t>
      </w:r>
      <w:r>
        <w:rPr>
          <w:rFonts w:ascii="GHEA Grapalat" w:hAnsi="GHEA Grapalat" w:cs="Sylfaen"/>
          <w:b/>
          <w:bCs/>
          <w:sz w:val="23"/>
          <w:szCs w:val="23"/>
          <w:lang w:val="pt-BR"/>
        </w:rPr>
      </w:r>
    </w:p>
    <w:p>
      <w:pPr>
        <w:pBdr/>
        <w:spacing w:after="0" w:line="240" w:lineRule="auto"/>
        <w:ind/>
        <w:jc w:val="center"/>
        <w:rPr>
          <w:rFonts w:ascii="GHEA Grapalat" w:hAnsi="GHEA Grapalat"/>
          <w:b/>
          <w:color w:val="000000"/>
          <w:sz w:val="23"/>
          <w:szCs w:val="23"/>
          <w:lang w:val="es-ES"/>
        </w:rPr>
      </w:pPr>
      <w:r>
        <w:rPr>
          <w:rFonts w:ascii="GHEA Grapalat" w:hAnsi="GHEA Grapalat" w:cs="Sylfaen"/>
          <w:b/>
          <w:bCs/>
          <w:sz w:val="23"/>
          <w:szCs w:val="23"/>
          <w:lang w:val="pt-BR"/>
        </w:rPr>
        <w:t xml:space="preserve">N 124</w:t>
      </w:r>
      <w:r>
        <w:rPr>
          <w:rFonts w:ascii="GHEA Grapalat" w:hAnsi="GHEA Grapalat" w:cs="Sylfaen"/>
          <w:b/>
          <w:bCs/>
          <w:sz w:val="23"/>
          <w:szCs w:val="23"/>
          <w:lang w:val="pt-BR"/>
        </w:rPr>
        <w:t xml:space="preserve">-</w:t>
      </w:r>
      <w:r>
        <w:rPr>
          <w:rFonts w:ascii="GHEA Grapalat" w:hAnsi="GHEA Grapalat" w:cs="Sylfaen"/>
          <w:b/>
          <w:bCs/>
          <w:sz w:val="23"/>
          <w:szCs w:val="23"/>
        </w:rPr>
        <w:t xml:space="preserve">Ն</w:t>
      </w:r>
      <w:r>
        <w:rPr>
          <w:rFonts w:ascii="GHEA Grapalat" w:hAnsi="GHEA Grapalat" w:cs="Sylfaen"/>
          <w:b/>
          <w:bCs/>
          <w:sz w:val="23"/>
          <w:szCs w:val="23"/>
          <w:lang w:val="pt-BR"/>
        </w:rPr>
        <w:t xml:space="preserve"> </w:t>
      </w:r>
      <w:r>
        <w:rPr>
          <w:rFonts w:ascii="GHEA Grapalat" w:hAnsi="GHEA Grapalat" w:cs="Sylfaen"/>
          <w:b/>
          <w:bCs/>
          <w:sz w:val="23"/>
          <w:szCs w:val="23"/>
          <w:lang w:val="hy-AM"/>
        </w:rPr>
        <w:t xml:space="preserve">որոշման մեջ լրացումներ</w:t>
      </w:r>
      <w:r>
        <w:rPr>
          <w:rFonts w:ascii="GHEA Grapalat" w:hAnsi="GHEA Grapalat" w:cs="Sylfaen"/>
          <w:b/>
          <w:bCs/>
          <w:sz w:val="23"/>
          <w:szCs w:val="23"/>
          <w:lang w:val="hy-AM"/>
        </w:rPr>
        <w:t xml:space="preserve"> և փոփոխություններ </w:t>
      </w:r>
      <w:r>
        <w:rPr>
          <w:rFonts w:ascii="GHEA Grapalat" w:hAnsi="GHEA Grapalat" w:cs="Sylfaen"/>
          <w:b/>
          <w:bCs/>
          <w:sz w:val="23"/>
          <w:szCs w:val="23"/>
          <w:lang w:val="hy-AM"/>
        </w:rPr>
        <w:t xml:space="preserve">կատարելու մասին</w:t>
      </w:r>
      <w:r>
        <w:rPr>
          <w:rFonts w:ascii="GHEA Grapalat" w:hAnsi="GHEA Grapalat"/>
          <w:b/>
          <w:color w:val="000000"/>
          <w:sz w:val="23"/>
          <w:szCs w:val="23"/>
          <w:lang w:val="es-ES"/>
        </w:rPr>
        <w:t xml:space="preserve">» </w:t>
      </w:r>
      <w:r>
        <w:rPr>
          <w:rFonts w:ascii="GHEA Grapalat" w:hAnsi="GHEA Grapalat"/>
          <w:b/>
          <w:color w:val="000000"/>
          <w:sz w:val="23"/>
          <w:szCs w:val="23"/>
          <w:lang w:val="es-ES"/>
        </w:rPr>
      </w:r>
    </w:p>
    <w:p>
      <w:pPr>
        <w:pBdr/>
        <w:spacing w:after="0" w:line="240" w:lineRule="auto"/>
        <w:ind/>
        <w:jc w:val="center"/>
        <w:rPr>
          <w:rFonts w:ascii="GHEA Grapalat" w:hAnsi="GHEA Grapalat"/>
          <w:b/>
          <w:color w:val="000000"/>
          <w:sz w:val="23"/>
          <w:szCs w:val="23"/>
          <w:lang w:val="es-ES"/>
        </w:rPr>
      </w:pPr>
      <w:r>
        <w:rPr>
          <w:rFonts w:ascii="GHEA Grapalat" w:hAnsi="GHEA Grapalat" w:cs="Sylfaen"/>
          <w:b/>
          <w:sz w:val="23"/>
          <w:szCs w:val="23"/>
          <w:lang w:val="hy-AM"/>
        </w:rPr>
        <w:t xml:space="preserve">ՀՀ կ</w:t>
      </w:r>
      <w:r>
        <w:rPr>
          <w:rFonts w:ascii="GHEA Grapalat" w:hAnsi="GHEA Grapalat" w:cs="Sylfaen"/>
          <w:b/>
          <w:sz w:val="23"/>
          <w:szCs w:val="23"/>
        </w:rPr>
        <w:t xml:space="preserve">առավարության</w:t>
      </w:r>
      <w:r>
        <w:rPr>
          <w:rFonts w:ascii="GHEA Grapalat" w:hAnsi="GHEA Grapalat" w:cs="Sylfaen"/>
          <w:b/>
          <w:sz w:val="23"/>
          <w:szCs w:val="23"/>
          <w:lang w:val="af-ZA"/>
        </w:rPr>
        <w:t xml:space="preserve"> </w:t>
      </w:r>
      <w:r>
        <w:rPr>
          <w:rFonts w:ascii="GHEA Grapalat" w:hAnsi="GHEA Grapalat" w:cs="Sylfaen"/>
          <w:b/>
          <w:sz w:val="23"/>
          <w:szCs w:val="23"/>
        </w:rPr>
        <w:t xml:space="preserve">որոշման</w:t>
      </w:r>
      <w:r>
        <w:rPr>
          <w:rFonts w:ascii="GHEA Grapalat" w:hAnsi="GHEA Grapalat" w:cs="Sylfaen"/>
          <w:b/>
          <w:sz w:val="23"/>
          <w:szCs w:val="23"/>
          <w:lang w:val="af-ZA"/>
        </w:rPr>
        <w:t xml:space="preserve"> </w:t>
      </w:r>
      <w:r>
        <w:rPr>
          <w:rFonts w:ascii="GHEA Grapalat" w:hAnsi="GHEA Grapalat" w:cs="Sylfaen"/>
          <w:b/>
          <w:sz w:val="23"/>
          <w:szCs w:val="23"/>
        </w:rPr>
        <w:t xml:space="preserve">նախագծի</w:t>
      </w:r>
      <w:r>
        <w:rPr>
          <w:rFonts w:ascii="GHEA Grapalat" w:hAnsi="GHEA Grapalat" w:cs="Sylfaen"/>
          <w:b/>
          <w:sz w:val="23"/>
          <w:szCs w:val="23"/>
          <w:lang w:val="af-ZA"/>
        </w:rPr>
        <w:t xml:space="preserve"> </w:t>
      </w:r>
      <w:r>
        <w:rPr>
          <w:rFonts w:ascii="GHEA Grapalat" w:hAnsi="GHEA Grapalat" w:cs="Sylfaen"/>
          <w:b/>
          <w:sz w:val="23"/>
          <w:szCs w:val="23"/>
        </w:rPr>
        <w:t xml:space="preserve">ընդունման</w:t>
      </w:r>
      <w:r>
        <w:rPr>
          <w:rFonts w:ascii="GHEA Grapalat" w:hAnsi="GHEA Grapalat"/>
          <w:b/>
          <w:color w:val="000000"/>
          <w:sz w:val="23"/>
          <w:szCs w:val="23"/>
          <w:lang w:val="es-ES"/>
        </w:rPr>
      </w:r>
    </w:p>
    <w:p>
      <w:pPr>
        <w:pBdr/>
        <w:shd w:val="clear" w:color="auto" w:fill="ffffff"/>
        <w:spacing w:after="0" w:line="240" w:lineRule="auto"/>
        <w:ind/>
        <w:jc w:val="both"/>
        <w:rPr>
          <w:rFonts w:ascii="GHEA Grapalat" w:hAnsi="GHEA Grapalat" w:eastAsia="Times New Roman" w:cs="Calibri"/>
          <w:color w:val="000000" w:themeColor="text1"/>
          <w:sz w:val="24"/>
          <w:szCs w:val="24"/>
          <w:lang w:val="hy-AM"/>
        </w:rPr>
      </w:pPr>
      <w:r>
        <w:rPr>
          <w:rFonts w:ascii="Calibri" w:hAnsi="Calibri" w:eastAsia="Times New Roman" w:cs="Calibri"/>
          <w:color w:val="000000" w:themeColor="text1"/>
          <w:sz w:val="24"/>
          <w:szCs w:val="24"/>
          <w:lang w:val="hy-AM"/>
        </w:rPr>
        <w:t xml:space="preserve"> </w:t>
      </w:r>
      <w:r>
        <w:rPr>
          <w:rFonts w:ascii="GHEA Grapalat" w:hAnsi="GHEA Grapalat" w:eastAsia="Times New Roman" w:cs="Calibri"/>
          <w:color w:val="000000" w:themeColor="text1"/>
          <w:sz w:val="24"/>
          <w:szCs w:val="24"/>
          <w:lang w:val="hy-AM"/>
        </w:rPr>
      </w:r>
    </w:p>
    <w:p>
      <w:pPr>
        <w:pBdr/>
        <w:shd w:val="clear" w:color="auto" w:fill="ffffff"/>
        <w:spacing w:after="0" w:line="240" w:lineRule="auto"/>
        <w:ind w:firstLine="540"/>
        <w:jc w:val="both"/>
        <w:rPr>
          <w:rFonts w:ascii="GHEA Grapalat" w:hAnsi="GHEA Grapalat" w:eastAsia="Times New Roman" w:cs="Calibri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eastAsia="Times New Roman" w:cs="Calibri"/>
          <w:b/>
          <w:bCs/>
          <w:color w:val="000000" w:themeColor="text1"/>
          <w:sz w:val="24"/>
          <w:szCs w:val="24"/>
          <w:lang w:val="hy-AM"/>
        </w:rPr>
        <w:t xml:space="preserve">1. Իրավական ակտի ընդունման անհրաժեշտությունը</w:t>
      </w:r>
      <w:r>
        <w:rPr>
          <w:rFonts w:ascii="GHEA Grapalat" w:hAnsi="GHEA Grapalat" w:eastAsia="Times New Roman" w:cs="Calibri"/>
          <w:color w:val="000000" w:themeColor="text1"/>
          <w:sz w:val="24"/>
          <w:szCs w:val="24"/>
          <w:lang w:val="hy-AM"/>
        </w:rPr>
      </w:r>
    </w:p>
    <w:p>
      <w:pPr>
        <w:pBdr/>
        <w:spacing w:after="0" w:line="240" w:lineRule="auto"/>
        <w:ind w:firstLine="708"/>
        <w:jc w:val="both"/>
        <w:rPr>
          <w:rFonts w:ascii="GHEA Grapalat" w:hAnsi="GHEA Grapalat" w:cs="Sylfaen"/>
          <w:sz w:val="23"/>
          <w:szCs w:val="23"/>
          <w:lang w:val="hy-AM"/>
        </w:rPr>
      </w:pPr>
      <w:r>
        <w:rPr>
          <w:rFonts w:ascii="GHEA Grapalat" w:hAnsi="GHEA Grapalat"/>
          <w:sz w:val="23"/>
          <w:szCs w:val="23"/>
          <w:lang w:val="hy-AM"/>
        </w:rPr>
        <w:t xml:space="preserve">Որոշման </w:t>
      </w:r>
      <w:r>
        <w:rPr>
          <w:rFonts w:ascii="GHEA Grapalat" w:hAnsi="GHEA Grapalat" w:cs="Sylfaen"/>
          <w:sz w:val="23"/>
          <w:szCs w:val="23"/>
          <w:lang w:val="hy-AM"/>
        </w:rPr>
        <w:t xml:space="preserve">նախա</w:t>
      </w:r>
      <w:r>
        <w:rPr>
          <w:rFonts w:ascii="GHEA Grapalat" w:hAnsi="GHEA Grapalat"/>
          <w:sz w:val="23"/>
          <w:szCs w:val="23"/>
          <w:lang w:val="hy-AM"/>
        </w:rPr>
        <w:t xml:space="preserve">գ</w:t>
      </w:r>
      <w:r>
        <w:rPr>
          <w:rFonts w:ascii="GHEA Grapalat" w:hAnsi="GHEA Grapalat" w:cs="Sylfaen"/>
          <w:sz w:val="23"/>
          <w:szCs w:val="23"/>
          <w:lang w:val="hy-AM"/>
        </w:rPr>
        <w:t xml:space="preserve">ծի ընդունումը պայմանավորված է</w:t>
      </w:r>
      <w:r>
        <w:rPr>
          <w:rFonts w:ascii="GHEA Grapalat" w:hAnsi="GHEA Grapalat" w:cs="Sylfaen"/>
          <w:sz w:val="23"/>
          <w:szCs w:val="23"/>
          <w:lang w:val="af-ZA"/>
        </w:rPr>
        <w:t xml:space="preserve"> </w:t>
      </w:r>
      <w:r>
        <w:rPr>
          <w:rFonts w:ascii="GHEA Grapalat" w:hAnsi="GHEA Grapalat"/>
          <w:color w:val="000000"/>
          <w:sz w:val="23"/>
          <w:szCs w:val="23"/>
          <w:lang w:val="es-ES"/>
        </w:rPr>
        <w:t xml:space="preserve">«</w:t>
      </w:r>
      <w:r>
        <w:rPr>
          <w:rFonts w:ascii="GHEA Grapalat" w:hAnsi="GHEA Grapalat" w:cs="Sylfaen"/>
          <w:sz w:val="23"/>
          <w:szCs w:val="23"/>
          <w:lang w:val="hy-AM"/>
        </w:rPr>
        <w:t xml:space="preserve">Զինվորական ծառայության և զինծառայողի կարգավիճակի</w:t>
      </w:r>
      <w:r>
        <w:rPr>
          <w:rFonts w:ascii="GHEA Grapalat" w:hAnsi="GHEA Grapalat" w:cs="IRTEK Courier"/>
          <w:sz w:val="23"/>
          <w:szCs w:val="23"/>
          <w:lang w:val="hy-AM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 xml:space="preserve">մա</w:t>
      </w:r>
      <w:r>
        <w:rPr>
          <w:rFonts w:ascii="GHEA Grapalat" w:hAnsi="GHEA Grapalat" w:cs="IRTEK Courier"/>
          <w:sz w:val="23"/>
          <w:szCs w:val="23"/>
          <w:lang w:val="hy-AM"/>
        </w:rPr>
        <w:t xml:space="preserve">u</w:t>
      </w:r>
      <w:r>
        <w:rPr>
          <w:rFonts w:ascii="GHEA Grapalat" w:hAnsi="GHEA Grapalat" w:cs="Sylfaen"/>
          <w:sz w:val="23"/>
          <w:szCs w:val="23"/>
          <w:lang w:val="hy-AM"/>
        </w:rPr>
        <w:t xml:space="preserve">ին</w:t>
      </w:r>
      <w:r>
        <w:rPr>
          <w:rFonts w:ascii="GHEA Grapalat" w:hAnsi="GHEA Grapalat"/>
          <w:color w:val="000000"/>
          <w:sz w:val="23"/>
          <w:szCs w:val="23"/>
          <w:lang w:val="es-ES"/>
        </w:rPr>
        <w:t xml:space="preserve">»</w:t>
      </w:r>
      <w:r>
        <w:rPr>
          <w:rFonts w:ascii="GHEA Grapalat" w:hAnsi="GHEA Grapalat"/>
          <w:color w:val="000000"/>
          <w:sz w:val="23"/>
          <w:szCs w:val="23"/>
          <w:lang w:val="hy-AM"/>
        </w:rPr>
        <w:t xml:space="preserve"> </w:t>
      </w:r>
      <w:r>
        <w:rPr>
          <w:rFonts w:ascii="GHEA Grapalat" w:hAnsi="GHEA Grapalat" w:cs="IRTEK Courier"/>
          <w:sz w:val="23"/>
          <w:szCs w:val="23"/>
          <w:lang w:val="hy-AM"/>
        </w:rPr>
        <w:t xml:space="preserve">օրենքում լրացումներ և</w:t>
      </w:r>
      <w:r>
        <w:rPr>
          <w:rFonts w:ascii="GHEA Grapalat" w:hAnsi="GHEA Grapalat" w:cs="Sylfaen"/>
          <w:sz w:val="23"/>
          <w:szCs w:val="23"/>
          <w:lang w:val="hy-AM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 xml:space="preserve">փոփոխություններ </w:t>
      </w:r>
      <w:r>
        <w:rPr>
          <w:rFonts w:ascii="GHEA Grapalat" w:hAnsi="GHEA Grapalat" w:cs="IRTEK Courier"/>
          <w:sz w:val="23"/>
          <w:szCs w:val="23"/>
          <w:lang w:val="hy-AM"/>
        </w:rPr>
        <w:t xml:space="preserve">կատարելու </w:t>
      </w:r>
      <w:r>
        <w:rPr>
          <w:rFonts w:ascii="GHEA Grapalat" w:hAnsi="GHEA Grapalat" w:cs="Sylfaen"/>
          <w:sz w:val="23"/>
          <w:szCs w:val="23"/>
          <w:lang w:val="hy-AM"/>
        </w:rPr>
        <w:t xml:space="preserve">մա</w:t>
      </w:r>
      <w:r>
        <w:rPr>
          <w:rFonts w:ascii="GHEA Grapalat" w:hAnsi="GHEA Grapalat" w:cs="IRTEK Courier"/>
          <w:sz w:val="23"/>
          <w:szCs w:val="23"/>
          <w:lang w:val="hy-AM"/>
        </w:rPr>
        <w:t xml:space="preserve">u</w:t>
      </w:r>
      <w:r>
        <w:rPr>
          <w:rFonts w:ascii="GHEA Grapalat" w:hAnsi="GHEA Grapalat" w:cs="Sylfaen"/>
          <w:sz w:val="23"/>
          <w:szCs w:val="23"/>
          <w:lang w:val="hy-AM"/>
        </w:rPr>
        <w:t xml:space="preserve">ին</w:t>
      </w:r>
      <w:r>
        <w:rPr>
          <w:rFonts w:ascii="GHEA Grapalat" w:hAnsi="GHEA Grapalat"/>
          <w:color w:val="000000"/>
          <w:sz w:val="23"/>
          <w:szCs w:val="23"/>
          <w:lang w:val="es-ES"/>
        </w:rPr>
        <w:t xml:space="preserve">»</w:t>
      </w:r>
      <w:r>
        <w:rPr>
          <w:rFonts w:ascii="GHEA Grapalat" w:hAnsi="GHEA Grapalat" w:cs="IRTEK Courier"/>
          <w:sz w:val="23"/>
          <w:szCs w:val="23"/>
          <w:lang w:val="hy-AM"/>
        </w:rPr>
        <w:t xml:space="preserve"> 11.05.2026</w:t>
      </w:r>
      <w:r>
        <w:rPr>
          <w:rFonts w:ascii="GHEA Grapalat" w:hAnsi="GHEA Grapalat" w:cs="Sylfaen"/>
          <w:sz w:val="23"/>
          <w:szCs w:val="23"/>
          <w:lang w:val="hy-AM"/>
        </w:rPr>
        <w:t xml:space="preserve">թ.</w:t>
      </w:r>
      <w:r>
        <w:rPr>
          <w:rFonts w:ascii="GHEA Grapalat" w:hAnsi="GHEA Grapalat" w:cs="IRTEK Courier"/>
          <w:sz w:val="23"/>
          <w:szCs w:val="23"/>
          <w:lang w:val="hy-AM"/>
        </w:rPr>
        <w:t xml:space="preserve"> </w:t>
      </w:r>
      <w:r>
        <w:rPr>
          <w:rFonts w:ascii="GHEA Grapalat" w:hAnsi="GHEA Grapalat" w:cs="Sylfaen"/>
          <w:sz w:val="23"/>
          <w:szCs w:val="23"/>
          <w:lang w:val="hy-AM"/>
        </w:rPr>
        <w:t xml:space="preserve">Հ</w:t>
      </w:r>
      <w:r>
        <w:rPr>
          <w:rFonts w:ascii="GHEA Grapalat" w:hAnsi="GHEA Grapalat" w:cs="IRTEK Courier"/>
          <w:sz w:val="23"/>
          <w:szCs w:val="23"/>
          <w:lang w:val="hy-AM"/>
        </w:rPr>
        <w:t xml:space="preserve">O-201</w:t>
      </w:r>
      <w:r>
        <w:rPr>
          <w:rFonts w:ascii="GHEA Grapalat" w:hAnsi="GHEA Grapalat" w:cs="IRTEK Courier"/>
          <w:sz w:val="23"/>
          <w:szCs w:val="23"/>
          <w:lang w:val="hy-AM"/>
        </w:rPr>
        <w:t xml:space="preserve">-</w:t>
      </w:r>
      <w:r>
        <w:rPr>
          <w:rFonts w:ascii="GHEA Grapalat" w:hAnsi="GHEA Grapalat" w:cs="Sylfaen"/>
          <w:sz w:val="23"/>
          <w:szCs w:val="23"/>
          <w:lang w:val="hy-AM"/>
        </w:rPr>
        <w:t xml:space="preserve">Ն</w:t>
      </w:r>
      <w:r>
        <w:rPr>
          <w:rFonts w:ascii="GHEA Grapalat" w:hAnsi="GHEA Grapalat" w:cs="IRTEK Courier"/>
          <w:sz w:val="23"/>
          <w:szCs w:val="23"/>
          <w:lang w:val="hy-AM"/>
        </w:rPr>
        <w:t xml:space="preserve"> </w:t>
      </w:r>
      <w:r>
        <w:rPr>
          <w:rFonts w:ascii="GHEA Grapalat" w:hAnsi="GHEA Grapalat" w:cs="IRTEK Courier"/>
          <w:sz w:val="23"/>
          <w:szCs w:val="23"/>
          <w:lang w:val="hy-AM"/>
        </w:rPr>
        <w:t xml:space="preserve">o</w:t>
      </w:r>
      <w:r>
        <w:rPr>
          <w:rFonts w:ascii="GHEA Grapalat" w:hAnsi="GHEA Grapalat" w:cs="Sylfaen"/>
          <w:sz w:val="23"/>
          <w:szCs w:val="23"/>
          <w:lang w:val="hy-AM"/>
        </w:rPr>
        <w:t xml:space="preserve">րենք</w:t>
      </w:r>
      <w:r>
        <w:rPr>
          <w:rFonts w:ascii="GHEA Grapalat" w:hAnsi="GHEA Grapalat" w:cs="Sylfaen"/>
          <w:sz w:val="23"/>
          <w:szCs w:val="23"/>
          <w:lang w:val="hy-AM"/>
        </w:rPr>
        <w:t xml:space="preserve">ով </w:t>
      </w:r>
      <w:r>
        <w:rPr>
          <w:rFonts w:ascii="GHEA Grapalat" w:hAnsi="GHEA Grapalat" w:cs="Sylfaen"/>
          <w:sz w:val="23"/>
          <w:szCs w:val="23"/>
          <w:lang w:val="hy-AM"/>
        </w:rPr>
        <w:t xml:space="preserve">(այսուհետ</w:t>
      </w:r>
      <w:r>
        <w:rPr>
          <w:rFonts w:ascii="GHEA Grapalat" w:hAnsi="GHEA Grapalat" w:cs="Sylfaen"/>
          <w:sz w:val="23"/>
          <w:szCs w:val="23"/>
          <w:lang w:val="hy-AM"/>
        </w:rPr>
        <w:t xml:space="preserve">՝ Օ</w:t>
      </w:r>
      <w:r>
        <w:rPr>
          <w:rFonts w:ascii="GHEA Grapalat" w:hAnsi="GHEA Grapalat" w:cs="Sylfaen"/>
          <w:sz w:val="23"/>
          <w:szCs w:val="23"/>
          <w:lang w:val="hy-AM"/>
        </w:rPr>
        <w:t xml:space="preserve">րենք)</w:t>
      </w:r>
      <w:r>
        <w:rPr>
          <w:rFonts w:ascii="GHEA Grapalat" w:hAnsi="GHEA Grapalat" w:cs="Sylfaen"/>
          <w:sz w:val="23"/>
          <w:szCs w:val="23"/>
          <w:lang w:val="hy-AM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կատարված լրացումները ՀՀ կառավարության 2026թ. փետրվարի 5-ի 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N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 124-Ն որոշման մեջ</w:t>
      </w:r>
      <w:r>
        <w:rPr>
          <w:rFonts w:ascii="GHEA Grapalat" w:hAnsi="GHEA Grapalat" w:cs="Sylfaen"/>
          <w:sz w:val="23"/>
          <w:szCs w:val="23"/>
          <w:lang w:val="hy-AM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իրացնելու անհրաժեշտությամբ: Որոշման նախագծի ընդունումը բխում է նաև ՀՀ վարչապետի 24.06.2026թ. N 554–Ա որոշմամբ հաստատված ցանկի 7-րդ կետի կատարումն ապահովելու անհրաժեշտությունից</w:t>
      </w:r>
      <w:r>
        <w:rPr>
          <w:rFonts w:ascii="GHEA Grapalat" w:hAnsi="GHEA Grapalat" w:cs="Sylfaen"/>
          <w:sz w:val="23"/>
          <w:szCs w:val="23"/>
          <w:lang w:val="hy-AM"/>
        </w:rPr>
        <w:t xml:space="preserve">:</w:t>
      </w:r>
      <w:r>
        <w:rPr>
          <w:rFonts w:ascii="GHEA Grapalat" w:hAnsi="GHEA Grapalat" w:cs="Sylfaen"/>
          <w:sz w:val="23"/>
          <w:szCs w:val="23"/>
          <w:lang w:val="hy-AM"/>
        </w:rPr>
      </w:r>
    </w:p>
    <w:p>
      <w:pPr>
        <w:pBdr/>
        <w:shd w:val="clear" w:color="auto" w:fill="ffffff"/>
        <w:spacing w:after="0" w:line="240" w:lineRule="auto"/>
        <w:ind w:firstLine="540"/>
        <w:jc w:val="both"/>
        <w:rPr>
          <w:rFonts w:ascii="GHEA Grapalat" w:hAnsi="GHEA Grapalat" w:eastAsia="Times New Roman" w:cs="Calibri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eastAsia="Times New Roman" w:cs="Calibri"/>
          <w:b/>
          <w:bCs/>
          <w:color w:val="000000" w:themeColor="text1"/>
          <w:sz w:val="24"/>
          <w:szCs w:val="24"/>
          <w:lang w:val="hy-AM"/>
        </w:rPr>
        <w:t xml:space="preserve">2. Ընթացիկ իրավիճակը և խնդիրները</w:t>
      </w:r>
      <w:r>
        <w:rPr>
          <w:rFonts w:ascii="GHEA Grapalat" w:hAnsi="GHEA Grapalat" w:eastAsia="Times New Roman" w:cs="Calibri"/>
          <w:color w:val="000000" w:themeColor="text1"/>
          <w:sz w:val="24"/>
          <w:szCs w:val="24"/>
          <w:lang w:val="hy-AM"/>
        </w:rPr>
      </w:r>
    </w:p>
    <w:p>
      <w:pPr>
        <w:pBdr/>
        <w:shd w:val="clear" w:color="auto" w:fill="ffffff"/>
        <w:tabs>
          <w:tab w:val="left" w:leader="none" w:pos="8010"/>
        </w:tabs>
        <w:spacing w:after="0" w:line="240" w:lineRule="auto"/>
        <w:ind w:firstLine="540"/>
        <w:jc w:val="both"/>
        <w:rPr>
          <w:rFonts w:ascii="GHEA Grapalat" w:hAnsi="GHEA Grapalat" w:eastAsia="Times New Roman" w:cs="Calibri"/>
          <w:color w:val="000000" w:themeColor="text1"/>
          <w:sz w:val="23"/>
          <w:szCs w:val="23"/>
          <w:lang w:val="hy-AM"/>
        </w:rPr>
      </w:pPr>
      <w:r>
        <w:rPr>
          <w:rFonts w:ascii="GHEA Grapalat" w:hAnsi="GHEA Grapalat" w:cs="Sylfaen"/>
          <w:sz w:val="23"/>
          <w:szCs w:val="23"/>
          <w:lang w:val="hy-AM"/>
        </w:rPr>
        <w:t xml:space="preserve">Օրենքով նախատեսվել է ռազմաուսումնական հաստատություն ավարտած և սպայական պաշտոնի նշանակված զինծառայողների բնակարանային ապահովության շրջանակներում սահմանված հիփոթեքային վարկավորման ծրագրում ներառել նաև վարկավորման գումարի </w:t>
      </w:r>
      <w:r>
        <w:rPr>
          <w:rFonts w:ascii="GHEA Grapalat" w:hAnsi="GHEA Grapalat" w:cs="Sylfaen"/>
          <w:sz w:val="23"/>
          <w:szCs w:val="23"/>
          <w:lang w:val="hy-AM"/>
        </w:rPr>
        <w:t xml:space="preserve">ուղղ</w:t>
      </w:r>
      <w:r>
        <w:rPr>
          <w:rFonts w:ascii="GHEA Grapalat" w:hAnsi="GHEA Grapalat" w:cs="Sylfaen"/>
          <w:sz w:val="23"/>
          <w:szCs w:val="23"/>
          <w:lang w:val="hy-AM"/>
        </w:rPr>
        <w:t xml:space="preserve">ումն</w:t>
      </w:r>
      <w:r>
        <w:rPr>
          <w:rFonts w:ascii="GHEA Grapalat" w:hAnsi="GHEA Grapalat" w:cs="Sylfaen"/>
          <w:sz w:val="23"/>
          <w:szCs w:val="23"/>
          <w:lang w:val="hy-AM"/>
        </w:rPr>
        <w:t xml:space="preserve"> 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այլ նպատակային ծախսերի (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ձեռք բերված բնակարանի 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վերանորոգում) կատարման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ը՝ ՀՀ կառավարության սահմանած դեպքերում: Այդ նպատակով՝ ՀՀ կառավարության 2026թ. փետրվարի 5-ի 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N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 124-Ն որոշմամբ սահմանված հիփոթեքային վարկավորման համապատասխան ծրագրում իրացվում է 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օրենսդրական պահանջը՝ 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ՀՀ մարզերում ձեռք բերված բնակարանի 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վերանորոգման համար նախատեսելով զինծառայողին հասանելի գումարի և ձեռք բերվ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ած</w:t>
      </w:r>
      <w:r>
        <w:rPr>
          <w:rFonts w:ascii="GHEA Grapalat" w:hAnsi="GHEA Grapalat" w:cs="AK Courier"/>
          <w:sz w:val="23"/>
          <w:szCs w:val="23"/>
          <w:lang w:val="hy-AM"/>
        </w:rPr>
        <w:t xml:space="preserve"> բնակարանի արժեքի բացասական (եթե բնակարանի ձեռքբերման պայմանագրային արժեքն ավելի ցածր է) տարբերության գումարը, միաժամանակ սահմանելով, որ վերանորոգմանն ուղղված ծախսի՝ ծրագրի գործողության ներքո վարկավորվող չափն առավելագույնը կարող է կազմել 5 մլն դրամ</w:t>
      </w:r>
      <w:r>
        <w:rPr>
          <w:rFonts w:ascii="GHEA Grapalat" w:hAnsi="GHEA Grapalat" w:eastAsia="Times New Roman" w:cs="Calibri"/>
          <w:color w:val="000000" w:themeColor="text1"/>
          <w:sz w:val="23"/>
          <w:szCs w:val="23"/>
          <w:lang w:val="hy-AM"/>
        </w:rPr>
        <w:t xml:space="preserve">: Նշված կարգավորման նպատակն է </w:t>
      </w:r>
      <w:r>
        <w:rPr>
          <w:rFonts w:ascii="GHEA Grapalat" w:hAnsi="GHEA Grapalat" w:eastAsia="Times New Roman" w:cs="Calibri"/>
          <w:color w:val="000000" w:themeColor="text1"/>
          <w:sz w:val="23"/>
          <w:szCs w:val="23"/>
          <w:lang w:val="hy-AM"/>
        </w:rPr>
        <w:t xml:space="preserve">ապահովել հիփոթեքային վարկավորման գումարի հիմնական մասի ուղղումը զինծառայողի կարիքները բավարարող </w:t>
      </w:r>
      <w:r>
        <w:rPr>
          <w:rFonts w:ascii="GHEA Grapalat" w:hAnsi="GHEA Grapalat" w:eastAsia="Times New Roman" w:cs="Calibri"/>
          <w:color w:val="000000" w:themeColor="text1"/>
          <w:sz w:val="23"/>
          <w:szCs w:val="23"/>
          <w:lang w:val="hy-AM"/>
        </w:rPr>
        <w:t xml:space="preserve">բնակելի անշարժ գույքի </w:t>
      </w:r>
      <w:r>
        <w:rPr>
          <w:rFonts w:ascii="GHEA Grapalat" w:hAnsi="GHEA Grapalat" w:eastAsia="Times New Roman" w:cs="Calibri"/>
          <w:color w:val="000000" w:themeColor="text1"/>
          <w:sz w:val="23"/>
          <w:szCs w:val="23"/>
          <w:lang w:val="hy-AM"/>
        </w:rPr>
        <w:t xml:space="preserve">ձեռքբերմանը: Միաժամանակ, ՀՀ կենտրոնական բանկի և համապատասխան բանկային կառույցների հետ լրացուցիչ քննարկման արդ</w:t>
      </w:r>
      <w:r>
        <w:rPr>
          <w:rFonts w:ascii="GHEA Grapalat" w:hAnsi="GHEA Grapalat" w:eastAsia="Times New Roman" w:cs="Calibri"/>
          <w:color w:val="000000" w:themeColor="text1"/>
          <w:sz w:val="23"/>
          <w:szCs w:val="23"/>
          <w:lang w:val="hy-AM"/>
        </w:rPr>
        <w:t xml:space="preserve">յունքներով արձանագրվել է հիփոթեքային վարկավորման պայմանագրի կնքմանը ՀՀ պաշտպանության նախարարության մասնակցության անհրաժեշտության բացակայությունը, ինչպես նաև վարկավորման ժամկետը գործող համանման հարաբերություններ կարգավորող ՀՀ կառավարության այլ որոշումներին </w:t>
      </w:r>
      <w:r>
        <w:rPr>
          <w:rFonts w:ascii="GHEA Grapalat" w:hAnsi="GHEA Grapalat" w:eastAsia="Times New Roman" w:cs="Calibri"/>
          <w:color w:val="000000" w:themeColor="text1"/>
          <w:sz w:val="23"/>
          <w:szCs w:val="23"/>
          <w:lang w:val="hy-AM"/>
        </w:rPr>
        <w:t xml:space="preserve">(</w:t>
      </w:r>
      <w:r>
        <w:rPr>
          <w:rFonts w:ascii="GHEA Grapalat" w:hAnsi="GHEA Grapalat" w:eastAsia="Times New Roman" w:cs="Calibri"/>
          <w:color w:val="000000" w:themeColor="text1"/>
          <w:sz w:val="23"/>
          <w:szCs w:val="23"/>
          <w:lang w:val="hy-AM"/>
        </w:rPr>
        <w:t xml:space="preserve">16.05.2024թ. </w:t>
      </w:r>
      <w:r>
        <w:rPr>
          <w:rFonts w:ascii="GHEA Grapalat" w:hAnsi="GHEA Grapalat" w:eastAsia="Times New Roman" w:cs="Calibri"/>
          <w:color w:val="000000" w:themeColor="text1"/>
          <w:sz w:val="23"/>
          <w:szCs w:val="23"/>
          <w:lang w:val="hy-AM"/>
        </w:rPr>
        <w:t xml:space="preserve">N</w:t>
      </w:r>
      <w:r>
        <w:rPr>
          <w:rFonts w:ascii="GHEA Grapalat" w:hAnsi="GHEA Grapalat" w:eastAsia="Times New Roman" w:cs="Calibri"/>
          <w:color w:val="000000" w:themeColor="text1"/>
          <w:sz w:val="23"/>
          <w:szCs w:val="23"/>
          <w:lang w:val="hy-AM"/>
        </w:rPr>
        <w:t xml:space="preserve"> 710-Լ</w:t>
      </w:r>
      <w:r>
        <w:rPr>
          <w:rFonts w:ascii="GHEA Grapalat" w:hAnsi="GHEA Grapalat" w:eastAsia="Times New Roman" w:cs="Calibri"/>
          <w:color w:val="000000" w:themeColor="text1"/>
          <w:sz w:val="23"/>
          <w:szCs w:val="23"/>
          <w:lang w:val="hy-AM"/>
        </w:rPr>
        <w:t xml:space="preserve">, 07.03.2007թ. </w:t>
      </w:r>
      <w:r>
        <w:rPr>
          <w:rFonts w:ascii="GHEA Grapalat" w:hAnsi="GHEA Grapalat" w:eastAsia="Times New Roman" w:cs="Calibri"/>
          <w:color w:val="000000" w:themeColor="text1"/>
          <w:sz w:val="23"/>
          <w:szCs w:val="23"/>
          <w:lang w:val="hy-AM"/>
        </w:rPr>
        <w:t xml:space="preserve">N</w:t>
      </w:r>
      <w:r>
        <w:rPr>
          <w:rFonts w:ascii="GHEA Grapalat" w:hAnsi="GHEA Grapalat" w:eastAsia="Times New Roman" w:cs="Calibri"/>
          <w:color w:val="000000" w:themeColor="text1"/>
          <w:sz w:val="23"/>
          <w:szCs w:val="23"/>
          <w:lang w:val="hy-AM"/>
        </w:rPr>
        <w:t xml:space="preserve"> 384-Ն և 30.04.2026թ. </w:t>
      </w:r>
      <w:r>
        <w:rPr>
          <w:rFonts w:ascii="GHEA Grapalat" w:hAnsi="GHEA Grapalat" w:eastAsia="Times New Roman" w:cs="Calibri"/>
          <w:color w:val="000000" w:themeColor="text1"/>
          <w:sz w:val="23"/>
          <w:szCs w:val="23"/>
          <w:lang w:val="hy-AM"/>
        </w:rPr>
        <w:t xml:space="preserve">N</w:t>
      </w:r>
      <w:r>
        <w:rPr>
          <w:rFonts w:ascii="GHEA Grapalat" w:hAnsi="GHEA Grapalat" w:eastAsia="Times New Roman" w:cs="Calibri"/>
          <w:color w:val="000000" w:themeColor="text1"/>
          <w:sz w:val="23"/>
          <w:szCs w:val="23"/>
          <w:lang w:val="hy-AM"/>
        </w:rPr>
        <w:t xml:space="preserve"> 605-Ն</w:t>
      </w:r>
      <w:r>
        <w:rPr>
          <w:rFonts w:ascii="GHEA Grapalat" w:hAnsi="GHEA Grapalat" w:eastAsia="Times New Roman" w:cs="Calibri"/>
          <w:color w:val="000000" w:themeColor="text1"/>
          <w:sz w:val="23"/>
          <w:szCs w:val="23"/>
          <w:lang w:val="hy-AM"/>
        </w:rPr>
        <w:t xml:space="preserve">)</w:t>
      </w:r>
      <w:r>
        <w:rPr>
          <w:rFonts w:ascii="GHEA Grapalat" w:hAnsi="GHEA Grapalat" w:eastAsia="Times New Roman" w:cs="Calibri"/>
          <w:color w:val="000000" w:themeColor="text1"/>
          <w:sz w:val="23"/>
          <w:szCs w:val="23"/>
          <w:lang w:val="hy-AM"/>
        </w:rPr>
        <w:t xml:space="preserve"> համապատասխանեցնելու անհրաժեշտությունը, որի արդյունքում առաջարկվում է կնքվող պայմանագրին ՀՀ պաշտպանության նախարարության ներկայացուցչի մասնակցության դրույթը հանել, իսկ վարկային պայմանագրի գործողության ժամկետը 180 ամսվա փոխարեն սահմանել </w:t>
      </w:r>
      <w:r>
        <w:rPr>
          <w:rFonts w:ascii="GHEA Grapalat" w:hAnsi="GHEA Grapalat" w:eastAsia="Times New Roman" w:cs="Calibri"/>
          <w:color w:val="000000" w:themeColor="text1"/>
          <w:sz w:val="23"/>
          <w:szCs w:val="23"/>
          <w:lang w:val="hy-AM"/>
        </w:rPr>
        <w:t xml:space="preserve">ոչ պակաս, քան </w:t>
      </w:r>
      <w:r>
        <w:rPr>
          <w:rFonts w:ascii="GHEA Grapalat" w:hAnsi="GHEA Grapalat" w:eastAsia="Times New Roman" w:cs="Calibri"/>
          <w:color w:val="000000" w:themeColor="text1"/>
          <w:sz w:val="23"/>
          <w:szCs w:val="23"/>
          <w:lang w:val="hy-AM"/>
        </w:rPr>
        <w:t xml:space="preserve">120 ամիս:</w:t>
      </w:r>
      <w:r>
        <w:rPr>
          <w:rFonts w:ascii="GHEA Grapalat" w:hAnsi="GHEA Grapalat" w:eastAsia="Times New Roman" w:cs="Calibri"/>
          <w:color w:val="000000" w:themeColor="text1"/>
          <w:sz w:val="23"/>
          <w:szCs w:val="23"/>
          <w:lang w:val="hy-AM"/>
        </w:rPr>
        <w:t xml:space="preserve"> </w:t>
      </w:r>
      <w:r>
        <w:rPr>
          <w:rFonts w:ascii="GHEA Grapalat" w:hAnsi="GHEA Grapalat" w:eastAsia="Times New Roman" w:cs="Calibri"/>
          <w:color w:val="000000" w:themeColor="text1"/>
          <w:sz w:val="23"/>
          <w:szCs w:val="23"/>
          <w:lang w:val="hy-AM"/>
        </w:rPr>
      </w:r>
    </w:p>
    <w:p>
      <w:pPr>
        <w:pBdr/>
        <w:shd w:val="clear" w:color="auto" w:fill="ffffff"/>
        <w:spacing w:after="0" w:line="240" w:lineRule="auto"/>
        <w:ind w:firstLine="540"/>
        <w:jc w:val="both"/>
        <w:rPr>
          <w:rFonts w:ascii="GHEA Grapalat" w:hAnsi="GHEA Grapalat" w:eastAsia="Times New Roman" w:cs="Calibri"/>
          <w:color w:val="000000" w:themeColor="text1"/>
          <w:sz w:val="23"/>
          <w:szCs w:val="23"/>
          <w:lang w:val="hy-AM"/>
        </w:rPr>
      </w:pPr>
      <w:r>
        <w:rPr>
          <w:rFonts w:ascii="GHEA Grapalat" w:hAnsi="GHEA Grapalat" w:eastAsia="Times New Roman" w:cs="Calibri"/>
          <w:b/>
          <w:bCs/>
          <w:color w:val="000000" w:themeColor="text1"/>
          <w:sz w:val="23"/>
          <w:szCs w:val="23"/>
          <w:lang w:val="fr-FR"/>
        </w:rPr>
        <w:t xml:space="preserve">3.</w:t>
      </w:r>
      <w:r>
        <w:rPr>
          <w:rFonts w:ascii="Calibri" w:hAnsi="Calibri" w:eastAsia="Times New Roman" w:cs="Calibri"/>
          <w:b/>
          <w:bCs/>
          <w:color w:val="000000" w:themeColor="text1"/>
          <w:sz w:val="23"/>
          <w:szCs w:val="23"/>
          <w:lang w:val="fr-FR"/>
        </w:rPr>
        <w:t xml:space="preserve"> </w:t>
      </w:r>
      <w:r>
        <w:rPr>
          <w:rFonts w:ascii="GHEA Grapalat" w:hAnsi="GHEA Grapalat" w:eastAsia="Times New Roman" w:cs="Calibri"/>
          <w:b/>
          <w:bCs/>
          <w:color w:val="000000" w:themeColor="text1"/>
          <w:sz w:val="23"/>
          <w:szCs w:val="23"/>
          <w:lang w:val="hy-AM"/>
        </w:rPr>
        <w:t xml:space="preserve">Կարգավորման</w:t>
      </w:r>
      <w:r>
        <w:rPr>
          <w:rFonts w:ascii="Calibri" w:hAnsi="Calibri" w:eastAsia="Times New Roman" w:cs="Calibri"/>
          <w:b/>
          <w:bCs/>
          <w:color w:val="000000" w:themeColor="text1"/>
          <w:sz w:val="23"/>
          <w:szCs w:val="23"/>
          <w:lang w:val="hy-AM"/>
        </w:rPr>
        <w:t xml:space="preserve"> </w:t>
      </w:r>
      <w:r>
        <w:rPr>
          <w:rFonts w:ascii="GHEA Grapalat" w:hAnsi="GHEA Grapalat" w:eastAsia="Times New Roman" w:cs="GHEA Grapalat"/>
          <w:b/>
          <w:bCs/>
          <w:color w:val="000000" w:themeColor="text1"/>
          <w:sz w:val="23"/>
          <w:szCs w:val="23"/>
          <w:lang w:val="hy-AM"/>
        </w:rPr>
        <w:t xml:space="preserve">նպատակը</w:t>
      </w:r>
      <w:r>
        <w:rPr>
          <w:rFonts w:ascii="Calibri" w:hAnsi="Calibri" w:eastAsia="Times New Roman" w:cs="Calibri"/>
          <w:b/>
          <w:bCs/>
          <w:color w:val="000000" w:themeColor="text1"/>
          <w:sz w:val="23"/>
          <w:szCs w:val="23"/>
          <w:lang w:val="hy-AM"/>
        </w:rPr>
        <w:t xml:space="preserve"> </w:t>
      </w:r>
      <w:r>
        <w:rPr>
          <w:rFonts w:ascii="GHEA Grapalat" w:hAnsi="GHEA Grapalat" w:eastAsia="Times New Roman" w:cs="GHEA Grapalat"/>
          <w:b/>
          <w:bCs/>
          <w:color w:val="000000" w:themeColor="text1"/>
          <w:sz w:val="23"/>
          <w:szCs w:val="23"/>
          <w:lang w:val="hy-AM"/>
        </w:rPr>
        <w:t xml:space="preserve">և</w:t>
      </w:r>
      <w:r>
        <w:rPr>
          <w:rFonts w:ascii="Calibri" w:hAnsi="Calibri" w:eastAsia="Times New Roman" w:cs="Calibri"/>
          <w:b/>
          <w:bCs/>
          <w:color w:val="000000" w:themeColor="text1"/>
          <w:sz w:val="23"/>
          <w:szCs w:val="23"/>
          <w:lang w:val="hy-AM"/>
        </w:rPr>
        <w:t xml:space="preserve"> </w:t>
      </w:r>
      <w:r>
        <w:rPr>
          <w:rFonts w:ascii="GHEA Grapalat" w:hAnsi="GHEA Grapalat" w:eastAsia="Times New Roman" w:cs="GHEA Grapalat"/>
          <w:b/>
          <w:bCs/>
          <w:color w:val="000000" w:themeColor="text1"/>
          <w:sz w:val="23"/>
          <w:szCs w:val="23"/>
          <w:lang w:val="hy-AM"/>
        </w:rPr>
        <w:t xml:space="preserve">բնույթը</w:t>
      </w:r>
      <w:r>
        <w:rPr>
          <w:rFonts w:ascii="GHEA Grapalat" w:hAnsi="GHEA Grapalat" w:eastAsia="Times New Roman" w:cs="Calibri"/>
          <w:color w:val="000000" w:themeColor="text1"/>
          <w:sz w:val="23"/>
          <w:szCs w:val="23"/>
          <w:lang w:val="hy-AM"/>
        </w:rPr>
      </w:r>
    </w:p>
    <w:p>
      <w:pPr>
        <w:pBdr/>
        <w:shd w:val="clear" w:color="auto" w:fill="ffffff"/>
        <w:spacing w:after="0" w:line="240" w:lineRule="auto"/>
        <w:ind w:firstLine="540"/>
        <w:jc w:val="both"/>
        <w:rPr>
          <w:rFonts w:ascii="GHEA Grapalat" w:hAnsi="GHEA Grapalat" w:eastAsia="Times New Roman" w:cs="Calibri"/>
          <w:color w:val="000000" w:themeColor="text1"/>
          <w:sz w:val="23"/>
          <w:szCs w:val="23"/>
          <w:lang w:val="hy-AM"/>
        </w:rPr>
      </w:pPr>
      <w:r>
        <w:rPr>
          <w:rFonts w:ascii="GHEA Grapalat" w:hAnsi="GHEA Grapalat" w:eastAsia="Times New Roman" w:cs="Calibri"/>
          <w:color w:val="000000" w:themeColor="text1"/>
          <w:sz w:val="23"/>
          <w:szCs w:val="23"/>
          <w:lang w:val="hy-AM"/>
        </w:rPr>
        <w:t xml:space="preserve">Որոշման նախագծի</w:t>
      </w:r>
      <w:r>
        <w:rPr>
          <w:rFonts w:ascii="Calibri" w:hAnsi="Calibri" w:eastAsia="Times New Roman" w:cs="Calibri"/>
          <w:color w:val="000000" w:themeColor="text1"/>
          <w:sz w:val="23"/>
          <w:szCs w:val="23"/>
          <w:lang w:val="hy-AM"/>
        </w:rPr>
        <w:t xml:space="preserve"> </w:t>
      </w:r>
      <w:r>
        <w:rPr>
          <w:rFonts w:ascii="GHEA Grapalat" w:hAnsi="GHEA Grapalat" w:eastAsia="Times New Roman" w:cs="GHEA Grapalat"/>
          <w:color w:val="000000" w:themeColor="text1"/>
          <w:sz w:val="23"/>
          <w:szCs w:val="23"/>
          <w:lang w:val="hy-AM"/>
        </w:rPr>
        <w:t xml:space="preserve">համաձայն</w:t>
      </w:r>
      <w:r>
        <w:rPr>
          <w:rFonts w:ascii="Calibri" w:hAnsi="Calibri" w:eastAsia="Times New Roman" w:cs="Calibri"/>
          <w:color w:val="000000" w:themeColor="text1"/>
          <w:sz w:val="23"/>
          <w:szCs w:val="23"/>
          <w:lang w:val="hy-AM"/>
        </w:rPr>
        <w:t xml:space="preserve"> </w:t>
      </w:r>
      <w:r>
        <w:rPr>
          <w:rFonts w:ascii="GHEA Grapalat" w:hAnsi="GHEA Grapalat" w:eastAsia="Times New Roman" w:cs="Calibri"/>
          <w:color w:val="000000" w:themeColor="text1"/>
          <w:sz w:val="23"/>
          <w:szCs w:val="23"/>
          <w:lang w:val="hy-AM"/>
        </w:rPr>
        <w:t xml:space="preserve">սահմանվում է</w:t>
      </w:r>
      <w:r>
        <w:rPr>
          <w:rFonts w:ascii="Calibri" w:hAnsi="Calibri" w:eastAsia="Times New Roman" w:cs="Calibri"/>
          <w:color w:val="000000" w:themeColor="text1"/>
          <w:sz w:val="23"/>
          <w:szCs w:val="23"/>
          <w:lang w:val="hy-AM"/>
        </w:rPr>
        <w:t xml:space="preserve"> </w:t>
      </w:r>
      <w:r>
        <w:rPr>
          <w:rFonts w:ascii="GHEA Grapalat" w:hAnsi="GHEA Grapalat" w:eastAsia="Times New Roman" w:cs="Calibri"/>
          <w:color w:val="000000" w:themeColor="text1"/>
          <w:sz w:val="23"/>
          <w:szCs w:val="23"/>
          <w:lang w:val="hy-AM"/>
        </w:rPr>
        <w:t xml:space="preserve">հիփոթեքային վարկավորմամբ ձեռք բերվող բնակելի անշարժ գույքի վերանորոգման գումար</w:t>
      </w:r>
      <w:r>
        <w:rPr>
          <w:rFonts w:ascii="GHEA Grapalat" w:hAnsi="GHEA Grapalat" w:eastAsia="Times New Roman" w:cs="Calibri"/>
          <w:color w:val="000000" w:themeColor="text1"/>
          <w:sz w:val="23"/>
          <w:szCs w:val="23"/>
          <w:lang w:val="hy-AM"/>
        </w:rPr>
        <w:t xml:space="preserve">ը վարկավորման ծրագրում ներառելու հնարավորությունը, վերանորոգման ուղղությամբ ծրագրի </w:t>
      </w:r>
      <w:r>
        <w:rPr>
          <w:rFonts w:ascii="GHEA Grapalat" w:hAnsi="GHEA Grapalat" w:eastAsia="Times New Roman" w:cs="Calibri"/>
          <w:color w:val="000000" w:themeColor="text1"/>
          <w:sz w:val="23"/>
          <w:szCs w:val="23"/>
          <w:lang w:val="hy-AM"/>
        </w:rPr>
        <w:t xml:space="preserve">(</w:t>
      </w:r>
      <w:r>
        <w:rPr>
          <w:rFonts w:ascii="GHEA Grapalat" w:hAnsi="GHEA Grapalat" w:eastAsia="Times New Roman" w:cs="Calibri"/>
          <w:color w:val="000000" w:themeColor="text1"/>
          <w:sz w:val="23"/>
          <w:szCs w:val="23"/>
          <w:lang w:val="hy-AM"/>
        </w:rPr>
        <w:t xml:space="preserve">պետական աջակցության</w:t>
      </w:r>
      <w:r>
        <w:rPr>
          <w:rFonts w:ascii="GHEA Grapalat" w:hAnsi="GHEA Grapalat" w:eastAsia="Times New Roman" w:cs="Calibri"/>
          <w:color w:val="000000" w:themeColor="text1"/>
          <w:sz w:val="23"/>
          <w:szCs w:val="23"/>
          <w:lang w:val="hy-AM"/>
        </w:rPr>
        <w:t xml:space="preserve">)</w:t>
      </w:r>
      <w:r>
        <w:rPr>
          <w:rFonts w:ascii="GHEA Grapalat" w:hAnsi="GHEA Grapalat" w:eastAsia="Times New Roman" w:cs="Calibri"/>
          <w:color w:val="000000" w:themeColor="text1"/>
          <w:sz w:val="23"/>
          <w:szCs w:val="23"/>
          <w:lang w:val="hy-AM"/>
        </w:rPr>
        <w:t xml:space="preserve"> ներքո վարկավորվող գումարի </w:t>
      </w:r>
      <w:r>
        <w:rPr>
          <w:rFonts w:ascii="GHEA Grapalat" w:hAnsi="GHEA Grapalat" w:eastAsia="Times New Roman" w:cs="Calibri"/>
          <w:color w:val="000000" w:themeColor="text1"/>
          <w:sz w:val="23"/>
          <w:szCs w:val="23"/>
          <w:lang w:val="hy-AM"/>
        </w:rPr>
        <w:t xml:space="preserve">առավելագույն</w:t>
      </w:r>
      <w:r>
        <w:rPr>
          <w:rFonts w:ascii="Calibri" w:hAnsi="Calibri" w:eastAsia="Times New Roman" w:cs="Calibri"/>
          <w:color w:val="000000" w:themeColor="text1"/>
          <w:sz w:val="23"/>
          <w:szCs w:val="23"/>
          <w:lang w:val="hy-AM"/>
        </w:rPr>
        <w:t xml:space="preserve"> </w:t>
      </w:r>
      <w:r>
        <w:rPr>
          <w:rFonts w:ascii="GHEA Grapalat" w:hAnsi="GHEA Grapalat" w:eastAsia="Times New Roman" w:cs="Calibri"/>
          <w:color w:val="000000" w:themeColor="text1"/>
          <w:sz w:val="23"/>
          <w:szCs w:val="23"/>
          <w:lang w:val="hy-AM"/>
        </w:rPr>
        <w:t xml:space="preserve">չափը</w:t>
      </w:r>
      <w:r>
        <w:rPr>
          <w:rFonts w:ascii="GHEA Grapalat" w:hAnsi="GHEA Grapalat" w:eastAsia="Times New Roman" w:cs="Calibri"/>
          <w:color w:val="000000" w:themeColor="text1"/>
          <w:sz w:val="23"/>
          <w:szCs w:val="23"/>
          <w:lang w:val="hy-AM"/>
        </w:rPr>
        <w:t xml:space="preserve">, հստակեցվում է հիփոթեքային վարկավորման պայմանագրի կողմերի շրջանակը և հիփոթեքային վարկավորման պայմանագրի գործողության ժամկետը</w:t>
      </w:r>
      <w:r>
        <w:rPr>
          <w:rFonts w:ascii="GHEA Grapalat" w:hAnsi="GHEA Grapalat" w:eastAsia="Times New Roman" w:cs="Calibri"/>
          <w:color w:val="000000" w:themeColor="text1"/>
          <w:sz w:val="23"/>
          <w:szCs w:val="23"/>
          <w:lang w:val="hy-AM"/>
        </w:rPr>
        <w:t xml:space="preserve">:</w:t>
      </w:r>
      <w:r>
        <w:rPr>
          <w:rFonts w:ascii="GHEA Grapalat" w:hAnsi="GHEA Grapalat" w:eastAsia="Times New Roman" w:cs="Calibri"/>
          <w:color w:val="000000" w:themeColor="text1"/>
          <w:sz w:val="23"/>
          <w:szCs w:val="23"/>
          <w:lang w:val="hy-AM"/>
        </w:rPr>
      </w:r>
    </w:p>
    <w:p>
      <w:pPr>
        <w:pBdr/>
        <w:spacing w:after="0" w:line="240" w:lineRule="auto"/>
        <w:ind w:firstLine="400"/>
        <w:jc w:val="both"/>
        <w:rPr>
          <w:rFonts w:ascii="GHEA Grapalat" w:hAnsi="GHEA Grapalat" w:cs="GHEA Grapalat"/>
          <w:b/>
          <w:bCs/>
          <w:sz w:val="23"/>
          <w:szCs w:val="23"/>
          <w:lang w:val="fr-FR"/>
        </w:rPr>
      </w:pPr>
      <w:r>
        <w:rPr>
          <w:rFonts w:ascii="GHEA Grapalat" w:hAnsi="GHEA Grapalat" w:cs="Sylfaen"/>
          <w:b/>
          <w:sz w:val="23"/>
          <w:szCs w:val="23"/>
          <w:lang w:val="fr-FR"/>
        </w:rPr>
        <w:t xml:space="preserve">4. </w:t>
      </w:r>
      <w:r>
        <w:rPr>
          <w:rFonts w:ascii="GHEA Grapalat" w:hAnsi="GHEA Grapalat" w:cs="Sylfaen"/>
          <w:b/>
          <w:sz w:val="23"/>
          <w:szCs w:val="23"/>
          <w:lang w:val="hy-AM"/>
        </w:rPr>
        <w:t xml:space="preserve">Լրացուցիչ</w:t>
      </w:r>
      <w:r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r>
        <w:rPr>
          <w:rFonts w:ascii="GHEA Grapalat" w:hAnsi="GHEA Grapalat" w:cs="Sylfaen"/>
          <w:b/>
          <w:sz w:val="23"/>
          <w:szCs w:val="23"/>
          <w:lang w:val="hy-AM"/>
        </w:rPr>
        <w:t xml:space="preserve">ֆինանսական</w:t>
      </w:r>
      <w:r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r>
        <w:rPr>
          <w:rFonts w:ascii="GHEA Grapalat" w:hAnsi="GHEA Grapalat" w:cs="Sylfaen"/>
          <w:b/>
          <w:sz w:val="23"/>
          <w:szCs w:val="23"/>
          <w:lang w:val="hy-AM"/>
        </w:rPr>
        <w:t xml:space="preserve">միջոցների</w:t>
      </w:r>
      <w:r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r>
        <w:rPr>
          <w:rFonts w:ascii="GHEA Grapalat" w:hAnsi="GHEA Grapalat" w:cs="Sylfaen"/>
          <w:b/>
          <w:sz w:val="23"/>
          <w:szCs w:val="23"/>
          <w:lang w:val="hy-AM"/>
        </w:rPr>
        <w:t xml:space="preserve">անհրաժեշտությունը</w:t>
      </w:r>
      <w:r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r>
        <w:rPr>
          <w:rFonts w:ascii="GHEA Grapalat" w:hAnsi="GHEA Grapalat" w:cs="Sylfaen"/>
          <w:b/>
          <w:sz w:val="23"/>
          <w:szCs w:val="23"/>
          <w:lang w:val="hy-AM"/>
        </w:rPr>
        <w:t xml:space="preserve">և</w:t>
      </w:r>
      <w:r>
        <w:rPr>
          <w:rFonts w:ascii="GHEA Grapalat" w:hAnsi="GHEA Grapalat" w:cs="Sylfaen"/>
          <w:b/>
          <w:sz w:val="23"/>
          <w:szCs w:val="23"/>
          <w:lang w:val="fr-FR"/>
        </w:rPr>
        <w:t xml:space="preserve"> </w:t>
      </w:r>
      <w:r>
        <w:rPr>
          <w:rFonts w:ascii="GHEA Grapalat" w:hAnsi="GHEA Grapalat" w:cs="Sylfaen"/>
          <w:b/>
          <w:sz w:val="23"/>
          <w:szCs w:val="23"/>
          <w:lang w:val="hy-AM"/>
        </w:rPr>
        <w:t xml:space="preserve">պետական</w:t>
      </w:r>
      <w:r>
        <w:rPr>
          <w:rFonts w:ascii="GHEA Grapalat" w:hAnsi="GHEA Grapalat" w:cs="Sylfaen"/>
          <w:sz w:val="23"/>
          <w:szCs w:val="23"/>
          <w:lang w:val="fr-FR"/>
        </w:rPr>
        <w:t xml:space="preserve"> </w:t>
      </w:r>
      <w:r>
        <w:rPr>
          <w:rFonts w:ascii="GHEA Grapalat" w:hAnsi="GHEA Grapalat" w:cs="GHEA Grapalat"/>
          <w:b/>
          <w:sz w:val="23"/>
          <w:szCs w:val="23"/>
          <w:lang w:val="es-ES"/>
        </w:rPr>
        <w:t xml:space="preserve">բյուջեի եկամուտներում ու ծախսերում սպասվելիք փոփոխությունները </w:t>
      </w:r>
      <w:r>
        <w:rPr>
          <w:rFonts w:ascii="GHEA Grapalat" w:hAnsi="GHEA Grapalat" w:cs="GHEA Grapalat"/>
          <w:b/>
          <w:bCs/>
          <w:sz w:val="23"/>
          <w:szCs w:val="23"/>
          <w:lang w:val="fr-FR"/>
        </w:rPr>
      </w:r>
    </w:p>
    <w:p>
      <w:pPr>
        <w:pBdr/>
        <w:shd w:val="clear" w:color="auto" w:fill="ffffff"/>
        <w:spacing w:after="0" w:line="240" w:lineRule="auto"/>
        <w:ind/>
        <w:jc w:val="both"/>
        <w:rPr>
          <w:rFonts w:ascii="GHEA Grapalat" w:hAnsi="GHEA Grapalat" w:eastAsia="Times New Roman" w:cs="Calibri"/>
          <w:color w:val="000000" w:themeColor="text1"/>
          <w:sz w:val="23"/>
          <w:szCs w:val="23"/>
          <w:lang w:val="hy-AM"/>
        </w:rPr>
      </w:pPr>
      <w:r>
        <w:rPr>
          <w:rFonts w:ascii="Calibri" w:hAnsi="Calibri" w:eastAsia="Times New Roman" w:cs="Calibri"/>
          <w:color w:val="000000" w:themeColor="text1"/>
          <w:sz w:val="23"/>
          <w:szCs w:val="23"/>
          <w:lang w:val="hy-AM"/>
        </w:rPr>
        <w:t xml:space="preserve">       </w:t>
      </w:r>
      <w:r>
        <w:rPr>
          <w:rFonts w:ascii="GHEA Grapalat" w:hAnsi="GHEA Grapalat" w:eastAsia="Times New Roman" w:cs="Calibri"/>
          <w:color w:val="000000" w:themeColor="text1"/>
          <w:sz w:val="23"/>
          <w:szCs w:val="23"/>
          <w:lang w:val="hy-AM"/>
        </w:rPr>
        <w:t xml:space="preserve">Որոշման ն</w:t>
      </w:r>
      <w:r>
        <w:rPr>
          <w:rFonts w:ascii="GHEA Grapalat" w:hAnsi="GHEA Grapalat" w:eastAsia="Times New Roman" w:cs="Calibri"/>
          <w:color w:val="000000" w:themeColor="text1"/>
          <w:sz w:val="23"/>
          <w:szCs w:val="23"/>
          <w:lang w:val="hy-AM"/>
        </w:rPr>
        <w:t xml:space="preserve">ախագծի ընդունման դեպքում Հայաստանի</w:t>
      </w:r>
      <w:r>
        <w:rPr>
          <w:rFonts w:ascii="Calibri" w:hAnsi="Calibri" w:eastAsia="Times New Roman" w:cs="Calibri"/>
          <w:color w:val="000000" w:themeColor="text1"/>
          <w:sz w:val="23"/>
          <w:szCs w:val="23"/>
          <w:lang w:val="hy-AM"/>
        </w:rPr>
        <w:t xml:space="preserve"> </w:t>
      </w:r>
      <w:r>
        <w:rPr>
          <w:rFonts w:ascii="GHEA Grapalat" w:hAnsi="GHEA Grapalat" w:eastAsia="Times New Roman" w:cs="Calibri"/>
          <w:color w:val="000000" w:themeColor="text1"/>
          <w:sz w:val="23"/>
          <w:szCs w:val="23"/>
          <w:lang w:val="hy-AM"/>
        </w:rPr>
        <w:t xml:space="preserve">Հանրապետության</w:t>
      </w:r>
      <w:r>
        <w:rPr>
          <w:rFonts w:ascii="Calibri" w:hAnsi="Calibri" w:eastAsia="Times New Roman" w:cs="Calibri"/>
          <w:color w:val="000000" w:themeColor="text1"/>
          <w:sz w:val="23"/>
          <w:szCs w:val="23"/>
          <w:lang w:val="hy-AM"/>
        </w:rPr>
        <w:t xml:space="preserve"> </w:t>
      </w:r>
      <w:r>
        <w:rPr>
          <w:rFonts w:ascii="GHEA Grapalat" w:hAnsi="GHEA Grapalat" w:eastAsia="Times New Roman" w:cs="Calibri"/>
          <w:color w:val="000000" w:themeColor="text1"/>
          <w:sz w:val="23"/>
          <w:szCs w:val="23"/>
          <w:lang w:val="hy-AM"/>
        </w:rPr>
        <w:t xml:space="preserve">պետական</w:t>
      </w:r>
      <w:r>
        <w:rPr>
          <w:rFonts w:ascii="Calibri" w:hAnsi="Calibri" w:eastAsia="Times New Roman" w:cs="Calibri"/>
          <w:color w:val="000000" w:themeColor="text1"/>
          <w:sz w:val="23"/>
          <w:szCs w:val="23"/>
          <w:lang w:val="hy-AM"/>
        </w:rPr>
        <w:t xml:space="preserve"> </w:t>
      </w:r>
      <w:r>
        <w:rPr>
          <w:rFonts w:ascii="GHEA Grapalat" w:hAnsi="GHEA Grapalat" w:eastAsia="Times New Roman" w:cs="Calibri"/>
          <w:color w:val="000000" w:themeColor="text1"/>
          <w:sz w:val="23"/>
          <w:szCs w:val="23"/>
          <w:lang w:val="hy-AM"/>
        </w:rPr>
        <w:t xml:space="preserve">բյուջեի ծախսերի և եկամուտների ավելացում կամ նվազեցում չի նախատեսվում:</w:t>
      </w:r>
      <w:r>
        <w:rPr>
          <w:rFonts w:ascii="GHEA Grapalat" w:hAnsi="GHEA Grapalat" w:eastAsia="Times New Roman" w:cs="Calibri"/>
          <w:color w:val="000000" w:themeColor="text1"/>
          <w:sz w:val="23"/>
          <w:szCs w:val="23"/>
          <w:lang w:val="hy-AM"/>
        </w:rPr>
      </w:r>
    </w:p>
    <w:p>
      <w:pPr>
        <w:pBdr/>
        <w:shd w:val="clear" w:color="auto" w:fill="ffffff"/>
        <w:spacing w:after="0" w:line="240" w:lineRule="auto"/>
        <w:ind/>
        <w:jc w:val="both"/>
        <w:rPr>
          <w:rFonts w:ascii="GHEA Grapalat" w:hAnsi="GHEA Grapalat" w:eastAsia="Times New Roman" w:cs="Calibri"/>
          <w:b/>
          <w:bCs/>
          <w:color w:val="000000" w:themeColor="text1"/>
          <w:sz w:val="23"/>
          <w:szCs w:val="23"/>
          <w:lang w:val="af-ZA"/>
        </w:rPr>
      </w:pPr>
      <w:r>
        <w:rPr>
          <w:rFonts w:ascii="Calibri" w:hAnsi="Calibri" w:eastAsia="Times New Roman" w:cs="Calibri"/>
          <w:b/>
          <w:bCs/>
          <w:color w:val="000000" w:themeColor="text1"/>
          <w:sz w:val="23"/>
          <w:szCs w:val="23"/>
          <w:lang w:val="af-ZA"/>
        </w:rPr>
        <w:t xml:space="preserve">        </w:t>
      </w:r>
      <w:r>
        <w:rPr>
          <w:rFonts w:ascii="GHEA Grapalat" w:hAnsi="GHEA Grapalat" w:eastAsia="Times New Roman" w:cs="Calibri"/>
          <w:b/>
          <w:bCs/>
          <w:color w:val="000000" w:themeColor="text1"/>
          <w:sz w:val="23"/>
          <w:szCs w:val="23"/>
          <w:lang w:val="af-ZA"/>
        </w:rPr>
        <w:t xml:space="preserve">5.</w:t>
      </w:r>
      <w:r>
        <w:rPr>
          <w:rFonts w:ascii="Calibri" w:hAnsi="Calibri" w:eastAsia="Times New Roman" w:cs="Calibri"/>
          <w:b/>
          <w:bCs/>
          <w:color w:val="000000" w:themeColor="text1"/>
          <w:sz w:val="23"/>
          <w:szCs w:val="23"/>
          <w:lang w:val="af-ZA"/>
        </w:rPr>
        <w:t xml:space="preserve"> </w:t>
      </w:r>
      <w:r>
        <w:rPr>
          <w:rFonts w:ascii="GHEA Grapalat" w:hAnsi="GHEA Grapalat" w:eastAsia="Times New Roman" w:cs="Calibri"/>
          <w:b/>
          <w:bCs/>
          <w:color w:val="000000" w:themeColor="text1"/>
          <w:sz w:val="23"/>
          <w:szCs w:val="23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>
        <w:rPr>
          <w:rFonts w:ascii="GHEA Grapalat" w:hAnsi="GHEA Grapalat" w:eastAsia="Times New Roman" w:cs="Calibri"/>
          <w:b/>
          <w:bCs/>
          <w:color w:val="000000" w:themeColor="text1"/>
          <w:sz w:val="23"/>
          <w:szCs w:val="23"/>
          <w:lang w:val="af-ZA"/>
        </w:rPr>
      </w:r>
    </w:p>
    <w:p>
      <w:pPr>
        <w:pBdr/>
        <w:spacing w:after="0" w:line="240" w:lineRule="auto"/>
        <w:ind w:firstLine="54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sz w:val="23"/>
          <w:szCs w:val="23"/>
          <w:lang w:val="hy-AM"/>
        </w:rPr>
        <w:t xml:space="preserve">Որոշման</w:t>
      </w:r>
      <w:r>
        <w:rPr>
          <w:rFonts w:ascii="GHEA Grapalat" w:hAnsi="GHEA Grapalat"/>
          <w:sz w:val="23"/>
          <w:szCs w:val="23"/>
          <w:lang w:val="hy-AM"/>
        </w:rPr>
        <w:t xml:space="preserve"> նախագիծը</w:t>
      </w:r>
      <w:r>
        <w:rPr>
          <w:rFonts w:ascii="GHEA Grapalat" w:hAnsi="GHEA Grapalat" w:cs="GHEA Grapalat"/>
          <w:bCs/>
          <w:sz w:val="23"/>
          <w:szCs w:val="23"/>
          <w:lang w:val="af-ZA"/>
        </w:rPr>
        <w:t xml:space="preserve"> կապված է </w:t>
      </w:r>
      <w:r>
        <w:rPr>
          <w:rFonts w:ascii="GHEA Grapalat" w:hAnsi="GHEA Grapalat"/>
          <w:sz w:val="23"/>
          <w:szCs w:val="23"/>
          <w:lang w:val="hy-AM"/>
        </w:rPr>
        <w:t xml:space="preserve">Կառավարության 2021-2026թթ. ծրագրի </w:t>
      </w:r>
      <w:r>
        <w:rPr>
          <w:rFonts w:ascii="GHEA Grapalat" w:hAnsi="GHEA Grapalat" w:cs="GHEA Grapalat"/>
          <w:color w:val="000000"/>
          <w:sz w:val="23"/>
          <w:szCs w:val="23"/>
          <w:lang w:val="es-ES"/>
        </w:rPr>
        <w:t xml:space="preserve">«1.3 </w:t>
      </w:r>
      <w:r>
        <w:rPr>
          <w:rFonts w:ascii="GHEA Grapalat" w:hAnsi="GHEA Grapalat" w:cs="GHEA Grapalat"/>
          <w:bCs/>
          <w:sz w:val="23"/>
          <w:szCs w:val="23"/>
          <w:lang w:val="af-ZA"/>
        </w:rPr>
        <w:t xml:space="preserve">Պաշտպանության ոլորտ. Զինված ուժերի բարեփոխումներ</w:t>
      </w:r>
      <w:r>
        <w:rPr>
          <w:rFonts w:ascii="GHEA Grapalat" w:hAnsi="GHEA Grapalat" w:cs="GHEA Grapalat"/>
          <w:color w:val="000000"/>
          <w:sz w:val="23"/>
          <w:szCs w:val="23"/>
          <w:lang w:val="es-ES"/>
        </w:rPr>
        <w:t xml:space="preserve">»</w:t>
      </w:r>
      <w:r>
        <w:rPr>
          <w:rFonts w:ascii="GHEA Grapalat" w:hAnsi="GHEA Grapalat" w:cs="GHEA Grapalat"/>
          <w:bCs/>
          <w:sz w:val="23"/>
          <w:szCs w:val="23"/>
          <w:lang w:val="af-ZA"/>
        </w:rPr>
        <w:t xml:space="preserve"> բաժնի 8-րդ ու 9-րդ կետերի պահանջների արդյունավետ ապահովման հետ, ի դեմս՝ </w:t>
      </w:r>
      <w:r>
        <w:rPr>
          <w:rFonts w:ascii="GHEA Grapalat" w:hAnsi="GHEA Grapalat" w:cs="GHEA Grapalat"/>
          <w:bCs/>
          <w:sz w:val="23"/>
          <w:szCs w:val="23"/>
          <w:lang w:val="hy-AM"/>
        </w:rPr>
        <w:t xml:space="preserve">զինվորական ծառայության շահադրդման թե նյութական և թե բարոյահոգեբանական մեխանիզմների խթանման, </w:t>
      </w:r>
      <w:r>
        <w:rPr>
          <w:rFonts w:ascii="GHEA Grapalat" w:hAnsi="GHEA Grapalat" w:cs="GHEA Grapalat"/>
          <w:bCs/>
          <w:sz w:val="23"/>
          <w:szCs w:val="23"/>
          <w:lang w:val="hy-AM"/>
        </w:rPr>
        <w:t xml:space="preserve">զինված ուժերը անձնակազմով համալրման և մարդկային ռեսուրսների զարգացման խնդիրների լուծման, արհեստավարժ </w:t>
      </w:r>
      <w:r>
        <w:rPr>
          <w:rFonts w:ascii="GHEA Grapalat" w:hAnsi="GHEA Grapalat" w:cs="GHEA Grapalat"/>
          <w:bCs/>
          <w:sz w:val="23"/>
          <w:szCs w:val="23"/>
          <w:lang w:val="af-ZA"/>
        </w:rPr>
        <w:t xml:space="preserve">(</w:t>
      </w:r>
      <w:r>
        <w:rPr>
          <w:rFonts w:ascii="GHEA Grapalat" w:hAnsi="GHEA Grapalat" w:cs="GHEA Grapalat"/>
          <w:bCs/>
          <w:sz w:val="23"/>
          <w:szCs w:val="23"/>
          <w:lang w:val="hy-AM"/>
        </w:rPr>
        <w:t xml:space="preserve">պրոֆեսիոնալ</w:t>
      </w:r>
      <w:r>
        <w:rPr>
          <w:rFonts w:ascii="GHEA Grapalat" w:hAnsi="GHEA Grapalat" w:cs="GHEA Grapalat"/>
          <w:bCs/>
          <w:sz w:val="23"/>
          <w:szCs w:val="23"/>
          <w:lang w:val="af-ZA"/>
        </w:rPr>
        <w:t xml:space="preserve">)</w:t>
      </w:r>
      <w:r>
        <w:rPr>
          <w:rFonts w:ascii="GHEA Grapalat" w:hAnsi="GHEA Grapalat" w:cs="GHEA Grapalat"/>
          <w:bCs/>
          <w:sz w:val="23"/>
          <w:szCs w:val="23"/>
          <w:lang w:val="hy-AM"/>
        </w:rPr>
        <w:t xml:space="preserve"> բանակի անցման, </w:t>
      </w:r>
      <w:r>
        <w:rPr>
          <w:rFonts w:ascii="GHEA Grapalat" w:hAnsi="GHEA Grapalat" w:cs="GHEA Grapalat"/>
          <w:bCs/>
          <w:sz w:val="23"/>
          <w:szCs w:val="23"/>
          <w:lang w:val="hy-AM"/>
        </w:rPr>
        <w:t xml:space="preserve">զինծառայողների նյութական և սոցիալական ապահովման երաշխիքների, </w:t>
      </w:r>
      <w:r>
        <w:rPr>
          <w:rFonts w:ascii="GHEA Grapalat" w:hAnsi="GHEA Grapalat" w:cs="GHEA Grapalat"/>
          <w:bCs/>
          <w:sz w:val="23"/>
          <w:szCs w:val="23"/>
          <w:lang w:val="hy-AM"/>
        </w:rPr>
        <w:t xml:space="preserve">զինծառայության գրավչության և հեղինակության բարձրացման մեխանիզմների կատարելագործման</w:t>
      </w:r>
      <w:r>
        <w:rPr>
          <w:rFonts w:ascii="GHEA Grapalat" w:hAnsi="GHEA Grapalat"/>
          <w:sz w:val="23"/>
          <w:szCs w:val="23"/>
          <w:lang w:val="af-ZA"/>
        </w:rPr>
        <w:t xml:space="preserve"> հետ</w:t>
      </w:r>
      <w:r>
        <w:rPr>
          <w:rFonts w:ascii="GHEA Grapalat" w:hAnsi="GHEA Grapalat" w:cs="GHEA Grapalat"/>
          <w:bCs/>
          <w:sz w:val="23"/>
          <w:szCs w:val="23"/>
          <w:lang w:val="af-ZA"/>
        </w:rPr>
        <w:t xml:space="preserve">:</w:t>
      </w:r>
      <w:r>
        <w:rPr>
          <w:rFonts w:ascii="GHEA Grapalat" w:hAnsi="GHEA Grapalat" w:cs="AK Courier"/>
          <w:sz w:val="23"/>
          <w:szCs w:val="23"/>
          <w:lang w:val="af-ZA"/>
        </w:rPr>
        <w:t xml:space="preserve">   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</w:r>
    </w:p>
    <w:p>
      <w:pPr>
        <w:pBdr/>
        <w:spacing w:after="0" w:line="240" w:lineRule="auto"/>
        <w:ind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</w:r>
      <w:r>
        <w:rPr>
          <w:rFonts w:ascii="GHEA Grapalat" w:hAnsi="GHEA Grapalat"/>
          <w:color w:val="000000"/>
          <w:sz w:val="24"/>
          <w:szCs w:val="24"/>
          <w:lang w:val="hy-AM"/>
        </w:rPr>
      </w:r>
    </w:p>
    <w:p>
      <w:pPr>
        <w:pBdr/>
        <w:spacing/>
        <w:ind/>
        <w:rPr/>
      </w:pPr>
    </w:p>
    <w:sectPr>
      <w:footnotePr/>
      <w:endnotePr/>
      <w:type w:val="nextPage"/>
      <w:pgSz w:h="15840" w:orient="portrait" w:w="12240"/>
      <w:pgMar w:top="630" w:right="630" w:bottom="630" w:left="990" w:header="720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IRTEK Courier">
    <w:panose1 w:val="020B0604020202020204"/>
  </w:font>
  <w:font w:name="AK Courier">
    <w:panose1 w:val="020B0604020202020204"/>
  </w:font>
  <w:font w:name="Calibri">
    <w:panose1 w:val="020F0502020204030204"/>
  </w:font>
  <w:font w:name="Times New Roman">
    <w:panose1 w:val="02020603050405020304"/>
  </w:font>
  <w:font w:name="Sylfaen">
    <w:panose1 w:val="010A0502050306030303"/>
  </w:font>
  <w:font w:name="GHEA Grapalat">
    <w:panose1 w:val="02000506050000020003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4"/>
        <w:szCs w:val="24"/>
        <w:lang w:val="en-US" w:eastAsia="en-US" w:bidi="ar-SA"/>
        <w14:ligatures w14:val="standardContextual"/>
      </w:rPr>
    </w:rPrDefault>
    <w:pPrDefault>
      <w:pPr>
        <w:pBdr/>
        <w:spacing w:after="160" w:afterAutospacing="0" w:before="0" w:beforeAutospacing="0" w:line="278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>
    <w:name w:val="Table Grid"/>
    <w:basedOn w:val="671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67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67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val="clear" w:color="ffffff" w:themeColor="text1" w:themeTint="0D" w:fill="f2f2f2" w:themeFill="text1" w:themeFillTint="0D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text1" w:themeTint="0D" w:fill="f2f2f2" w:themeFill="text1" w:themeFillTint="0D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67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6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0D" w:fill="f2f2f2" w:themeFill="text1" w:themeFillTint="0D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6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0D" w:fill="f2f2f2" w:themeFill="text1" w:themeFillTint="0D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6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0D" w:fill="f2f2f2" w:themeFill="text1" w:themeFillTint="0D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tcBorders>
          <w:right w:val="single" w:color="404040" w:sz="4" w:space="0"/>
        </w:tcBorders>
        <w:shd w:val="clear" w:color="ffffff"/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tcBorders>
          <w:left w:val="single" w:color="404040" w:sz="4" w:space="0"/>
        </w:tcBorders>
        <w:shd w:val="clear" w:color="ffffff"/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6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6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6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6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6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6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6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6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34" w:fill="cbcbcb" w:themeFill="text1" w:themeFillTint="34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6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34" w:fill="c0e4f5" w:themeFill="accent1" w:themeFillTint="34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34" w:fill="c0e4f5" w:themeFill="accent1" w:themeFillTint="34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6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32" w:fill="fbe3d7" w:themeFill="accent2" w:themeFillTint="32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32" w:fill="fbe3d7" w:themeFill="accent2" w:themeFillTint="32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6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34" w:fill="c1f0c7" w:themeFill="accent3" w:themeFillTint="34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34" w:fill="c1f0c7" w:themeFill="accent3" w:themeFillTint="34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6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34" w:fill="c9edfb" w:themeFill="accent4" w:themeFillTint="34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34" w:fill="c9edfb" w:themeFill="accent4" w:themeFillTint="34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6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themeTint="34" w:fill="f2ceee" w:themeFill="accent5" w:themeFillTint="34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themeTint="34" w:fill="f2ceee" w:themeFill="accent5" w:themeFillTint="34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6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themeTint="34" w:fill="d9f2d0" w:themeFill="accent6" w:themeFillTint="34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themeTint="34" w:fill="d9f2d0" w:themeFill="accent6" w:themeFillTint="34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  <w:shd w:val="clear" w:color="ffffff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6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34" w:fill="cbcbcb" w:themeFill="text1" w:themeFillTint="34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6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34" w:fill="c0e4f5" w:themeFill="accent1" w:themeFillTint="34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34" w:fill="c0e4f5" w:themeFill="accent1" w:themeFillTint="34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6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32" w:fill="fbe3d7" w:themeFill="accent2" w:themeFillTint="32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32" w:fill="fbe3d7" w:themeFill="accent2" w:themeFillTint="32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6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34" w:fill="c1f0c7" w:themeFill="accent3" w:themeFillTint="34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34" w:fill="c1f0c7" w:themeFill="accent3" w:themeFillTint="34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6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34" w:fill="c9edfb" w:themeFill="accent4" w:themeFillTint="34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34" w:fill="c9edfb" w:themeFill="accent4" w:themeFillTint="34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6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themeTint="34" w:fill="f2ceee" w:themeFill="accent5" w:themeFillTint="34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themeTint="34" w:fill="f2ceee" w:themeFill="accent5" w:themeFillTint="34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6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themeTint="34" w:fill="d9f2d0" w:themeFill="accent6" w:themeFillTint="34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themeTint="34" w:fill="d9f2d0" w:themeFill="accent6" w:themeFillTint="34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color="ffffff"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6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34" w:fill="cbcbcb" w:themeFill="text1" w:themeFillTint="34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ffffff" w:themeColor="text1" w:fill="000000" w:themeFill="text1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6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32" w:fill="c2e5f5" w:themeFill="accent1" w:themeFillTint="32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32" w:fill="c2e5f5" w:themeFill="accent1" w:themeFillTint="32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  <w:shd w:val="clear" w:color="ffffff" w:themeColor="accent1" w:themeTint="EA" w:fill="19739b" w:themeFill="accent1" w:themeFillTint="EA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6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32" w:fill="fbe3d7" w:themeFill="accent2" w:themeFillTint="32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32" w:fill="fbe3d7" w:themeFill="accent2" w:themeFillTint="32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  <w:shd w:val="clear" w:color="ffffff" w:themeColor="accent2" w:themeTint="97" w:fill="f2ab86" w:themeFill="accent2" w:themeFillTint="97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6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34" w:fill="c1f0c7" w:themeFill="accent3" w:themeFillTint="34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34" w:fill="c1f0c7" w:themeFill="accent3" w:themeFillTint="34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  <w:shd w:val="clear" w:color="ffffff" w:themeColor="accent3" w:themeTint="FE" w:fill="196c24" w:themeFill="accent3" w:themeFillTint="FE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6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34" w:fill="c9edfb" w:themeFill="accent4" w:themeFillTint="34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34" w:fill="c9edfb" w:themeFill="accent4" w:themeFillTint="34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  <w:shd w:val="clear" w:color="ffffff" w:themeColor="accent4" w:themeTint="9A" w:fill="60cbf4" w:themeFill="accent4" w:themeFillTint="9A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6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themeTint="34" w:fill="f2ceee" w:themeFill="accent5" w:themeFillTint="34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themeTint="34" w:fill="f2ceee" w:themeFill="accent5" w:themeFillTint="34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  <w:shd w:val="clear" w:color="ffffff" w:themeColor="accent5" w:fill="a02b93" w:themeFill="accent5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6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themeTint="34" w:fill="d9f2d0" w:themeFill="accent6" w:themeFillTint="34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themeTint="34" w:fill="d9f2d0" w:themeFill="accent6" w:themeFillTint="34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  <w:shd w:val="clear" w:color="ffffff" w:themeColor="accent6" w:fill="4ea72e" w:themeFill="accent6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6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val="clear" w:color="ffffff" w:themeColor="text1" w:themeTint="75" w:fill="8a8a8a" w:themeFill="text1" w:themeFillTint="75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text1" w:themeTint="75" w:fill="8a8a8a" w:themeFill="text1" w:themeFillTint="75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</w:tcBorders>
        <w:shd w:val="clear" w:color="ffffff" w:themeColor="text1" w:fill="000000" w:themeFill="text1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6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c0e4f5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val="clear" w:color="ffffff" w:themeColor="accent1" w:themeTint="75" w:fill="71c3e8" w:themeFill="accent1" w:themeFillTint="75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1" w:themeTint="75" w:fill="71c3e8" w:themeFill="accent1" w:themeFillTint="75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fill="156082" w:themeFill="accent1"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fill="156082" w:themeFill="accent1"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fill="156082" w:themeFill="accent1"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</w:tcBorders>
        <w:shd w:val="clear" w:color="ffffff" w:themeColor="accent1" w:fill="156082" w:themeFill="accent1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6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3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val="clear" w:color="ffffff" w:themeColor="accent2" w:themeTint="75" w:fill="f5bea1" w:themeFill="accent2" w:themeFillTint="75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2" w:themeTint="75" w:fill="f5bea1" w:themeFill="accent2" w:themeFillTint="75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fill="e97132" w:themeFill="accent2"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fill="e97132" w:themeFill="accent2"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fill="e97132" w:themeFill="accent2"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</w:tcBorders>
        <w:shd w:val="clear" w:color="ffffff" w:themeColor="accent2" w:fill="e97132" w:themeFill="accent2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6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c1f0c7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val="clear" w:color="ffffff" w:themeColor="accent3" w:themeTint="75" w:fill="72de81" w:themeFill="accent3" w:themeFillTint="75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3" w:themeTint="75" w:fill="72de81" w:themeFill="accent3" w:themeFillTint="75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fill="196b24" w:themeFill="accent3"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fill="196b24" w:themeFill="accent3"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fill="196b24" w:themeFill="accent3"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</w:tcBorders>
        <w:shd w:val="clear" w:color="ffffff" w:themeColor="accent3" w:fill="196b24" w:themeFill="accent3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6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c9edf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val="clear" w:color="ffffff" w:themeColor="accent4" w:themeTint="75" w:fill="86d7f6" w:themeFill="accent4" w:themeFillTint="75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4" w:themeTint="75" w:fill="86d7f6" w:themeFill="accent4" w:themeFillTint="75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fill="0f9ed5" w:themeFill="accent4"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fill="0f9ed5" w:themeFill="accent4"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fill="0f9ed5" w:themeFill="accent4"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</w:tcBorders>
        <w:shd w:val="clear" w:color="ffffff" w:themeColor="accent4" w:fill="0f9ed5" w:themeFill="accent4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6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f2ceee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val="clear" w:color="ffffff" w:themeColor="accent5" w:themeTint="75" w:fill="e190d8" w:themeFill="accent5" w:themeFillTint="75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5" w:themeTint="75" w:fill="e190d8" w:themeFill="accent5" w:themeFillTint="75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fill="a02b93" w:themeFill="accent5"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fill="a02b93" w:themeFill="accent5"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fill="a02b93" w:themeFill="accent5"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</w:tcBorders>
        <w:shd w:val="clear" w:color="ffffff" w:themeColor="accent5" w:fill="a02b93" w:themeFill="accent5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6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d9f2d0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val="clear" w:color="ffffff" w:themeColor="accent6" w:themeTint="75" w:fill="a9e294" w:themeFill="accent6" w:themeFillTint="75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6" w:themeTint="75" w:fill="a9e294" w:themeFill="accent6" w:themeFillTint="75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fill="4ea72e" w:themeFill="accent6"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fill="4ea72e" w:themeFill="accent6"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fill="4ea72e" w:themeFill="accent6"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</w:tcBorders>
        <w:shd w:val="clear" w:color="ffffff" w:themeColor="accent6" w:fill="4ea72e" w:themeFill="accent6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6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34" w:fill="cbcbcb" w:themeFill="text1" w:themeFillTint="34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6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34" w:fill="c0e4f5" w:themeFill="accent1" w:themeFillTint="34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1" w:themeTint="34" w:fill="c0e4f5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1b7aa6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6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32" w:fill="fbe3d7" w:themeFill="accent2" w:themeFillTint="32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2" w:themeTint="32" w:fill="fbe3d7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6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34" w:fill="c1f0c7" w:themeFill="accent3" w:themeFillTint="34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3" w:themeTint="34" w:fill="c1f0c7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f3f1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6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34" w:fill="c9edfb" w:themeFill="accent4" w:themeFillTint="34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4" w:themeTint="34" w:fill="c9edf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6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themeTint="34" w:fill="f2ceee" w:themeFill="accent5" w:themeFillTint="34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5" w:themeTint="34" w:fill="f2ceee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6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themeTint="34" w:fill="d9f2d0" w:themeFill="accent6" w:themeFillTint="34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6" w:themeTint="34" w:fill="d9f2d0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d1956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6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0D" w:fill="f2f2f2" w:themeFill="text1" w:themeFillTint="0D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tcBorders>
          <w:top w:val="none"/>
          <w:left w:val="none"/>
          <w:bottom w:val="none"/>
          <w:right w:val="single" w:color="000000" w:themeColor="text1" w:themeTint="80" w:sz="4" w:space="0"/>
        </w:tcBorders>
        <w:shd w:color="ffffff"/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>
          <w:top w:val="none"/>
          <w:left w:val="none"/>
          <w:bottom w:val="single" w:color="000000" w:themeColor="text1" w:themeTint="80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>
          <w:top w:val="none"/>
          <w:left w:val="single" w:color="000000" w:themeColor="text1" w:themeTint="80" w:sz="4" w:space="0"/>
          <w:bottom w:val="none"/>
          <w:right w:val="none"/>
        </w:tcBorders>
        <w:shd w:color="ffffff"/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6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34" w:fill="c0e4f5" w:themeFill="accent1" w:themeFillTint="34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1" w:themeTint="34" w:fill="c0e4f5" w:themeFill="accent1" w:themeFillTint="34"/>
      </w:tcPr>
    </w:tblStylePr>
    <w:tblStylePr w:type="band2Horz">
      <w:rPr>
        <w:rFonts w:ascii="Arial" w:hAnsi="Arial"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1b7aa6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tcBorders>
          <w:top w:val="none"/>
          <w:left w:val="none"/>
          <w:bottom w:val="none"/>
          <w:right w:val="single" w:color="000000" w:themeColor="accent1" w:themeTint="80" w:sz="4" w:space="0"/>
        </w:tcBorders>
        <w:shd w:color="ffffff"/>
      </w:tcPr>
    </w:tblStylePr>
    <w:tblStylePr w:type="firstRow">
      <w:rPr>
        <w:rFonts w:ascii="Arial" w:hAnsi="Arial"/>
        <w:b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>
          <w:top w:val="none"/>
          <w:left w:val="none"/>
          <w:bottom w:val="single" w:color="000000" w:themeColor="accent1" w:themeTint="80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>
          <w:top w:val="none"/>
          <w:left w:val="single" w:color="000000" w:themeColor="accent1" w:themeTint="80" w:sz="4" w:space="0"/>
          <w:bottom w:val="none"/>
          <w:right w:val="none"/>
        </w:tcBorders>
        <w:shd w:color="ffffff"/>
      </w:tcPr>
    </w:tblStylePr>
    <w:tblStylePr w:type="lastRow">
      <w:rPr>
        <w:rFonts w:ascii="Arial" w:hAnsi="Arial"/>
        <w:b/>
        <w:color w:val="1b7aa6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80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6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32" w:fill="fbe3d7" w:themeFill="accent2" w:themeFillTint="32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2" w:themeTint="32" w:fill="fbe3d7" w:themeFill="accent2" w:themeFillTint="32"/>
      </w:tcPr>
    </w:tblStylePr>
    <w:tblStylePr w:type="band2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tcBorders>
          <w:top w:val="none"/>
          <w:left w:val="none"/>
          <w:bottom w:val="none"/>
          <w:right w:val="single" w:color="000000" w:themeColor="accent2" w:themeTint="97" w:sz="4" w:space="0"/>
        </w:tcBorders>
        <w:shd w:color="ffffff"/>
      </w:tcPr>
    </w:tblStylePr>
    <w:tblStylePr w:type="firstRow">
      <w:rPr>
        <w:rFonts w:ascii="Arial" w:hAnsi="Arial"/>
        <w:b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>
          <w:top w:val="none"/>
          <w:left w:val="none"/>
          <w:bottom w:val="single" w:color="000000" w:themeColor="accent2" w:themeTint="97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>
          <w:top w:val="none"/>
          <w:left w:val="single" w:color="000000" w:themeColor="accent2" w:themeTint="97" w:sz="4" w:space="0"/>
          <w:bottom w:val="none"/>
          <w:right w:val="none"/>
        </w:tcBorders>
        <w:shd w:color="ffffff"/>
      </w:tcPr>
    </w:tblStylePr>
    <w:tblStylePr w:type="lastRow">
      <w:rPr>
        <w:rFonts w:ascii="Arial" w:hAnsi="Arial"/>
        <w:b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6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34" w:fill="c1f0c7" w:themeFill="accent3" w:themeFillTint="34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3" w:themeTint="34" w:fill="c1f0c7" w:themeFill="accent3" w:themeFillTint="34"/>
      </w:tcPr>
    </w:tblStylePr>
    <w:tblStylePr w:type="band2Horz">
      <w:rPr>
        <w:rFonts w:ascii="Arial" w:hAnsi="Arial"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f3f15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tcBorders>
          <w:top w:val="none"/>
          <w:left w:val="none"/>
          <w:bottom w:val="none"/>
          <w:right w:val="single" w:color="000000" w:themeColor="accent3" w:themeTint="FE" w:sz="4" w:space="0"/>
        </w:tcBorders>
        <w:shd w:color="ffffff"/>
      </w:tcPr>
    </w:tblStylePr>
    <w:tblStylePr w:type="firstRow">
      <w:rPr>
        <w:rFonts w:ascii="Arial" w:hAnsi="Arial"/>
        <w:b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>
          <w:top w:val="none"/>
          <w:left w:val="none"/>
          <w:bottom w:val="single" w:color="000000" w:themeColor="accent3" w:themeTint="FE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>
          <w:top w:val="none"/>
          <w:left w:val="single" w:color="000000" w:themeColor="accent3" w:themeTint="FE" w:sz="4" w:space="0"/>
          <w:bottom w:val="none"/>
          <w:right w:val="none"/>
        </w:tcBorders>
        <w:shd w:color="ffffff"/>
      </w:tcPr>
    </w:tblStylePr>
    <w:tblStylePr w:type="lastRow">
      <w:rPr>
        <w:rFonts w:ascii="Arial" w:hAnsi="Arial"/>
        <w:b/>
        <w:color w:val="0f3f1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6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34" w:fill="c9edfb" w:themeFill="accent4" w:themeFillTint="34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4" w:themeTint="34" w:fill="c9edfb" w:themeFill="accent4" w:themeFillTint="34"/>
      </w:tcPr>
    </w:tblStylePr>
    <w:tblStylePr w:type="band2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tcBorders>
          <w:top w:val="none"/>
          <w:left w:val="none"/>
          <w:bottom w:val="none"/>
          <w:right w:val="single" w:color="000000" w:themeColor="accent4" w:themeTint="9A" w:sz="4" w:space="0"/>
        </w:tcBorders>
        <w:shd w:color="ffffff"/>
      </w:tcPr>
    </w:tblStylePr>
    <w:tblStylePr w:type="firstRow">
      <w:rPr>
        <w:rFonts w:ascii="Arial" w:hAnsi="Arial"/>
        <w:b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>
          <w:top w:val="none"/>
          <w:left w:val="none"/>
          <w:bottom w:val="single" w:color="000000" w:themeColor="accent4" w:themeTint="9A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>
          <w:top w:val="none"/>
          <w:left w:val="single" w:color="000000" w:themeColor="accent4" w:themeTint="9A" w:sz="4" w:space="0"/>
          <w:bottom w:val="none"/>
          <w:right w:val="none"/>
        </w:tcBorders>
        <w:shd w:color="ffffff"/>
      </w:tcPr>
    </w:tblStylePr>
    <w:tblStylePr w:type="lastRow">
      <w:rPr>
        <w:rFonts w:ascii="Arial" w:hAnsi="Arial"/>
        <w:b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6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themeTint="34" w:fill="f2ceee" w:themeFill="accent5" w:themeFillTint="34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5" w:themeTint="34" w:fill="f2ceee" w:themeFill="accent5" w:themeFillTint="34"/>
      </w:tcPr>
    </w:tblStylePr>
    <w:tblStylePr w:type="band2Horz">
      <w:rPr>
        <w:rFonts w:ascii="Arial" w:hAnsi="Arial"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d1956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tcBorders>
          <w:top w:val="none"/>
          <w:left w:val="none"/>
          <w:bottom w:val="none"/>
          <w:right w:val="single" w:color="000000" w:themeColor="accent5" w:themeTint="90" w:sz="4" w:space="0"/>
        </w:tcBorders>
        <w:shd w:color="ffffff"/>
      </w:tcPr>
    </w:tblStylePr>
    <w:tblStylePr w:type="firstRow">
      <w:rPr>
        <w:rFonts w:ascii="Arial" w:hAnsi="Arial"/>
        <w:b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tcBorders>
          <w:top w:val="none"/>
          <w:left w:val="none"/>
          <w:bottom w:val="single" w:color="000000" w:themeColor="accent5" w:themeTint="90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tcBorders>
          <w:top w:val="none"/>
          <w:left w:val="single" w:color="000000" w:themeColor="accent5" w:themeTint="90" w:sz="4" w:space="0"/>
          <w:bottom w:val="none"/>
          <w:right w:val="none"/>
        </w:tcBorders>
        <w:shd w:color="ffffff"/>
      </w:tcPr>
    </w:tblStylePr>
    <w:tblStylePr w:type="lastRow">
      <w:rPr>
        <w:rFonts w:ascii="Arial" w:hAnsi="Arial"/>
        <w:b/>
        <w:color w:val="5d1956" w:themeColor="accent5" w:themeShade="95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6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themeTint="34" w:fill="d9f2d0" w:themeFill="accent6" w:themeFillTint="34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6" w:themeTint="34" w:fill="d9f2d0" w:themeFill="accent6" w:themeFillTint="34"/>
      </w:tcPr>
    </w:tblStylePr>
    <w:tblStylePr w:type="band2Horz">
      <w:rPr>
        <w:rFonts w:ascii="Arial" w:hAnsi="Arial"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e621b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tcBorders>
          <w:top w:val="none"/>
          <w:left w:val="none"/>
          <w:bottom w:val="none"/>
          <w:right w:val="single" w:color="000000" w:themeColor="accent6" w:themeTint="90" w:sz="4" w:space="0"/>
        </w:tcBorders>
        <w:shd w:color="ffffff"/>
      </w:tcPr>
    </w:tblStylePr>
    <w:tblStylePr w:type="firstRow">
      <w:rPr>
        <w:rFonts w:ascii="Arial" w:hAnsi="Arial"/>
        <w:b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tcBorders>
          <w:top w:val="none"/>
          <w:left w:val="none"/>
          <w:bottom w:val="single" w:color="000000" w:themeColor="accent6" w:themeTint="90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tcBorders>
          <w:top w:val="none"/>
          <w:left w:val="single" w:color="000000" w:themeColor="accent6" w:themeTint="90" w:sz="4" w:space="0"/>
          <w:bottom w:val="none"/>
          <w:right w:val="none"/>
        </w:tcBorders>
        <w:shd w:color="ffffff"/>
      </w:tcPr>
    </w:tblStylePr>
    <w:tblStylePr w:type="lastRow">
      <w:rPr>
        <w:rFonts w:ascii="Arial" w:hAnsi="Arial"/>
        <w:b/>
        <w:color w:val="2e621b" w:themeColor="accent6" w:themeShade="95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6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val="clear" w:color="ffffff" w:themeColor="text1" w:themeTint="40" w:fill="bfbfbf" w:themeFill="text1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text1" w:themeTint="40" w:fill="bfbfbf" w:themeFill="text1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6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val="clear" w:color="ffffff" w:themeColor="accent1" w:themeTint="40" w:fill="b1def2" w:themeFill="accent1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1" w:themeTint="40" w:fill="b1def2" w:themeFill="accent1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6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val="clear" w:color="ffffff" w:themeColor="accent2" w:themeTint="40" w:fill="f9dbcc" w:themeFill="accent2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2" w:themeTint="40" w:fill="f9dbcc" w:themeFill="accent2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6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val="clear" w:color="ffffff" w:themeColor="accent3" w:themeTint="40" w:fill="b2edba" w:themeFill="accent3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3" w:themeTint="40" w:fill="b2edba" w:themeFill="accent3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6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val="clear" w:color="ffffff" w:themeColor="accent4" w:themeTint="40" w:fill="bde9fa" w:themeFill="accent4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4" w:themeTint="40" w:fill="bde9fa" w:themeFill="accent4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6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val="clear" w:color="ffffff" w:themeColor="accent5" w:themeTint="40" w:fill="efc2ea" w:themeFill="accent5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5" w:themeTint="40" w:fill="efc2ea" w:themeFill="accent5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6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  <w:shd w:val="clear" w:color="ffffff" w:themeColor="accent6" w:themeTint="40" w:fill="d0efc5" w:themeFill="accent6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6" w:themeTint="40" w:fill="d0efc5" w:themeFill="accent6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6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40" w:fill="bfbfbf" w:themeFill="text1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6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40" w:fill="b1def2" w:themeFill="accent1" w:themeFillTint="40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40" w:fill="b1def2" w:themeFill="accent1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6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40" w:fill="f9dbcc" w:themeFill="accent2" w:themeFillTint="40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40" w:fill="f9dbcc" w:themeFill="accent2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6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40" w:fill="b2edba" w:themeFill="accent3" w:themeFillTint="40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40" w:fill="b2edba" w:themeFill="accent3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6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40" w:fill="bde9fa" w:themeFill="accent4" w:themeFillTint="40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40" w:fill="bde9fa" w:themeFill="accent4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6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themeTint="40" w:fill="efc2ea" w:themeFill="accent5" w:themeFillTint="40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themeTint="40" w:fill="efc2ea" w:themeFill="accent5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6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themeTint="40" w:fill="d0efc5" w:themeFill="accent6" w:themeFillTint="40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themeTint="40" w:fill="d0efc5" w:themeFill="accent6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6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fill="000000" w:themeFill="text1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6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fill="156082" w:themeFill="accent1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6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97" w:fill="f2ab86" w:themeFill="accent2" w:themeFillTint="97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6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98" w:fill="48d45b" w:themeFill="accent3" w:themeFillTint="98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6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9A" w:fill="60cbf4" w:themeFill="accent4" w:themeFillTint="9A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6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themeTint="9A" w:fill="d86dcc" w:themeFill="accent5" w:themeFillTint="9A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6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themeTint="98" w:fill="8fd974" w:themeFill="accent6" w:themeFillTint="98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6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40" w:fill="bfbfbf" w:themeFill="text1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fill="000000" w:themeFill="text1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6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40" w:fill="b1def2" w:themeFill="accent1" w:themeFillTint="40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40" w:fill="b1def2" w:themeFill="accent1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fill="156082" w:themeFill="accent1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6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40" w:fill="f9dbcc" w:themeFill="accent2" w:themeFillTint="40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40" w:fill="f9dbcc" w:themeFill="accent2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fill="e97132" w:themeFill="accent2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6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40" w:fill="b2edba" w:themeFill="accent3" w:themeFillTint="40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40" w:fill="b2edba" w:themeFill="accent3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fill="196b24" w:themeFill="accent3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6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40" w:fill="bde9fa" w:themeFill="accent4" w:themeFillTint="40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40" w:fill="bde9fa" w:themeFill="accent4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fill="0f9ed5" w:themeFill="accent4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6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themeTint="40" w:fill="efc2ea" w:themeFill="accent5" w:themeFillTint="40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themeTint="40" w:fill="efc2ea" w:themeFill="accent5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fill="a02b93" w:themeFill="accent5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6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themeTint="40" w:fill="d0efc5" w:themeFill="accent6" w:themeFillTint="40"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themeTint="40" w:fill="d0efc5" w:themeFill="accent6" w:themeFillTint="40"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fill="4ea72e" w:themeFill="accent6"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6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2Horz"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text1" w:themeTint="80" w:fill="7f7f7f" w:themeFill="text1" w:themeFillTint="80"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32" w:space="0"/>
          <w:bottom w:val="single" w:color="000000" w:themeColor="light1" w:sz="12" w:space="0"/>
        </w:tcBorders>
        <w:shd w:val="clear" w:color="ffffff" w:themeColor="text1" w:themeTint="80" w:fill="7f7f7f" w:themeFill="text1" w:themeFillTint="80"/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6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156082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1" w:fill="156082" w:themeFill="accent1"/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1" w:fill="156082" w:themeFill="accent1"/>
      </w:tcPr>
    </w:tblStylePr>
    <w:tblStylePr w:type="band2Horz"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1" w:fill="156082" w:themeFill="accent1"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32" w:space="0"/>
          <w:bottom w:val="single" w:color="000000" w:themeColor="light1" w:sz="12" w:space="0"/>
        </w:tcBorders>
        <w:shd w:val="clear" w:color="ffffff" w:themeColor="accent1" w:fill="156082" w:themeFill="accent1"/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6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2ab8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2" w:themeTint="97" w:fill="f2ab86" w:themeFill="accent2" w:themeFillTint="97"/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2" w:themeTint="97" w:fill="f2ab86" w:themeFill="accent2" w:themeFillTint="97"/>
      </w:tcPr>
    </w:tblStylePr>
    <w:tblStylePr w:type="band2Horz"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2" w:themeTint="97" w:fill="f2ab86" w:themeFill="accent2" w:themeFillTint="97"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32" w:space="0"/>
          <w:bottom w:val="single" w:color="000000" w:themeColor="light1" w:sz="12" w:space="0"/>
        </w:tcBorders>
        <w:shd w:val="clear" w:color="ffffff" w:themeColor="accent2" w:themeTint="97" w:fill="f2ab86" w:themeFill="accent2" w:themeFillTint="97"/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6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48d45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3" w:themeTint="98" w:fill="48d45b" w:themeFill="accent3" w:themeFillTint="98"/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3" w:themeTint="98" w:fill="48d45b" w:themeFill="accent3" w:themeFillTint="98"/>
      </w:tcPr>
    </w:tblStylePr>
    <w:tblStylePr w:type="band2Horz"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3" w:themeTint="98" w:fill="48d45b" w:themeFill="accent3" w:themeFillTint="98"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32" w:space="0"/>
          <w:bottom w:val="single" w:color="000000" w:themeColor="light1" w:sz="12" w:space="0"/>
        </w:tcBorders>
        <w:shd w:val="clear" w:color="ffffff" w:themeColor="accent3" w:themeTint="98" w:fill="48d45b" w:themeFill="accent3" w:themeFillTint="98"/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6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60cbf4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4" w:themeTint="9A" w:fill="60cbf4" w:themeFill="accent4" w:themeFillTint="9A"/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4" w:themeTint="9A" w:fill="60cbf4" w:themeFill="accent4" w:themeFillTint="9A"/>
      </w:tcPr>
    </w:tblStylePr>
    <w:tblStylePr w:type="band2Horz"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4" w:themeTint="9A" w:fill="60cbf4" w:themeFill="accent4" w:themeFillTint="9A"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32" w:space="0"/>
          <w:bottom w:val="single" w:color="000000" w:themeColor="light1" w:sz="12" w:space="0"/>
        </w:tcBorders>
        <w:shd w:val="clear" w:color="ffffff" w:themeColor="accent4" w:themeTint="9A" w:fill="60cbf4" w:themeFill="accent4" w:themeFillTint="9A"/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6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d86dc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5" w:themeTint="9A" w:fill="d86dcc" w:themeFill="accent5" w:themeFillTint="9A"/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5" w:themeTint="9A" w:fill="d86dcc" w:themeFill="accent5" w:themeFillTint="9A"/>
      </w:tcPr>
    </w:tblStylePr>
    <w:tblStylePr w:type="band2Horz"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5" w:themeTint="9A" w:fill="d86dcc" w:themeFill="accent5" w:themeFillTint="9A"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32" w:space="0"/>
          <w:bottom w:val="single" w:color="000000" w:themeColor="light1" w:sz="12" w:space="0"/>
        </w:tcBorders>
        <w:shd w:val="clear" w:color="ffffff" w:themeColor="accent5" w:themeTint="9A" w:fill="d86dcc" w:themeFill="accent5" w:themeFillTint="9A"/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6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8fd974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6" w:themeTint="98" w:fill="8fd974" w:themeFill="accent6" w:themeFillTint="98"/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themeColor="accent6" w:themeTint="98" w:fill="8fd974" w:themeFill="accent6" w:themeFillTint="98"/>
      </w:tcPr>
    </w:tblStylePr>
    <w:tblStylePr w:type="band2Horz">
      <w:pPr>
        <w:pBdr/>
        <w:spacing/>
        <w:ind/>
      </w:pPr>
      <w:tblPr>
        <w:tblBorders/>
      </w:tblPr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themeColor="accent6" w:themeTint="98" w:fill="8fd974" w:themeFill="accent6" w:themeFillTint="98"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32" w:space="0"/>
          <w:bottom w:val="single" w:color="000000" w:themeColor="light1" w:sz="12" w:space="0"/>
        </w:tcBorders>
        <w:shd w:val="clear" w:color="ffffff" w:themeColor="accent6" w:themeTint="98" w:fill="8fd974" w:themeFill="accent6" w:themeFillTint="98"/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6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40" w:fill="bfbfbf" w:themeFill="text1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6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40" w:fill="b1def2" w:themeFill="accent1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1" w:themeTint="40" w:fill="b1def2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c384c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6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40" w:fill="f9dbcc" w:themeFill="accent2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2" w:themeTint="40" w:fill="f9dbcc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6521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6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40" w:fill="b2edba" w:themeFill="accent3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3" w:themeTint="40" w:fill="b2edba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0862e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6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40" w:fill="bde9fa" w:themeFill="accent4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4" w:themeTint="40" w:fill="bde9fa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d8aba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6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themeTint="40" w:fill="efc2ea" w:themeFill="accent5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5" w:themeTint="40" w:fill="efc2ea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6288a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6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themeTint="40" w:fill="d0efc5" w:themeFill="accent6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6" w:themeTint="40" w:fill="d0efc5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7992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6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40" w:fill="bfbfbf" w:themeFill="text1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tcBorders>
          <w:top w:val="none"/>
          <w:left w:val="none"/>
          <w:bottom w:val="none"/>
          <w:right w:val="single" w:color="000000" w:themeColor="text1" w:themeTint="80" w:sz="4" w:space="0"/>
        </w:tcBorders>
        <w:shd w:color="ffffff"/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>
          <w:top w:val="none"/>
          <w:left w:val="none"/>
          <w:bottom w:val="single" w:color="000000" w:themeColor="text1" w:themeTint="80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>
          <w:top w:val="none"/>
          <w:left w:val="single" w:color="000000" w:themeColor="text1" w:themeTint="80" w:sz="4" w:space="0"/>
          <w:bottom w:val="none"/>
          <w:right w:val="none"/>
        </w:tcBorders>
        <w:shd w:color="ffffff"/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6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40" w:fill="b1def2" w:themeFill="accent1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1" w:themeTint="40" w:fill="b1def2" w:themeFill="accent1" w:themeFillTint="40"/>
      </w:tcPr>
    </w:tblStylePr>
    <w:tblStylePr w:type="band2Horz">
      <w:rPr>
        <w:rFonts w:ascii="Arial" w:hAnsi="Arial"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c384c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tcBorders>
          <w:top w:val="none"/>
          <w:left w:val="none"/>
          <w:bottom w:val="none"/>
          <w:right w:val="single" w:color="000000" w:themeColor="accent1" w:sz="4" w:space="0"/>
        </w:tcBorders>
        <w:shd w:color="ffffff"/>
      </w:tcPr>
    </w:tblStylePr>
    <w:tblStylePr w:type="firstRow">
      <w:rPr>
        <w:rFonts w:ascii="Arial" w:hAnsi="Arial"/>
        <w:i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tcBorders>
          <w:top w:val="none"/>
          <w:left w:val="none"/>
          <w:bottom w:val="single" w:color="000000" w:themeColor="accent1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tcBorders>
          <w:top w:val="none"/>
          <w:left w:val="single" w:color="000000" w:themeColor="accent1" w:sz="4" w:space="0"/>
          <w:bottom w:val="none"/>
          <w:right w:val="none"/>
        </w:tcBorders>
        <w:shd w:color="ffffff"/>
      </w:tcPr>
    </w:tblStylePr>
    <w:tblStylePr w:type="lastRow">
      <w:rPr>
        <w:rFonts w:ascii="Arial" w:hAnsi="Arial"/>
        <w:i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0c384c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6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40" w:fill="f9dbcc" w:themeFill="accent2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2" w:themeTint="40" w:fill="f9dbcc" w:themeFill="accent2" w:themeFillTint="40"/>
      </w:tcPr>
    </w:tblStylePr>
    <w:tblStylePr w:type="band2Horz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tcBorders>
          <w:top w:val="none"/>
          <w:left w:val="none"/>
          <w:bottom w:val="none"/>
          <w:right w:val="single" w:color="000000" w:themeColor="accent2" w:themeTint="97" w:sz="4" w:space="0"/>
        </w:tcBorders>
        <w:shd w:color="ffffff"/>
      </w:tcPr>
    </w:tblStylePr>
    <w:tblStylePr w:type="firstRow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>
          <w:top w:val="none"/>
          <w:left w:val="none"/>
          <w:bottom w:val="single" w:color="000000" w:themeColor="accent2" w:themeTint="97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>
          <w:top w:val="none"/>
          <w:left w:val="single" w:color="000000" w:themeColor="accent2" w:themeTint="97" w:sz="4" w:space="0"/>
          <w:bottom w:val="none"/>
          <w:right w:val="none"/>
        </w:tcBorders>
        <w:shd w:color="ffffff"/>
      </w:tcPr>
    </w:tblStylePr>
    <w:tblStylePr w:type="lastRow">
      <w:rPr>
        <w:rFonts w:ascii="Arial" w:hAnsi="Arial"/>
        <w:i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6521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6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40" w:fill="b2edba" w:themeFill="accent3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3" w:themeTint="40" w:fill="b2edba" w:themeFill="accent3" w:themeFillTint="40"/>
      </w:tcPr>
    </w:tblStylePr>
    <w:tblStylePr w:type="band2Horz">
      <w:rPr>
        <w:rFonts w:ascii="Arial" w:hAnsi="Arial"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tcBorders>
          <w:top w:val="none"/>
          <w:left w:val="none"/>
          <w:bottom w:val="none"/>
          <w:right w:val="single" w:color="000000" w:themeColor="accent3" w:themeTint="98" w:sz="4" w:space="0"/>
        </w:tcBorders>
        <w:shd w:color="ffffff"/>
      </w:tcPr>
    </w:tblStylePr>
    <w:tblStylePr w:type="firstRow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>
          <w:top w:val="none"/>
          <w:left w:val="none"/>
          <w:bottom w:val="single" w:color="000000" w:themeColor="accent3" w:themeTint="98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>
          <w:top w:val="none"/>
          <w:left w:val="single" w:color="000000" w:themeColor="accent3" w:themeTint="98" w:sz="4" w:space="0"/>
          <w:bottom w:val="none"/>
          <w:right w:val="none"/>
        </w:tcBorders>
        <w:shd w:color="ffffff"/>
      </w:tcPr>
    </w:tblStylePr>
    <w:tblStylePr w:type="lastRow">
      <w:rPr>
        <w:rFonts w:ascii="Arial" w:hAnsi="Arial"/>
        <w:i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0862e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6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40" w:fill="bde9fa" w:themeFill="accent4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4" w:themeTint="40" w:fill="bde9fa" w:themeFill="accent4" w:themeFillTint="40"/>
      </w:tcPr>
    </w:tblStylePr>
    <w:tblStylePr w:type="band2Horz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tcBorders>
          <w:top w:val="none"/>
          <w:left w:val="none"/>
          <w:bottom w:val="none"/>
          <w:right w:val="single" w:color="000000" w:themeColor="accent4" w:themeTint="9A" w:sz="4" w:space="0"/>
        </w:tcBorders>
        <w:shd w:color="ffffff"/>
      </w:tcPr>
    </w:tblStylePr>
    <w:tblStylePr w:type="firstRow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>
          <w:top w:val="none"/>
          <w:left w:val="none"/>
          <w:bottom w:val="single" w:color="000000" w:themeColor="accent4" w:themeTint="9A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>
          <w:top w:val="none"/>
          <w:left w:val="single" w:color="000000" w:themeColor="accent4" w:themeTint="9A" w:sz="4" w:space="0"/>
          <w:bottom w:val="none"/>
          <w:right w:val="none"/>
        </w:tcBorders>
        <w:shd w:color="ffffff"/>
      </w:tcPr>
    </w:tblStylePr>
    <w:tblStylePr w:type="lastRow">
      <w:rPr>
        <w:rFonts w:ascii="Arial" w:hAnsi="Arial"/>
        <w:i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0d8aba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6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themeTint="40" w:fill="efc2ea" w:themeFill="accent5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5" w:themeTint="40" w:fill="efc2ea" w:themeFill="accent5" w:themeFillTint="40"/>
      </w:tcPr>
    </w:tblStylePr>
    <w:tblStylePr w:type="band2Horz">
      <w:rPr>
        <w:rFonts w:ascii="Arial" w:hAnsi="Arial"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tcBorders>
          <w:top w:val="none"/>
          <w:left w:val="none"/>
          <w:bottom w:val="none"/>
          <w:right w:val="single" w:color="000000" w:themeColor="accent5" w:themeTint="9A" w:sz="4" w:space="0"/>
        </w:tcBorders>
        <w:shd w:color="ffffff"/>
      </w:tcPr>
    </w:tblStylePr>
    <w:tblStylePr w:type="firstRow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>
          <w:top w:val="none"/>
          <w:left w:val="none"/>
          <w:bottom w:val="single" w:color="000000" w:themeColor="accent5" w:themeTint="9A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>
          <w:top w:val="none"/>
          <w:left w:val="single" w:color="000000" w:themeColor="accent5" w:themeTint="9A" w:sz="4" w:space="0"/>
          <w:bottom w:val="none"/>
          <w:right w:val="none"/>
        </w:tcBorders>
        <w:shd w:color="ffffff"/>
      </w:tcPr>
    </w:tblStylePr>
    <w:tblStylePr w:type="lastRow">
      <w:rPr>
        <w:rFonts w:ascii="Arial" w:hAnsi="Arial"/>
        <w:i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6288a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6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themeTint="40" w:fill="d0efc5" w:themeFill="accent6" w:themeFillTint="40"/>
      </w:tcPr>
    </w:tblStylePr>
    <w:tblStylePr w:type="band1Vert">
      <w:pPr>
        <w:pBdr/>
        <w:spacing/>
        <w:ind/>
      </w:pPr>
      <w:tblPr>
        <w:tblBorders/>
      </w:tblPr>
      <w:tcPr>
        <w:tcBorders/>
        <w:shd w:val="clear" w:color="ffffff" w:themeColor="accent6" w:themeTint="40" w:fill="d0efc5" w:themeFill="accent6" w:themeFillTint="40"/>
      </w:tcPr>
    </w:tblStylePr>
    <w:tblStylePr w:type="band2Horz">
      <w:rPr>
        <w:rFonts w:ascii="Arial" w:hAnsi="Arial"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tcBorders>
          <w:top w:val="none"/>
          <w:left w:val="none"/>
          <w:bottom w:val="none"/>
          <w:right w:val="single" w:color="000000" w:themeColor="accent6" w:themeTint="98" w:sz="4" w:space="0"/>
        </w:tcBorders>
        <w:shd w:color="ffffff"/>
      </w:tcPr>
    </w:tblStylePr>
    <w:tblStylePr w:type="firstRow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>
          <w:top w:val="none"/>
          <w:left w:val="none"/>
          <w:bottom w:val="single" w:color="000000" w:themeColor="accent6" w:themeTint="98" w:sz="4" w:space="0"/>
          <w:right w:val="none"/>
        </w:tcBorders>
        <w:shd w:val="clear" w:color="ffffff" w:themeColor="light1" w:fill="ffffff" w:themeFill="light1"/>
      </w:tcPr>
    </w:tblStylePr>
    <w:tblStylePr w:type="lastCol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>
          <w:top w:val="none"/>
          <w:left w:val="single" w:color="000000" w:themeColor="accent6" w:themeTint="98" w:sz="4" w:space="0"/>
          <w:bottom w:val="none"/>
          <w:right w:val="none"/>
        </w:tcBorders>
        <w:shd w:color="ffffff"/>
      </w:tcPr>
    </w:tblStylePr>
    <w:tblStylePr w:type="lastRow">
      <w:rPr>
        <w:rFonts w:ascii="Arial" w:hAnsi="Arial"/>
        <w:i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left w:val="none"/>
          <w:bottom w:val="none"/>
          <w:right w:val="none"/>
        </w:tcBorders>
        <w:shd w:val="clear" w:color="ffffff" w:themeColor="light1" w:fill="ffffff" w:themeFill="light1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7992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6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80" w:fill="7f7f7f" w:themeFill="text1" w:themeFillTint="80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6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50" w:fill="9ed6ef" w:themeFill="accent1" w:themeFillTint="50"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50" w:fill="9ed6ef" w:themeFill="accent1" w:themeFillTint="50"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EA" w:fill="19739b" w:themeFill="accent1" w:themeFillTint="EA"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EA" w:fill="19739b" w:themeFill="accent1" w:themeFillTint="EA"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EA" w:fill="19739b" w:themeFill="accent1" w:themeFillTint="EA"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EA" w:fill="19739b" w:themeFill="accent1" w:themeFillTint="EA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6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32" w:fill="fbe3d7" w:themeFill="accent2" w:themeFillTint="32"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32" w:fill="fbe3d7" w:themeFill="accent2" w:themeFillTint="32"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97" w:fill="f2ab86" w:themeFill="accent2" w:themeFillTint="97"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97" w:fill="f2ab86" w:themeFill="accent2" w:themeFillTint="97"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97" w:fill="f2ab86" w:themeFill="accent2" w:themeFillTint="97"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97" w:fill="f2ab86" w:themeFill="accent2" w:themeFillTint="97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6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34" w:fill="c1f0c7" w:themeFill="accent3" w:themeFillTint="34"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34" w:fill="c1f0c7" w:themeFill="accent3" w:themeFillTint="34"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FE" w:fill="196c24" w:themeFill="accent3" w:themeFillTint="FE"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FE" w:fill="196c24" w:themeFill="accent3" w:themeFillTint="FE"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FE" w:fill="196c24" w:themeFill="accent3" w:themeFillTint="FE"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FE" w:fill="196c24" w:themeFill="accent3" w:themeFillTint="FE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6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34" w:fill="c9edfb" w:themeFill="accent4" w:themeFillTint="34"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34" w:fill="c9edfb" w:themeFill="accent4" w:themeFillTint="34"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9A" w:fill="60cbf4" w:themeFill="accent4" w:themeFillTint="9A"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9A" w:fill="60cbf4" w:themeFill="accent4" w:themeFillTint="9A"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9A" w:fill="60cbf4" w:themeFill="accent4" w:themeFillTint="9A"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9A" w:fill="60cbf4" w:themeFill="accent4" w:themeFillTint="9A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6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themeTint="34" w:fill="f2ceee" w:themeFill="accent5" w:themeFillTint="34"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themeTint="34" w:fill="f2ceee" w:themeFill="accent5" w:themeFillTint="34"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fill="a02b93" w:themeFill="accent5"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fill="a02b93" w:themeFill="accent5"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fill="a02b93" w:themeFill="accent5"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fill="a02b93" w:themeFill="accent5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6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themeTint="34" w:fill="d9f2d0" w:themeFill="accent6" w:themeFillTint="34"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themeTint="34" w:fill="d9f2d0" w:themeFill="accent6" w:themeFillTint="34"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fill="4ea72e" w:themeFill="accent6"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fill="4ea72e" w:themeFill="accent6"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fill="4ea72e" w:themeFill="accent6"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fill="4ea72e" w:themeFill="accent6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6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text1" w:themeTint="80" w:fill="7f7f7f" w:themeFill="text1" w:themeFillTint="80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6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50" w:fill="9ed6ef" w:themeFill="accent1" w:themeFillTint="50"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50" w:fill="9ed6ef" w:themeFill="accent1" w:themeFillTint="50"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EA" w:fill="19739b" w:themeFill="accent1" w:themeFillTint="EA"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EA" w:fill="19739b" w:themeFill="accent1" w:themeFillTint="EA"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EA" w:fill="19739b" w:themeFill="accent1" w:themeFillTint="EA"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1" w:themeTint="EA" w:fill="19739b" w:themeFill="accent1" w:themeFillTint="EA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6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32" w:fill="fbe3d7" w:themeFill="accent2" w:themeFillTint="32"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32" w:fill="fbe3d7" w:themeFill="accent2" w:themeFillTint="32"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97" w:fill="f2ab86" w:themeFill="accent2" w:themeFillTint="97"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97" w:fill="f2ab86" w:themeFill="accent2" w:themeFillTint="97"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97" w:fill="f2ab86" w:themeFill="accent2" w:themeFillTint="97"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2" w:themeTint="97" w:fill="f2ab86" w:themeFill="accent2" w:themeFillTint="97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6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34" w:fill="c1f0c7" w:themeFill="accent3" w:themeFillTint="34"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34" w:fill="c1f0c7" w:themeFill="accent3" w:themeFillTint="34"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FE" w:fill="196c24" w:themeFill="accent3" w:themeFillTint="FE"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FE" w:fill="196c24" w:themeFill="accent3" w:themeFillTint="FE"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FE" w:fill="196c24" w:themeFill="accent3" w:themeFillTint="FE"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3" w:themeTint="FE" w:fill="196c24" w:themeFill="accent3" w:themeFillTint="FE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6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34" w:fill="c9edfb" w:themeFill="accent4" w:themeFillTint="34"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34" w:fill="c9edfb" w:themeFill="accent4" w:themeFillTint="34"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9A" w:fill="60cbf4" w:themeFill="accent4" w:themeFillTint="9A"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9A" w:fill="60cbf4" w:themeFill="accent4" w:themeFillTint="9A"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9A" w:fill="60cbf4" w:themeFill="accent4" w:themeFillTint="9A"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4" w:themeTint="9A" w:fill="60cbf4" w:themeFill="accent4" w:themeFillTint="9A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6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themeTint="34" w:fill="f2ceee" w:themeFill="accent5" w:themeFillTint="34"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themeTint="34" w:fill="f2ceee" w:themeFill="accent5" w:themeFillTint="34"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fill="a02b93" w:themeFill="accent5"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fill="a02b93" w:themeFill="accent5"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fill="a02b93" w:themeFill="accent5"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5" w:fill="a02b93" w:themeFill="accent5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6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themeTint="34" w:fill="d9f2d0" w:themeFill="accent6" w:themeFillTint="34"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themeTint="34" w:fill="d9f2d0" w:themeFill="accent6" w:themeFillTint="34"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fill="4ea72e" w:themeFill="accent6"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fill="4ea72e" w:themeFill="accent6"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fill="4ea72e" w:themeFill="accent6"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tcBorders/>
        <w:shd w:val="clear" w:color="ffffff" w:themeColor="accent6" w:fill="4ea72e" w:themeFill="accent6"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6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6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6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6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6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6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6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69">
    <w:name w:val="No Spacing"/>
    <w:basedOn w:val="660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670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670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670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670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670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5">
    <w:name w:val="Header"/>
    <w:basedOn w:val="660"/>
    <w:link w:val="17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6">
    <w:name w:val="Header Char"/>
    <w:basedOn w:val="670"/>
    <w:link w:val="175"/>
    <w:uiPriority w:val="99"/>
    <w:pPr>
      <w:pBdr/>
      <w:spacing/>
      <w:ind/>
    </w:pPr>
  </w:style>
  <w:style w:type="paragraph" w:styleId="177">
    <w:name w:val="Footer"/>
    <w:basedOn w:val="660"/>
    <w:link w:val="17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8">
    <w:name w:val="Footer Char"/>
    <w:basedOn w:val="670"/>
    <w:link w:val="177"/>
    <w:uiPriority w:val="99"/>
    <w:pPr>
      <w:pBdr/>
      <w:spacing/>
      <w:ind/>
    </w:pPr>
  </w:style>
  <w:style w:type="paragraph" w:styleId="179">
    <w:name w:val="Caption"/>
    <w:basedOn w:val="660"/>
    <w:next w:val="66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660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670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670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660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670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670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670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670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660"/>
    <w:next w:val="660"/>
    <w:uiPriority w:val="39"/>
    <w:unhideWhenUsed/>
    <w:pPr>
      <w:pBdr/>
      <w:spacing w:after="100"/>
      <w:ind/>
    </w:pPr>
  </w:style>
  <w:style w:type="paragraph" w:styleId="189">
    <w:name w:val="toc 2"/>
    <w:basedOn w:val="660"/>
    <w:next w:val="660"/>
    <w:uiPriority w:val="39"/>
    <w:unhideWhenUsed/>
    <w:pPr>
      <w:pBdr/>
      <w:spacing w:after="100"/>
      <w:ind w:left="220"/>
    </w:pPr>
  </w:style>
  <w:style w:type="paragraph" w:styleId="190">
    <w:name w:val="toc 3"/>
    <w:basedOn w:val="660"/>
    <w:next w:val="660"/>
    <w:uiPriority w:val="39"/>
    <w:unhideWhenUsed/>
    <w:pPr>
      <w:pBdr/>
      <w:spacing w:after="100"/>
      <w:ind w:left="440"/>
    </w:pPr>
  </w:style>
  <w:style w:type="paragraph" w:styleId="191">
    <w:name w:val="toc 4"/>
    <w:basedOn w:val="660"/>
    <w:next w:val="660"/>
    <w:uiPriority w:val="39"/>
    <w:unhideWhenUsed/>
    <w:pPr>
      <w:pBdr/>
      <w:spacing w:after="100"/>
      <w:ind w:left="660"/>
    </w:pPr>
  </w:style>
  <w:style w:type="paragraph" w:styleId="192">
    <w:name w:val="toc 5"/>
    <w:basedOn w:val="660"/>
    <w:next w:val="660"/>
    <w:uiPriority w:val="39"/>
    <w:unhideWhenUsed/>
    <w:pPr>
      <w:pBdr/>
      <w:spacing w:after="100"/>
      <w:ind w:left="880"/>
    </w:pPr>
  </w:style>
  <w:style w:type="paragraph" w:styleId="193">
    <w:name w:val="toc 6"/>
    <w:basedOn w:val="660"/>
    <w:next w:val="660"/>
    <w:uiPriority w:val="39"/>
    <w:unhideWhenUsed/>
    <w:pPr>
      <w:pBdr/>
      <w:spacing w:after="100"/>
      <w:ind w:left="1100"/>
    </w:pPr>
  </w:style>
  <w:style w:type="paragraph" w:styleId="194">
    <w:name w:val="toc 7"/>
    <w:basedOn w:val="660"/>
    <w:next w:val="660"/>
    <w:uiPriority w:val="39"/>
    <w:unhideWhenUsed/>
    <w:pPr>
      <w:pBdr/>
      <w:spacing w:after="100"/>
      <w:ind w:left="1320"/>
    </w:pPr>
  </w:style>
  <w:style w:type="paragraph" w:styleId="195">
    <w:name w:val="toc 8"/>
    <w:basedOn w:val="660"/>
    <w:next w:val="660"/>
    <w:uiPriority w:val="39"/>
    <w:unhideWhenUsed/>
    <w:pPr>
      <w:pBdr/>
      <w:spacing w:after="100"/>
      <w:ind w:left="1540"/>
    </w:pPr>
  </w:style>
  <w:style w:type="paragraph" w:styleId="196">
    <w:name w:val="toc 9"/>
    <w:basedOn w:val="660"/>
    <w:next w:val="660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660"/>
    <w:next w:val="660"/>
    <w:uiPriority w:val="99"/>
    <w:unhideWhenUsed/>
    <w:pPr>
      <w:pBdr/>
      <w:spacing w:after="0" w:afterAutospacing="0"/>
      <w:ind/>
    </w:pPr>
  </w:style>
  <w:style w:type="paragraph" w:styleId="660" w:default="1">
    <w:name w:val="Normal"/>
    <w:qFormat/>
    <w:pPr>
      <w:pBdr/>
      <w:spacing w:after="200" w:line="276" w:lineRule="auto"/>
      <w:ind/>
    </w:pPr>
    <w:rPr>
      <w:rFonts w:eastAsiaTheme="minorEastAsia"/>
      <w:sz w:val="22"/>
      <w:szCs w:val="22"/>
      <w14:ligatures w14:val="none"/>
    </w:rPr>
  </w:style>
  <w:style w:type="paragraph" w:styleId="661">
    <w:name w:val="Heading 1"/>
    <w:basedOn w:val="660"/>
    <w:next w:val="660"/>
    <w:link w:val="673"/>
    <w:uiPriority w:val="9"/>
    <w:qFormat/>
    <w:pPr>
      <w:keepNext w:val="true"/>
      <w:keepLines w:val="true"/>
      <w:pBdr/>
      <w:spacing w:after="80" w:before="360" w:line="278" w:lineRule="auto"/>
      <w:ind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  <w14:ligatures w14:val="standardContextual"/>
    </w:rPr>
  </w:style>
  <w:style w:type="paragraph" w:styleId="662">
    <w:name w:val="Heading 2"/>
    <w:basedOn w:val="660"/>
    <w:next w:val="660"/>
    <w:link w:val="674"/>
    <w:uiPriority w:val="9"/>
    <w:semiHidden/>
    <w:unhideWhenUsed/>
    <w:qFormat/>
    <w:pPr>
      <w:keepNext w:val="true"/>
      <w:keepLines w:val="true"/>
      <w:pBdr/>
      <w:spacing w:after="80" w:before="160" w:line="278" w:lineRule="auto"/>
      <w:ind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  <w14:ligatures w14:val="standardContextual"/>
    </w:rPr>
  </w:style>
  <w:style w:type="paragraph" w:styleId="663">
    <w:name w:val="Heading 3"/>
    <w:basedOn w:val="660"/>
    <w:next w:val="660"/>
    <w:link w:val="675"/>
    <w:uiPriority w:val="9"/>
    <w:semiHidden/>
    <w:unhideWhenUsed/>
    <w:qFormat/>
    <w:pPr>
      <w:keepNext w:val="true"/>
      <w:keepLines w:val="true"/>
      <w:pBdr/>
      <w:spacing w:after="80" w:before="160" w:line="278" w:lineRule="auto"/>
      <w:ind/>
      <w:outlineLvl w:val="2"/>
    </w:pPr>
    <w:rPr>
      <w:rFonts w:eastAsiaTheme="majorEastAsia" w:cstheme="majorBidi"/>
      <w:color w:val="0f4761" w:themeColor="accent1" w:themeShade="BF"/>
      <w:sz w:val="28"/>
      <w:szCs w:val="28"/>
      <w14:ligatures w14:val="standardContextual"/>
    </w:rPr>
  </w:style>
  <w:style w:type="paragraph" w:styleId="664">
    <w:name w:val="Heading 4"/>
    <w:basedOn w:val="660"/>
    <w:next w:val="660"/>
    <w:link w:val="676"/>
    <w:uiPriority w:val="9"/>
    <w:semiHidden/>
    <w:unhideWhenUsed/>
    <w:qFormat/>
    <w:pPr>
      <w:keepNext w:val="true"/>
      <w:keepLines w:val="true"/>
      <w:pBdr/>
      <w:spacing w:after="40" w:before="80" w:line="278" w:lineRule="auto"/>
      <w:ind/>
      <w:outlineLvl w:val="3"/>
    </w:pPr>
    <w:rPr>
      <w:rFonts w:eastAsiaTheme="majorEastAsia" w:cstheme="majorBidi"/>
      <w:i/>
      <w:iCs/>
      <w:color w:val="0f4761" w:themeColor="accent1" w:themeShade="BF"/>
      <w:sz w:val="24"/>
      <w:szCs w:val="24"/>
      <w14:ligatures w14:val="standardContextual"/>
    </w:rPr>
  </w:style>
  <w:style w:type="paragraph" w:styleId="665">
    <w:name w:val="Heading 5"/>
    <w:basedOn w:val="660"/>
    <w:next w:val="660"/>
    <w:link w:val="677"/>
    <w:uiPriority w:val="9"/>
    <w:semiHidden/>
    <w:unhideWhenUsed/>
    <w:qFormat/>
    <w:pPr>
      <w:keepNext w:val="true"/>
      <w:keepLines w:val="true"/>
      <w:pBdr/>
      <w:spacing w:after="40" w:before="80" w:line="278" w:lineRule="auto"/>
      <w:ind/>
      <w:outlineLvl w:val="4"/>
    </w:pPr>
    <w:rPr>
      <w:rFonts w:eastAsiaTheme="majorEastAsia" w:cstheme="majorBidi"/>
      <w:color w:val="0f4761" w:themeColor="accent1" w:themeShade="BF"/>
      <w:sz w:val="24"/>
      <w:szCs w:val="24"/>
      <w14:ligatures w14:val="standardContextual"/>
    </w:rPr>
  </w:style>
  <w:style w:type="paragraph" w:styleId="666">
    <w:name w:val="Heading 6"/>
    <w:basedOn w:val="660"/>
    <w:next w:val="660"/>
    <w:link w:val="678"/>
    <w:uiPriority w:val="9"/>
    <w:semiHidden/>
    <w:unhideWhenUsed/>
    <w:qFormat/>
    <w:pPr>
      <w:keepNext w:val="true"/>
      <w:keepLines w:val="true"/>
      <w:pBdr/>
      <w:spacing w:after="0" w:before="40" w:line="278" w:lineRule="auto"/>
      <w:ind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  <w14:ligatures w14:val="standardContextual"/>
    </w:rPr>
  </w:style>
  <w:style w:type="paragraph" w:styleId="667">
    <w:name w:val="Heading 7"/>
    <w:basedOn w:val="660"/>
    <w:next w:val="660"/>
    <w:link w:val="679"/>
    <w:uiPriority w:val="9"/>
    <w:semiHidden/>
    <w:unhideWhenUsed/>
    <w:qFormat/>
    <w:pPr>
      <w:keepNext w:val="true"/>
      <w:keepLines w:val="true"/>
      <w:pBdr/>
      <w:spacing w:after="0" w:before="40" w:line="278" w:lineRule="auto"/>
      <w:ind/>
      <w:outlineLvl w:val="6"/>
    </w:pPr>
    <w:rPr>
      <w:rFonts w:eastAsiaTheme="majorEastAsia" w:cstheme="majorBidi"/>
      <w:color w:val="595959" w:themeColor="text1" w:themeTint="A6"/>
      <w:sz w:val="24"/>
      <w:szCs w:val="24"/>
      <w14:ligatures w14:val="standardContextual"/>
    </w:rPr>
  </w:style>
  <w:style w:type="paragraph" w:styleId="668">
    <w:name w:val="Heading 8"/>
    <w:basedOn w:val="660"/>
    <w:next w:val="660"/>
    <w:link w:val="680"/>
    <w:uiPriority w:val="9"/>
    <w:semiHidden/>
    <w:unhideWhenUsed/>
    <w:qFormat/>
    <w:pPr>
      <w:keepNext w:val="true"/>
      <w:keepLines w:val="true"/>
      <w:pBdr/>
      <w:spacing w:after="0" w:line="278" w:lineRule="auto"/>
      <w:ind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  <w14:ligatures w14:val="standardContextual"/>
    </w:rPr>
  </w:style>
  <w:style w:type="paragraph" w:styleId="669">
    <w:name w:val="Heading 9"/>
    <w:basedOn w:val="660"/>
    <w:next w:val="660"/>
    <w:link w:val="681"/>
    <w:uiPriority w:val="9"/>
    <w:semiHidden/>
    <w:unhideWhenUsed/>
    <w:qFormat/>
    <w:pPr>
      <w:keepNext w:val="true"/>
      <w:keepLines w:val="true"/>
      <w:pBdr/>
      <w:spacing w:after="0" w:line="278" w:lineRule="auto"/>
      <w:ind/>
      <w:outlineLvl w:val="8"/>
    </w:pPr>
    <w:rPr>
      <w:rFonts w:eastAsiaTheme="majorEastAsia" w:cstheme="majorBidi"/>
      <w:color w:val="272727" w:themeColor="text1" w:themeTint="D8"/>
      <w:sz w:val="24"/>
      <w:szCs w:val="24"/>
      <w14:ligatures w14:val="standardContextual"/>
    </w:rPr>
  </w:style>
  <w:style w:type="character" w:styleId="670" w:default="1">
    <w:name w:val="Default Paragraph Font"/>
    <w:uiPriority w:val="1"/>
    <w:semiHidden/>
    <w:unhideWhenUsed/>
    <w:pPr>
      <w:pBdr/>
      <w:spacing/>
      <w:ind/>
    </w:pPr>
  </w:style>
  <w:style w:type="table" w:styleId="671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72" w:default="1">
    <w:name w:val="No List"/>
    <w:uiPriority w:val="99"/>
    <w:semiHidden/>
    <w:unhideWhenUsed/>
    <w:pPr>
      <w:pBdr/>
      <w:spacing/>
      <w:ind/>
    </w:pPr>
  </w:style>
  <w:style w:type="character" w:styleId="673" w:customStyle="1">
    <w:name w:val="Heading 1 Char"/>
    <w:basedOn w:val="670"/>
    <w:link w:val="661"/>
    <w:uiPriority w:val="9"/>
    <w:pPr>
      <w:pBdr/>
      <w:spacing/>
      <w:ind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674" w:customStyle="1">
    <w:name w:val="Heading 2 Char"/>
    <w:basedOn w:val="670"/>
    <w:link w:val="662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675" w:customStyle="1">
    <w:name w:val="Heading 3 Char"/>
    <w:basedOn w:val="670"/>
    <w:link w:val="663"/>
    <w:uiPriority w:val="9"/>
    <w:semiHidden/>
    <w:pPr>
      <w:pBdr/>
      <w:spacing/>
      <w:ind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676" w:customStyle="1">
    <w:name w:val="Heading 4 Char"/>
    <w:basedOn w:val="670"/>
    <w:link w:val="664"/>
    <w:uiPriority w:val="9"/>
    <w:semiHidden/>
    <w:pPr>
      <w:pBdr/>
      <w:spacing/>
      <w:ind/>
    </w:pPr>
    <w:rPr>
      <w:rFonts w:eastAsiaTheme="majorEastAsia" w:cstheme="majorBidi"/>
      <w:i/>
      <w:iCs/>
      <w:color w:val="0f4761" w:themeColor="accent1" w:themeShade="BF"/>
    </w:rPr>
  </w:style>
  <w:style w:type="character" w:styleId="677" w:customStyle="1">
    <w:name w:val="Heading 5 Char"/>
    <w:basedOn w:val="670"/>
    <w:link w:val="665"/>
    <w:uiPriority w:val="9"/>
    <w:semiHidden/>
    <w:pPr>
      <w:pBdr/>
      <w:spacing/>
      <w:ind/>
    </w:pPr>
    <w:rPr>
      <w:rFonts w:eastAsiaTheme="majorEastAsia" w:cstheme="majorBidi"/>
      <w:color w:val="0f4761" w:themeColor="accent1" w:themeShade="BF"/>
    </w:rPr>
  </w:style>
  <w:style w:type="character" w:styleId="678" w:customStyle="1">
    <w:name w:val="Heading 6 Char"/>
    <w:basedOn w:val="670"/>
    <w:link w:val="666"/>
    <w:uiPriority w:val="9"/>
    <w:semiHidden/>
    <w:pPr>
      <w:pBdr/>
      <w:spacing/>
      <w:ind/>
    </w:pPr>
    <w:rPr>
      <w:rFonts w:eastAsiaTheme="majorEastAsia" w:cstheme="majorBidi"/>
      <w:i/>
      <w:iCs/>
      <w:color w:val="595959" w:themeColor="text1" w:themeTint="A6"/>
    </w:rPr>
  </w:style>
  <w:style w:type="character" w:styleId="679" w:customStyle="1">
    <w:name w:val="Heading 7 Char"/>
    <w:basedOn w:val="670"/>
    <w:link w:val="667"/>
    <w:uiPriority w:val="9"/>
    <w:semiHidden/>
    <w:pPr>
      <w:pBdr/>
      <w:spacing/>
      <w:ind/>
    </w:pPr>
    <w:rPr>
      <w:rFonts w:eastAsiaTheme="majorEastAsia" w:cstheme="majorBidi"/>
      <w:color w:val="595959" w:themeColor="text1" w:themeTint="A6"/>
    </w:rPr>
  </w:style>
  <w:style w:type="character" w:styleId="680" w:customStyle="1">
    <w:name w:val="Heading 8 Char"/>
    <w:basedOn w:val="670"/>
    <w:link w:val="668"/>
    <w:uiPriority w:val="9"/>
    <w:semiHidden/>
    <w:pPr>
      <w:pBdr/>
      <w:spacing/>
      <w:ind/>
    </w:pPr>
    <w:rPr>
      <w:rFonts w:eastAsiaTheme="majorEastAsia" w:cstheme="majorBidi"/>
      <w:i/>
      <w:iCs/>
      <w:color w:val="272727" w:themeColor="text1" w:themeTint="D8"/>
    </w:rPr>
  </w:style>
  <w:style w:type="character" w:styleId="681" w:customStyle="1">
    <w:name w:val="Heading 9 Char"/>
    <w:basedOn w:val="670"/>
    <w:link w:val="669"/>
    <w:uiPriority w:val="9"/>
    <w:semiHidden/>
    <w:pPr>
      <w:pBdr/>
      <w:spacing/>
      <w:ind/>
    </w:pPr>
    <w:rPr>
      <w:rFonts w:eastAsiaTheme="majorEastAsia" w:cstheme="majorBidi"/>
      <w:color w:val="272727" w:themeColor="text1" w:themeTint="D8"/>
    </w:rPr>
  </w:style>
  <w:style w:type="paragraph" w:styleId="682">
    <w:name w:val="Title"/>
    <w:basedOn w:val="660"/>
    <w:next w:val="660"/>
    <w:link w:val="683"/>
    <w:uiPriority w:val="10"/>
    <w:qFormat/>
    <w:pPr>
      <w:pBdr/>
      <w:spacing w:after="80" w:line="240" w:lineRule="auto"/>
      <w:ind/>
      <w:contextualSpacing w:val="true"/>
    </w:pPr>
    <w:rPr>
      <w:rFonts w:asciiTheme="majorHAnsi" w:hAnsiTheme="majorHAnsi" w:eastAsiaTheme="majorEastAsia" w:cstheme="majorBidi"/>
      <w:spacing w:val="-10"/>
      <w:sz w:val="56"/>
      <w:szCs w:val="56"/>
      <w14:ligatures w14:val="standardContextual"/>
    </w:rPr>
  </w:style>
  <w:style w:type="character" w:styleId="683" w:customStyle="1">
    <w:name w:val="Title Char"/>
    <w:basedOn w:val="670"/>
    <w:link w:val="682"/>
    <w:uiPriority w:val="10"/>
    <w:pPr>
      <w:pBdr/>
      <w:spacing/>
      <w:ind/>
    </w:pPr>
    <w:rPr>
      <w:rFonts w:asciiTheme="majorHAnsi" w:hAnsiTheme="majorHAnsi" w:eastAsiaTheme="majorEastAsia" w:cstheme="majorBidi"/>
      <w:spacing w:val="-10"/>
      <w:sz w:val="56"/>
      <w:szCs w:val="56"/>
    </w:rPr>
  </w:style>
  <w:style w:type="paragraph" w:styleId="684">
    <w:name w:val="Subtitle"/>
    <w:basedOn w:val="660"/>
    <w:next w:val="660"/>
    <w:link w:val="685"/>
    <w:uiPriority w:val="11"/>
    <w:qFormat/>
    <w:pPr>
      <w:numPr>
        <w:ilvl w:val="1"/>
      </w:numPr>
      <w:pBdr/>
      <w:spacing w:after="160" w:line="278" w:lineRule="auto"/>
      <w:ind/>
    </w:pPr>
    <w:rPr>
      <w:rFonts w:eastAsiaTheme="majorEastAsia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styleId="685" w:customStyle="1">
    <w:name w:val="Subtitle Char"/>
    <w:basedOn w:val="670"/>
    <w:link w:val="684"/>
    <w:uiPriority w:val="11"/>
    <w:pPr>
      <w:pBdr/>
      <w:spacing/>
      <w:ind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686">
    <w:name w:val="Quote"/>
    <w:basedOn w:val="660"/>
    <w:next w:val="660"/>
    <w:link w:val="687"/>
    <w:uiPriority w:val="29"/>
    <w:qFormat/>
    <w:pPr>
      <w:pBdr/>
      <w:spacing w:after="160" w:before="160" w:line="278" w:lineRule="auto"/>
      <w:ind/>
      <w:jc w:val="center"/>
    </w:pPr>
    <w:rPr>
      <w:rFonts w:eastAsiaTheme="minorHAnsi"/>
      <w:i/>
      <w:iCs/>
      <w:color w:val="404040" w:themeColor="text1" w:themeTint="BF"/>
      <w:sz w:val="24"/>
      <w:szCs w:val="24"/>
      <w14:ligatures w14:val="standardContextual"/>
    </w:rPr>
  </w:style>
  <w:style w:type="character" w:styleId="687" w:customStyle="1">
    <w:name w:val="Quote Char"/>
    <w:basedOn w:val="670"/>
    <w:link w:val="686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688">
    <w:name w:val="List Paragraph"/>
    <w:basedOn w:val="660"/>
    <w:uiPriority w:val="34"/>
    <w:qFormat/>
    <w:pPr>
      <w:pBdr/>
      <w:spacing w:after="160" w:line="278" w:lineRule="auto"/>
      <w:ind w:left="720"/>
      <w:contextualSpacing w:val="true"/>
    </w:pPr>
    <w:rPr>
      <w:rFonts w:eastAsiaTheme="minorHAnsi"/>
      <w:sz w:val="24"/>
      <w:szCs w:val="24"/>
      <w14:ligatures w14:val="standardContextual"/>
    </w:rPr>
  </w:style>
  <w:style w:type="character" w:styleId="689">
    <w:name w:val="Intense Emphasis"/>
    <w:basedOn w:val="670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690">
    <w:name w:val="Intense Quote"/>
    <w:basedOn w:val="660"/>
    <w:next w:val="660"/>
    <w:link w:val="691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 w:line="278" w:lineRule="auto"/>
      <w:ind w:right="864" w:left="864"/>
      <w:jc w:val="center"/>
    </w:pPr>
    <w:rPr>
      <w:rFonts w:eastAsiaTheme="minorHAnsi"/>
      <w:i/>
      <w:iCs/>
      <w:color w:val="0f4761" w:themeColor="accent1" w:themeShade="BF"/>
      <w:sz w:val="24"/>
      <w:szCs w:val="24"/>
      <w14:ligatures w14:val="standardContextual"/>
    </w:rPr>
  </w:style>
  <w:style w:type="character" w:styleId="691" w:customStyle="1">
    <w:name w:val="Intense Quote Char"/>
    <w:basedOn w:val="670"/>
    <w:link w:val="690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692">
    <w:name w:val="Intense Reference"/>
    <w:basedOn w:val="670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Arial"/>
        <a:cs typeface="Arial"/>
      </a:majorFont>
      <a:minorFont>
        <a:latin typeface="Aptos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ONLYOFFICE/8.3.3.21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https://mul2.gov.am/tasks/1372686/oneclick?token=c3f4fc3db8eefa15b777d4dc321646fb</cp:keywords>
  <dc:description/>
  <cp:revision>3</cp:revision>
  <dcterms:created xsi:type="dcterms:W3CDTF">2026-08-19T11:34:00Z</dcterms:created>
  <dcterms:modified xsi:type="dcterms:W3CDTF">2026-08-19T19:00:42Z</dcterms:modified>
</cp:coreProperties>
</file>