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3BD" w:rsidRDefault="006F13B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3BD" w:rsidRDefault="006F13BD" w:rsidP="00A71CED">
      <w:pPr>
        <w:jc w:val="center"/>
      </w:pPr>
    </w:p>
    <w:p w:rsidR="006F13BD" w:rsidRDefault="006F13B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F13BD" w:rsidRDefault="006F13BD" w:rsidP="00A71CED">
      <w:pPr>
        <w:pStyle w:val="mechtex"/>
        <w:rPr>
          <w:rFonts w:ascii="GHEA Mariam" w:hAnsi="GHEA Mariam"/>
          <w:b/>
        </w:rPr>
      </w:pPr>
    </w:p>
    <w:p w:rsidR="006F13BD" w:rsidRDefault="006F13B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13BD" w:rsidRPr="008E1B5A" w:rsidRDefault="006F13BD" w:rsidP="00A71CED">
      <w:pPr>
        <w:jc w:val="center"/>
        <w:rPr>
          <w:rFonts w:ascii="GHEA Mariam" w:hAnsi="GHEA Mariam"/>
          <w:sz w:val="24"/>
          <w:szCs w:val="24"/>
        </w:rPr>
      </w:pPr>
    </w:p>
    <w:p w:rsidR="006F13BD" w:rsidRPr="00691610" w:rsidRDefault="006F13BD" w:rsidP="00A71CED">
      <w:pPr>
        <w:jc w:val="center"/>
        <w:rPr>
          <w:rFonts w:ascii="GHEA Mariam" w:hAnsi="GHEA Mariam"/>
          <w:sz w:val="12"/>
          <w:szCs w:val="24"/>
        </w:rPr>
      </w:pPr>
    </w:p>
    <w:p w:rsidR="006F13BD" w:rsidRPr="008E1B5A" w:rsidRDefault="006F13BD" w:rsidP="00A71CED">
      <w:pPr>
        <w:jc w:val="center"/>
        <w:rPr>
          <w:rFonts w:ascii="GHEA Mariam" w:hAnsi="GHEA Mariam"/>
          <w:sz w:val="24"/>
          <w:szCs w:val="24"/>
        </w:rPr>
      </w:pPr>
    </w:p>
    <w:p w:rsidR="006F13BD" w:rsidRPr="006F13BD" w:rsidRDefault="006F13B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6F13BD" w:rsidRDefault="006F13B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F13BD" w:rsidRDefault="006F13B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F13BD" w:rsidRDefault="006F13B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F13BD" w:rsidRDefault="006F13BD" w:rsidP="006F13BD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ԿԱՌԱՎԱՐՈՒԹՅԱՆ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2020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ԹՎԱԿԱՆԻ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ԴԵԿՏԵՄԲԵՐԻ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3-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Ի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N 1994-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ՈՐՈՇՄԱՆ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ՄԵՋ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ՓՈՓՈԽՈՒԹՅՈՒՆՆԵՐ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ԼՐԱՑՈՒՄՆԵՐ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Pr="006F13B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13BD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6F13BD" w:rsidRPr="006F13BD" w:rsidRDefault="006F13B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F13BD" w:rsidRDefault="006F13BD" w:rsidP="006F13BD">
      <w:pPr>
        <w:pStyle w:val="mechtex"/>
        <w:rPr>
          <w:rFonts w:ascii="Sylfaen" w:hAnsi="Sylfaen" w:cs="Calibri"/>
          <w:sz w:val="24"/>
          <w:lang w:val="hy-AM"/>
        </w:rPr>
      </w:pPr>
    </w:p>
    <w:p w:rsidR="006F13BD" w:rsidRPr="006F13BD" w:rsidRDefault="006F13BD" w:rsidP="006F13BD">
      <w:pPr>
        <w:pStyle w:val="mechtex"/>
        <w:rPr>
          <w:rFonts w:ascii="GHEA Mariam" w:hAnsi="GHEA Mariam" w:cs="Calibri"/>
          <w:sz w:val="24"/>
          <w:lang w:val="hy-AM"/>
        </w:rPr>
      </w:pPr>
      <w:r w:rsidRPr="006F13BD">
        <w:rPr>
          <w:rFonts w:ascii="Calibri" w:hAnsi="Calibri" w:cs="Calibri"/>
          <w:sz w:val="24"/>
          <w:lang w:val="hy-AM"/>
        </w:rPr>
        <w:t> </w:t>
      </w:r>
    </w:p>
    <w:p w:rsidR="006F13BD" w:rsidRPr="006F13BD" w:rsidRDefault="006F13BD" w:rsidP="006F13B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հոդվածի 1-ին և 3-րդ մասերով, 34-րդ հոդվածի 1-ին մասով` </w:t>
      </w:r>
      <w:r w:rsidRPr="006F13B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F13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13B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F13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13B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F13B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F13BD">
        <w:rPr>
          <w:rFonts w:ascii="GHEA Mariam" w:hAnsi="GHEA Mariam" w:cs="Sylfaen"/>
          <w:sz w:val="24"/>
          <w:szCs w:val="22"/>
          <w:lang w:val="de-DE"/>
        </w:rPr>
        <w:t>ո</w:t>
      </w:r>
      <w:r w:rsidRPr="006F13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13BD">
        <w:rPr>
          <w:rFonts w:ascii="GHEA Mariam" w:hAnsi="GHEA Mariam" w:cs="Sylfaen"/>
          <w:sz w:val="24"/>
          <w:szCs w:val="22"/>
          <w:lang w:val="de-DE"/>
        </w:rPr>
        <w:t>ր</w:t>
      </w:r>
      <w:r w:rsidRPr="006F13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13BD">
        <w:rPr>
          <w:rFonts w:ascii="GHEA Mariam" w:hAnsi="GHEA Mariam" w:cs="Sylfaen"/>
          <w:sz w:val="24"/>
          <w:szCs w:val="22"/>
          <w:lang w:val="de-DE"/>
        </w:rPr>
        <w:t>ո</w:t>
      </w:r>
      <w:r w:rsidRPr="006F13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13BD">
        <w:rPr>
          <w:rFonts w:ascii="GHEA Mariam" w:hAnsi="GHEA Mariam" w:cs="Sylfaen"/>
          <w:sz w:val="24"/>
          <w:szCs w:val="22"/>
          <w:lang w:val="de-DE"/>
        </w:rPr>
        <w:t>շ</w:t>
      </w:r>
      <w:r w:rsidRPr="006F13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13BD">
        <w:rPr>
          <w:rFonts w:ascii="GHEA Mariam" w:hAnsi="GHEA Mariam" w:cs="Sylfaen"/>
          <w:sz w:val="24"/>
          <w:szCs w:val="22"/>
          <w:lang w:val="de-DE"/>
        </w:rPr>
        <w:t>ու</w:t>
      </w:r>
      <w:r w:rsidRPr="006F13B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13BD">
        <w:rPr>
          <w:rFonts w:ascii="GHEA Mariam" w:hAnsi="GHEA Mariam" w:cs="Sylfaen"/>
          <w:sz w:val="24"/>
          <w:szCs w:val="22"/>
          <w:lang w:val="de-DE"/>
        </w:rPr>
        <w:t>մ</w:t>
      </w:r>
      <w:r w:rsidRPr="006F13B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F13BD">
        <w:rPr>
          <w:rFonts w:ascii="GHEA Mariam" w:hAnsi="GHEA Mariam" w:cs="Sylfaen"/>
          <w:sz w:val="24"/>
          <w:szCs w:val="22"/>
          <w:lang w:val="de-DE"/>
        </w:rPr>
        <w:t>է</w:t>
      </w:r>
      <w:r w:rsidRPr="006F13B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z w:val="24"/>
          <w:szCs w:val="24"/>
          <w:lang w:val="hy-AM"/>
        </w:rPr>
        <w:t>1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6F13BD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դեկտեմբերի 3-ի «Հայաստանի Հանրապետությունում ընդհանուր օգտագործման </w:t>
      </w: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ավտոմոբիլային տրանսպորտով ուղևորների կանոնավոր փոխադրումներ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իրակա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նացնող կազմակերպություններ և անհատ ձեռնարկատերեր ընտրելու մրցույթ </w:t>
      </w: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անցկացնելու կարգը հաստատելու, Հայաստանի Հանրապետության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կառավա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րու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թյան 2001 թվականի օգոստոսի 16-ի N 762 և 2007 թվականի հունիսի 21-ի N 819-Ն որոշումներն ուժը կորցրած ճանաչելու մասին» N 1994-Ն որոշմամբ  հաստատված հավելված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ում կատարել հետևյալ փոփոխությունները և լրացումները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1) 14-րդ կետի 1-ին ենթակետում «երթուղիներում ընդհանուր քանակի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առնվազն 10 տոկոսի չափով»  բառերը փոխարինել «երեք և ավելի ավտոբուս ունեցող երթուղիներում յուրաքանչյուր երեք ավտոբուսից մեկի չափով» բառերով</w:t>
      </w:r>
      <w:r w:rsidRPr="006F13BD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eastAsia="Microsoft JhengHei" w:hAnsi="GHEA Mariam" w:cs="Microsoft JhengHei"/>
          <w:color w:val="000000"/>
          <w:spacing w:val="-1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pacing w:val="-10"/>
          <w:sz w:val="24"/>
          <w:szCs w:val="24"/>
          <w:lang w:val="hy-AM"/>
        </w:rPr>
        <w:lastRenderedPageBreak/>
        <w:t>2) 24-րդ կետ</w:t>
      </w:r>
      <w:r w:rsidR="00D87A79">
        <w:rPr>
          <w:rFonts w:ascii="GHEA Mariam" w:hAnsi="GHEA Mariam"/>
          <w:color w:val="000000"/>
          <w:spacing w:val="-10"/>
          <w:sz w:val="24"/>
          <w:szCs w:val="24"/>
          <w:lang w:val="hy-AM"/>
        </w:rPr>
        <w:t>ը</w:t>
      </w:r>
      <w:r w:rsidRPr="006F13BD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«հագեցած լինեն» բառերից </w:t>
      </w:r>
      <w:r w:rsidR="00D87A79">
        <w:rPr>
          <w:rFonts w:ascii="GHEA Mariam" w:hAnsi="GHEA Mariam"/>
          <w:color w:val="000000"/>
          <w:spacing w:val="-10"/>
          <w:sz w:val="24"/>
          <w:szCs w:val="24"/>
          <w:lang w:val="hy-AM"/>
        </w:rPr>
        <w:t>հետո լրացնել «օդորակիչով, » բառով</w:t>
      </w:r>
      <w:r w:rsidRPr="006F13BD">
        <w:rPr>
          <w:rFonts w:ascii="GHEA Mariam" w:hAnsi="GHEA Mariam"/>
          <w:color w:val="000000"/>
          <w:spacing w:val="-10"/>
          <w:sz w:val="24"/>
          <w:szCs w:val="24"/>
          <w:lang w:val="hy-AM"/>
        </w:rPr>
        <w:t>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3) 39-րդ կետի 2-րդ և 3-րդ ենթակետերը շարադրել հետևյալ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խմբագրությամ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բ՝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«2) 6-10-րդ սյունակներում` գնահատականն ըստ ավտոբուսի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պատկանելիու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թյան իրավունքի,  թողարկման տարեթվի, արտաքին տեսքի, ուղևորասրահի և վառելիքի տեսակի չափանիշների.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z w:val="24"/>
          <w:szCs w:val="24"/>
          <w:lang w:val="hy-AM"/>
        </w:rPr>
        <w:t>3) 11-րդ սյունակում` ավտոբուսների ընդհանուր գնահատականը, որը ձևավորվում է 6-10-րդ սյունակների գնահատականների գումարից:».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4) ուժը կորցրած ճանաչել 41-րդ կետով սահմանված ավտոբուսների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գնահատ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ման չափորոշիչների 1-ին կետի 5-րդ ենթակետը և 42-րդ կետ</w:t>
      </w:r>
      <w:r>
        <w:rPr>
          <w:rFonts w:ascii="GHEA Mariam" w:hAnsi="GHEA Mariam"/>
          <w:color w:val="000000"/>
          <w:sz w:val="24"/>
          <w:szCs w:val="24"/>
          <w:lang w:val="hy-AM"/>
        </w:rPr>
        <w:t>ը.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z w:val="24"/>
          <w:szCs w:val="24"/>
          <w:lang w:val="hy-AM"/>
        </w:rPr>
        <w:t>5) 46-րդ կետում «14 օրվա ընթացքում սույն կարգի» բառերը փոխարինել «30 օրվա ընթացքում սույն կարգի 12-րդ կետի» բառերով.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6) 65-րդ կետը շարադրել 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խմբագրությամ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բ՝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«65. Մրցույթը հաղթող կազմակերպության՝ երթուղին սպասարկելու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իրա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վունքից հրաժարվելու կամ այդ իրավունքից նրան զրկելու դեպքում վաղաժամկետ լուծվում է նրա հետ կնքված ժամանակացույցը և սպասարկման պայմանագի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րը և հայտարարվում է նոր մրցույթ՝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բացառությամբ 83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-ին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կետով սահմանված դեպքի: Մրցույթը հաղթող կազմակերպությունը սույն կարգով սահմանված պահանջները չկատարելու հիմքով երթուղային ցանցը կազմակերպող մարմնի կողմից երթուղու </w:t>
      </w:r>
      <w:r w:rsidRPr="006F13BD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սպասարկման իրավունքից զրկվելու դեպքում 2 (երկու) տարի ժամկետով զրկվում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է </w:t>
      </w: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ընդհանուր օգտագործման ավտոմոբիլային տրանսպորտով ուղևորների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կանոնավոր </w:t>
      </w: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փոխադրումներ իրականացնելու համար հայտարարված մրցույթներին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մասնակցելու իրավունքից:».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87A7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7) 65-րդ կետից հետո լրացնել </w:t>
      </w:r>
      <w:r w:rsidR="00D87A79" w:rsidRPr="00D87A7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հետևյալ բովանդակությամբ</w:t>
      </w:r>
      <w:r w:rsidR="00D87A79" w:rsidRPr="00D87A7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87A7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նոր</w:t>
      </w:r>
      <w:r w:rsidR="00D87A79" w:rsidRPr="00D87A7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D87A7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65</w:t>
      </w:r>
      <w:r w:rsidR="00D87A79" w:rsidRPr="00D87A7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.1-ին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 xml:space="preserve"> կետով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z w:val="24"/>
          <w:szCs w:val="24"/>
          <w:lang w:val="hy-AM"/>
        </w:rPr>
        <w:t>«6</w:t>
      </w:r>
      <w:r>
        <w:rPr>
          <w:rFonts w:ascii="GHEA Mariam" w:hAnsi="GHEA Mariam"/>
          <w:color w:val="000000"/>
          <w:sz w:val="24"/>
          <w:szCs w:val="24"/>
          <w:lang w:val="hy-AM"/>
        </w:rPr>
        <w:t>5.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1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Սույն կարգի 65-րդ կետով նախատեսված ընդհանուր օգտագործման ավտոմոբիլային տրանսպորտով ուղևորների կանոնավոր փոխադրումներ իրա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նացնելու համար հայտարարված մրցույթներին մասնակցելու իրավունքից զրկված կազմակերպությունների մասին տեղեկատվությունը, որն ընդգրկում է </w:t>
      </w: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կազմակերպության ամբողջական անվանումը, հարկ վճարողի հաշվառման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համարը, իրավունքից զրկման ամսաթիվը (համապատասխան իրավական ակտի ուժի մեջ 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մտնելու ամսաթիվը) և մրցույթներին մասնակցելու իրավունքից զրկված լինելու </w:t>
      </w: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ժամկետը, հրապարակվում է լիազոր մարմնի պաշտոնական կայքէջում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իրավունքից զրկելու իրավական ակտի հրապարակման հետ միաժամանակ։».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8) 69-րդ կետում «մինչև նոր մրցույթի անցկացնելն ու դրա արդյունքներն </w:t>
      </w: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ամփոփելը» բառերը փոխարինել «մինչև նոր մրցույթի անցկացնելն ու դրա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արդյուն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քում հաղթող ճանաչված կազմակերպության հետ սպասարկման պայմանագիր կնքելը» բառերո</w:t>
      </w:r>
      <w:r>
        <w:rPr>
          <w:rFonts w:ascii="GHEA Mariam" w:hAnsi="GHEA Mariam"/>
          <w:color w:val="000000"/>
          <w:sz w:val="24"/>
          <w:szCs w:val="24"/>
          <w:lang w:val="hy-AM"/>
        </w:rPr>
        <w:t>վ.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9) 83-րդ կետի 1-ին ենթակետ</w:t>
      </w:r>
      <w:r w:rsidR="00D87A7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ը</w:t>
      </w: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«ավտոբուսները» բառից հետո լրացնել «,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եթե </w:t>
      </w:r>
      <w:r w:rsidRPr="006F13B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կազմակերպությունը մասնակցել է մրցույթին սույն կարգի 22-րդ կետով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 սահմանված պայմանով» բառերով, իսկ 2-րդ ենթակետի վերջում վերջակետը փոխարինել միջակետո</w:t>
      </w:r>
      <w:r>
        <w:rPr>
          <w:rFonts w:ascii="GHEA Mariam" w:hAnsi="GHEA Mariam"/>
          <w:color w:val="000000"/>
          <w:sz w:val="24"/>
          <w:szCs w:val="24"/>
          <w:lang w:val="hy-AM"/>
        </w:rPr>
        <w:t>վ.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z w:val="24"/>
          <w:szCs w:val="24"/>
          <w:lang w:val="hy-AM"/>
        </w:rPr>
        <w:t>10) 83-րդ կետը լրացնել հետևյալ բովանդակությամբ 3-րդ ենթակետո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վ՝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ru-RU"/>
        </w:rPr>
      </w:pPr>
      <w:r w:rsidRPr="006F13BD">
        <w:rPr>
          <w:rFonts w:ascii="GHEA Mariam" w:hAnsi="GHEA Mariam"/>
          <w:color w:val="000000"/>
          <w:sz w:val="24"/>
          <w:szCs w:val="24"/>
          <w:lang w:val="hy-AM"/>
        </w:rPr>
        <w:t>«3) սույն կարգի 64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1-ին կետով սահմանված ժամանակացույցը երթուղային ցանցը կազմակերպող մարմնի հետ կնքելու օրվանից 60 օրացուցային օրվա ընթացքում նրան ներկայացնել ավտոբուսներ արտադրող գործարանի կամ նրա պաշտոնական ներկայացուցչի հետ կնքած ավտոբուսների մատակարարման ժամկետները, տեխնիկական բնութագրերը և վճարման պայմանները սահմանող պայմանագրով նախատեսված վճարման պահանջի կատարման վերաբերյալ տեղեկատ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վ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ություն։».</w:t>
      </w:r>
    </w:p>
    <w:p w:rsid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color w:val="000000"/>
          <w:sz w:val="24"/>
          <w:szCs w:val="24"/>
          <w:lang w:val="hy-AM"/>
        </w:rPr>
        <w:t xml:space="preserve">11) </w:t>
      </w:r>
      <w:r w:rsidR="00D87A79" w:rsidRPr="006F13BD">
        <w:rPr>
          <w:rFonts w:ascii="GHEA Mariam" w:hAnsi="GHEA Mariam"/>
          <w:color w:val="000000"/>
          <w:sz w:val="24"/>
          <w:szCs w:val="24"/>
          <w:lang w:val="hy-AM"/>
        </w:rPr>
        <w:t>N 5.1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 xml:space="preserve"> ձ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ևի աղյուսակը շարադրել հետևյալ խմբագ</w:t>
      </w:r>
      <w:r w:rsidR="00D87A79">
        <w:rPr>
          <w:rFonts w:ascii="GHEA Mariam" w:hAnsi="GHEA Mariam"/>
          <w:color w:val="000000"/>
          <w:sz w:val="24"/>
          <w:szCs w:val="24"/>
          <w:lang w:val="hy-AM"/>
        </w:rPr>
        <w:t>ր</w:t>
      </w:r>
      <w:r w:rsidRPr="006F13BD">
        <w:rPr>
          <w:rFonts w:ascii="GHEA Mariam" w:hAnsi="GHEA Mariam"/>
          <w:color w:val="000000"/>
          <w:sz w:val="24"/>
          <w:szCs w:val="24"/>
          <w:lang w:val="hy-AM"/>
        </w:rPr>
        <w:t>ությամբ.</w:t>
      </w:r>
    </w:p>
    <w:p w:rsidR="00C91797" w:rsidRPr="00C91797" w:rsidRDefault="00C91797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8"/>
          <w:szCs w:val="24"/>
          <w:lang w:val="hy-AM"/>
        </w:rPr>
      </w:pPr>
    </w:p>
    <w:p w:rsidR="006F13BD" w:rsidRPr="006F13BD" w:rsidRDefault="00D87A79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"/>
          <w:szCs w:val="24"/>
          <w:lang w:val="ru-RU"/>
        </w:rPr>
      </w:pPr>
      <w:r>
        <w:rPr>
          <w:rFonts w:ascii="GHEA Grapalat" w:hAnsi="GHEA Grapalat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D4ECA9" wp14:editId="3C87DAC6">
                <wp:simplePos x="0" y="0"/>
                <wp:positionH relativeFrom="column">
                  <wp:posOffset>6161405</wp:posOffset>
                </wp:positionH>
                <wp:positionV relativeFrom="paragraph">
                  <wp:posOffset>1963503</wp:posOffset>
                </wp:positionV>
                <wp:extent cx="365760" cy="341906"/>
                <wp:effectExtent l="0" t="0" r="0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" cy="3419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87A79" w:rsidRPr="00D87A79" w:rsidRDefault="00D87A79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D87A79">
                              <w:rPr>
                                <w:rFonts w:ascii="GHEA Mariam" w:hAnsi="GHEA Mariam" w:cs="Sylfaen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lang w:val="hy-AM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D4ECA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85.15pt;margin-top:154.6pt;width:28.8pt;height:2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" filled="f" stroked="f" strokeweight=".5pt">
                <v:textbox>
                  <w:txbxContent>
                    <w:p w:rsidR="00D87A79" w:rsidRPr="00D87A79" w:rsidRDefault="00D87A79">
                      <w:pPr>
                        <w:rPr>
                          <w:rFonts w:ascii="Sylfaen" w:hAnsi="Sylfaen"/>
                          <w:lang w:val="hy-AM"/>
                        </w:rPr>
                      </w:pPr>
                      <w:r w:rsidRPr="00D87A79">
                        <w:rPr>
                          <w:rFonts w:ascii="GHEA Mariam" w:hAnsi="GHEA Mariam" w:cs="Sylfaen"/>
                          <w:lang w:val="hy-AM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lang w:val="hy-AM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890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450"/>
        <w:gridCol w:w="720"/>
        <w:gridCol w:w="1046"/>
        <w:gridCol w:w="1244"/>
        <w:gridCol w:w="930"/>
        <w:gridCol w:w="908"/>
        <w:gridCol w:w="1080"/>
        <w:gridCol w:w="1002"/>
        <w:gridCol w:w="900"/>
        <w:gridCol w:w="990"/>
        <w:gridCol w:w="901"/>
        <w:gridCol w:w="719"/>
      </w:tblGrid>
      <w:tr w:rsidR="006F13BD" w:rsidRPr="006F13BD" w:rsidTr="00D87A79">
        <w:tc>
          <w:tcPr>
            <w:tcW w:w="45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  <w:lang w:val="hy-AM"/>
              </w:rPr>
            </w:pPr>
          </w:p>
        </w:tc>
        <w:tc>
          <w:tcPr>
            <w:tcW w:w="4848" w:type="dxa"/>
            <w:gridSpan w:val="5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«Ավտոբուսի</w:t>
            </w:r>
          </w:p>
        </w:tc>
        <w:tc>
          <w:tcPr>
            <w:tcW w:w="4873" w:type="dxa"/>
            <w:gridSpan w:val="5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Գնահատականը՝ ըստ</w:t>
            </w:r>
          </w:p>
        </w:tc>
        <w:tc>
          <w:tcPr>
            <w:tcW w:w="719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</w:tr>
      <w:tr w:rsidR="006F13BD" w:rsidRPr="006F13BD" w:rsidTr="00D87A79">
        <w:tc>
          <w:tcPr>
            <w:tcW w:w="45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NN</w:t>
            </w: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br/>
              <w:t>ը/կ</w:t>
            </w:r>
          </w:p>
        </w:tc>
        <w:tc>
          <w:tcPr>
            <w:tcW w:w="720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0" w:right="-74" w:hanging="129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մակնիշը</w:t>
            </w:r>
          </w:p>
        </w:tc>
        <w:tc>
          <w:tcPr>
            <w:tcW w:w="1046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0" w:right="-120" w:hanging="14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հաշվառման համարանիշը</w:t>
            </w:r>
          </w:p>
        </w:tc>
        <w:tc>
          <w:tcPr>
            <w:tcW w:w="1244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-94" w:right="-65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  <w:lang w:val="hy-AM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դեղին հիմնագույնի համարանիշը (առկայության դեպքում)</w:t>
            </w:r>
          </w:p>
        </w:tc>
        <w:tc>
          <w:tcPr>
            <w:tcW w:w="930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-81" w:right="-47" w:firstLine="11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  <w:lang w:val="hy-AM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  <w:lang w:val="hy-AM"/>
              </w:rPr>
              <w:t xml:space="preserve">նույնացման </w:t>
            </w:r>
          </w:p>
          <w:p w:rsidR="006F13BD" w:rsidRPr="006F13BD" w:rsidRDefault="00D87A79" w:rsidP="006F13BD">
            <w:pPr>
              <w:pStyle w:val="ListParagraph"/>
              <w:spacing w:line="276" w:lineRule="auto"/>
              <w:ind w:left="-81" w:right="-47" w:firstLine="11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  <w:lang w:val="hy-AM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  <w:lang w:val="hy-AM"/>
              </w:rPr>
              <w:t>համարը</w:t>
            </w:r>
          </w:p>
        </w:tc>
        <w:tc>
          <w:tcPr>
            <w:tcW w:w="908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-87" w:right="-71" w:firstLine="1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նստատե-ղերի թիվը</w:t>
            </w:r>
          </w:p>
        </w:tc>
        <w:tc>
          <w:tcPr>
            <w:tcW w:w="1080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-153" w:right="-88" w:hanging="22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պատկանե-լիության իրավունքի</w:t>
            </w:r>
          </w:p>
        </w:tc>
        <w:tc>
          <w:tcPr>
            <w:tcW w:w="1002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-137" w:right="-54" w:firstLine="11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արտադրման տարեթվի</w:t>
            </w:r>
          </w:p>
        </w:tc>
        <w:tc>
          <w:tcPr>
            <w:tcW w:w="900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-70" w:right="-77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արտաքին տեսքի</w:t>
            </w:r>
          </w:p>
        </w:tc>
        <w:tc>
          <w:tcPr>
            <w:tcW w:w="990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ուղևորա</w:t>
            </w:r>
            <w:r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  <w:lang w:val="hy-AM"/>
              </w:rPr>
              <w:t>-</w:t>
            </w:r>
            <w:r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br/>
            </w: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սրահի</w:t>
            </w:r>
          </w:p>
        </w:tc>
        <w:tc>
          <w:tcPr>
            <w:tcW w:w="901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վառելիքի տեսակի</w:t>
            </w:r>
          </w:p>
        </w:tc>
        <w:tc>
          <w:tcPr>
            <w:tcW w:w="719" w:type="dxa"/>
          </w:tcPr>
          <w:p w:rsidR="006F13BD" w:rsidRPr="006F13BD" w:rsidRDefault="00D87A79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ընդհա</w:t>
            </w:r>
            <w:r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  <w:lang w:val="hy-AM"/>
              </w:rPr>
              <w:t>-</w:t>
            </w:r>
            <w:r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br/>
            </w: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նուր</w:t>
            </w:r>
          </w:p>
        </w:tc>
      </w:tr>
      <w:tr w:rsidR="006F13BD" w:rsidRPr="006F13BD" w:rsidTr="00D87A79">
        <w:tc>
          <w:tcPr>
            <w:tcW w:w="45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72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46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44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3</w:t>
            </w:r>
          </w:p>
        </w:tc>
        <w:tc>
          <w:tcPr>
            <w:tcW w:w="93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4</w:t>
            </w:r>
          </w:p>
        </w:tc>
        <w:tc>
          <w:tcPr>
            <w:tcW w:w="908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5</w:t>
            </w:r>
          </w:p>
        </w:tc>
        <w:tc>
          <w:tcPr>
            <w:tcW w:w="108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6</w:t>
            </w:r>
          </w:p>
        </w:tc>
        <w:tc>
          <w:tcPr>
            <w:tcW w:w="1002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7</w:t>
            </w:r>
          </w:p>
        </w:tc>
        <w:tc>
          <w:tcPr>
            <w:tcW w:w="90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8</w:t>
            </w:r>
          </w:p>
        </w:tc>
        <w:tc>
          <w:tcPr>
            <w:tcW w:w="99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9</w:t>
            </w:r>
          </w:p>
        </w:tc>
        <w:tc>
          <w:tcPr>
            <w:tcW w:w="901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19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11</w:t>
            </w:r>
          </w:p>
        </w:tc>
      </w:tr>
      <w:tr w:rsidR="006F13BD" w:rsidRPr="006F13BD" w:rsidTr="00D87A79">
        <w:tc>
          <w:tcPr>
            <w:tcW w:w="45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10440" w:type="dxa"/>
            <w:gridSpan w:val="11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Կազմակերպության անվանումը կամ անհատ ձեռնարկատիրոջ անունը, ազգանունը</w:t>
            </w:r>
          </w:p>
        </w:tc>
      </w:tr>
      <w:tr w:rsidR="006F13BD" w:rsidRPr="006F13BD" w:rsidTr="00D87A79">
        <w:tc>
          <w:tcPr>
            <w:tcW w:w="45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10440" w:type="dxa"/>
            <w:gridSpan w:val="11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center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  <w:r w:rsidRPr="006F13BD"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  <w:t>Երթուղու անվանումը և համարը կամ միասնական երթուղային ցանցի անվանումը</w:t>
            </w:r>
          </w:p>
        </w:tc>
      </w:tr>
      <w:tr w:rsidR="006F13BD" w:rsidRPr="006F13BD" w:rsidTr="00D87A79">
        <w:tc>
          <w:tcPr>
            <w:tcW w:w="45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72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1046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1244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93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908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108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1002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90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99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901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719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</w:tr>
      <w:tr w:rsidR="006F13BD" w:rsidRPr="006F13BD" w:rsidTr="00D87A79">
        <w:tc>
          <w:tcPr>
            <w:tcW w:w="45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72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1046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1244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93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908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108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1002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90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990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right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901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right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  <w:tc>
          <w:tcPr>
            <w:tcW w:w="719" w:type="dxa"/>
          </w:tcPr>
          <w:p w:rsidR="006F13BD" w:rsidRPr="006F13BD" w:rsidRDefault="006F13BD" w:rsidP="006F13BD">
            <w:pPr>
              <w:pStyle w:val="ListParagraph"/>
              <w:spacing w:line="276" w:lineRule="auto"/>
              <w:ind w:left="0"/>
              <w:jc w:val="right"/>
              <w:rPr>
                <w:rFonts w:ascii="GHEA Mariam" w:eastAsia="Microsoft JhengHei" w:hAnsi="GHEA Mariam" w:cs="Microsoft JhengHei"/>
                <w:color w:val="000000"/>
                <w:sz w:val="14"/>
                <w:szCs w:val="14"/>
              </w:rPr>
            </w:pPr>
          </w:p>
        </w:tc>
      </w:tr>
    </w:tbl>
    <w:p w:rsidR="006F13BD" w:rsidRDefault="006F13BD" w:rsidP="006F13B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87A7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12) </w:t>
      </w:r>
      <w:r w:rsidR="00D87A79" w:rsidRPr="00D87A7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D87A79" w:rsidRPr="00D87A7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87A79" w:rsidRPr="00D87A79">
        <w:rPr>
          <w:rFonts w:ascii="GHEA Mariam" w:hAnsi="GHEA Mariam"/>
          <w:spacing w:val="-8"/>
          <w:sz w:val="24"/>
          <w:szCs w:val="24"/>
          <w:lang w:val="hy-AM"/>
        </w:rPr>
        <w:t>12</w:t>
      </w:r>
      <w:r w:rsidR="00D87A79" w:rsidRPr="00D87A79">
        <w:rPr>
          <w:rFonts w:ascii="GHEA Mariam" w:hAnsi="GHEA Mariam"/>
          <w:spacing w:val="-8"/>
          <w:sz w:val="24"/>
          <w:szCs w:val="24"/>
          <w:lang w:val="hy-AM"/>
        </w:rPr>
        <w:t xml:space="preserve"> ձ</w:t>
      </w:r>
      <w:r w:rsidRPr="00D87A79">
        <w:rPr>
          <w:rFonts w:ascii="GHEA Mariam" w:hAnsi="GHEA Mariam"/>
          <w:spacing w:val="-8"/>
          <w:sz w:val="24"/>
          <w:szCs w:val="24"/>
          <w:lang w:val="hy-AM"/>
        </w:rPr>
        <w:t>ևում «գինը սահմանող փաստաթուղթ» բառերը փոխարինել «վճարման</w:t>
      </w:r>
      <w:r w:rsidRPr="006F13BD">
        <w:rPr>
          <w:rFonts w:ascii="GHEA Mariam" w:hAnsi="GHEA Mariam"/>
          <w:sz w:val="24"/>
          <w:szCs w:val="24"/>
          <w:lang w:val="hy-AM"/>
        </w:rPr>
        <w:t xml:space="preserve"> պայմանները սահմանող պայմանագրի պատճենը»</w:t>
      </w:r>
      <w:bookmarkStart w:id="0" w:name="_GoBack"/>
      <w:bookmarkEnd w:id="0"/>
      <w:r w:rsidR="00D87A79">
        <w:rPr>
          <w:rFonts w:ascii="GHEA Mariam" w:hAnsi="GHEA Mariam"/>
          <w:sz w:val="24"/>
          <w:szCs w:val="24"/>
          <w:lang w:val="hy-AM"/>
        </w:rPr>
        <w:t xml:space="preserve"> բառերով:</w:t>
      </w:r>
    </w:p>
    <w:p w:rsidR="006F13BD" w:rsidRPr="006F13BD" w:rsidRDefault="006F13BD" w:rsidP="006F13B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13BD">
        <w:rPr>
          <w:rFonts w:ascii="GHEA Mariam" w:hAnsi="GHEA Mariam"/>
          <w:sz w:val="24"/>
          <w:szCs w:val="24"/>
          <w:lang w:val="hy-AM"/>
        </w:rPr>
        <w:t xml:space="preserve">2. Սույն որոշումն ուժի մեջ է մտնում պաշտոնական հրապարակման օրվան հաջորդող  երեսուներորդ օրը: </w:t>
      </w:r>
    </w:p>
    <w:p w:rsidR="006F13BD" w:rsidRPr="006F13BD" w:rsidRDefault="006F13BD" w:rsidP="006F13BD">
      <w:pPr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6F13BD" w:rsidRPr="00B45A61" w:rsidRDefault="006F13B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F13BD" w:rsidRPr="00B45A61" w:rsidRDefault="006F13B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F13BD" w:rsidRPr="000F4671" w:rsidRDefault="006F13B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F13BD" w:rsidRPr="000F4671" w:rsidRDefault="006F13B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F13BD" w:rsidRPr="000F4671" w:rsidRDefault="006F13B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F13BD" w:rsidRPr="000F4671" w:rsidRDefault="006F13B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F13BD" w:rsidRPr="000F4671" w:rsidRDefault="006F13B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6F13BD" w:rsidRDefault="006F13BD" w:rsidP="006F13B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F13B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71C" w:rsidRDefault="00E6671C">
      <w:r>
        <w:separator/>
      </w:r>
    </w:p>
  </w:endnote>
  <w:endnote w:type="continuationSeparator" w:id="0">
    <w:p w:rsidR="00E6671C" w:rsidRDefault="00E6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D0CD8">
      <w:rPr>
        <w:noProof/>
        <w:sz w:val="18"/>
      </w:rPr>
      <w:t>voroshumMK-215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71C" w:rsidRDefault="00E6671C">
      <w:r>
        <w:separator/>
      </w:r>
    </w:p>
  </w:footnote>
  <w:footnote w:type="continuationSeparator" w:id="0">
    <w:p w:rsidR="00E6671C" w:rsidRDefault="00E66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7A7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3B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CD8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7E8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3BD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AD2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797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A79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71C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DD6092"/>
  <w15:chartTrackingRefBased/>
  <w15:docId w15:val="{4ED4E870-478A-4CBC-8A07-D1C73C78D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F13B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F13B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F13B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F13BD"/>
    <w:pPr>
      <w:spacing w:after="160" w:line="259" w:lineRule="auto"/>
      <w:ind w:left="720"/>
      <w:contextualSpacing/>
    </w:pPr>
    <w:rPr>
      <w:rFonts w:ascii="Arial" w:eastAsia="Arial" w:hAnsi="Arial" w:cs="Arial"/>
      <w:lang w:eastAsia="en-US"/>
    </w:rPr>
  </w:style>
  <w:style w:type="character" w:styleId="Strong">
    <w:name w:val="Strong"/>
    <w:basedOn w:val="DefaultParagraphFont"/>
    <w:uiPriority w:val="22"/>
    <w:qFormat/>
    <w:rsid w:val="006F13BD"/>
    <w:rPr>
      <w:b/>
      <w:bCs/>
    </w:rPr>
  </w:style>
  <w:style w:type="table" w:styleId="TableGrid">
    <w:name w:val="Table Grid"/>
    <w:basedOn w:val="TableNormal"/>
    <w:uiPriority w:val="39"/>
    <w:rsid w:val="006F13B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D0C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D0CD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2026-07-07T08:38:00Z</cp:lastPrinted>
  <dcterms:created xsi:type="dcterms:W3CDTF">2026-07-07T08:11:00Z</dcterms:created>
  <dcterms:modified xsi:type="dcterms:W3CDTF">2026-07-07T10:57:00Z</dcterms:modified>
</cp:coreProperties>
</file>