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61FEE" w14:textId="77777777" w:rsidR="001165D7" w:rsidRDefault="001165D7" w:rsidP="001165D7">
      <w:pPr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2193CB59" w14:textId="77777777" w:rsidR="001165D7" w:rsidRDefault="001165D7" w:rsidP="001165D7">
      <w:pPr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«ՀԱՅԱՍՏԱՆԻ ՀԱՆՐԱՊԵՏՈՒԹՅԱՆ ԿԱՌԱՎԱՐՈՒԹՅԱՆ 2015 ԹՎԱԿԱՆԻ ՄԱՐՏԻ 19-Ի N 596-Ն ՈՐՈՇՄԱՆ ՄԵՋ ՓՈՓՈԽՈՒԹՅՈՒՆ ԿԱՏԱՐԵԼՈՒ ՄԱՍԻՆ» ՀԱՅԱՍՏԱՆԻ ՀԱՆՐԱՊԵՏՈՒԹՅԱՆ ԿԱՌԱՎԱՐՈՒԹՅԱՆ ՈՐՈՇՄԱՆ ՆԱԽԱԳԾԻ ԸՆԴՈՒՆՄԱՆ ԱՆՀՐԱԺԵՇՏՈՒԹՅԱՆ</w:t>
      </w:r>
    </w:p>
    <w:p w14:paraId="3DECDFA9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b/>
          <w:bCs/>
          <w:color w:val="000000"/>
          <w:sz w:val="24"/>
          <w:szCs w:val="24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</w:rPr>
        <w:t>1. Ընթացիկ վիճակը, իրավական ակտերի ընդունման անհրաժեշտությունը, առկա խնդիրների առաջարկվող լուծումները.</w:t>
      </w:r>
    </w:p>
    <w:p w14:paraId="434D376D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«Քաղաքաշինության մասին» օրենքի 6-րդ հոդվածի համաձայն՝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Կառուցապատողները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պարտավոր են` քաղաքաշինական գործունեություն իրականացնելու համար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ճարտարապետահատակագծային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առաջադրանք, այդ թվում` ինժեներական ենթակառուցվածքների նախագծման ելակետային տվյալներ կամ տեխնիկական պայմաններ ստանալ տեղական ինքնակառավարման համապատասխան մարմիններից:</w:t>
      </w:r>
    </w:p>
    <w:p w14:paraId="0454330F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Նույն օրենքի 22.1-ին հոդվածի համաձայն՝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Ճարտարապետահատակագծային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առաջադրանքը (կամ նախագծման թույլտվությունը) փաստաթուղթ է, որը, հիմք ընդունելով համայնքի տարածական պլանավորման փաստաթղթերի և քաղաքաշինական կանոնադրության պահանջները, սահմանում է քաղաքաշինական գործունեության տվյալ օբյեկտին ներկայացվող նախագծման պարտադիր պահանջները, պայմանները, այդ թվում` նույն օրենքի 6 հոդվածի «դ» կետով սահմանված` քաղաքաշինական օբյեկտի ինժեներական ենթակառուցվածքների (ջրամատակարարում,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ջրահեռացում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>, էլեկտրամատակարարում, գազամատակարարում և այլն) նախագծման Հայաստանի Հանրապետության կառավարության որոշմամբ սահմանված ելակետային տվյալները (այսուհետ` ելակետային տվյալներ) կամ տեխնիկական պայմանները (այսուհետ` տեխնիկական պայմաններ) և սահմանափակումները:</w:t>
      </w:r>
    </w:p>
    <w:p w14:paraId="2D376D7D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Ելակետային տվյալները կամ տեխնիկական պայմանները տալիս են ինժեներական սպասարկում իրականացնող ծառայությունները`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ճարտարապետահատակագծային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առաջադրանք տրամադրող մարմնին` վերջինիս հարցման հիման վրա, և կազմում են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ճարտարապետահատակագծային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առաջադրանքի անբաժանելի մասը:</w:t>
      </w:r>
    </w:p>
    <w:p w14:paraId="4270203D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Ճարտարապետահատակագծային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առաջադրանքը համայնքում տալիս է համայնքի ղեկավարը քաղաքաշինության բնագավառի պետական կառավարման լիազոր մարմնի կողմից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համակարգվող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քաղաքաշինական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թույլտվությունների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առցանց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տրամադրման համակարգի միջոցով:</w:t>
      </w:r>
    </w:p>
    <w:p w14:paraId="6291971B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Հայաստանի Հանրապետությունում կառուցապատման նպատակով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թույլտվությունների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և այլ փաստաթղթերի տրամադրման կարգը հաստատված է Հայաստանի Հանրապետության կառավարության 2017 թվականի մայիսի 4-ի N 596-Ն որոշմամբ, որի N 1 Հավելվածի 36-րդ կետով սահմանվում է, որ առաջադրանքը և դրա անբաժանելի մասը հանդիսացող տեխնիկական պայմանները կամ ելակետային տվյալները </w:t>
      </w:r>
      <w:proofErr w:type="spellStart"/>
      <w:r>
        <w:rPr>
          <w:rFonts w:ascii="GHEA Grapalat" w:hAnsi="GHEA Grapalat" w:cs="Sylfaen"/>
          <w:color w:val="000000"/>
          <w:sz w:val="24"/>
          <w:szCs w:val="24"/>
        </w:rPr>
        <w:t>կառուցապատողին</w:t>
      </w:r>
      <w:proofErr w:type="spellEnd"/>
      <w:r>
        <w:rPr>
          <w:rFonts w:ascii="GHEA Grapalat" w:hAnsi="GHEA Grapalat" w:cs="Sylfaen"/>
          <w:color w:val="000000"/>
          <w:sz w:val="24"/>
          <w:szCs w:val="24"/>
        </w:rPr>
        <w:t xml:space="preserve"> տրամադրվում են անվճար: </w:t>
      </w:r>
    </w:p>
    <w:p w14:paraId="065EC393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Հիշյալ որոշմամբ սահմանված են քաղաքաշինական փաստաթղթերի տրամադրման կարգի հետ կապված հարաբերությունները, մասնավորապես  քաղաքաշինական փաստաթղթերի մշակման, փորձաքննության, համաձայնեցման, հաստատման, </w:t>
      </w:r>
      <w:r>
        <w:rPr>
          <w:rFonts w:ascii="GHEA Grapalat" w:hAnsi="GHEA Grapalat" w:cs="Sylfaen"/>
          <w:color w:val="000000"/>
          <w:sz w:val="24"/>
          <w:szCs w:val="24"/>
        </w:rPr>
        <w:lastRenderedPageBreak/>
        <w:t>փոփոխման կարգերը, սակայն համայնքի կողմից տրամադրվող քաղաքաշինական փաստաթղթերի համար վճարների սահմանումը դուրս է Հայաստանի Հանրապետության կառավարության որոշման շրջանակներից: Ուստի Նախագծով նախատեսվում է համապատասխան փոփոխություն կատարել Հայաստանի Հանրապետության կառավարության 2015 թվականի մարտի 19-ի N 596-Ն որոշման մեջ:</w:t>
      </w:r>
    </w:p>
    <w:p w14:paraId="7C818CEE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eastAsia="Times New Roman" w:hAnsi="GHEA Grapalat" w:cs="GHEA Grapalat"/>
          <w:b/>
          <w:sz w:val="24"/>
          <w:szCs w:val="24"/>
        </w:rPr>
        <w:t xml:space="preserve">2. Նախագծի մշակման գործընթացում ներգրավված ինստիտուտները և անձինք. </w:t>
      </w:r>
      <w:r>
        <w:rPr>
          <w:rFonts w:ascii="GHEA Grapalat" w:hAnsi="GHEA Grapalat"/>
          <w:sz w:val="24"/>
          <w:szCs w:val="24"/>
        </w:rPr>
        <w:tab/>
        <w:t xml:space="preserve">Նախագիծը մշակվել է </w:t>
      </w:r>
      <w:proofErr w:type="spellStart"/>
      <w:r>
        <w:rPr>
          <w:rFonts w:ascii="GHEA Grapalat" w:hAnsi="GHEA Grapalat"/>
          <w:sz w:val="24"/>
          <w:szCs w:val="24"/>
        </w:rPr>
        <w:t>Երևանի</w:t>
      </w:r>
      <w:proofErr w:type="spellEnd"/>
      <w:r>
        <w:rPr>
          <w:rFonts w:ascii="GHEA Grapalat" w:hAnsi="GHEA Grapalat"/>
          <w:sz w:val="24"/>
          <w:szCs w:val="24"/>
        </w:rPr>
        <w:t xml:space="preserve"> քաղաքապետարանի աշխատակազմի կողմից:</w:t>
      </w:r>
    </w:p>
    <w:p w14:paraId="11087EF3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eastAsia="Times New Roman" w:hAnsi="GHEA Grapalat" w:cs="GHEA Grapalat"/>
          <w:b/>
          <w:sz w:val="24"/>
          <w:szCs w:val="24"/>
        </w:rPr>
        <w:t xml:space="preserve">3. Իրավական ակտի կիրառման դեպքում ակնկալվող արդյունքը. </w:t>
      </w:r>
    </w:p>
    <w:p w14:paraId="0DFAE6C1" w14:textId="77777777" w:rsidR="001165D7" w:rsidRDefault="001165D7" w:rsidP="001165D7">
      <w:pPr>
        <w:spacing w:after="0"/>
        <w:ind w:firstLine="708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Նախագծի ընդունման նպատակն է Հայաստանի Հանրապետության կառավարության 2015 թվականի մարտի 19-ի N 596-Ն որոշումը համապատասխանեցնել գործող օրենսդրական ակտերի պահանջներին:</w:t>
      </w:r>
    </w:p>
    <w:p w14:paraId="6D732F9C" w14:textId="77777777" w:rsidR="001165D7" w:rsidRDefault="001165D7" w:rsidP="001165D7">
      <w:pPr>
        <w:spacing w:after="0"/>
        <w:ind w:firstLine="706"/>
        <w:jc w:val="both"/>
        <w:rPr>
          <w:rStyle w:val="Strong"/>
        </w:rPr>
      </w:pPr>
      <w:r>
        <w:rPr>
          <w:rFonts w:ascii="GHEA Grapalat" w:hAnsi="GHEA Grapalat"/>
          <w:b/>
          <w:sz w:val="24"/>
          <w:szCs w:val="24"/>
        </w:rPr>
        <w:t>4. Նախագծի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Style w:val="Strong"/>
          <w:rFonts w:ascii="GHEA Grapalat" w:hAnsi="GHEA Grapalat" w:cs="Sylfaen"/>
          <w:sz w:val="24"/>
          <w:szCs w:val="24"/>
        </w:rPr>
        <w:t>ընդունման կապակցությամբ այլ նորմատիվ իրավական ակտերի ընդունման անհրաժեշտության մասին</w:t>
      </w:r>
    </w:p>
    <w:p w14:paraId="76F66808" w14:textId="77777777" w:rsidR="001165D7" w:rsidRDefault="001165D7" w:rsidP="001165D7">
      <w:pPr>
        <w:spacing w:after="0"/>
        <w:ind w:firstLine="706"/>
        <w:jc w:val="both"/>
      </w:pPr>
      <w:r>
        <w:rPr>
          <w:rFonts w:ascii="GHEA Grapalat" w:hAnsi="GHEA Grapalat"/>
          <w:iCs/>
          <w:color w:val="000000" w:themeColor="text1"/>
          <w:sz w:val="24"/>
          <w:szCs w:val="24"/>
        </w:rPr>
        <w:t xml:space="preserve">Նախագծի </w:t>
      </w:r>
      <w:proofErr w:type="spellStart"/>
      <w:r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>ընդունմամբ</w:t>
      </w:r>
      <w:proofErr w:type="spellEnd"/>
      <w:r>
        <w:rPr>
          <w:rFonts w:ascii="GHEA Grapalat" w:hAnsi="GHEA Grapalat" w:cs="Sylfaen"/>
          <w:bCs/>
          <w:iCs/>
          <w:color w:val="000000" w:themeColor="text1"/>
          <w:sz w:val="24"/>
          <w:szCs w:val="24"/>
        </w:rPr>
        <w:t xml:space="preserve"> պայմանավորված այլ իրավական ակտերում փոփոխություններ կատարելու անհրաժեշտություն չի առաջանում:</w:t>
      </w:r>
    </w:p>
    <w:p w14:paraId="6601FE8E" w14:textId="77777777" w:rsidR="001165D7" w:rsidRDefault="001165D7" w:rsidP="001165D7">
      <w:pPr>
        <w:spacing w:after="0"/>
        <w:ind w:firstLine="706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5. Նախագծի</w:t>
      </w:r>
      <w:r>
        <w:rPr>
          <w:rFonts w:ascii="GHEA Grapalat" w:hAnsi="GHEA Grapalat" w:cs="Sylfaen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</w:rPr>
        <w:t>ընդունման կապակցությամբ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 xml:space="preserve">պետական կամ տեղական ինքնակառավարման մարմինների բյուջեներում եկամուտների և ծախսերի ավելացման կամ նվազեցման մասին </w:t>
      </w:r>
    </w:p>
    <w:p w14:paraId="758F6CF7" w14:textId="77777777" w:rsidR="001165D7" w:rsidRDefault="001165D7" w:rsidP="001165D7">
      <w:pPr>
        <w:spacing w:after="0"/>
        <w:ind w:firstLine="70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ընդունման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կապակցությամբ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լրացուցիչ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ֆինանսական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միջոցների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անհրաժեշտություն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չի առաջանում</w:t>
      </w:r>
      <w:r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տեղական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ինքնակառավարման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մարմինների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բյուջեներում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եկամուտների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էական ավելացում և նվազեցում չի նախատեսվում:</w:t>
      </w:r>
    </w:p>
    <w:p w14:paraId="1A5448B4" w14:textId="77777777" w:rsidR="001165D7" w:rsidRDefault="001165D7" w:rsidP="001165D7">
      <w:pPr>
        <w:spacing w:after="0"/>
        <w:ind w:firstLine="706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>
        <w:rPr>
          <w:rFonts w:ascii="GHEA Grapalat" w:hAnsi="GHEA Grapalat"/>
          <w:b/>
          <w:sz w:val="24"/>
          <w:szCs w:val="24"/>
        </w:rPr>
        <w:t>».</w:t>
      </w:r>
      <w:r>
        <w:rPr>
          <w:rFonts w:ascii="GHEA Grapalat" w:hAnsi="GHEA Grapalat"/>
          <w:sz w:val="24"/>
          <w:szCs w:val="24"/>
        </w:rPr>
        <w:t xml:space="preserve"> </w:t>
      </w:r>
    </w:p>
    <w:p w14:paraId="2E75D65E" w14:textId="77777777" w:rsidR="001165D7" w:rsidRDefault="001165D7" w:rsidP="001165D7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Նախագծի ընդունումը բխում է </w:t>
      </w:r>
      <w:r>
        <w:rPr>
          <w:rFonts w:ascii="GHEA Grapalat" w:hAnsi="GHEA Grapalat"/>
          <w:bCs/>
          <w:sz w:val="24"/>
          <w:szCs w:val="24"/>
        </w:rPr>
        <w:t>Հայաստանի վերափոխման 2050 թվականի ռազմավարությամբ ամրագրված իրավական Հայաստանի ապահովման գաղափարից, այն է ապահովել սահմանադրական ինստիտուտների հավասարակշռված գործունեությունը և իրավունքի գերակայությունը:</w:t>
      </w:r>
    </w:p>
    <w:p w14:paraId="79AD97BB" w14:textId="77777777" w:rsidR="001165D7" w:rsidRDefault="001165D7" w:rsidP="001165D7">
      <w:pPr>
        <w:jc w:val="both"/>
        <w:rPr>
          <w:rFonts w:ascii="GHEA Grapalat" w:hAnsi="GHEA Grapalat"/>
          <w:b/>
          <w:bCs/>
          <w:sz w:val="24"/>
          <w:szCs w:val="24"/>
        </w:rPr>
      </w:pPr>
    </w:p>
    <w:p w14:paraId="13A2DAFF" w14:textId="77777777" w:rsidR="001165D7" w:rsidRDefault="001165D7" w:rsidP="001165D7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/>
        <w:jc w:val="both"/>
        <w:rPr>
          <w:rFonts w:ascii="GHEA Grapalat" w:hAnsi="GHEA Grapalat"/>
          <w:noProof/>
          <w:color w:val="000000"/>
        </w:rPr>
      </w:pPr>
    </w:p>
    <w:p w14:paraId="69B81810" w14:textId="77777777" w:rsidR="001165D7" w:rsidRDefault="001165D7" w:rsidP="001165D7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/>
        <w:jc w:val="center"/>
        <w:rPr>
          <w:rFonts w:ascii="GHEA Grapalat" w:hAnsi="GHEA Grapalat"/>
          <w:noProof/>
          <w:color w:val="000000"/>
        </w:rPr>
      </w:pPr>
    </w:p>
    <w:p w14:paraId="1B39445E" w14:textId="77777777" w:rsidR="00685612" w:rsidRPr="00536A07" w:rsidRDefault="00685612" w:rsidP="00D92F9F">
      <w:pPr>
        <w:pStyle w:val="NormalWeb"/>
        <w:shd w:val="clear" w:color="auto" w:fill="FFFFFF"/>
        <w:spacing w:before="0" w:beforeAutospacing="0" w:after="0" w:afterAutospacing="0" w:line="360" w:lineRule="auto"/>
        <w:ind w:left="180" w:right="46"/>
        <w:jc w:val="center"/>
        <w:rPr>
          <w:rFonts w:ascii="GHEA Grapalat" w:hAnsi="GHEA Grapalat"/>
          <w:noProof/>
          <w:color w:val="000000"/>
        </w:rPr>
      </w:pPr>
      <w:bookmarkStart w:id="0" w:name="_GoBack"/>
      <w:bookmarkEnd w:id="0"/>
    </w:p>
    <w:sectPr w:rsidR="00685612" w:rsidRPr="00536A07" w:rsidSect="004B6672">
      <w:pgSz w:w="11906" w:h="16838" w:code="9"/>
      <w:pgMar w:top="630" w:right="900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F4DEC"/>
    <w:multiLevelType w:val="multilevel"/>
    <w:tmpl w:val="69348832"/>
    <w:lvl w:ilvl="0">
      <w:start w:val="1"/>
      <w:numFmt w:val="decimal"/>
      <w:lvlText w:val="%1."/>
      <w:lvlJc w:val="left"/>
      <w:pPr>
        <w:ind w:left="180" w:hanging="360"/>
      </w:pPr>
    </w:lvl>
    <w:lvl w:ilvl="1">
      <w:start w:val="6"/>
      <w:numFmt w:val="decimal"/>
      <w:lvlText w:val="%1.%2."/>
      <w:lvlJc w:val="left"/>
      <w:pPr>
        <w:ind w:left="960" w:hanging="114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960" w:hanging="114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960" w:hanging="114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960" w:hanging="114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26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62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62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980" w:hanging="2160"/>
      </w:pPr>
      <w:rPr>
        <w:color w:val="000000"/>
      </w:rPr>
    </w:lvl>
  </w:abstractNum>
  <w:abstractNum w:abstractNumId="1" w15:restartNumberingAfterBreak="0">
    <w:nsid w:val="12AA47B9"/>
    <w:multiLevelType w:val="hybridMultilevel"/>
    <w:tmpl w:val="F394323C"/>
    <w:lvl w:ilvl="0" w:tplc="CFE06CF4">
      <w:start w:val="1"/>
      <w:numFmt w:val="decimal"/>
      <w:lvlText w:val="%1."/>
      <w:lvlJc w:val="left"/>
      <w:pPr>
        <w:ind w:left="14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" w15:restartNumberingAfterBreak="0">
    <w:nsid w:val="19EA5CA2"/>
    <w:multiLevelType w:val="hybridMultilevel"/>
    <w:tmpl w:val="95D46154"/>
    <w:lvl w:ilvl="0" w:tplc="562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947A4D"/>
    <w:multiLevelType w:val="hybridMultilevel"/>
    <w:tmpl w:val="9E40A49E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72E99"/>
    <w:multiLevelType w:val="hybridMultilevel"/>
    <w:tmpl w:val="78BAD55A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D0BDD"/>
    <w:multiLevelType w:val="hybridMultilevel"/>
    <w:tmpl w:val="D5F0E4A4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A6129"/>
    <w:multiLevelType w:val="multilevel"/>
    <w:tmpl w:val="56CA1AD4"/>
    <w:lvl w:ilvl="0">
      <w:start w:val="1"/>
      <w:numFmt w:val="bullet"/>
      <w:lvlText w:val="✔"/>
      <w:lvlJc w:val="left"/>
      <w:pPr>
        <w:ind w:left="9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81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53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297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69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13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585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7422AA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E8A7D38"/>
    <w:multiLevelType w:val="hybridMultilevel"/>
    <w:tmpl w:val="3C9CB5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C58F4"/>
    <w:multiLevelType w:val="multilevel"/>
    <w:tmpl w:val="9F28552C"/>
    <w:lvl w:ilvl="0">
      <w:start w:val="1"/>
      <w:numFmt w:val="decimal"/>
      <w:lvlText w:val="%1."/>
      <w:lvlJc w:val="left"/>
      <w:pPr>
        <w:ind w:left="1008" w:hanging="360"/>
      </w:pPr>
    </w:lvl>
    <w:lvl w:ilvl="1">
      <w:start w:val="1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0" w15:restartNumberingAfterBreak="0">
    <w:nsid w:val="597948E6"/>
    <w:multiLevelType w:val="hybridMultilevel"/>
    <w:tmpl w:val="170A433C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C925DB"/>
    <w:multiLevelType w:val="hybridMultilevel"/>
    <w:tmpl w:val="11EAA51E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619F5B2B"/>
    <w:multiLevelType w:val="hybridMultilevel"/>
    <w:tmpl w:val="170A433C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93722"/>
    <w:multiLevelType w:val="hybridMultilevel"/>
    <w:tmpl w:val="1332BAE0"/>
    <w:lvl w:ilvl="0" w:tplc="7DDE1558">
      <w:start w:val="199"/>
      <w:numFmt w:val="decimal"/>
      <w:lvlText w:val="%1."/>
      <w:lvlJc w:val="left"/>
      <w:pPr>
        <w:ind w:left="502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8E07FF"/>
    <w:multiLevelType w:val="hybridMultilevel"/>
    <w:tmpl w:val="ED124D9C"/>
    <w:lvl w:ilvl="0" w:tplc="0409000F">
      <w:start w:val="1"/>
      <w:numFmt w:val="decimal"/>
      <w:lvlText w:val="%1."/>
      <w:lvlJc w:val="left"/>
      <w:pPr>
        <w:ind w:left="1066" w:hanging="360"/>
      </w:p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5" w15:restartNumberingAfterBreak="0">
    <w:nsid w:val="7F0F2D5F"/>
    <w:multiLevelType w:val="hybridMultilevel"/>
    <w:tmpl w:val="62F009FA"/>
    <w:lvl w:ilvl="0" w:tplc="4C70EDCC">
      <w:start w:val="1"/>
      <w:numFmt w:val="decimal"/>
      <w:lvlText w:val="%1"/>
      <w:lvlJc w:val="left"/>
      <w:pPr>
        <w:ind w:left="1249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13"/>
  </w:num>
  <w:num w:numId="8">
    <w:abstractNumId w:val="14"/>
  </w:num>
  <w:num w:numId="9">
    <w:abstractNumId w:val="9"/>
  </w:num>
  <w:num w:numId="10">
    <w:abstractNumId w:val="7"/>
  </w:num>
  <w:num w:numId="11">
    <w:abstractNumId w:val="4"/>
  </w:num>
  <w:num w:numId="12">
    <w:abstractNumId w:val="8"/>
  </w:num>
  <w:num w:numId="13">
    <w:abstractNumId w:val="11"/>
  </w:num>
  <w:num w:numId="14">
    <w:abstractNumId w:val="15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6CA"/>
    <w:rsid w:val="00003049"/>
    <w:rsid w:val="0000385E"/>
    <w:rsid w:val="000258B6"/>
    <w:rsid w:val="00026C04"/>
    <w:rsid w:val="000742E8"/>
    <w:rsid w:val="000862E1"/>
    <w:rsid w:val="000A42DB"/>
    <w:rsid w:val="000B57A4"/>
    <w:rsid w:val="0011501D"/>
    <w:rsid w:val="001165D7"/>
    <w:rsid w:val="00123870"/>
    <w:rsid w:val="00127675"/>
    <w:rsid w:val="00171A60"/>
    <w:rsid w:val="00182FDC"/>
    <w:rsid w:val="00192E01"/>
    <w:rsid w:val="001B13A2"/>
    <w:rsid w:val="001E4465"/>
    <w:rsid w:val="001E6837"/>
    <w:rsid w:val="001F443E"/>
    <w:rsid w:val="0025726D"/>
    <w:rsid w:val="002A021A"/>
    <w:rsid w:val="002F0E73"/>
    <w:rsid w:val="00300B37"/>
    <w:rsid w:val="00316813"/>
    <w:rsid w:val="00324962"/>
    <w:rsid w:val="0035012B"/>
    <w:rsid w:val="00365A76"/>
    <w:rsid w:val="003672B7"/>
    <w:rsid w:val="003D7FDD"/>
    <w:rsid w:val="003F57C6"/>
    <w:rsid w:val="00445A14"/>
    <w:rsid w:val="00457CCE"/>
    <w:rsid w:val="00462953"/>
    <w:rsid w:val="004753AA"/>
    <w:rsid w:val="00496836"/>
    <w:rsid w:val="004B6672"/>
    <w:rsid w:val="00515724"/>
    <w:rsid w:val="00520A6A"/>
    <w:rsid w:val="00532AB1"/>
    <w:rsid w:val="00536A07"/>
    <w:rsid w:val="00562B26"/>
    <w:rsid w:val="005678D5"/>
    <w:rsid w:val="00586408"/>
    <w:rsid w:val="005B79E5"/>
    <w:rsid w:val="005F4A7B"/>
    <w:rsid w:val="005F5959"/>
    <w:rsid w:val="005F5A98"/>
    <w:rsid w:val="00641B2E"/>
    <w:rsid w:val="00661EFF"/>
    <w:rsid w:val="00684762"/>
    <w:rsid w:val="00685612"/>
    <w:rsid w:val="0069481E"/>
    <w:rsid w:val="006A7333"/>
    <w:rsid w:val="006D16CA"/>
    <w:rsid w:val="00734824"/>
    <w:rsid w:val="007601DB"/>
    <w:rsid w:val="0078681A"/>
    <w:rsid w:val="00791132"/>
    <w:rsid w:val="007A4E39"/>
    <w:rsid w:val="007B51A1"/>
    <w:rsid w:val="007E1969"/>
    <w:rsid w:val="008230EA"/>
    <w:rsid w:val="008856F9"/>
    <w:rsid w:val="008912FB"/>
    <w:rsid w:val="008B0576"/>
    <w:rsid w:val="008C42B9"/>
    <w:rsid w:val="008C5154"/>
    <w:rsid w:val="008F65DB"/>
    <w:rsid w:val="009271F8"/>
    <w:rsid w:val="00960659"/>
    <w:rsid w:val="00996100"/>
    <w:rsid w:val="009A08CC"/>
    <w:rsid w:val="009B663F"/>
    <w:rsid w:val="009C2750"/>
    <w:rsid w:val="009F0946"/>
    <w:rsid w:val="00A25942"/>
    <w:rsid w:val="00A264AF"/>
    <w:rsid w:val="00A47CD3"/>
    <w:rsid w:val="00A578C6"/>
    <w:rsid w:val="00AB5C8E"/>
    <w:rsid w:val="00AB7131"/>
    <w:rsid w:val="00AC4B94"/>
    <w:rsid w:val="00AF428B"/>
    <w:rsid w:val="00B02A7A"/>
    <w:rsid w:val="00B45E56"/>
    <w:rsid w:val="00B80206"/>
    <w:rsid w:val="00BD0FEF"/>
    <w:rsid w:val="00C3309A"/>
    <w:rsid w:val="00C41F8D"/>
    <w:rsid w:val="00CA368F"/>
    <w:rsid w:val="00CF0F55"/>
    <w:rsid w:val="00D03A8A"/>
    <w:rsid w:val="00D23CA7"/>
    <w:rsid w:val="00D7414A"/>
    <w:rsid w:val="00D814F3"/>
    <w:rsid w:val="00D92F9F"/>
    <w:rsid w:val="00D94EF3"/>
    <w:rsid w:val="00DE64C1"/>
    <w:rsid w:val="00E01067"/>
    <w:rsid w:val="00E11083"/>
    <w:rsid w:val="00E25A3E"/>
    <w:rsid w:val="00E62C1C"/>
    <w:rsid w:val="00E651BA"/>
    <w:rsid w:val="00EA4B7D"/>
    <w:rsid w:val="00EC28C8"/>
    <w:rsid w:val="00F14D17"/>
    <w:rsid w:val="00F17979"/>
    <w:rsid w:val="00F24942"/>
    <w:rsid w:val="00F37869"/>
    <w:rsid w:val="00F712FA"/>
    <w:rsid w:val="00F844D6"/>
    <w:rsid w:val="00F85B0C"/>
    <w:rsid w:val="00FC70F5"/>
    <w:rsid w:val="00FD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AA24D"/>
  <w15:chartTrackingRefBased/>
  <w15:docId w15:val="{9798F8AC-C81B-4F53-8D5E-F63FB3D54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6CA"/>
    <w:pPr>
      <w:spacing w:after="200" w:line="276" w:lineRule="auto"/>
    </w:pPr>
    <w:rPr>
      <w:rFonts w:ascii="Calibri" w:eastAsiaTheme="minorEastAsia" w:hAnsi="Calibri" w:cs="Calibri"/>
      <w:lang w:val="hy-AM" w:eastAsia="ru-RU"/>
    </w:rPr>
  </w:style>
  <w:style w:type="paragraph" w:styleId="Heading1">
    <w:name w:val="heading 1"/>
    <w:basedOn w:val="1"/>
    <w:next w:val="1"/>
    <w:link w:val="Heading1Char"/>
    <w:rsid w:val="006D16C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16C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6D16C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paragraph" w:styleId="Heading4">
    <w:name w:val="heading 4"/>
    <w:basedOn w:val="1"/>
    <w:next w:val="1"/>
    <w:link w:val="Heading4Char"/>
    <w:rsid w:val="006D16C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1"/>
    <w:next w:val="1"/>
    <w:link w:val="Heading5Char"/>
    <w:rsid w:val="006D16C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1"/>
    <w:next w:val="1"/>
    <w:link w:val="Heading6Char"/>
    <w:rsid w:val="006D16C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6D1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6D16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6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CA"/>
    <w:rPr>
      <w:rFonts w:ascii="Calibri" w:eastAsiaTheme="minorEastAsia" w:hAnsi="Calibri" w:cs="Calibri"/>
      <w:lang w:val="hy-AM" w:eastAsia="ru-RU"/>
    </w:rPr>
  </w:style>
  <w:style w:type="character" w:styleId="Strong">
    <w:name w:val="Strong"/>
    <w:basedOn w:val="DefaultParagraphFont"/>
    <w:uiPriority w:val="22"/>
    <w:qFormat/>
    <w:rsid w:val="006D16CA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6D16CA"/>
    <w:rPr>
      <w:rFonts w:ascii="Times New Roman" w:eastAsia="Times New Roman" w:hAnsi="Times New Roman" w:cs="Times New Roman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rsid w:val="006D16CA"/>
    <w:rPr>
      <w:rFonts w:ascii="Calibri" w:eastAsiaTheme="minorEastAsia" w:hAnsi="Calibri" w:cs="Calibri"/>
      <w:lang w:val="hy-AM" w:eastAsia="ru-RU"/>
    </w:rPr>
  </w:style>
  <w:style w:type="character" w:customStyle="1" w:styleId="apple-converted-space">
    <w:name w:val="apple-converted-space"/>
    <w:rsid w:val="006D16CA"/>
    <w:rPr>
      <w:rFonts w:cs="Times New Roman"/>
    </w:rPr>
  </w:style>
  <w:style w:type="character" w:customStyle="1" w:styleId="Heading1Char">
    <w:name w:val="Heading 1 Char"/>
    <w:basedOn w:val="DefaultParagraphFont"/>
    <w:link w:val="Heading1"/>
    <w:rsid w:val="006D16CA"/>
    <w:rPr>
      <w:rFonts w:ascii="Calibri" w:eastAsia="Calibri" w:hAnsi="Calibri" w:cs="Calibri"/>
      <w:b/>
      <w:sz w:val="48"/>
      <w:szCs w:val="48"/>
      <w:lang w:val="hy-AM"/>
    </w:rPr>
  </w:style>
  <w:style w:type="character" w:customStyle="1" w:styleId="Heading2Char">
    <w:name w:val="Heading 2 Char"/>
    <w:basedOn w:val="DefaultParagraphFont"/>
    <w:link w:val="Heading2"/>
    <w:uiPriority w:val="9"/>
    <w:rsid w:val="006D16CA"/>
    <w:rPr>
      <w:rFonts w:ascii="Cambria" w:eastAsia="Times New Roman" w:hAnsi="Cambria" w:cs="Times New Roman"/>
      <w:b/>
      <w:bCs/>
      <w:i/>
      <w:iCs/>
      <w:sz w:val="28"/>
      <w:szCs w:val="28"/>
      <w:lang w:val="hy-AM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D16CA"/>
    <w:rPr>
      <w:rFonts w:ascii="Times New Roman" w:eastAsia="Times New Roman" w:hAnsi="Times New Roman" w:cs="Times New Roman"/>
      <w:b/>
      <w:bCs/>
      <w:sz w:val="27"/>
      <w:szCs w:val="27"/>
      <w:lang w:val="hy-AM"/>
    </w:rPr>
  </w:style>
  <w:style w:type="character" w:customStyle="1" w:styleId="Heading4Char">
    <w:name w:val="Heading 4 Char"/>
    <w:basedOn w:val="DefaultParagraphFont"/>
    <w:link w:val="Heading4"/>
    <w:rsid w:val="006D16CA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6D16CA"/>
    <w:rPr>
      <w:rFonts w:ascii="Calibri" w:eastAsia="Calibri" w:hAnsi="Calibri" w:cs="Calibri"/>
      <w:b/>
      <w:lang w:val="hy-AM"/>
    </w:rPr>
  </w:style>
  <w:style w:type="character" w:customStyle="1" w:styleId="Heading6Char">
    <w:name w:val="Heading 6 Char"/>
    <w:basedOn w:val="DefaultParagraphFont"/>
    <w:link w:val="Heading6"/>
    <w:rsid w:val="006D16CA"/>
    <w:rPr>
      <w:rFonts w:ascii="Calibri" w:eastAsia="Calibri" w:hAnsi="Calibri" w:cs="Calibri"/>
      <w:b/>
      <w:sz w:val="20"/>
      <w:szCs w:val="20"/>
      <w:lang w:val="hy-AM"/>
    </w:rPr>
  </w:style>
  <w:style w:type="paragraph" w:customStyle="1" w:styleId="1">
    <w:name w:val="Обычный1"/>
    <w:rsid w:val="006D16CA"/>
    <w:pPr>
      <w:spacing w:after="200" w:line="276" w:lineRule="auto"/>
    </w:pPr>
    <w:rPr>
      <w:rFonts w:ascii="Calibri" w:eastAsia="Calibri" w:hAnsi="Calibri" w:cs="Calibri"/>
      <w:lang w:val="hy-AM"/>
    </w:rPr>
  </w:style>
  <w:style w:type="paragraph" w:styleId="Title">
    <w:name w:val="Title"/>
    <w:basedOn w:val="1"/>
    <w:next w:val="1"/>
    <w:link w:val="TitleChar"/>
    <w:rsid w:val="006D16C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rsid w:val="006D16CA"/>
    <w:rPr>
      <w:rFonts w:ascii="Calibri" w:eastAsia="Calibri" w:hAnsi="Calibri" w:cs="Calibri"/>
      <w:b/>
      <w:sz w:val="72"/>
      <w:szCs w:val="72"/>
      <w:lang w:val="hy-AM"/>
    </w:rPr>
  </w:style>
  <w:style w:type="character" w:styleId="CommentReference">
    <w:name w:val="annotation reference"/>
    <w:uiPriority w:val="99"/>
    <w:semiHidden/>
    <w:unhideWhenUsed/>
    <w:rsid w:val="006D16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D16CA"/>
    <w:pPr>
      <w:spacing w:after="160"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D16CA"/>
    <w:rPr>
      <w:rFonts w:ascii="Calibri" w:eastAsia="Calibri" w:hAnsi="Calibri" w:cs="Times New Roman"/>
      <w:sz w:val="20"/>
      <w:szCs w:val="20"/>
      <w:lang w:val="hy-AM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6CA"/>
    <w:rPr>
      <w:rFonts w:ascii="Tahoma" w:eastAsiaTheme="minorEastAsia" w:hAnsi="Tahoma" w:cs="Tahoma"/>
      <w:sz w:val="16"/>
      <w:szCs w:val="16"/>
      <w:lang w:val="hy-AM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16C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16CA"/>
    <w:rPr>
      <w:rFonts w:ascii="Calibri" w:eastAsiaTheme="minorEastAsia" w:hAnsi="Calibri" w:cs="Calibri"/>
      <w:sz w:val="20"/>
      <w:szCs w:val="20"/>
      <w:lang w:val="hy-AM" w:eastAsia="ru-RU"/>
    </w:rPr>
  </w:style>
  <w:style w:type="character" w:styleId="FootnoteReference">
    <w:name w:val="footnote reference"/>
    <w:aliases w:val="Footnotes refss Caracter,Appel note de bas de p Caracter,Footnotes refss Car Char Char Char Caracter,callout Car Char Char Char Caracter,4_G"/>
    <w:basedOn w:val="DefaultParagraphFont"/>
    <w:uiPriority w:val="99"/>
    <w:unhideWhenUsed/>
    <w:rsid w:val="006D16CA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6D16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CA"/>
    <w:rPr>
      <w:rFonts w:ascii="Calibri" w:eastAsiaTheme="minorEastAsia" w:hAnsi="Calibri" w:cs="Calibri"/>
      <w:lang w:val="hy-AM" w:eastAsia="ru-RU"/>
    </w:rPr>
  </w:style>
  <w:style w:type="character" w:styleId="PlaceholderText">
    <w:name w:val="Placeholder Text"/>
    <w:basedOn w:val="DefaultParagraphFont"/>
    <w:uiPriority w:val="99"/>
    <w:semiHidden/>
    <w:rsid w:val="006D16CA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D16CA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DefaultParagraphFont"/>
    <w:uiPriority w:val="99"/>
    <w:semiHidden/>
    <w:unhideWhenUsed/>
    <w:rsid w:val="006D16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16CA"/>
    <w:rPr>
      <w:color w:val="954F72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16CA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6CA"/>
    <w:rPr>
      <w:rFonts w:ascii="Calibri" w:eastAsiaTheme="minorEastAsia" w:hAnsi="Calibri" w:cs="Calibri"/>
      <w:b/>
      <w:bCs/>
      <w:sz w:val="20"/>
      <w:szCs w:val="20"/>
      <w:lang w:val="hy-AM" w:eastAsia="ru-RU"/>
    </w:rPr>
  </w:style>
  <w:style w:type="paragraph" w:styleId="BodyText">
    <w:name w:val="Body Text"/>
    <w:basedOn w:val="Normal"/>
    <w:link w:val="BodyTextChar"/>
    <w:rsid w:val="006D16CA"/>
    <w:pPr>
      <w:spacing w:after="0" w:line="240" w:lineRule="auto"/>
      <w:jc w:val="center"/>
    </w:pPr>
    <w:rPr>
      <w:rFonts w:ascii="Times Armenian" w:eastAsia="Times New Roman" w:hAnsi="Times Armenian" w:cs="Times New Roman"/>
      <w:bCs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6D16CA"/>
    <w:rPr>
      <w:rFonts w:ascii="Times Armenian" w:eastAsia="Times New Roman" w:hAnsi="Times Armenian" w:cs="Times New Roman"/>
      <w:bCs/>
      <w:sz w:val="24"/>
      <w:szCs w:val="24"/>
      <w:lang w:val="hy-AM"/>
    </w:rPr>
  </w:style>
  <w:style w:type="paragraph" w:styleId="Revision">
    <w:name w:val="Revision"/>
    <w:hidden/>
    <w:uiPriority w:val="99"/>
    <w:semiHidden/>
    <w:rsid w:val="006D16CA"/>
    <w:pPr>
      <w:spacing w:after="0" w:line="240" w:lineRule="auto"/>
    </w:pPr>
    <w:rPr>
      <w:rFonts w:ascii="Calibri" w:eastAsiaTheme="minorEastAsia" w:hAnsi="Calibri" w:cs="Calibri"/>
      <w:lang w:val="hy-AM" w:eastAsia="ru-RU"/>
    </w:rPr>
  </w:style>
  <w:style w:type="paragraph" w:styleId="Subtitle">
    <w:name w:val="Subtitle"/>
    <w:basedOn w:val="Normal"/>
    <w:next w:val="Normal"/>
    <w:link w:val="SubtitleChar"/>
    <w:rsid w:val="006D16C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6D16CA"/>
    <w:rPr>
      <w:rFonts w:ascii="Georgia" w:eastAsia="Georgia" w:hAnsi="Georgia" w:cs="Georgia"/>
      <w:i/>
      <w:color w:val="666666"/>
      <w:sz w:val="48"/>
      <w:szCs w:val="48"/>
      <w:lang w:val="hy-AM" w:eastAsia="ru-RU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D1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1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3609</Characters>
  <Application>Microsoft Office Word</Application>
  <DocSecurity>0</DocSecurity>
  <Lines>72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Martun Grigoryan</dc:creator>
  <cp:keywords>https://mul2.gov.am/tasks/1341891/oneclick?token=7fe2c5f286b3b243731e87331b94e12b</cp:keywords>
  <dc:description/>
  <cp:lastModifiedBy>Silva Martirosyan</cp:lastModifiedBy>
  <cp:revision>3</cp:revision>
  <cp:lastPrinted>2025-11-28T08:29:00Z</cp:lastPrinted>
  <dcterms:created xsi:type="dcterms:W3CDTF">2026-06-11T05:35:00Z</dcterms:created>
  <dcterms:modified xsi:type="dcterms:W3CDTF">2026-06-30T12:08:00Z</dcterms:modified>
</cp:coreProperties>
</file>