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2A8419F" w14:textId="77777777" w:rsidR="00D771C3" w:rsidRPr="00D771C3" w:rsidRDefault="00D771C3" w:rsidP="00D771C3">
      <w:pPr>
        <w:shd w:val="clear" w:color="auto" w:fill="FFFFFF"/>
        <w:spacing w:after="0" w:line="360" w:lineRule="auto"/>
        <w:jc w:val="center"/>
        <w:rPr>
          <w:rFonts w:ascii="GHEA Grapalat" w:eastAsia="Times New Roman" w:hAnsi="GHEA Grapalat" w:cs="Times New Roman"/>
          <w:color w:val="000000"/>
          <w:sz w:val="24"/>
          <w:szCs w:val="24"/>
          <w:lang w:val="hy-AM"/>
        </w:rPr>
      </w:pPr>
      <w:r w:rsidRPr="00D771C3">
        <w:rPr>
          <w:rFonts w:ascii="Cambria" w:eastAsia="Times New Roman" w:hAnsi="Cambria" w:cs="Cambria"/>
          <w:color w:val="000000"/>
          <w:sz w:val="24"/>
          <w:szCs w:val="24"/>
          <w:lang w:val="hy-AM"/>
        </w:rPr>
        <w:t> </w:t>
      </w:r>
    </w:p>
    <w:p w14:paraId="2F84F90B" w14:textId="482CEE89" w:rsidR="001F16AF" w:rsidRPr="00D771C3" w:rsidRDefault="00D771C3" w:rsidP="00D771C3">
      <w:pPr>
        <w:shd w:val="clear" w:color="auto" w:fill="FFFFFF"/>
        <w:spacing w:after="0" w:line="360" w:lineRule="auto"/>
        <w:jc w:val="center"/>
        <w:rPr>
          <w:rFonts w:ascii="GHEA Grapalat" w:eastAsia="Times New Roman" w:hAnsi="GHEA Grapalat" w:cs="Times New Roman"/>
          <w:color w:val="000000"/>
          <w:sz w:val="24"/>
          <w:szCs w:val="24"/>
          <w:lang w:val="hy-AM"/>
        </w:rPr>
      </w:pPr>
      <w:r w:rsidRPr="00D771C3">
        <w:rPr>
          <w:rFonts w:ascii="GHEA Grapalat" w:eastAsia="Times New Roman" w:hAnsi="GHEA Grapalat" w:cs="Times New Roman"/>
          <w:b/>
          <w:bCs/>
          <w:color w:val="000000"/>
          <w:sz w:val="24"/>
          <w:szCs w:val="24"/>
          <w:lang w:val="hy-AM"/>
        </w:rPr>
        <w:t>«ԳՆՄԱՆ ԳՈՐԾԸՆԹԱՑՆԵՐԻ ԿԱԶՄԱԿԵՐՊՄԱՆ ԱՌԱՆՁՆԱՀԱՏԿՈՒԹՅՈՒՆՆԵՐ ՍԱՀՄԱՆԵԼՈՒ ՄԱՍԻՆ</w:t>
      </w:r>
      <w:r w:rsidR="00854D9D" w:rsidRPr="00D771C3">
        <w:rPr>
          <w:rFonts w:ascii="GHEA Grapalat" w:hAnsi="GHEA Grapalat"/>
          <w:b/>
          <w:lang w:val="hy-AM"/>
        </w:rPr>
        <w:t>»</w:t>
      </w:r>
      <w:r w:rsidR="00854D9D" w:rsidRPr="00854D9D">
        <w:rPr>
          <w:rFonts w:ascii="GHEA Grapalat" w:hAnsi="GHEA Grapalat"/>
          <w:b/>
          <w:lang w:val="hy-AM"/>
        </w:rPr>
        <w:t xml:space="preserve"> ՀՀ ԿԱՌԱՎԱՐՈՒԹՅԱՆ ՈՐՈՇՄԱՆ ՆԱԽԱԳԾԻ </w:t>
      </w:r>
      <w:r w:rsidR="001F16AF" w:rsidRPr="00247EC7">
        <w:rPr>
          <w:rFonts w:ascii="GHEA Grapalat" w:hAnsi="GHEA Grapalat"/>
          <w:b/>
          <w:lang w:val="hy-AM"/>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5137"/>
      </w:tblGrid>
      <w:tr w:rsidR="00F35D9A" w:rsidRPr="00736666" w14:paraId="280F2C41" w14:textId="77777777" w:rsidTr="008C4C53">
        <w:trPr>
          <w:trHeight w:val="416"/>
          <w:tblCellSpacing w:w="0" w:type="dxa"/>
        </w:trPr>
        <w:tc>
          <w:tcPr>
            <w:tcW w:w="5765" w:type="dxa"/>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5137" w:type="dxa"/>
            <w:shd w:val="clear" w:color="auto" w:fill="D9D9D9" w:themeFill="background1" w:themeFillShade="D9"/>
          </w:tcPr>
          <w:p w14:paraId="45F6CC7A" w14:textId="0B194366" w:rsidR="00F35D9A" w:rsidRPr="00247EC7" w:rsidRDefault="00D771C3"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19.06</w:t>
            </w:r>
            <w:r w:rsidR="00F35D9A" w:rsidRPr="001F4016">
              <w:rPr>
                <w:rFonts w:ascii="GHEA Grapalat" w:eastAsia="Times New Roman" w:hAnsi="GHEA Grapalat" w:cs="Times New Roman"/>
                <w:color w:val="000000"/>
                <w:sz w:val="24"/>
                <w:szCs w:val="24"/>
                <w:lang w:val="hy-AM" w:eastAsia="ru-RU"/>
              </w:rPr>
              <w:t>.202</w:t>
            </w:r>
            <w:r w:rsidR="00146AD1">
              <w:rPr>
                <w:rFonts w:ascii="GHEA Grapalat" w:eastAsia="Times New Roman" w:hAnsi="GHEA Grapalat" w:cs="Times New Roman"/>
                <w:color w:val="000000"/>
                <w:sz w:val="24"/>
                <w:szCs w:val="24"/>
                <w:lang w:val="hy-AM" w:eastAsia="ru-RU"/>
              </w:rPr>
              <w:t>6</w:t>
            </w:r>
            <w:r w:rsidR="00F35D9A" w:rsidRPr="001F4016">
              <w:rPr>
                <w:rFonts w:ascii="GHEA Grapalat" w:eastAsia="Times New Roman" w:hAnsi="GHEA Grapalat" w:cs="Times New Roman"/>
                <w:color w:val="000000"/>
                <w:sz w:val="24"/>
                <w:szCs w:val="24"/>
                <w:lang w:val="hy-AM" w:eastAsia="ru-RU"/>
              </w:rPr>
              <w:t>թ</w:t>
            </w:r>
            <w:r w:rsidR="00F35D9A" w:rsidRPr="001F4016">
              <w:rPr>
                <w:rFonts w:ascii="Cambria Math" w:eastAsia="Times New Roman" w:hAnsi="Cambria Math" w:cs="Cambria Math"/>
                <w:color w:val="000000"/>
                <w:sz w:val="24"/>
                <w:szCs w:val="24"/>
                <w:lang w:val="hy-AM" w:eastAsia="ru-RU"/>
              </w:rPr>
              <w:t>․</w:t>
            </w:r>
          </w:p>
        </w:tc>
      </w:tr>
      <w:tr w:rsidR="00F35D9A" w:rsidRPr="00736666" w14:paraId="1A9599F1" w14:textId="77777777" w:rsidTr="008C4C53">
        <w:trPr>
          <w:trHeight w:val="416"/>
          <w:tblCellSpacing w:w="0" w:type="dxa"/>
        </w:trPr>
        <w:tc>
          <w:tcPr>
            <w:tcW w:w="5765" w:type="dxa"/>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5137" w:type="dxa"/>
            <w:shd w:val="clear" w:color="auto" w:fill="D9D9D9" w:themeFill="background1" w:themeFillShade="D9"/>
          </w:tcPr>
          <w:p w14:paraId="448AC432" w14:textId="27372BCB" w:rsidR="00F35D9A" w:rsidRPr="00D87D0D" w:rsidRDefault="00D771C3" w:rsidP="00D771C3">
            <w:pPr>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hy-AM" w:eastAsia="ru-RU"/>
              </w:rPr>
              <w:t>N</w:t>
            </w:r>
            <w:r w:rsidRPr="00D771C3">
              <w:rPr>
                <w:rFonts w:ascii="GHEA Grapalat" w:eastAsia="Times New Roman" w:hAnsi="GHEA Grapalat" w:cs="Times New Roman"/>
                <w:color w:val="000000"/>
                <w:sz w:val="24"/>
                <w:szCs w:val="24"/>
                <w:lang w:eastAsia="ru-RU"/>
              </w:rPr>
              <w:t>01/26-1/16103-2026</w:t>
            </w:r>
          </w:p>
        </w:tc>
      </w:tr>
      <w:tr w:rsidR="00AC7C5B" w:rsidRPr="00657243" w14:paraId="0380E19D" w14:textId="77777777" w:rsidTr="000E447D">
        <w:trPr>
          <w:trHeight w:val="416"/>
          <w:tblCellSpacing w:w="0" w:type="dxa"/>
        </w:trPr>
        <w:tc>
          <w:tcPr>
            <w:tcW w:w="5765" w:type="dxa"/>
            <w:shd w:val="clear" w:color="auto" w:fill="FFFFFF"/>
          </w:tcPr>
          <w:p w14:paraId="6CA88F8F" w14:textId="681ED8D8" w:rsidR="00AC7C5B" w:rsidRPr="00247EC7" w:rsidRDefault="00D771C3" w:rsidP="00F35D9A">
            <w:pPr>
              <w:spacing w:after="0"/>
              <w:ind w:left="132" w:right="214"/>
              <w:contextualSpacing/>
              <w:jc w:val="both"/>
              <w:rPr>
                <w:rFonts w:ascii="GHEA Grapalat" w:hAnsi="GHEA Grapalat"/>
                <w:sz w:val="24"/>
                <w:szCs w:val="24"/>
                <w:lang w:val="hy-AM"/>
              </w:rPr>
            </w:pPr>
            <w:r>
              <w:rPr>
                <w:rFonts w:ascii="GHEA Grapalat" w:eastAsia="Calibri" w:hAnsi="GHEA Grapalat" w:cs="Calibri"/>
                <w:color w:val="00000A"/>
                <w:sz w:val="24"/>
                <w:szCs w:val="24"/>
                <w:lang w:val="hy-AM"/>
              </w:rPr>
              <w:t>Ա</w:t>
            </w:r>
            <w:r w:rsidRPr="00D771C3">
              <w:rPr>
                <w:rFonts w:ascii="GHEA Grapalat" w:eastAsia="Calibri" w:hAnsi="GHEA Grapalat" w:cs="Calibri"/>
                <w:color w:val="00000A"/>
                <w:sz w:val="24"/>
                <w:szCs w:val="24"/>
                <w:lang w:val="hy-AM"/>
              </w:rPr>
              <w:t>ռաջարկում ենք նախագծի 1-ին կետից հանել «որակավորման չափանիշները, հայտերի գնահատման չափանիշները» բառերը՝ նկատի ունենալով, որ գործող կարգավորումների համաձայն՝ պատվիրատուն ինքնուրույն է սահմանում ինչպես մասնակցին ներկայացվող որակավորման չափանիշները, այնպես էլ հայտերի գնահատման չափանիշները։</w:t>
            </w:r>
          </w:p>
        </w:tc>
        <w:tc>
          <w:tcPr>
            <w:tcW w:w="5137" w:type="dxa"/>
            <w:shd w:val="clear" w:color="auto" w:fill="FFFFFF"/>
          </w:tcPr>
          <w:p w14:paraId="199851A5" w14:textId="3CBF3D85" w:rsidR="00F35D9A" w:rsidRPr="008C1AC3" w:rsidRDefault="008C1AC3" w:rsidP="00854D9D">
            <w:pPr>
              <w:spacing w:after="0"/>
              <w:ind w:left="132" w:right="214"/>
              <w:contextualSpacing/>
              <w:jc w:val="center"/>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Ընդունվել է: Նախագծում կատարվել է համապատասխան փոփոխություն:</w:t>
            </w:r>
          </w:p>
        </w:tc>
      </w:tr>
      <w:tr w:rsidR="00F35D9A" w:rsidRPr="004F3CE8" w14:paraId="6DCF2068" w14:textId="77777777" w:rsidTr="008C4C53">
        <w:trPr>
          <w:trHeight w:val="416"/>
          <w:tblCellSpacing w:w="0" w:type="dxa"/>
        </w:trPr>
        <w:tc>
          <w:tcPr>
            <w:tcW w:w="5765" w:type="dxa"/>
            <w:vMerge w:val="restart"/>
            <w:shd w:val="clear" w:color="auto" w:fill="D9D9D9" w:themeFill="background1" w:themeFillShade="D9"/>
          </w:tcPr>
          <w:p w14:paraId="0D15015D" w14:textId="31C161BC" w:rsidR="00F35D9A" w:rsidRPr="004533DD" w:rsidRDefault="00D771C3"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w:t>
            </w:r>
            <w:r w:rsidR="00F35D9A">
              <w:rPr>
                <w:rFonts w:ascii="GHEA Grapalat" w:eastAsia="Times New Roman" w:hAnsi="GHEA Grapalat" w:cs="Times New Roman"/>
                <w:color w:val="000000"/>
                <w:sz w:val="24"/>
                <w:szCs w:val="24"/>
                <w:lang w:val="en-US" w:eastAsia="ru-RU"/>
              </w:rPr>
              <w:t xml:space="preserve">. </w:t>
            </w:r>
            <w:r w:rsidR="00F35D9A">
              <w:rPr>
                <w:rFonts w:ascii="GHEA Grapalat" w:eastAsia="Times New Roman" w:hAnsi="GHEA Grapalat" w:cs="Times New Roman"/>
                <w:color w:val="000000"/>
                <w:sz w:val="24"/>
                <w:szCs w:val="24"/>
                <w:lang w:val="hy-AM" w:eastAsia="ru-RU"/>
              </w:rPr>
              <w:t>ՀՀ արդարադատության նախարարություն</w:t>
            </w:r>
          </w:p>
        </w:tc>
        <w:tc>
          <w:tcPr>
            <w:tcW w:w="5137" w:type="dxa"/>
            <w:shd w:val="clear" w:color="auto" w:fill="D9D9D9" w:themeFill="background1" w:themeFillShade="D9"/>
          </w:tcPr>
          <w:p w14:paraId="79E1FDB6" w14:textId="7750D825" w:rsidR="00F35D9A" w:rsidRPr="00E72873" w:rsidRDefault="00010EDD"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18.06</w:t>
            </w:r>
            <w:r w:rsidR="00E72873">
              <w:rPr>
                <w:rFonts w:ascii="GHEA Grapalat" w:eastAsia="Times New Roman" w:hAnsi="GHEA Grapalat" w:cs="Times New Roman"/>
                <w:color w:val="000000"/>
                <w:sz w:val="24"/>
                <w:szCs w:val="24"/>
                <w:lang w:val="en-US" w:eastAsia="ru-RU"/>
              </w:rPr>
              <w:t>.2026</w:t>
            </w:r>
            <w:r w:rsidR="00E72873">
              <w:rPr>
                <w:rFonts w:ascii="GHEA Grapalat" w:eastAsia="Times New Roman" w:hAnsi="GHEA Grapalat" w:cs="Times New Roman"/>
                <w:color w:val="000000"/>
                <w:sz w:val="24"/>
                <w:szCs w:val="24"/>
                <w:lang w:val="hy-AM" w:eastAsia="ru-RU"/>
              </w:rPr>
              <w:t>թ.</w:t>
            </w:r>
          </w:p>
        </w:tc>
      </w:tr>
      <w:tr w:rsidR="00F35D9A" w:rsidRPr="004F3CE8" w14:paraId="647549BD" w14:textId="77777777" w:rsidTr="008C4C53">
        <w:trPr>
          <w:trHeight w:val="416"/>
          <w:tblCellSpacing w:w="0" w:type="dxa"/>
        </w:trPr>
        <w:tc>
          <w:tcPr>
            <w:tcW w:w="5765" w:type="dxa"/>
            <w:vMerge/>
            <w:shd w:val="clear" w:color="auto" w:fill="D9D9D9" w:themeFill="background1" w:themeFillShade="D9"/>
          </w:tcPr>
          <w:p w14:paraId="2077BFB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5137" w:type="dxa"/>
            <w:shd w:val="clear" w:color="auto" w:fill="D9D9D9" w:themeFill="background1" w:themeFillShade="D9"/>
          </w:tcPr>
          <w:p w14:paraId="2D02EE1B" w14:textId="1CA12B9C" w:rsidR="00F35D9A" w:rsidRPr="00E72873" w:rsidRDefault="00E72873" w:rsidP="00D771C3">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00010EDD" w:rsidRPr="00010EDD">
              <w:rPr>
                <w:rFonts w:ascii="GHEA Grapalat" w:eastAsia="Times New Roman" w:hAnsi="GHEA Grapalat" w:cs="Times New Roman"/>
                <w:color w:val="000000"/>
                <w:sz w:val="24"/>
                <w:szCs w:val="24"/>
                <w:lang w:eastAsia="ru-RU"/>
              </w:rPr>
              <w:t>/27.3.3/31690-2026</w:t>
            </w:r>
          </w:p>
        </w:tc>
      </w:tr>
      <w:tr w:rsidR="00514B71" w:rsidRPr="00657243" w14:paraId="6A1D5B54" w14:textId="77777777" w:rsidTr="005E4C90">
        <w:trPr>
          <w:trHeight w:val="416"/>
          <w:tblCellSpacing w:w="0" w:type="dxa"/>
        </w:trPr>
        <w:tc>
          <w:tcPr>
            <w:tcW w:w="5765" w:type="dxa"/>
            <w:shd w:val="clear" w:color="auto" w:fill="FFFFFF"/>
          </w:tcPr>
          <w:p w14:paraId="06487C7A" w14:textId="77777777" w:rsidR="00514B71" w:rsidRPr="00033F4D" w:rsidRDefault="00514B71" w:rsidP="006E609D">
            <w:pPr>
              <w:spacing w:after="0"/>
              <w:ind w:left="85" w:right="214" w:firstLine="180"/>
              <w:contextualSpacing/>
              <w:jc w:val="both"/>
              <w:rPr>
                <w:rFonts w:ascii="GHEA Grapalat" w:eastAsia="Times New Roman" w:hAnsi="GHEA Grapalat" w:cs="Times New Roman"/>
                <w:b/>
                <w:bCs/>
                <w:color w:val="000000"/>
                <w:sz w:val="24"/>
                <w:szCs w:val="24"/>
                <w:lang w:val="hy-AM" w:eastAsia="ru-RU"/>
              </w:rPr>
            </w:pPr>
            <w:r w:rsidRPr="00033F4D">
              <w:rPr>
                <w:rFonts w:ascii="GHEA Grapalat" w:eastAsia="Times New Roman" w:hAnsi="GHEA Grapalat" w:cs="Times New Roman"/>
                <w:bCs/>
                <w:color w:val="000000"/>
                <w:sz w:val="24"/>
                <w:szCs w:val="24"/>
                <w:lang w:val="hy-AM" w:eastAsia="ru-RU"/>
              </w:rPr>
              <w:t>«Գնման գործընթացների կազմակերպման առանձնահատկություններ սահմանելու մասին» Հայաստանի Հանրապետության կառավարության որոշման նախագծի (այսուհետ՝ Նախագիծ) վերաբերյալ հայտնում ենք հետևյալը</w:t>
            </w:r>
            <w:r w:rsidRPr="00033F4D">
              <w:rPr>
                <w:rFonts w:ascii="Cambria Math" w:eastAsia="Times New Roman" w:hAnsi="Cambria Math" w:cs="Cambria Math"/>
                <w:bCs/>
                <w:color w:val="000000"/>
                <w:sz w:val="24"/>
                <w:szCs w:val="24"/>
                <w:lang w:val="hy-AM" w:eastAsia="ru-RU"/>
              </w:rPr>
              <w:t>․</w:t>
            </w:r>
          </w:p>
          <w:p w14:paraId="25DC0B2B" w14:textId="77777777" w:rsidR="00514B71" w:rsidRPr="00033F4D" w:rsidRDefault="00514B71" w:rsidP="006E609D">
            <w:pPr>
              <w:spacing w:after="0"/>
              <w:ind w:left="85" w:right="214" w:firstLine="180"/>
              <w:contextualSpacing/>
              <w:jc w:val="both"/>
              <w:rPr>
                <w:rFonts w:ascii="GHEA Grapalat" w:eastAsia="Times New Roman" w:hAnsi="GHEA Grapalat" w:cs="Times New Roman"/>
                <w:color w:val="000000"/>
                <w:sz w:val="24"/>
                <w:szCs w:val="24"/>
                <w:lang w:val="hy-AM" w:eastAsia="ru-RU"/>
              </w:rPr>
            </w:pPr>
            <w:r w:rsidRPr="00033F4D">
              <w:rPr>
                <w:rFonts w:ascii="GHEA Grapalat" w:eastAsia="Times New Roman" w:hAnsi="GHEA Grapalat" w:cs="Times New Roman"/>
                <w:color w:val="000000"/>
                <w:sz w:val="24"/>
                <w:szCs w:val="24"/>
                <w:lang w:val="hy-AM" w:eastAsia="ru-RU"/>
              </w:rPr>
              <w:t xml:space="preserve">Նախագծի 1-ին կետով նախատեսվում է, որ 2027 թվականին Հայաստանում կայանալիք Ֆրանկոֆոնիայի 10-րդ խաղերի կազմակերպման նպատակով ապրանքների, աշխատանքների և ծառայությունների գնման գործընթացների շրջանակում գնման ընթացակարգի մասնակիցներին ներկայացվող որակավորման չափանիշները, հայտերի գնահատման չափանիշները, մասնակիցների կողմից հայտի, իսկ ընտրված մասնակցի կողմից պայմանագրի և (կամ) որակավորման ապահովման չափերը կամ դրանց ներկայացման անհրաժեշտության </w:t>
            </w:r>
            <w:r w:rsidRPr="00033F4D">
              <w:rPr>
                <w:rFonts w:ascii="GHEA Grapalat" w:eastAsia="Times New Roman" w:hAnsi="GHEA Grapalat" w:cs="Times New Roman"/>
                <w:color w:val="000000"/>
                <w:sz w:val="24"/>
                <w:szCs w:val="24"/>
                <w:lang w:val="hy-AM" w:eastAsia="ru-RU"/>
              </w:rPr>
              <w:lastRenderedPageBreak/>
              <w:t>առկայությունը կամ բացակայությունը, կանխավճարի չափը և մարման կարգը, ինչպես նաև պայմանագրին ներկայացվող հիմնական պայմանները սահմանվում են գնման հայտերով։</w:t>
            </w:r>
          </w:p>
          <w:p w14:paraId="05A548F7" w14:textId="77777777" w:rsidR="00514B71" w:rsidRPr="00033F4D" w:rsidRDefault="00514B71" w:rsidP="006E609D">
            <w:pPr>
              <w:spacing w:after="0"/>
              <w:ind w:left="85" w:right="214" w:firstLine="180"/>
              <w:contextualSpacing/>
              <w:jc w:val="both"/>
              <w:rPr>
                <w:rFonts w:ascii="GHEA Grapalat" w:eastAsia="Times New Roman" w:hAnsi="GHEA Grapalat" w:cs="Times New Roman"/>
                <w:color w:val="000000"/>
                <w:sz w:val="24"/>
                <w:szCs w:val="24"/>
                <w:lang w:val="hy-AM" w:eastAsia="ru-RU"/>
              </w:rPr>
            </w:pPr>
            <w:r w:rsidRPr="00033F4D">
              <w:rPr>
                <w:rFonts w:ascii="GHEA Grapalat" w:eastAsia="Times New Roman" w:hAnsi="GHEA Grapalat" w:cs="Times New Roman"/>
                <w:color w:val="000000"/>
                <w:sz w:val="24"/>
                <w:szCs w:val="24"/>
                <w:lang w:val="hy-AM" w:eastAsia="ru-RU"/>
              </w:rPr>
              <w:t xml:space="preserve">Անդրադառնալով ներկայացված հիմնավորմանը՝ հարկ ենք համարում հայտնել, որ հիմնավորումը բնորոշվում է որպես իրավական ակտի փաթեթի այնպիսի բաղադրատարր, որը պարզաբանում է այդ ակտի ընդունման նպատակը՝ իրավական կարգավորումները հավելելով ավելի լայն բացվածքով ներկայացված տեղեկատվությամբ և անհրաժեշտ այլ նշումներով, որոնք կարող են նաև նպաստել այդ ակտի իրավական կարգադրությունների ճիշտ ընկալմանը: Ըստ այդմ, իրավական ակտի ընդունման հիմնավորումը կատարում է երկու կարևորագույն գործառույթ. </w:t>
            </w:r>
          </w:p>
          <w:p w14:paraId="30ECE520" w14:textId="77777777" w:rsidR="00514B71" w:rsidRPr="00033F4D" w:rsidRDefault="00514B71" w:rsidP="006E609D">
            <w:pPr>
              <w:spacing w:after="0"/>
              <w:ind w:left="85" w:right="214" w:firstLine="180"/>
              <w:contextualSpacing/>
              <w:jc w:val="both"/>
              <w:rPr>
                <w:rFonts w:ascii="GHEA Grapalat" w:eastAsia="Times New Roman" w:hAnsi="GHEA Grapalat" w:cs="Times New Roman"/>
                <w:color w:val="000000"/>
                <w:sz w:val="24"/>
                <w:szCs w:val="24"/>
                <w:lang w:val="hy-AM" w:eastAsia="ru-RU"/>
              </w:rPr>
            </w:pPr>
            <w:r w:rsidRPr="00033F4D">
              <w:rPr>
                <w:rFonts w:ascii="GHEA Grapalat" w:eastAsia="Times New Roman" w:hAnsi="GHEA Grapalat" w:cs="Times New Roman"/>
                <w:color w:val="000000"/>
                <w:sz w:val="24"/>
                <w:szCs w:val="24"/>
                <w:lang w:val="hy-AM" w:eastAsia="ru-RU"/>
              </w:rPr>
              <w:t xml:space="preserve">1) իրավական ակտի նախագծման փուլում այն հիմք է դրա քննարկումների և հաստատումների (հավանությունների) համար, քանի որ պարզաբանում է այն նպատակը, որով պայմանավորված է իրավական ակտի ընդունումը, </w:t>
            </w:r>
          </w:p>
          <w:p w14:paraId="0B1EDBB6" w14:textId="77777777" w:rsidR="00514B71" w:rsidRPr="00033F4D" w:rsidRDefault="00514B71" w:rsidP="006E609D">
            <w:pPr>
              <w:spacing w:after="0"/>
              <w:ind w:left="85" w:right="214" w:firstLine="180"/>
              <w:contextualSpacing/>
              <w:jc w:val="both"/>
              <w:rPr>
                <w:rFonts w:ascii="GHEA Grapalat" w:eastAsia="Times New Roman" w:hAnsi="GHEA Grapalat" w:cs="Times New Roman"/>
                <w:color w:val="000000"/>
                <w:sz w:val="24"/>
                <w:szCs w:val="24"/>
                <w:lang w:val="hy-AM" w:eastAsia="ru-RU"/>
              </w:rPr>
            </w:pPr>
            <w:r w:rsidRPr="00033F4D">
              <w:rPr>
                <w:rFonts w:ascii="GHEA Grapalat" w:eastAsia="Times New Roman" w:hAnsi="GHEA Grapalat" w:cs="Times New Roman"/>
                <w:color w:val="000000"/>
                <w:sz w:val="24"/>
                <w:szCs w:val="24"/>
                <w:lang w:val="hy-AM" w:eastAsia="ru-RU"/>
              </w:rPr>
              <w:t xml:space="preserve">2) իրավական ակտի գործողության ժամանակ այն ստանում է մեկնաբանողական դեր և նշանակություն, քանի որ հիմնավորման միջոցով հնարավոր է լինում բացահայտել օրենսդրի կամքը, այն մշակողների գաղափարները և սահմանված նորմերի հիմքերում ընկած մտքերը: Հետևաբար` իրավական ակտի պատշաճ հիմնավորումը կարող է լինել դրա հաջող ընդունման և հետագայում՝ նաև կիրառման գրավականը: </w:t>
            </w:r>
          </w:p>
          <w:p w14:paraId="39DF9BDA" w14:textId="77777777" w:rsidR="00514B71" w:rsidRPr="00033F4D" w:rsidRDefault="00514B71" w:rsidP="006E609D">
            <w:pPr>
              <w:spacing w:after="0"/>
              <w:ind w:left="85" w:right="214" w:firstLine="180"/>
              <w:contextualSpacing/>
              <w:jc w:val="both"/>
              <w:rPr>
                <w:rFonts w:ascii="GHEA Grapalat" w:eastAsia="Times New Roman" w:hAnsi="GHEA Grapalat" w:cs="Times New Roman"/>
                <w:color w:val="000000"/>
                <w:sz w:val="24"/>
                <w:szCs w:val="24"/>
                <w:lang w:val="hy-AM" w:eastAsia="ru-RU"/>
              </w:rPr>
            </w:pPr>
            <w:r w:rsidRPr="00033F4D">
              <w:rPr>
                <w:rFonts w:ascii="GHEA Grapalat" w:eastAsia="Times New Roman" w:hAnsi="GHEA Grapalat" w:cs="Times New Roman"/>
                <w:color w:val="000000"/>
                <w:sz w:val="24"/>
                <w:szCs w:val="24"/>
                <w:lang w:val="hy-AM" w:eastAsia="ru-RU"/>
              </w:rPr>
              <w:t xml:space="preserve">Սույն դեպքում, Նախագծին կից ներկայացված հիմնավորման մեջ նշվել է, որ առաջարկվող կարգավորումը պայմանավորված է Ֆրանկոֆոնիայի 10-րդ խաղերի կազմակերպման </w:t>
            </w:r>
            <w:r w:rsidRPr="00033F4D">
              <w:rPr>
                <w:rFonts w:ascii="GHEA Grapalat" w:eastAsia="Times New Roman" w:hAnsi="GHEA Grapalat" w:cs="Times New Roman"/>
                <w:color w:val="000000"/>
                <w:sz w:val="24"/>
                <w:szCs w:val="24"/>
                <w:lang w:val="hy-AM" w:eastAsia="ru-RU"/>
              </w:rPr>
              <w:lastRenderedPageBreak/>
              <w:t xml:space="preserve">կարևորությամբ և </w:t>
            </w:r>
            <w:r w:rsidRPr="00033F4D">
              <w:rPr>
                <w:rFonts w:ascii="GHEA Grapalat" w:eastAsia="Times New Roman" w:hAnsi="GHEA Grapalat" w:cs="Times New Roman"/>
                <w:iCs/>
                <w:color w:val="000000"/>
                <w:sz w:val="24"/>
                <w:szCs w:val="24"/>
                <w:lang w:val="hy-AM" w:eastAsia="ru-RU"/>
              </w:rPr>
              <w:t xml:space="preserve">ձեռք բերվող գնման առարկաների առանձնահատկություններով, սակայն </w:t>
            </w:r>
            <w:r w:rsidRPr="00033F4D">
              <w:rPr>
                <w:rFonts w:ascii="GHEA Grapalat" w:eastAsia="Times New Roman" w:hAnsi="GHEA Grapalat" w:cs="Times New Roman"/>
                <w:color w:val="000000"/>
                <w:sz w:val="24"/>
                <w:szCs w:val="24"/>
                <w:lang w:val="hy-AM" w:eastAsia="ru-RU"/>
              </w:rPr>
              <w:t xml:space="preserve">չի բացահայտում առաջարկվող կարգավորման անհրաժեշտությունը։  </w:t>
            </w:r>
          </w:p>
          <w:p w14:paraId="4AFC23B3" w14:textId="0E1E182C" w:rsidR="00514B71" w:rsidRPr="00131858" w:rsidRDefault="00514B71" w:rsidP="006E609D">
            <w:pPr>
              <w:spacing w:after="0"/>
              <w:ind w:left="85" w:right="214" w:firstLine="180"/>
              <w:contextualSpacing/>
              <w:jc w:val="both"/>
              <w:rPr>
                <w:rFonts w:ascii="GHEA Grapalat" w:eastAsia="Times New Roman" w:hAnsi="GHEA Grapalat" w:cs="Times New Roman"/>
                <w:color w:val="000000"/>
                <w:sz w:val="24"/>
                <w:szCs w:val="24"/>
                <w:lang w:val="hy-AM" w:eastAsia="ru-RU"/>
              </w:rPr>
            </w:pPr>
            <w:r w:rsidRPr="00033F4D">
              <w:rPr>
                <w:rFonts w:ascii="GHEA Grapalat" w:eastAsia="Times New Roman" w:hAnsi="GHEA Grapalat" w:cs="Times New Roman"/>
                <w:color w:val="000000"/>
                <w:sz w:val="24"/>
                <w:szCs w:val="24"/>
                <w:lang w:val="hy-AM" w:eastAsia="ru-RU"/>
              </w:rPr>
              <w:t xml:space="preserve">Այս համատեքստում հարկ է նկատի ունենալ Նախագծի նախաբանում որպես լիազորող նորմ հղում կատարված Հայաստանի Հանրապետության կառավարության 2017 թվականի մայիսի 4-ի N 526-Ն որոշման (այսուհետ՝ Որոշում) N 1 հավելվածի 3-րդ կետը, համաձայն որի՝ </w:t>
            </w:r>
            <w:r w:rsidRPr="00033F4D">
              <w:rPr>
                <w:rFonts w:ascii="GHEA Grapalat" w:eastAsia="Times New Roman" w:hAnsi="GHEA Grapalat" w:cs="Times New Roman"/>
                <w:b/>
                <w:color w:val="000000"/>
                <w:sz w:val="24"/>
                <w:szCs w:val="24"/>
                <w:lang w:val="hy-AM" w:eastAsia="ru-RU"/>
              </w:rPr>
              <w:t>յուրաքանչյուր առանձին դեպքում, հիմնավորելով գնման գործընթացի առանձնահատկությունը</w:t>
            </w:r>
            <w:r w:rsidRPr="00033F4D">
              <w:rPr>
                <w:rFonts w:ascii="GHEA Grapalat" w:eastAsia="Times New Roman" w:hAnsi="GHEA Grapalat" w:cs="Times New Roman"/>
                <w:color w:val="000000"/>
                <w:sz w:val="24"/>
                <w:szCs w:val="24"/>
                <w:lang w:val="hy-AM" w:eastAsia="ru-RU"/>
              </w:rPr>
              <w:t xml:space="preserve">, պատվիրատուն կարող է դիմել Հայաստանի Հանրապետության կառավարությանը (սահմանված կարգով ներկայացնելով համապատասխան Հայաստանի Հանրապետության կառավարության որոշման նախագիծ)` </w:t>
            </w:r>
            <w:r w:rsidRPr="00033F4D">
              <w:rPr>
                <w:rFonts w:ascii="GHEA Grapalat" w:eastAsia="Times New Roman" w:hAnsi="GHEA Grapalat" w:cs="Times New Roman"/>
                <w:b/>
                <w:color w:val="000000"/>
                <w:sz w:val="24"/>
                <w:szCs w:val="24"/>
                <w:lang w:val="hy-AM" w:eastAsia="ru-RU"/>
              </w:rPr>
              <w:t xml:space="preserve">հայցելով վերջինիս թույլտվությունը՝ գնումն իրականացնել առանց սույն կարգով սահմանված պայմաններից մեկի կամ մի քանիսի պահպանման՝ կիրառելով կամ չկիրառելով դրան փոխարինող այլ պայման (պայմաններ), </w:t>
            </w:r>
            <w:r w:rsidRPr="00033F4D">
              <w:rPr>
                <w:rFonts w:ascii="GHEA Grapalat" w:eastAsia="Times New Roman" w:hAnsi="GHEA Grapalat" w:cs="Times New Roman"/>
                <w:color w:val="000000"/>
                <w:sz w:val="24"/>
                <w:szCs w:val="24"/>
                <w:lang w:val="hy-AM" w:eastAsia="ru-RU"/>
              </w:rPr>
              <w:t>մինչդեռ ներկայացված Նախագիծը ներկայացվել է անհատական բնույթի, սակայն վերաբերում է ոչ թե կոնկրետ գնման գործընթացի, այլ մի շարք գնման գործընթացների առանձնահատկություններ սահմանելուն։ Բացի այդ, չի պարունակում նշում, թե որ պայմանների չկիրառումն է թույլատրվում, կամ որ պայմանի փոխարեն են նախատեսվում նշված պայմանները, իսկ հիմնավորումը չի բացահայտում յուրաքանչյուր գնման գործընթացի համար նախատեսված կարգավորումների նախատեսման անհրաժեշտությունը, ինչը թույլ չի տալիս լիարժեք ձևով գնահատել Նախ</w:t>
            </w:r>
            <w:r>
              <w:rPr>
                <w:rFonts w:ascii="GHEA Grapalat" w:eastAsia="Times New Roman" w:hAnsi="GHEA Grapalat" w:cs="Times New Roman"/>
                <w:color w:val="000000"/>
                <w:sz w:val="24"/>
                <w:szCs w:val="24"/>
                <w:lang w:val="hy-AM" w:eastAsia="ru-RU"/>
              </w:rPr>
              <w:t>ա</w:t>
            </w:r>
            <w:r w:rsidRPr="00033F4D">
              <w:rPr>
                <w:rFonts w:ascii="GHEA Grapalat" w:eastAsia="Times New Roman" w:hAnsi="GHEA Grapalat" w:cs="Times New Roman"/>
                <w:color w:val="000000"/>
                <w:sz w:val="24"/>
                <w:szCs w:val="24"/>
                <w:lang w:val="hy-AM" w:eastAsia="ru-RU"/>
              </w:rPr>
              <w:t>գծի ընդունման նպատակահարմարությունը։</w:t>
            </w:r>
          </w:p>
        </w:tc>
        <w:tc>
          <w:tcPr>
            <w:tcW w:w="5137" w:type="dxa"/>
            <w:tcBorders>
              <w:top w:val="outset" w:sz="6" w:space="0" w:color="auto"/>
              <w:left w:val="outset" w:sz="6" w:space="0" w:color="auto"/>
              <w:bottom w:val="outset" w:sz="6" w:space="0" w:color="auto"/>
              <w:right w:val="outset" w:sz="6" w:space="0" w:color="auto"/>
            </w:tcBorders>
            <w:shd w:val="clear" w:color="auto" w:fill="FFFFFF"/>
          </w:tcPr>
          <w:p w14:paraId="6C2B7389" w14:textId="77777777" w:rsidR="00514B71" w:rsidRPr="000A7618" w:rsidRDefault="00514B71" w:rsidP="00514B71">
            <w:pPr>
              <w:spacing w:after="160" w:line="259" w:lineRule="auto"/>
              <w:ind w:left="140" w:right="210"/>
              <w:jc w:val="both"/>
              <w:rPr>
                <w:rFonts w:ascii="GHEA Grapalat" w:eastAsia="Calibri" w:hAnsi="GHEA Grapalat" w:cs="Times New Roman"/>
                <w:color w:val="000000"/>
                <w:sz w:val="24"/>
                <w:szCs w:val="24"/>
                <w:lang w:val="hy-AM"/>
              </w:rPr>
            </w:pPr>
            <w:r w:rsidRPr="000A7618">
              <w:rPr>
                <w:rFonts w:ascii="GHEA Grapalat" w:eastAsia="Calibri" w:hAnsi="GHEA Grapalat" w:cs="Times New Roman"/>
                <w:color w:val="000000"/>
                <w:sz w:val="24"/>
                <w:szCs w:val="24"/>
                <w:lang w:val="hy-AM"/>
              </w:rPr>
              <w:lastRenderedPageBreak/>
              <w:t>Չի ընդունվել:</w:t>
            </w:r>
          </w:p>
          <w:p w14:paraId="59FC4CDF" w14:textId="77777777" w:rsidR="00514B71" w:rsidRPr="00F67240" w:rsidRDefault="00514B71" w:rsidP="00514B71">
            <w:pPr>
              <w:spacing w:after="0" w:line="259" w:lineRule="auto"/>
              <w:ind w:left="140" w:right="210"/>
              <w:jc w:val="both"/>
              <w:rPr>
                <w:rFonts w:ascii="GHEA Grapalat" w:eastAsia="Calibri" w:hAnsi="GHEA Grapalat" w:cs="Times New Roman"/>
                <w:color w:val="000000"/>
                <w:sz w:val="24"/>
                <w:szCs w:val="24"/>
                <w:lang w:val="hy-AM"/>
              </w:rPr>
            </w:pPr>
            <w:r w:rsidRPr="00F67240">
              <w:rPr>
                <w:rFonts w:ascii="GHEA Grapalat" w:eastAsia="Calibri" w:hAnsi="GHEA Grapalat" w:cs="Times New Roman"/>
                <w:color w:val="000000"/>
                <w:sz w:val="24"/>
                <w:szCs w:val="24"/>
                <w:lang w:val="hy-AM"/>
              </w:rPr>
              <w:t>ՀՀ կառավարության 2017 թվականի մայիսի 4-ի թիվ 526-Ն որոշման 21-րդ կետի 1-ին ենթակետով սահմանված է գնման հայտում ներառվող բազային տեղեկատվությունը, այդ թվում՝ կանխավճարի հատկացման հնարավորությունը և առավելագույն չափը, մասնակիցներին ներկայացվող որակավորման չափանիշները, դրանց գնահատման համար պահանջվող փաստաթղթերը, պայմանագրի ապահովման չափը և այլն:</w:t>
            </w:r>
          </w:p>
          <w:p w14:paraId="3F1DFBD3" w14:textId="77777777" w:rsidR="00514B71" w:rsidRPr="00F67240" w:rsidRDefault="00514B71" w:rsidP="00514B71">
            <w:pPr>
              <w:spacing w:after="0" w:line="259" w:lineRule="auto"/>
              <w:ind w:left="140" w:right="210"/>
              <w:jc w:val="both"/>
              <w:rPr>
                <w:rFonts w:ascii="GHEA Grapalat" w:eastAsia="Calibri" w:hAnsi="GHEA Grapalat" w:cs="Times New Roman"/>
                <w:color w:val="000000"/>
                <w:sz w:val="24"/>
                <w:szCs w:val="24"/>
                <w:lang w:val="hy-AM"/>
              </w:rPr>
            </w:pPr>
            <w:r w:rsidRPr="00F67240">
              <w:rPr>
                <w:rFonts w:ascii="GHEA Grapalat" w:eastAsia="Calibri" w:hAnsi="GHEA Grapalat" w:cs="Times New Roman"/>
                <w:color w:val="000000"/>
                <w:sz w:val="24"/>
                <w:szCs w:val="24"/>
                <w:lang w:val="hy-AM"/>
              </w:rPr>
              <w:t xml:space="preserve">Այս առումով հայտնում ենք, որ Որոշման՝ </w:t>
            </w:r>
          </w:p>
          <w:p w14:paraId="7C52AE4E" w14:textId="77777777" w:rsidR="00514B71" w:rsidRPr="00F67240" w:rsidRDefault="00514B71" w:rsidP="00514B71">
            <w:pPr>
              <w:numPr>
                <w:ilvl w:val="0"/>
                <w:numId w:val="16"/>
              </w:numPr>
              <w:spacing w:after="0" w:line="259" w:lineRule="auto"/>
              <w:ind w:left="140" w:right="210" w:firstLine="0"/>
              <w:contextualSpacing/>
              <w:jc w:val="both"/>
              <w:rPr>
                <w:rFonts w:ascii="GHEA Grapalat" w:eastAsia="Calibri" w:hAnsi="GHEA Grapalat" w:cs="Times New Roman"/>
                <w:color w:val="000000"/>
                <w:sz w:val="24"/>
                <w:szCs w:val="24"/>
                <w:lang w:val="hy-AM"/>
              </w:rPr>
            </w:pPr>
            <w:r w:rsidRPr="00F67240">
              <w:rPr>
                <w:rFonts w:ascii="GHEA Grapalat" w:eastAsia="Calibri" w:hAnsi="GHEA Grapalat" w:cs="Times New Roman"/>
                <w:color w:val="000000"/>
                <w:sz w:val="24"/>
                <w:szCs w:val="24"/>
                <w:lang w:val="hy-AM"/>
              </w:rPr>
              <w:t xml:space="preserve">32-րդ կետի 1-ին ենթակետի «գ» պարբերությամբ սահմանվում են </w:t>
            </w:r>
            <w:r w:rsidRPr="00514B71">
              <w:rPr>
                <w:rFonts w:ascii="GHEA Grapalat" w:eastAsia="Calibri" w:hAnsi="GHEA Grapalat" w:cs="Times New Roman"/>
                <w:i/>
                <w:color w:val="000000"/>
                <w:sz w:val="24"/>
                <w:szCs w:val="24"/>
                <w:lang w:val="hy-AM"/>
              </w:rPr>
              <w:t>որակավորման ապահովման չափերը</w:t>
            </w:r>
            <w:r w:rsidRPr="00F67240">
              <w:rPr>
                <w:rFonts w:ascii="GHEA Grapalat" w:eastAsia="Calibri" w:hAnsi="GHEA Grapalat" w:cs="Times New Roman"/>
                <w:color w:val="000000"/>
                <w:sz w:val="24"/>
                <w:szCs w:val="24"/>
                <w:lang w:val="hy-AM"/>
              </w:rPr>
              <w:t xml:space="preserve">՝ </w:t>
            </w:r>
            <w:r w:rsidRPr="00F67240">
              <w:rPr>
                <w:rFonts w:ascii="GHEA Grapalat" w:eastAsia="Calibri" w:hAnsi="GHEA Grapalat" w:cs="Times New Roman"/>
                <w:color w:val="000000"/>
                <w:sz w:val="24"/>
                <w:szCs w:val="24"/>
                <w:lang w:val="hy-AM"/>
              </w:rPr>
              <w:lastRenderedPageBreak/>
              <w:t>կախված գնման հայտով տվյալ ընթացակարգի շրջանակում գնվելիք ապրանքի, աշխատանքի կամ ծառայության գնման գնից, օրինակ, եթե գնման գինը չի գերազանցում գնումների բազային միավորի ութսունապատիկը, որակավորման ապահովման չափը հավասար է գնման գնի տասնհինգ, իսկ գերազանցելու դեպքում՝ երեսուն տոկոսին, և այլն:</w:t>
            </w:r>
          </w:p>
          <w:p w14:paraId="0AF5F2AE" w14:textId="77777777" w:rsidR="00514B71" w:rsidRPr="00F67240" w:rsidRDefault="00514B71" w:rsidP="00514B71">
            <w:pPr>
              <w:numPr>
                <w:ilvl w:val="0"/>
                <w:numId w:val="16"/>
              </w:numPr>
              <w:spacing w:after="160" w:line="259" w:lineRule="auto"/>
              <w:ind w:left="140" w:right="210" w:firstLine="0"/>
              <w:contextualSpacing/>
              <w:jc w:val="both"/>
              <w:rPr>
                <w:rFonts w:ascii="GHEA Grapalat" w:eastAsia="Calibri" w:hAnsi="GHEA Grapalat" w:cs="Times New Roman"/>
                <w:color w:val="000000"/>
                <w:sz w:val="24"/>
                <w:szCs w:val="24"/>
                <w:lang w:val="hy-AM"/>
              </w:rPr>
            </w:pPr>
            <w:r w:rsidRPr="00F67240">
              <w:rPr>
                <w:rFonts w:ascii="GHEA Grapalat" w:eastAsia="Calibri" w:hAnsi="GHEA Grapalat" w:cs="Times New Roman"/>
                <w:color w:val="000000"/>
                <w:sz w:val="24"/>
                <w:szCs w:val="24"/>
                <w:lang w:val="hy-AM"/>
              </w:rPr>
              <w:t xml:space="preserve">32-րդ կետի 5-րդ ենթակետի երկրորդ նախադասության համաձայն՝ </w:t>
            </w:r>
            <w:r w:rsidRPr="00514B71">
              <w:rPr>
                <w:rFonts w:ascii="GHEA Grapalat" w:eastAsia="Calibri" w:hAnsi="GHEA Grapalat" w:cs="Times New Roman"/>
                <w:i/>
                <w:color w:val="000000"/>
                <w:sz w:val="24"/>
                <w:szCs w:val="24"/>
                <w:lang w:val="hy-AM"/>
              </w:rPr>
              <w:t>կանխավճարի չափը</w:t>
            </w:r>
            <w:r w:rsidRPr="00F67240">
              <w:rPr>
                <w:rFonts w:ascii="GHEA Grapalat" w:eastAsia="Calibri" w:hAnsi="GHEA Grapalat" w:cs="Times New Roman"/>
                <w:color w:val="000000"/>
                <w:sz w:val="24"/>
                <w:szCs w:val="24"/>
                <w:lang w:val="hy-AM"/>
              </w:rPr>
              <w:t xml:space="preserve"> չի կարող գերազանցել ընտրված մասնակցի առաջարկած գնի երեսուն տոկոսը՝ բացառությամբ սույն կարգի 23-րդ կետի 4-րդ ենթակետի հիման վրա կատարվող գնումների,</w:t>
            </w:r>
          </w:p>
          <w:p w14:paraId="77A25361" w14:textId="565E2381" w:rsidR="00514B71" w:rsidRDefault="00514B71" w:rsidP="00514B71">
            <w:pPr>
              <w:spacing w:after="160" w:line="259" w:lineRule="auto"/>
              <w:ind w:left="140" w:right="210"/>
              <w:contextualSpacing/>
              <w:jc w:val="both"/>
              <w:rPr>
                <w:rFonts w:ascii="GHEA Grapalat" w:eastAsia="Calibri" w:hAnsi="GHEA Grapalat" w:cs="Times New Roman"/>
                <w:color w:val="000000"/>
                <w:sz w:val="24"/>
                <w:szCs w:val="24"/>
                <w:lang w:val="hy-AM"/>
              </w:rPr>
            </w:pPr>
            <w:r w:rsidRPr="00F67240">
              <w:rPr>
                <w:rFonts w:ascii="GHEA Grapalat" w:eastAsia="Calibri" w:hAnsi="GHEA Grapalat" w:cs="Times New Roman"/>
                <w:color w:val="000000"/>
                <w:sz w:val="24"/>
                <w:szCs w:val="24"/>
                <w:lang w:val="hy-AM"/>
              </w:rPr>
              <w:t>Հաշվի առելով վեր</w:t>
            </w:r>
            <w:r w:rsidR="00CE0929">
              <w:rPr>
                <w:rFonts w:ascii="GHEA Grapalat" w:eastAsia="Calibri" w:hAnsi="GHEA Grapalat" w:cs="Times New Roman"/>
                <w:color w:val="000000"/>
                <w:sz w:val="24"/>
                <w:szCs w:val="24"/>
                <w:lang w:val="hy-AM"/>
              </w:rPr>
              <w:t>ո</w:t>
            </w:r>
            <w:r w:rsidRPr="00F67240">
              <w:rPr>
                <w:rFonts w:ascii="GHEA Grapalat" w:eastAsia="Calibri" w:hAnsi="GHEA Grapalat" w:cs="Times New Roman"/>
                <w:color w:val="000000"/>
                <w:sz w:val="24"/>
                <w:szCs w:val="24"/>
                <w:lang w:val="hy-AM"/>
              </w:rPr>
              <w:t>նշյալ իրավակարգավորումները</w:t>
            </w:r>
            <w:r>
              <w:rPr>
                <w:rFonts w:ascii="GHEA Grapalat" w:eastAsia="Calibri" w:hAnsi="GHEA Grapalat" w:cs="Times New Roman"/>
                <w:color w:val="000000"/>
                <w:sz w:val="24"/>
                <w:szCs w:val="24"/>
                <w:lang w:val="hy-AM"/>
              </w:rPr>
              <w:t>՝</w:t>
            </w:r>
            <w:r w:rsidRPr="00F67240">
              <w:rPr>
                <w:rFonts w:ascii="GHEA Grapalat" w:eastAsia="Calibri" w:hAnsi="GHEA Grapalat" w:cs="Times New Roman"/>
                <w:color w:val="000000"/>
                <w:sz w:val="24"/>
                <w:szCs w:val="24"/>
                <w:lang w:val="hy-AM"/>
              </w:rPr>
              <w:t xml:space="preserve"> հայտնում ենք, որ Նախագծով առաջարկվում է գնման հայտով սահմանել ընթացակարգի մասնակիցներին ներկայացվող </w:t>
            </w:r>
            <w:r>
              <w:rPr>
                <w:rFonts w:ascii="GHEA Grapalat" w:eastAsia="Calibri" w:hAnsi="GHEA Grapalat" w:cs="Times New Roman"/>
                <w:color w:val="000000"/>
                <w:sz w:val="24"/>
                <w:szCs w:val="24"/>
                <w:lang w:val="hy-AM"/>
              </w:rPr>
              <w:t xml:space="preserve">պայմաններ, նկատի ունենալով, որ </w:t>
            </w:r>
            <w:r w:rsidRPr="00F67240">
              <w:rPr>
                <w:rFonts w:ascii="GHEA Grapalat" w:eastAsia="Calibri" w:hAnsi="GHEA Grapalat" w:cs="Times New Roman"/>
                <w:color w:val="000000"/>
                <w:sz w:val="24"/>
                <w:szCs w:val="24"/>
                <w:lang w:val="hy-AM"/>
              </w:rPr>
              <w:t>որակավորման ապահովման չափի և կանխավճարի մարման կարգի մասով  առանձնահատկությունների սահմանումը հնարավորություն կտա պայմանագրի ապահովման չափը սահմանել անկախ գնման գնից, իսկ կանխավճարը վճարել օրինակ փուլային եղանակով, հաշվի առնելով այն, որ Որոշման 114-րդ կետի 2-րդ ենթակետի համաձայն՝ կանխավճարի մարումն իրականացվում է արձանագրությունների հիման վրա կատարվող վճարումներից նվազեցումներ (պահումներ) կատարելու ձևով: Ընդ որում</w:t>
            </w:r>
            <w:r>
              <w:rPr>
                <w:rFonts w:ascii="GHEA Grapalat" w:eastAsia="Calibri" w:hAnsi="GHEA Grapalat" w:cs="Times New Roman"/>
                <w:color w:val="000000"/>
                <w:sz w:val="24"/>
                <w:szCs w:val="24"/>
                <w:lang w:val="hy-AM"/>
              </w:rPr>
              <w:t>,</w:t>
            </w:r>
            <w:r w:rsidRPr="00F67240">
              <w:rPr>
                <w:rFonts w:ascii="GHEA Grapalat" w:eastAsia="Calibri" w:hAnsi="GHEA Grapalat" w:cs="Times New Roman"/>
                <w:color w:val="000000"/>
                <w:sz w:val="24"/>
                <w:szCs w:val="24"/>
                <w:lang w:val="hy-AM"/>
              </w:rPr>
              <w:t xml:space="preserve"> մինչև կանխավճարի ամբողջական մարումը, պայմանագրի կողմին վճարումներ չեն կատարվում: Այս առումով </w:t>
            </w:r>
            <w:r w:rsidRPr="00F67240">
              <w:rPr>
                <w:rFonts w:ascii="GHEA Grapalat" w:eastAsia="Calibri" w:hAnsi="GHEA Grapalat" w:cs="Times New Roman"/>
                <w:color w:val="000000"/>
                <w:sz w:val="24"/>
                <w:szCs w:val="24"/>
                <w:lang w:val="hy-AM"/>
              </w:rPr>
              <w:lastRenderedPageBreak/>
              <w:t>հայտնում ենք, որ գնման գործընթացի առանձնահատկություն սահմանելու Կառավարության որոշման ընդունումն անհրաժեշտ է:</w:t>
            </w:r>
          </w:p>
          <w:p w14:paraId="7484E6D3" w14:textId="77777777" w:rsidR="00CE0929" w:rsidRDefault="00CE0929" w:rsidP="00514B71">
            <w:pPr>
              <w:spacing w:after="160" w:line="259" w:lineRule="auto"/>
              <w:ind w:left="140" w:right="210"/>
              <w:contextualSpacing/>
              <w:jc w:val="both"/>
              <w:rPr>
                <w:rFonts w:ascii="GHEA Grapalat" w:eastAsia="Calibri" w:hAnsi="GHEA Grapalat" w:cs="Times New Roman"/>
                <w:color w:val="000000"/>
                <w:sz w:val="24"/>
                <w:szCs w:val="24"/>
                <w:lang w:val="hy-AM"/>
              </w:rPr>
            </w:pPr>
          </w:p>
          <w:p w14:paraId="540FE32D" w14:textId="218EC496" w:rsidR="00514B71" w:rsidRDefault="00006902" w:rsidP="00006902">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Ինչ վերաբերում է Նախագծի հիմնավորմանը, ապա հարկ է </w:t>
            </w:r>
            <w:r w:rsidRPr="00006902">
              <w:rPr>
                <w:rFonts w:ascii="GHEA Grapalat" w:eastAsia="Times New Roman" w:hAnsi="GHEA Grapalat" w:cs="Times New Roman"/>
                <w:color w:val="000000"/>
                <w:sz w:val="24"/>
                <w:szCs w:val="24"/>
                <w:lang w:val="hy-AM" w:eastAsia="ru-RU"/>
              </w:rPr>
              <w:t xml:space="preserve">նկատել, որ իրավական ակտի հիմնավորման նպատակը նախագծի ընդունման անհրաժեշտության և հետապնդվող նպատակի </w:t>
            </w:r>
            <w:r w:rsidR="00CE0929">
              <w:rPr>
                <w:rFonts w:ascii="GHEA Grapalat" w:eastAsia="Times New Roman" w:hAnsi="GHEA Grapalat" w:cs="Times New Roman"/>
                <w:color w:val="000000"/>
                <w:sz w:val="24"/>
                <w:szCs w:val="24"/>
                <w:lang w:val="hy-AM" w:eastAsia="ru-RU"/>
              </w:rPr>
              <w:t>բացահայտումն</w:t>
            </w:r>
            <w:r w:rsidRPr="00006902">
              <w:rPr>
                <w:rFonts w:ascii="GHEA Grapalat" w:eastAsia="Times New Roman" w:hAnsi="GHEA Grapalat" w:cs="Times New Roman"/>
                <w:color w:val="000000"/>
                <w:sz w:val="24"/>
                <w:szCs w:val="24"/>
                <w:lang w:val="hy-AM" w:eastAsia="ru-RU"/>
              </w:rPr>
              <w:t xml:space="preserve"> է, այլ ոչ թե նախագծի յուրաքանչյուր դրույթի մանրամասն մեկնաբանությունը կամ դրա կիրառման բոլոր հնարավոր դեպքերի սպառիչ նկարագրությունը։ </w:t>
            </w:r>
            <w:r w:rsidR="00CE0929">
              <w:rPr>
                <w:rFonts w:ascii="GHEA Grapalat" w:eastAsia="Times New Roman" w:hAnsi="GHEA Grapalat" w:cs="Times New Roman"/>
                <w:color w:val="000000"/>
                <w:sz w:val="24"/>
                <w:szCs w:val="24"/>
                <w:lang w:val="hy-AM" w:eastAsia="ru-RU"/>
              </w:rPr>
              <w:t>Տվյալ դեպքում, ն</w:t>
            </w:r>
            <w:r w:rsidRPr="00006902">
              <w:rPr>
                <w:rFonts w:ascii="GHEA Grapalat" w:eastAsia="Times New Roman" w:hAnsi="GHEA Grapalat" w:cs="Times New Roman"/>
                <w:color w:val="000000"/>
                <w:sz w:val="24"/>
                <w:szCs w:val="24"/>
                <w:lang w:val="hy-AM" w:eastAsia="ru-RU"/>
              </w:rPr>
              <w:t>երկայացված հիմնավորումը հնարավորություն է տալիս հասկանալ</w:t>
            </w:r>
            <w:r w:rsidR="00CE0929">
              <w:rPr>
                <w:rFonts w:ascii="GHEA Grapalat" w:eastAsia="Times New Roman" w:hAnsi="GHEA Grapalat" w:cs="Times New Roman"/>
                <w:color w:val="000000"/>
                <w:sz w:val="24"/>
                <w:szCs w:val="24"/>
                <w:lang w:val="hy-AM" w:eastAsia="ru-RU"/>
              </w:rPr>
              <w:t>ու</w:t>
            </w:r>
            <w:r w:rsidRPr="00006902">
              <w:rPr>
                <w:rFonts w:ascii="GHEA Grapalat" w:eastAsia="Times New Roman" w:hAnsi="GHEA Grapalat" w:cs="Times New Roman"/>
                <w:color w:val="000000"/>
                <w:sz w:val="24"/>
                <w:szCs w:val="24"/>
                <w:lang w:val="hy-AM" w:eastAsia="ru-RU"/>
              </w:rPr>
              <w:t xml:space="preserve">, որ առաջարկվող կարգավորումները նպատակ ունեն ապահովելու միջազգային խոշորամասշտաբ մարզամշակութային միջոցառման կազմակերպման համար անհրաժեշտ գնումների </w:t>
            </w:r>
            <w:r w:rsidR="00CE0929">
              <w:rPr>
                <w:rFonts w:ascii="GHEA Grapalat" w:eastAsia="Times New Roman" w:hAnsi="GHEA Grapalat" w:cs="Times New Roman"/>
                <w:color w:val="000000"/>
                <w:sz w:val="24"/>
                <w:szCs w:val="24"/>
                <w:lang w:val="hy-AM" w:eastAsia="ru-RU"/>
              </w:rPr>
              <w:t xml:space="preserve">ժամանակին, </w:t>
            </w:r>
            <w:r w:rsidRPr="00006902">
              <w:rPr>
                <w:rFonts w:ascii="GHEA Grapalat" w:eastAsia="Times New Roman" w:hAnsi="GHEA Grapalat" w:cs="Times New Roman"/>
                <w:color w:val="000000"/>
                <w:sz w:val="24"/>
                <w:szCs w:val="24"/>
                <w:lang w:val="hy-AM" w:eastAsia="ru-RU"/>
              </w:rPr>
              <w:t xml:space="preserve">ճկուն </w:t>
            </w:r>
            <w:r>
              <w:rPr>
                <w:rFonts w:ascii="GHEA Grapalat" w:eastAsia="Times New Roman" w:hAnsi="GHEA Grapalat" w:cs="Times New Roman"/>
                <w:color w:val="000000"/>
                <w:sz w:val="24"/>
                <w:szCs w:val="24"/>
                <w:lang w:val="hy-AM" w:eastAsia="ru-RU"/>
              </w:rPr>
              <w:t xml:space="preserve">և </w:t>
            </w:r>
            <w:r w:rsidRPr="00006902">
              <w:rPr>
                <w:rFonts w:ascii="GHEA Grapalat" w:eastAsia="Times New Roman" w:hAnsi="GHEA Grapalat" w:cs="Times New Roman"/>
                <w:color w:val="000000"/>
                <w:sz w:val="24"/>
                <w:szCs w:val="24"/>
                <w:lang w:val="hy-AM" w:eastAsia="ru-RU"/>
              </w:rPr>
              <w:t>արդյունավետ իրականացումը։</w:t>
            </w:r>
          </w:p>
          <w:p w14:paraId="039AF107" w14:textId="76D68F36" w:rsidR="00006902" w:rsidRPr="00131858" w:rsidRDefault="00006902" w:rsidP="00006902">
            <w:pPr>
              <w:spacing w:after="0"/>
              <w:ind w:left="132" w:right="214"/>
              <w:contextualSpacing/>
              <w:jc w:val="both"/>
              <w:rPr>
                <w:rFonts w:ascii="GHEA Grapalat" w:eastAsia="Times New Roman" w:hAnsi="GHEA Grapalat" w:cs="Times New Roman"/>
                <w:color w:val="000000"/>
                <w:sz w:val="24"/>
                <w:szCs w:val="24"/>
                <w:lang w:val="hy-AM" w:eastAsia="ru-RU"/>
              </w:rPr>
            </w:pPr>
          </w:p>
        </w:tc>
      </w:tr>
      <w:tr w:rsidR="00514B71" w:rsidRPr="00657243" w14:paraId="3A84B188" w14:textId="77777777" w:rsidTr="00E72873">
        <w:trPr>
          <w:trHeight w:val="416"/>
          <w:tblCellSpacing w:w="0" w:type="dxa"/>
        </w:trPr>
        <w:tc>
          <w:tcPr>
            <w:tcW w:w="5765" w:type="dxa"/>
            <w:shd w:val="clear" w:color="auto" w:fill="FFFFFF"/>
          </w:tcPr>
          <w:p w14:paraId="35ECAA56" w14:textId="010E0513" w:rsidR="00514B71" w:rsidRPr="00033F4D" w:rsidRDefault="00514B71" w:rsidP="006E609D">
            <w:pPr>
              <w:spacing w:after="0"/>
              <w:ind w:left="85" w:right="214" w:firstLine="180"/>
              <w:contextualSpacing/>
              <w:jc w:val="both"/>
              <w:rPr>
                <w:rFonts w:ascii="GHEA Grapalat" w:eastAsia="Times New Roman" w:hAnsi="GHEA Grapalat" w:cs="Times New Roman"/>
                <w:color w:val="000000"/>
                <w:sz w:val="24"/>
                <w:szCs w:val="24"/>
                <w:lang w:val="hy-AM" w:eastAsia="ru-RU"/>
              </w:rPr>
            </w:pPr>
            <w:r w:rsidRPr="00033F4D">
              <w:rPr>
                <w:rFonts w:ascii="GHEA Grapalat" w:eastAsia="Times New Roman" w:hAnsi="GHEA Grapalat" w:cs="Times New Roman"/>
                <w:color w:val="000000"/>
                <w:sz w:val="24"/>
                <w:szCs w:val="24"/>
                <w:lang w:val="hy-AM" w:eastAsia="ru-RU"/>
              </w:rPr>
              <w:lastRenderedPageBreak/>
              <w:t xml:space="preserve">Միաժամանակ հարկ է նկատի ունենալ, որ Որոշման N 1 հավելվածի 21-րդ կետի 1-ին </w:t>
            </w:r>
            <w:r>
              <w:rPr>
                <w:rFonts w:ascii="GHEA Grapalat" w:eastAsia="Times New Roman" w:hAnsi="GHEA Grapalat" w:cs="Times New Roman"/>
                <w:color w:val="000000"/>
                <w:sz w:val="24"/>
                <w:szCs w:val="24"/>
                <w:lang w:val="hy-AM" w:eastAsia="ru-RU"/>
              </w:rPr>
              <w:t>ե</w:t>
            </w:r>
            <w:r w:rsidRPr="00033F4D">
              <w:rPr>
                <w:rFonts w:ascii="GHEA Grapalat" w:eastAsia="Times New Roman" w:hAnsi="GHEA Grapalat" w:cs="Times New Roman"/>
                <w:color w:val="000000"/>
                <w:sz w:val="24"/>
                <w:szCs w:val="24"/>
                <w:lang w:val="hy-AM" w:eastAsia="ru-RU"/>
              </w:rPr>
              <w:t xml:space="preserve">նթակետի «թ» պարբերությամբ արդեն իսկ սահմանվում են այն դեպքերը, երբ գնման հայտում ներառվում են </w:t>
            </w:r>
            <w:r w:rsidRPr="00033F4D">
              <w:rPr>
                <w:rFonts w:ascii="GHEA Grapalat" w:eastAsia="Times New Roman" w:hAnsi="GHEA Grapalat" w:cs="Times New Roman"/>
                <w:b/>
                <w:bCs/>
                <w:color w:val="000000"/>
                <w:sz w:val="24"/>
                <w:szCs w:val="24"/>
                <w:lang w:val="hy-AM" w:eastAsia="ru-RU"/>
              </w:rPr>
              <w:t>հայտերի գնահատման և մասնակցի որակավորման չափանիշները։</w:t>
            </w:r>
            <w:r w:rsidRPr="00033F4D">
              <w:rPr>
                <w:rFonts w:ascii="GHEA Grapalat" w:eastAsia="Times New Roman" w:hAnsi="GHEA Grapalat" w:cs="Times New Roman"/>
                <w:color w:val="000000"/>
                <w:sz w:val="24"/>
                <w:szCs w:val="24"/>
                <w:lang w:val="hy-AM" w:eastAsia="ru-RU"/>
              </w:rPr>
              <w:t xml:space="preserve"> Բացի այդ, Որոշման N 1 հավելվածի 32-րդ կետից բխում է, որ </w:t>
            </w:r>
            <w:r w:rsidRPr="00033F4D">
              <w:rPr>
                <w:rFonts w:ascii="GHEA Grapalat" w:eastAsia="Times New Roman" w:hAnsi="GHEA Grapalat" w:cs="Times New Roman"/>
                <w:b/>
                <w:bCs/>
                <w:color w:val="000000"/>
                <w:sz w:val="24"/>
                <w:szCs w:val="24"/>
                <w:lang w:val="hy-AM" w:eastAsia="ru-RU"/>
              </w:rPr>
              <w:t>որակավորման ապահովմանը վերաբերող պահանջները սահմանվում են հրավերով,</w:t>
            </w:r>
            <w:r w:rsidRPr="00033F4D">
              <w:rPr>
                <w:rFonts w:ascii="GHEA Grapalat" w:eastAsia="Times New Roman" w:hAnsi="GHEA Grapalat" w:cs="Times New Roman"/>
                <w:color w:val="000000"/>
                <w:sz w:val="24"/>
                <w:szCs w:val="24"/>
                <w:lang w:val="hy-AM" w:eastAsia="ru-RU"/>
              </w:rPr>
              <w:t xml:space="preserve"> մինչդեռ Նախագծով նախատեսվում է, որ դրանք սահմանվելու են գնման հայտերով, ինչի արդյունքում Նախագծից պարզ չէ, թե գնման գործընթացի կազմակերպման ինչ առանձնահատկություններ են փաստացի սահմանվում։</w:t>
            </w:r>
          </w:p>
          <w:p w14:paraId="580D527A" w14:textId="11E56B05" w:rsidR="00514B71" w:rsidRPr="00033F4D" w:rsidRDefault="00514B71" w:rsidP="006E609D">
            <w:pPr>
              <w:spacing w:after="0"/>
              <w:ind w:left="85" w:right="214" w:firstLine="180"/>
              <w:contextualSpacing/>
              <w:jc w:val="both"/>
              <w:rPr>
                <w:rFonts w:ascii="GHEA Grapalat" w:eastAsia="Times New Roman" w:hAnsi="GHEA Grapalat" w:cs="Times New Roman"/>
                <w:bCs/>
                <w:color w:val="000000"/>
                <w:sz w:val="24"/>
                <w:szCs w:val="24"/>
                <w:lang w:val="hy-AM" w:eastAsia="ru-RU"/>
              </w:rPr>
            </w:pPr>
            <w:r w:rsidRPr="00033F4D">
              <w:rPr>
                <w:rFonts w:ascii="GHEA Grapalat" w:eastAsia="Times New Roman" w:hAnsi="GHEA Grapalat" w:cs="Times New Roman"/>
                <w:color w:val="000000"/>
                <w:sz w:val="24"/>
                <w:szCs w:val="24"/>
                <w:lang w:val="hy-AM" w:eastAsia="ru-RU"/>
              </w:rPr>
              <w:t>Վերոշարադրյալը հիմք ընդունելով՝ գտնում ենք, որ Նախագիծն ունի վերանայման և մանրամասն հիմնավորման կարիք։</w:t>
            </w:r>
          </w:p>
        </w:tc>
        <w:tc>
          <w:tcPr>
            <w:tcW w:w="5137" w:type="dxa"/>
            <w:shd w:val="clear" w:color="auto" w:fill="FFFFFF"/>
          </w:tcPr>
          <w:p w14:paraId="1221ECC3" w14:textId="77777777" w:rsidR="00514B71" w:rsidRPr="00131858" w:rsidRDefault="00514B71" w:rsidP="00514B71">
            <w:pPr>
              <w:spacing w:after="0"/>
              <w:ind w:left="132" w:right="214"/>
              <w:contextualSpacing/>
              <w:jc w:val="center"/>
              <w:rPr>
                <w:rFonts w:ascii="GHEA Grapalat" w:eastAsia="Times New Roman" w:hAnsi="GHEA Grapalat" w:cs="Times New Roman"/>
                <w:color w:val="000000"/>
                <w:sz w:val="24"/>
                <w:szCs w:val="24"/>
                <w:lang w:val="hy-AM" w:eastAsia="ru-RU"/>
              </w:rPr>
            </w:pPr>
          </w:p>
        </w:tc>
      </w:tr>
      <w:tr w:rsidR="00514B71" w:rsidRPr="00657243" w14:paraId="65CBDDA3" w14:textId="77777777" w:rsidTr="00E72873">
        <w:trPr>
          <w:trHeight w:val="416"/>
          <w:tblCellSpacing w:w="0" w:type="dxa"/>
        </w:trPr>
        <w:tc>
          <w:tcPr>
            <w:tcW w:w="5765" w:type="dxa"/>
            <w:shd w:val="clear" w:color="auto" w:fill="FFFFFF"/>
          </w:tcPr>
          <w:p w14:paraId="1AEC4770" w14:textId="7F6B5615" w:rsidR="00514B71" w:rsidRPr="00033F4D" w:rsidRDefault="00514B71" w:rsidP="006E609D">
            <w:pPr>
              <w:spacing w:after="0"/>
              <w:ind w:left="85" w:right="214" w:firstLine="180"/>
              <w:contextualSpacing/>
              <w:jc w:val="both"/>
              <w:rPr>
                <w:rFonts w:ascii="GHEA Grapalat" w:eastAsia="Times New Roman" w:hAnsi="GHEA Grapalat" w:cs="Times New Roman"/>
                <w:bCs/>
                <w:color w:val="000000"/>
                <w:sz w:val="24"/>
                <w:szCs w:val="24"/>
                <w:lang w:val="hy-AM" w:eastAsia="ru-RU"/>
              </w:rPr>
            </w:pPr>
            <w:r w:rsidRPr="00033F4D">
              <w:rPr>
                <w:rFonts w:ascii="GHEA Grapalat" w:eastAsia="Times New Roman" w:hAnsi="GHEA Grapalat" w:cs="Times New Roman"/>
                <w:color w:val="000000"/>
                <w:sz w:val="24"/>
                <w:szCs w:val="24"/>
                <w:lang w:val="hy-AM" w:eastAsia="ru-RU"/>
              </w:rPr>
              <w:t>Միաժամանակ առաջարկում ենք Նախագծի 1-ին կետում կիրառված «և (կամ)» բառերը վերանայել, հիմք ընդունելով «Նորմատիվ իրավական ակտերի մասին» օրենքի 16-րդ հոդվածի պահանջները։</w:t>
            </w:r>
          </w:p>
        </w:tc>
        <w:tc>
          <w:tcPr>
            <w:tcW w:w="5137" w:type="dxa"/>
            <w:shd w:val="clear" w:color="auto" w:fill="FFFFFF"/>
          </w:tcPr>
          <w:p w14:paraId="7861C491" w14:textId="77777777" w:rsidR="00657243" w:rsidRPr="00657243" w:rsidRDefault="00657243" w:rsidP="00514B71">
            <w:pPr>
              <w:spacing w:after="0"/>
              <w:ind w:left="132" w:right="214"/>
              <w:contextualSpacing/>
              <w:jc w:val="center"/>
              <w:rPr>
                <w:rFonts w:ascii="GHEA Grapalat" w:eastAsia="Times New Roman" w:hAnsi="GHEA Grapalat" w:cs="Times New Roman"/>
                <w:b/>
                <w:color w:val="000000"/>
                <w:sz w:val="24"/>
                <w:szCs w:val="24"/>
                <w:lang w:val="hy-AM" w:eastAsia="ru-RU"/>
              </w:rPr>
            </w:pPr>
            <w:bookmarkStart w:id="0" w:name="_GoBack"/>
            <w:r w:rsidRPr="00657243">
              <w:rPr>
                <w:rFonts w:ascii="GHEA Grapalat" w:eastAsia="Times New Roman" w:hAnsi="GHEA Grapalat" w:cs="Times New Roman"/>
                <w:b/>
                <w:color w:val="000000"/>
                <w:sz w:val="24"/>
                <w:szCs w:val="24"/>
                <w:lang w:val="hy-AM" w:eastAsia="ru-RU"/>
              </w:rPr>
              <w:t>Ընդունվել է:</w:t>
            </w:r>
          </w:p>
          <w:bookmarkEnd w:id="0"/>
          <w:p w14:paraId="757D5FA9" w14:textId="6D307E14" w:rsidR="00514B71" w:rsidRPr="00131858" w:rsidRDefault="00657243" w:rsidP="00514B71">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 Նախագծում կատարվել է համապատասխան փոփոխություն: </w:t>
            </w:r>
          </w:p>
        </w:tc>
      </w:tr>
    </w:tbl>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ACD2B0" w14:textId="77777777" w:rsidR="00951F36" w:rsidRDefault="00951F36" w:rsidP="009F26EA">
      <w:pPr>
        <w:spacing w:after="0" w:line="240" w:lineRule="auto"/>
      </w:pPr>
      <w:r>
        <w:separator/>
      </w:r>
    </w:p>
  </w:endnote>
  <w:endnote w:type="continuationSeparator" w:id="0">
    <w:p w14:paraId="6885410F" w14:textId="77777777" w:rsidR="00951F36" w:rsidRDefault="00951F36"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A45050" w14:textId="77777777" w:rsidR="00951F36" w:rsidRDefault="00951F36" w:rsidP="009F26EA">
      <w:pPr>
        <w:spacing w:after="0" w:line="240" w:lineRule="auto"/>
      </w:pPr>
      <w:r>
        <w:separator/>
      </w:r>
    </w:p>
  </w:footnote>
  <w:footnote w:type="continuationSeparator" w:id="0">
    <w:p w14:paraId="74A8672C" w14:textId="77777777" w:rsidR="00951F36" w:rsidRDefault="00951F36"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5E954FFF"/>
    <w:multiLevelType w:val="hybridMultilevel"/>
    <w:tmpl w:val="5D4C959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2"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5"/>
  </w:num>
  <w:num w:numId="4">
    <w:abstractNumId w:val="13"/>
  </w:num>
  <w:num w:numId="5">
    <w:abstractNumId w:val="14"/>
  </w:num>
  <w:num w:numId="6">
    <w:abstractNumId w:val="3"/>
  </w:num>
  <w:num w:numId="7">
    <w:abstractNumId w:val="12"/>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ADB"/>
    <w:rsid w:val="00004DC2"/>
    <w:rsid w:val="000061B6"/>
    <w:rsid w:val="00006902"/>
    <w:rsid w:val="00010EDD"/>
    <w:rsid w:val="00017AFC"/>
    <w:rsid w:val="00033F4D"/>
    <w:rsid w:val="00034DB2"/>
    <w:rsid w:val="000365A3"/>
    <w:rsid w:val="00037006"/>
    <w:rsid w:val="00037263"/>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858"/>
    <w:rsid w:val="00131CBF"/>
    <w:rsid w:val="0013218E"/>
    <w:rsid w:val="001374E5"/>
    <w:rsid w:val="00143665"/>
    <w:rsid w:val="00146AD1"/>
    <w:rsid w:val="0016316B"/>
    <w:rsid w:val="001675D6"/>
    <w:rsid w:val="00170F0C"/>
    <w:rsid w:val="00176694"/>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735C"/>
    <w:rsid w:val="00261D58"/>
    <w:rsid w:val="002621D5"/>
    <w:rsid w:val="00262E35"/>
    <w:rsid w:val="00263E92"/>
    <w:rsid w:val="00273450"/>
    <w:rsid w:val="00275EF2"/>
    <w:rsid w:val="00282C34"/>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262B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0D57"/>
    <w:rsid w:val="00404C83"/>
    <w:rsid w:val="00406961"/>
    <w:rsid w:val="00420338"/>
    <w:rsid w:val="00422CC8"/>
    <w:rsid w:val="00437ED2"/>
    <w:rsid w:val="0045226C"/>
    <w:rsid w:val="004533DD"/>
    <w:rsid w:val="00467B82"/>
    <w:rsid w:val="0048183D"/>
    <w:rsid w:val="00482223"/>
    <w:rsid w:val="0048496A"/>
    <w:rsid w:val="00496D15"/>
    <w:rsid w:val="004A20BA"/>
    <w:rsid w:val="004A3C0D"/>
    <w:rsid w:val="004A6C04"/>
    <w:rsid w:val="004B1F4B"/>
    <w:rsid w:val="004C5C22"/>
    <w:rsid w:val="004D4F85"/>
    <w:rsid w:val="004D50FD"/>
    <w:rsid w:val="004E109B"/>
    <w:rsid w:val="004F066E"/>
    <w:rsid w:val="004F3CE8"/>
    <w:rsid w:val="004F77E1"/>
    <w:rsid w:val="004F7B8A"/>
    <w:rsid w:val="00500C6F"/>
    <w:rsid w:val="00502000"/>
    <w:rsid w:val="005102BA"/>
    <w:rsid w:val="005108AA"/>
    <w:rsid w:val="00512110"/>
    <w:rsid w:val="00514B71"/>
    <w:rsid w:val="005155EA"/>
    <w:rsid w:val="00520550"/>
    <w:rsid w:val="00522C9D"/>
    <w:rsid w:val="00532780"/>
    <w:rsid w:val="00533298"/>
    <w:rsid w:val="005332CC"/>
    <w:rsid w:val="00537EA7"/>
    <w:rsid w:val="0055469D"/>
    <w:rsid w:val="005605AF"/>
    <w:rsid w:val="00561430"/>
    <w:rsid w:val="00571A67"/>
    <w:rsid w:val="00574E58"/>
    <w:rsid w:val="00583C88"/>
    <w:rsid w:val="00591C88"/>
    <w:rsid w:val="00592CC9"/>
    <w:rsid w:val="00594613"/>
    <w:rsid w:val="005A135D"/>
    <w:rsid w:val="005A1C94"/>
    <w:rsid w:val="005B1A1B"/>
    <w:rsid w:val="005C0260"/>
    <w:rsid w:val="005D01DC"/>
    <w:rsid w:val="005F0052"/>
    <w:rsid w:val="005F02AC"/>
    <w:rsid w:val="005F68D9"/>
    <w:rsid w:val="006003AC"/>
    <w:rsid w:val="006119A5"/>
    <w:rsid w:val="0062482A"/>
    <w:rsid w:val="006260F0"/>
    <w:rsid w:val="00630CBD"/>
    <w:rsid w:val="00641C49"/>
    <w:rsid w:val="00643F8E"/>
    <w:rsid w:val="00645BAB"/>
    <w:rsid w:val="00651CC0"/>
    <w:rsid w:val="00657243"/>
    <w:rsid w:val="00660FF1"/>
    <w:rsid w:val="00664FC3"/>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10B1"/>
    <w:rsid w:val="006D5C8F"/>
    <w:rsid w:val="006E4F40"/>
    <w:rsid w:val="006E609D"/>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A7D16"/>
    <w:rsid w:val="007B10D7"/>
    <w:rsid w:val="007B5E7B"/>
    <w:rsid w:val="007D5437"/>
    <w:rsid w:val="007E30D1"/>
    <w:rsid w:val="007E3FC9"/>
    <w:rsid w:val="007E7424"/>
    <w:rsid w:val="00807831"/>
    <w:rsid w:val="00810555"/>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1AC3"/>
    <w:rsid w:val="008C393B"/>
    <w:rsid w:val="008C4C53"/>
    <w:rsid w:val="008C6615"/>
    <w:rsid w:val="008D7F19"/>
    <w:rsid w:val="008E3367"/>
    <w:rsid w:val="008F295F"/>
    <w:rsid w:val="008F4E81"/>
    <w:rsid w:val="009026DA"/>
    <w:rsid w:val="00920CF9"/>
    <w:rsid w:val="00924509"/>
    <w:rsid w:val="0094390C"/>
    <w:rsid w:val="00943A48"/>
    <w:rsid w:val="00944B38"/>
    <w:rsid w:val="0094652E"/>
    <w:rsid w:val="00947733"/>
    <w:rsid w:val="00951F36"/>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53E0"/>
    <w:rsid w:val="00A24E26"/>
    <w:rsid w:val="00A27F5C"/>
    <w:rsid w:val="00A33A79"/>
    <w:rsid w:val="00A36878"/>
    <w:rsid w:val="00A368C3"/>
    <w:rsid w:val="00A53F15"/>
    <w:rsid w:val="00A60547"/>
    <w:rsid w:val="00A63C36"/>
    <w:rsid w:val="00A67DA4"/>
    <w:rsid w:val="00A83447"/>
    <w:rsid w:val="00A8395D"/>
    <w:rsid w:val="00A86320"/>
    <w:rsid w:val="00A93911"/>
    <w:rsid w:val="00A93D61"/>
    <w:rsid w:val="00AA26BC"/>
    <w:rsid w:val="00AA2A3E"/>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261E"/>
    <w:rsid w:val="00B15425"/>
    <w:rsid w:val="00B20406"/>
    <w:rsid w:val="00B2166B"/>
    <w:rsid w:val="00B2515B"/>
    <w:rsid w:val="00B2664C"/>
    <w:rsid w:val="00B304B1"/>
    <w:rsid w:val="00B3103C"/>
    <w:rsid w:val="00B33CED"/>
    <w:rsid w:val="00B33FAB"/>
    <w:rsid w:val="00B522B5"/>
    <w:rsid w:val="00B548B9"/>
    <w:rsid w:val="00B57540"/>
    <w:rsid w:val="00B64BAC"/>
    <w:rsid w:val="00B6758F"/>
    <w:rsid w:val="00B67865"/>
    <w:rsid w:val="00B67916"/>
    <w:rsid w:val="00B7001A"/>
    <w:rsid w:val="00B72995"/>
    <w:rsid w:val="00B75CEA"/>
    <w:rsid w:val="00B8724E"/>
    <w:rsid w:val="00B91EC7"/>
    <w:rsid w:val="00B92DDE"/>
    <w:rsid w:val="00B96BC4"/>
    <w:rsid w:val="00B96DC4"/>
    <w:rsid w:val="00B97D00"/>
    <w:rsid w:val="00BA09F1"/>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0929"/>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36094"/>
    <w:rsid w:val="00D42F4D"/>
    <w:rsid w:val="00D44F0D"/>
    <w:rsid w:val="00D4533C"/>
    <w:rsid w:val="00D45985"/>
    <w:rsid w:val="00D53441"/>
    <w:rsid w:val="00D5418E"/>
    <w:rsid w:val="00D5419C"/>
    <w:rsid w:val="00D61AA9"/>
    <w:rsid w:val="00D717C1"/>
    <w:rsid w:val="00D725F9"/>
    <w:rsid w:val="00D768CB"/>
    <w:rsid w:val="00D771C3"/>
    <w:rsid w:val="00D814BB"/>
    <w:rsid w:val="00D82DD4"/>
    <w:rsid w:val="00D87D0D"/>
    <w:rsid w:val="00D93C8B"/>
    <w:rsid w:val="00D93D33"/>
    <w:rsid w:val="00D9575D"/>
    <w:rsid w:val="00D96E80"/>
    <w:rsid w:val="00D9756B"/>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2873"/>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5D9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3D7"/>
    <w:rsid w:val="00FD26F8"/>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99"/>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449CA2-031D-4564-8AAB-D26BEBE93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1063</Words>
  <Characters>6062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Susanna Arzumanyan</cp:lastModifiedBy>
  <cp:revision>4</cp:revision>
  <cp:lastPrinted>2022-04-22T07:01:00Z</cp:lastPrinted>
  <dcterms:created xsi:type="dcterms:W3CDTF">2026-06-19T12:47:00Z</dcterms:created>
  <dcterms:modified xsi:type="dcterms:W3CDTF">2026-06-19T13:22:00Z</dcterms:modified>
</cp:coreProperties>
</file>