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E8772" w14:textId="2B507B2C" w:rsidR="00516261" w:rsidRPr="0090612C" w:rsidRDefault="0090612C" w:rsidP="00792690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90612C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32D3CF1F" w14:textId="35BA4F31" w:rsidR="00D45CA4" w:rsidRPr="00A54833" w:rsidRDefault="00A54833" w:rsidP="00A54833">
      <w:pPr>
        <w:spacing w:after="240" w:line="280" w:lineRule="atLeast"/>
        <w:jc w:val="center"/>
        <w:rPr>
          <w:rFonts w:ascii="GHEA Grapalat" w:eastAsiaTheme="minorEastAsia" w:hAnsi="GHEA Grapalat" w:cs="Times New Roman"/>
          <w:b/>
          <w:bCs/>
          <w:iCs/>
          <w:caps/>
          <w:sz w:val="24"/>
          <w:szCs w:val="24"/>
        </w:rPr>
      </w:pPr>
      <w:r w:rsidRPr="00F87228">
        <w:rPr>
          <w:rStyle w:val="Heading4Char"/>
          <w:rFonts w:ascii="GHEA Grapalat" w:eastAsiaTheme="minorEastAsia" w:hAnsi="GHEA Grapalat" w:cs="Sylfaen"/>
          <w:b/>
          <w:bCs/>
          <w:i w:val="0"/>
          <w:color w:val="auto"/>
          <w:sz w:val="24"/>
          <w:szCs w:val="24"/>
        </w:rPr>
        <w:t xml:space="preserve">ԶԲՈՍԱՇՐՋԱՅԻՆ ԿԵՆՏՐՈՆ ԿԱՌԱՎԱՐՈՂ ԿԱԶՄԱԿԵՐՊՈՒԹՅՈՒՆՆԵՐԻ ՈՐԱԿԱՎՈՐՄԱՆ ԸՆԹԱՑԱԿԱՐԳԸ, ՉԱՓՈՐՈՇԻՉՆԵՐԸ (ԱՅԴ ԹՎՈՒՄ՝ ԶԲՈՍԱՇՐՋԱՅԻՆ ԿԵՆՏՐՈՆ ԿԱՌԱՎԱՐՈՂ ԿԱԶՄԱԿԵՐՊՈՒԹՅԱՆ ԳՈՐԾԱՌՈՒՅԹՆԵՐԻՆ, ԿԱՌՈՒՑՎԱԾՔԻՆ ՎԵՐԱԲԵՐՈՂ ՆՎԱԶԱԳՈՒՅՆ ՊԱՀԱՆՋՆԵՐԸ),  ՈՐԱԿԱՎՈՐՄԱՆ ՎԿԱՅԱԿԱՆԻ ՁԵՎԸ,  ՈՐԱԿԱՎՈՐՄԱՆ ՎԿԱՅԱԿԱՆԻ ԺԱՄԿԵՏԸ, ՎԿԱՅԱԿԱՆԻ ՏՐԱՄԱԴՐՄԱՆ ԿԱՐԳԸ,  ՈՐԱԿԱՎՈՐՄԱՆ ԴԱԴԱՐՄԱՆ ՀԻՄՔԵՐԸ </w:t>
      </w:r>
      <w:r w:rsidR="00640C4C">
        <w:rPr>
          <w:rStyle w:val="Heading4Char"/>
          <w:rFonts w:ascii="GHEA Grapalat" w:eastAsiaTheme="minorEastAsia" w:hAnsi="GHEA Grapalat" w:cs="Sylfaen"/>
          <w:b/>
          <w:bCs/>
          <w:i w:val="0"/>
          <w:color w:val="auto"/>
          <w:sz w:val="24"/>
          <w:szCs w:val="24"/>
        </w:rPr>
        <w:t>ՍԱՀՄԱՆԵԼՈՒ</w:t>
      </w:r>
      <w:r w:rsidRPr="00F87228">
        <w:rPr>
          <w:rStyle w:val="Heading4Char"/>
          <w:rFonts w:ascii="GHEA Grapalat" w:eastAsiaTheme="minorEastAsia" w:hAnsi="GHEA Grapalat" w:cs="Sylfaen"/>
          <w:b/>
          <w:bCs/>
          <w:i w:val="0"/>
          <w:color w:val="auto"/>
          <w:sz w:val="24"/>
          <w:szCs w:val="24"/>
        </w:rPr>
        <w:t xml:space="preserve"> ՄԱՍԻՆ</w:t>
      </w:r>
      <w:r w:rsidR="0090612C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ՀՀ </w:t>
      </w:r>
      <w:r w:rsidR="0032122D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ԿԱՌԱՎԱՐՈՒԹՅԱՆ </w:t>
      </w:r>
      <w:r w:rsidR="0090612C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</w:rPr>
        <w:t>ՈՐՈՇՄԱՆ ՆԱԽԱԳԾԻ ԸՆԴՈՒՆՄԱՆ</w:t>
      </w:r>
    </w:p>
    <w:p w14:paraId="3428A17D" w14:textId="77777777" w:rsidR="002A4DAF" w:rsidRDefault="002A4DAF" w:rsidP="006B1EE2">
      <w:pPr>
        <w:pStyle w:val="ListParagraph"/>
        <w:spacing w:after="0" w:line="360" w:lineRule="auto"/>
        <w:ind w:left="360"/>
        <w:rPr>
          <w:rFonts w:ascii="GHEA Grapalat" w:hAnsi="GHEA Grapalat"/>
          <w:b/>
          <w:bCs/>
          <w:sz w:val="24"/>
          <w:szCs w:val="24"/>
        </w:rPr>
      </w:pPr>
    </w:p>
    <w:p w14:paraId="7BB94121" w14:textId="22BDFF42" w:rsidR="00E32ED6" w:rsidRDefault="003C4FEB" w:rsidP="006B1EE2">
      <w:pPr>
        <w:pStyle w:val="ListParagraph"/>
        <w:spacing w:after="0" w:line="360" w:lineRule="auto"/>
        <w:ind w:left="360"/>
        <w:rPr>
          <w:rFonts w:ascii="MS Mincho" w:eastAsia="MS Mincho" w:hAnsi="MS Mincho" w:cs="MS Mincho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1</w:t>
      </w:r>
      <w:r>
        <w:rPr>
          <w:rFonts w:ascii="MS Mincho" w:eastAsia="MS Mincho" w:hAnsi="MS Mincho" w:cs="MS Mincho"/>
          <w:b/>
          <w:bCs/>
          <w:sz w:val="24"/>
          <w:szCs w:val="24"/>
        </w:rPr>
        <w:t>․</w:t>
      </w:r>
      <w:r w:rsidR="00A54833">
        <w:rPr>
          <w:rFonts w:ascii="MS Mincho" w:eastAsia="MS Mincho" w:hAnsi="MS Mincho" w:cs="MS Mincho"/>
          <w:b/>
          <w:bCs/>
          <w:sz w:val="24"/>
          <w:szCs w:val="24"/>
        </w:rPr>
        <w:t xml:space="preserve"> </w:t>
      </w:r>
      <w:r w:rsidR="00792690" w:rsidRPr="00AB3EB3">
        <w:rPr>
          <w:rFonts w:ascii="GHEA Grapalat" w:hAnsi="GHEA Grapalat"/>
          <w:b/>
          <w:bCs/>
          <w:sz w:val="24"/>
          <w:szCs w:val="24"/>
        </w:rPr>
        <w:t>Որոշման ընդունման անհրաժեշտությունը</w:t>
      </w:r>
      <w:r w:rsidR="00154FCB" w:rsidRPr="00AB3EB3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</w:p>
    <w:p w14:paraId="21A4ADC1" w14:textId="3934E696" w:rsidR="00A54833" w:rsidRDefault="00A83E1A" w:rsidP="00A54833">
      <w:pPr>
        <w:spacing w:after="0" w:line="360" w:lineRule="auto"/>
        <w:ind w:firstLine="360"/>
        <w:jc w:val="both"/>
        <w:rPr>
          <w:rFonts w:ascii="GHEA Grapalat" w:hAnsi="GHEA Grapalat" w:cs="GHEA Grapalat"/>
          <w:bCs/>
          <w:kern w:val="0"/>
          <w:sz w:val="24"/>
          <w:szCs w:val="24"/>
        </w:rPr>
      </w:pPr>
      <w:bookmarkStart w:id="0" w:name="_Hlk193296015"/>
      <w:r>
        <w:rPr>
          <w:rFonts w:ascii="GHEA Grapalat" w:eastAsia="Calibri" w:hAnsi="GHEA Grapalat" w:cs="Times New Roman"/>
          <w:sz w:val="24"/>
          <w:szCs w:val="24"/>
        </w:rPr>
        <w:t xml:space="preserve">Որոշման նախագիծը ներկայացվում է ի կատարումն </w:t>
      </w:r>
      <w:r w:rsidR="00B715FD" w:rsidRPr="00A52FEB">
        <w:rPr>
          <w:rFonts w:ascii="GHEA Grapalat" w:eastAsia="Calibri" w:hAnsi="GHEA Grapalat" w:cs="Times New Roman"/>
          <w:sz w:val="24"/>
          <w:szCs w:val="24"/>
        </w:rPr>
        <w:t xml:space="preserve">2023 թվականի դեկտեմբերի 22-ին ընդունված </w:t>
      </w:r>
      <w:r w:rsidR="00B715FD" w:rsidRPr="00A52FE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«Զբոսաշրջության մասին» օրենքի</w:t>
      </w:r>
      <w:r w:rsidR="00445AC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445AC1" w:rsidRPr="00445AC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(</w:t>
      </w:r>
      <w:r w:rsidR="00445AC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այսուհետ՝ Օրենք</w:t>
      </w:r>
      <w:r w:rsidR="00445AC1" w:rsidRPr="00445AC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</w:t>
      </w:r>
      <w:r w:rsidR="00B715FD" w:rsidRPr="00A52FE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54833" w:rsidRPr="00A54833">
        <w:rPr>
          <w:rFonts w:ascii="GHEA Grapalat" w:hAnsi="GHEA Grapalat" w:cs="GHEA Grapalat"/>
          <w:bCs/>
          <w:kern w:val="0"/>
          <w:sz w:val="24"/>
          <w:szCs w:val="24"/>
        </w:rPr>
        <w:t>19-րդ հոդվածի 3-րդ մաս</w:t>
      </w:r>
      <w:r w:rsidR="00A54833">
        <w:rPr>
          <w:rFonts w:ascii="GHEA Grapalat" w:hAnsi="GHEA Grapalat" w:cs="GHEA Grapalat"/>
          <w:bCs/>
          <w:kern w:val="0"/>
          <w:sz w:val="24"/>
          <w:szCs w:val="24"/>
        </w:rPr>
        <w:t>ի</w:t>
      </w:r>
      <w:r>
        <w:rPr>
          <w:rFonts w:ascii="GHEA Grapalat" w:hAnsi="GHEA Grapalat" w:cs="GHEA Grapalat"/>
          <w:bCs/>
          <w:kern w:val="0"/>
          <w:sz w:val="24"/>
          <w:szCs w:val="24"/>
        </w:rPr>
        <w:t xml:space="preserve">։ </w:t>
      </w:r>
    </w:p>
    <w:p w14:paraId="42932954" w14:textId="67CCE905" w:rsidR="00A54833" w:rsidRPr="00F36427" w:rsidRDefault="00865BE6" w:rsidP="00A5483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A52FEB">
        <w:rPr>
          <w:rFonts w:ascii="GHEA Grapalat" w:hAnsi="GHEA Grapalat" w:cs="GHEA Grapalat"/>
          <w:bCs/>
          <w:kern w:val="0"/>
          <w:sz w:val="24"/>
          <w:szCs w:val="24"/>
        </w:rPr>
        <w:t xml:space="preserve"> </w:t>
      </w:r>
      <w:bookmarkEnd w:id="0"/>
      <w:r w:rsidR="00A54833" w:rsidRPr="00F36427">
        <w:rPr>
          <w:rFonts w:ascii="GHEA Grapalat" w:hAnsi="GHEA Grapalat"/>
          <w:sz w:val="24"/>
          <w:szCs w:val="24"/>
        </w:rPr>
        <w:t xml:space="preserve">Որոշման ընդունման անհրաժեշտությունը բխում է </w:t>
      </w:r>
      <w:r w:rsidR="00A54833">
        <w:rPr>
          <w:rFonts w:ascii="GHEA Grapalat" w:hAnsi="GHEA Grapalat"/>
          <w:sz w:val="24"/>
          <w:szCs w:val="24"/>
        </w:rPr>
        <w:t>զբոսաշրջային ուղղությունների/կենտրոնների համակարգված և համաչափ տարածքային զարգացման հրամայականից։</w:t>
      </w:r>
    </w:p>
    <w:p w14:paraId="10B8C095" w14:textId="3691DB5F" w:rsidR="008D2AE1" w:rsidRPr="00A52FEB" w:rsidRDefault="008D2AE1" w:rsidP="009A2576">
      <w:pPr>
        <w:spacing w:after="0" w:line="360" w:lineRule="auto"/>
        <w:ind w:left="180" w:firstLine="540"/>
        <w:jc w:val="both"/>
        <w:rPr>
          <w:rFonts w:ascii="GHEA Grapalat" w:eastAsia="MS Mincho" w:hAnsi="GHEA Grapalat" w:cs="MS Mincho"/>
          <w:sz w:val="24"/>
          <w:szCs w:val="24"/>
        </w:rPr>
      </w:pPr>
      <w:r>
        <w:rPr>
          <w:rFonts w:ascii="GHEA Grapalat" w:eastAsia="MS Mincho" w:hAnsi="GHEA Grapalat" w:cs="MS Mincho"/>
          <w:sz w:val="24"/>
          <w:szCs w:val="24"/>
        </w:rPr>
        <w:t>Ա</w:t>
      </w:r>
      <w:r w:rsidRPr="008D2AE1">
        <w:rPr>
          <w:rFonts w:ascii="GHEA Grapalat" w:eastAsia="MS Mincho" w:hAnsi="GHEA Grapalat" w:cs="MS Mincho"/>
          <w:sz w:val="24"/>
          <w:szCs w:val="24"/>
        </w:rPr>
        <w:t>նհրաժեշտ է</w:t>
      </w:r>
      <w:r w:rsidR="00A54833">
        <w:rPr>
          <w:rFonts w:ascii="GHEA Grapalat" w:eastAsia="MS Mincho" w:hAnsi="GHEA Grapalat" w:cs="MS Mincho"/>
          <w:sz w:val="24"/>
          <w:szCs w:val="24"/>
        </w:rPr>
        <w:t xml:space="preserve"> զբոսաշրջային կենտրոն կառավարող կազմակերպությունների համակարգված գործունեությամբ</w:t>
      </w:r>
      <w:r w:rsidRPr="008D2AE1">
        <w:rPr>
          <w:rFonts w:ascii="GHEA Grapalat" w:eastAsia="MS Mincho" w:hAnsi="GHEA Grapalat" w:cs="MS Mincho"/>
          <w:sz w:val="24"/>
          <w:szCs w:val="24"/>
        </w:rPr>
        <w:t xml:space="preserve"> պաշտպանել</w:t>
      </w:r>
      <w:r w:rsidR="00A54833">
        <w:rPr>
          <w:rFonts w:ascii="GHEA Grapalat" w:eastAsia="MS Mincho" w:hAnsi="GHEA Grapalat" w:cs="MS Mincho"/>
          <w:sz w:val="24"/>
          <w:szCs w:val="24"/>
        </w:rPr>
        <w:t>, զարգացնել</w:t>
      </w:r>
      <w:r w:rsidRPr="008D2AE1">
        <w:rPr>
          <w:rFonts w:ascii="GHEA Grapalat" w:eastAsia="MS Mincho" w:hAnsi="GHEA Grapalat" w:cs="MS Mincho"/>
          <w:sz w:val="24"/>
          <w:szCs w:val="24"/>
        </w:rPr>
        <w:t xml:space="preserve"> զբոսաշրջային</w:t>
      </w:r>
      <w:r>
        <w:rPr>
          <w:rFonts w:ascii="GHEA Grapalat" w:eastAsia="MS Mincho" w:hAnsi="GHEA Grapalat" w:cs="MS Mincho"/>
          <w:sz w:val="24"/>
          <w:szCs w:val="24"/>
        </w:rPr>
        <w:t xml:space="preserve"> կենտրոն համարվող բնակավայրերի</w:t>
      </w:r>
      <w:r w:rsidRPr="008D2AE1">
        <w:rPr>
          <w:rFonts w:ascii="GHEA Grapalat" w:eastAsia="MS Mincho" w:hAnsi="GHEA Grapalat" w:cs="MS Mincho"/>
          <w:sz w:val="24"/>
          <w:szCs w:val="24"/>
        </w:rPr>
        <w:t xml:space="preserve"> ներուժ</w:t>
      </w:r>
      <w:r>
        <w:rPr>
          <w:rFonts w:ascii="GHEA Grapalat" w:eastAsia="MS Mincho" w:hAnsi="GHEA Grapalat" w:cs="MS Mincho"/>
          <w:sz w:val="24"/>
          <w:szCs w:val="24"/>
        </w:rPr>
        <w:t>ը</w:t>
      </w:r>
      <w:r w:rsidRPr="008D2AE1">
        <w:rPr>
          <w:rFonts w:ascii="GHEA Grapalat" w:eastAsia="MS Mincho" w:hAnsi="GHEA Grapalat" w:cs="MS Mincho"/>
          <w:sz w:val="24"/>
          <w:szCs w:val="24"/>
        </w:rPr>
        <w:t>, պահպանել և պաշտպանել լանդշաֆտները, կենսաբազմազանությունը, նյութական և ոչ նյութական մշակութային բազմազանությունը և տեղական արժեքները</w:t>
      </w:r>
      <w:r w:rsidR="003236D2">
        <w:rPr>
          <w:rFonts w:ascii="GHEA Grapalat" w:eastAsia="MS Mincho" w:hAnsi="GHEA Grapalat" w:cs="MS Mincho"/>
          <w:sz w:val="24"/>
          <w:szCs w:val="24"/>
        </w:rPr>
        <w:t>, ինչպես նաև ճանաչելի դարձնել հայկական զբոսաշրջային արդյունը համաշխարհային զբոսաշրջային շուկայում</w:t>
      </w:r>
      <w:r w:rsidR="009A2576">
        <w:rPr>
          <w:rFonts w:ascii="GHEA Grapalat" w:eastAsia="MS Mincho" w:hAnsi="GHEA Grapalat" w:cs="MS Mincho"/>
          <w:sz w:val="24"/>
          <w:szCs w:val="24"/>
        </w:rPr>
        <w:t>։</w:t>
      </w:r>
    </w:p>
    <w:p w14:paraId="54458C06" w14:textId="0B19AA55" w:rsidR="00F95AB3" w:rsidRPr="00A52FEB" w:rsidRDefault="00F95AB3" w:rsidP="003C4FEB">
      <w:pPr>
        <w:spacing w:after="0" w:line="360" w:lineRule="auto"/>
        <w:jc w:val="both"/>
        <w:rPr>
          <w:rFonts w:ascii="GHEA Grapalat" w:eastAsia="MS Mincho" w:hAnsi="GHEA Grapalat" w:cs="MS Mincho"/>
          <w:b/>
          <w:bCs/>
          <w:sz w:val="24"/>
          <w:szCs w:val="24"/>
        </w:rPr>
      </w:pPr>
      <w:r w:rsidRPr="00A52FEB">
        <w:rPr>
          <w:rFonts w:ascii="GHEA Grapalat" w:eastAsia="MS Mincho" w:hAnsi="GHEA Grapalat" w:cs="MS Mincho"/>
          <w:sz w:val="24"/>
          <w:szCs w:val="24"/>
        </w:rPr>
        <w:tab/>
      </w:r>
    </w:p>
    <w:p w14:paraId="2226817B" w14:textId="59453882" w:rsidR="004E00C3" w:rsidRPr="00A52FEB" w:rsidRDefault="003C4FEB" w:rsidP="003C4FE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52FEB">
        <w:rPr>
          <w:rFonts w:ascii="GHEA Grapalat" w:hAnsi="GHEA Grapalat"/>
          <w:b/>
          <w:bCs/>
          <w:sz w:val="24"/>
          <w:szCs w:val="24"/>
        </w:rPr>
        <w:t xml:space="preserve">  2</w:t>
      </w:r>
      <w:r w:rsidRPr="00A52FEB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  <w:r w:rsidRPr="00A52FEB">
        <w:rPr>
          <w:rFonts w:ascii="GHEA Grapalat" w:eastAsia="MS Mincho" w:hAnsi="GHEA Grapalat" w:cs="MS Mincho"/>
          <w:b/>
          <w:bCs/>
          <w:sz w:val="24"/>
          <w:szCs w:val="24"/>
        </w:rPr>
        <w:t xml:space="preserve"> </w:t>
      </w:r>
      <w:r w:rsidR="00154FCB" w:rsidRPr="00A52FEB">
        <w:rPr>
          <w:rFonts w:ascii="GHEA Grapalat" w:hAnsi="GHEA Grapalat"/>
          <w:b/>
          <w:bCs/>
          <w:sz w:val="24"/>
          <w:szCs w:val="24"/>
        </w:rPr>
        <w:t>Ընթացիկ իրավիճ</w:t>
      </w:r>
      <w:r w:rsidR="00B264D7" w:rsidRPr="00A52FEB">
        <w:rPr>
          <w:rFonts w:ascii="GHEA Grapalat" w:hAnsi="GHEA Grapalat"/>
          <w:b/>
          <w:bCs/>
          <w:sz w:val="24"/>
          <w:szCs w:val="24"/>
        </w:rPr>
        <w:t>ա</w:t>
      </w:r>
      <w:r w:rsidR="00154FCB" w:rsidRPr="00A52FEB">
        <w:rPr>
          <w:rFonts w:ascii="GHEA Grapalat" w:hAnsi="GHEA Grapalat"/>
          <w:b/>
          <w:bCs/>
          <w:sz w:val="24"/>
          <w:szCs w:val="24"/>
        </w:rPr>
        <w:t>կը և խնդիրները</w:t>
      </w:r>
    </w:p>
    <w:p w14:paraId="66AC048C" w14:textId="3AC474BB" w:rsidR="001B28C5" w:rsidRDefault="001B28C5" w:rsidP="00025458">
      <w:pPr>
        <w:tabs>
          <w:tab w:val="left" w:pos="270"/>
        </w:tabs>
        <w:spacing w:after="0" w:line="360" w:lineRule="auto"/>
        <w:contextualSpacing/>
        <w:jc w:val="both"/>
        <w:rPr>
          <w:rFonts w:ascii="GHEA Grapalat" w:eastAsia="GHEA Grapalat" w:hAnsi="GHEA Grapalat" w:cs="Times New Roman"/>
          <w:sz w:val="24"/>
          <w:szCs w:val="24"/>
        </w:rPr>
      </w:pPr>
      <w:r>
        <w:rPr>
          <w:rFonts w:ascii="GHEA Grapalat" w:hAnsi="GHEA Grapalat"/>
          <w:sz w:val="24"/>
        </w:rPr>
        <w:tab/>
      </w:r>
      <w:r w:rsidRPr="004D1C43">
        <w:rPr>
          <w:rFonts w:ascii="GHEA Grapalat" w:hAnsi="GHEA Grapalat"/>
          <w:sz w:val="24"/>
        </w:rPr>
        <w:t xml:space="preserve">Հայաստանում՝ հատկապես Երևանից դուրս, զբոսաշրջային ենթակառուցվածքների ներկա վիճակը բավական հնարավորություն չի ընձեռում ավելի շատ քանակով և բարձր վճարողունակությամբ զբոսաշրջիկներին </w:t>
      </w:r>
      <w:r w:rsidRPr="004D1C43">
        <w:rPr>
          <w:rFonts w:ascii="GHEA Grapalat" w:hAnsi="GHEA Grapalat"/>
          <w:sz w:val="24"/>
        </w:rPr>
        <w:lastRenderedPageBreak/>
        <w:t xml:space="preserve">սպասարկելու համար։ Մասնավորապես՝ </w:t>
      </w:r>
      <w:r w:rsidRPr="001B28C5">
        <w:rPr>
          <w:rFonts w:ascii="GHEA Grapalat" w:hAnsi="GHEA Grapalat"/>
          <w:sz w:val="24"/>
        </w:rPr>
        <w:t>Հայաստանում դեռևս ձևավորման փուլում է զբոսաշրջային ուղղությունների համակարգված զարգացման գործընթացը</w:t>
      </w:r>
      <w:r w:rsidRPr="001B28C5">
        <w:rPr>
          <w:rFonts w:ascii="GHEA Grapalat" w:eastAsia="MS Mincho" w:hAnsi="GHEA Grapalat" w:cs="MS Mincho"/>
          <w:sz w:val="24"/>
        </w:rPr>
        <w:t>,</w:t>
      </w:r>
      <w:r w:rsidRPr="001B28C5">
        <w:rPr>
          <w:rFonts w:ascii="GHEA Grapalat" w:hAnsi="GHEA Grapalat"/>
          <w:sz w:val="24"/>
        </w:rPr>
        <w:t xml:space="preserve"> անհրաժեշտ է ձևավորել նոր թեմատիկ ուղղություններով զբոսաշրջային երթուղիներ, կենտրոններ (կլաստերներ)։ Բացի այդ՝ դեպի զբոսաշրջային գրավչության օբյեկտներ տանող բազմաթիվ ճանապարհներ բարեկարգված չեն և ապահովված չեն զբոսաշրջային ցուցանակներով, սանիտարական պայմաններով (ներառյալ՝ սանիտարահիգիենիկ հանգույցներով)։ Պետք է շեշտել նաև, որ Հայաստանի Հանրապետության զբոսաշրջային այցելավայրերը դեռևս պատրաստ չեն մեծածավալ այցելուների համար։ Հատկապես պատմամաշկութային վայրերը, խոնարհված եկեղեցիները, վանքերը մեծապես վնաս կկրեն ակտիվ հոսքերի ժամանակ</w:t>
      </w:r>
      <w:r w:rsidR="00025458">
        <w:rPr>
          <w:rFonts w:ascii="GHEA Grapalat" w:hAnsi="GHEA Grapalat"/>
          <w:sz w:val="24"/>
        </w:rPr>
        <w:t>։</w:t>
      </w:r>
    </w:p>
    <w:p w14:paraId="6C691473" w14:textId="77777777" w:rsidR="003236D2" w:rsidRDefault="001B28C5" w:rsidP="003236D2">
      <w:pPr>
        <w:tabs>
          <w:tab w:val="left" w:pos="270"/>
        </w:tabs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GHEA Grapalat" w:hAnsi="GHEA Grapalat" w:cs="Times New Roman"/>
          <w:sz w:val="24"/>
          <w:szCs w:val="24"/>
        </w:rPr>
        <w:tab/>
      </w:r>
      <w:r w:rsidR="00A54833">
        <w:rPr>
          <w:rFonts w:ascii="GHEA Grapalat" w:hAnsi="GHEA Grapalat"/>
          <w:sz w:val="24"/>
          <w:szCs w:val="24"/>
        </w:rPr>
        <w:t xml:space="preserve">Բացի Զբոսաշրջային գրավչություն ունեցող վայրերի պահպանությանը, ենթակառուցվածքների զարգացմանը, ճիշտ և նպատակային իրացմանն ուղղված աշխատանքներից, անհրաժեշտ է նաև ապահովել </w:t>
      </w:r>
      <w:r w:rsidR="003236D2">
        <w:rPr>
          <w:rFonts w:ascii="GHEA Grapalat" w:hAnsi="GHEA Grapalat"/>
          <w:sz w:val="24"/>
          <w:szCs w:val="24"/>
        </w:rPr>
        <w:t>նաև այս վայրերի պատշաճ ներկայացվածությունը համաշխարհային շուկայում, վերջիններիս վերաբերյալ ճշգրիտ և համակարգված տեղեկատվության տարածումը։</w:t>
      </w:r>
    </w:p>
    <w:p w14:paraId="1275DEDE" w14:textId="7AF2C074" w:rsidR="003236D2" w:rsidRDefault="003236D2" w:rsidP="003236D2">
      <w:pPr>
        <w:tabs>
          <w:tab w:val="left" w:pos="270"/>
        </w:tabs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Ներկայումս չկան որակավորված զբոսաշրջային կենտրոն կառավարող կազմակերպություններ (</w:t>
      </w:r>
      <w:r w:rsidRPr="003236D2">
        <w:rPr>
          <w:rFonts w:ascii="GHEA Grapalat" w:hAnsi="GHEA Grapalat"/>
          <w:sz w:val="24"/>
          <w:szCs w:val="24"/>
        </w:rPr>
        <w:t>D</w:t>
      </w:r>
      <w:r>
        <w:rPr>
          <w:rFonts w:ascii="GHEA Grapalat" w:hAnsi="GHEA Grapalat"/>
          <w:sz w:val="24"/>
          <w:szCs w:val="24"/>
        </w:rPr>
        <w:t xml:space="preserve">MO-ներ), որոնք կիրականացնեն վերոգրյալ բոլոր խնդիրների համակարգված լուծմանն ուղղված աշխատանքներ։ Զբոսաշրջության կոմիտեն յուրաքանչյուր տարի հայտարարում է զբոսաշրջային կենտրոն կառավարող կազմակերպություններին աջակցություն տրամադրելու մրցույթներ, որոնց շրջանակում </w:t>
      </w:r>
      <w:r w:rsidR="00D07E8C">
        <w:rPr>
          <w:rFonts w:ascii="GHEA Grapalat" w:hAnsi="GHEA Grapalat"/>
          <w:sz w:val="24"/>
          <w:szCs w:val="24"/>
        </w:rPr>
        <w:t>աջակցություն է տրամադրվում</w:t>
      </w:r>
      <w:r>
        <w:rPr>
          <w:rFonts w:ascii="GHEA Grapalat" w:hAnsi="GHEA Grapalat"/>
          <w:sz w:val="24"/>
          <w:szCs w:val="24"/>
        </w:rPr>
        <w:t xml:space="preserve"> մրցույթը հաղթող առավելագույնը 3-7 կազմակերպության բնականոն գործունեությ</w:t>
      </w:r>
      <w:r w:rsidR="00D07E8C"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</w:rPr>
        <w:t>ն</w:t>
      </w:r>
      <w:r w:rsidR="00D07E8C">
        <w:rPr>
          <w:rFonts w:ascii="GHEA Grapalat" w:hAnsi="GHEA Grapalat"/>
          <w:sz w:val="24"/>
          <w:szCs w:val="24"/>
        </w:rPr>
        <w:t xml:space="preserve"> ապահովման</w:t>
      </w:r>
      <w:r>
        <w:rPr>
          <w:rFonts w:ascii="GHEA Grapalat" w:hAnsi="GHEA Grapalat"/>
          <w:sz w:val="24"/>
          <w:szCs w:val="24"/>
        </w:rPr>
        <w:t xml:space="preserve">ը։ Սակայն, </w:t>
      </w:r>
      <w:r w:rsidR="00D07E8C">
        <w:rPr>
          <w:rFonts w:ascii="GHEA Grapalat" w:hAnsi="GHEA Grapalat"/>
          <w:sz w:val="24"/>
          <w:szCs w:val="24"/>
        </w:rPr>
        <w:t>այնուամենայնիվ, զբոսաշրային կենտրոն կառավարող կազմակերպությունների՝</w:t>
      </w:r>
      <w:r>
        <w:rPr>
          <w:rFonts w:ascii="GHEA Grapalat" w:hAnsi="GHEA Grapalat"/>
          <w:sz w:val="24"/>
          <w:szCs w:val="24"/>
        </w:rPr>
        <w:t xml:space="preserve"> առանց համակարգային և միասնական մոտեցումներ</w:t>
      </w:r>
      <w:r w:rsidR="00D07E8C"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</w:rPr>
        <w:t xml:space="preserve"> ու սկզբունքներ</w:t>
      </w:r>
      <w:r w:rsidR="00D07E8C">
        <w:rPr>
          <w:rFonts w:ascii="GHEA Grapalat" w:hAnsi="GHEA Grapalat"/>
          <w:sz w:val="24"/>
          <w:szCs w:val="24"/>
        </w:rPr>
        <w:t>ի գործունեությունը ոլորտի համաչափ զարգացման տեսանկյունից դեռևս ռազմավարական խնդիրների շարքում է</w:t>
      </w:r>
      <w:r>
        <w:rPr>
          <w:rFonts w:ascii="GHEA Grapalat" w:hAnsi="GHEA Grapalat"/>
          <w:sz w:val="24"/>
          <w:szCs w:val="24"/>
        </w:rPr>
        <w:t>։</w:t>
      </w:r>
    </w:p>
    <w:p w14:paraId="175FE485" w14:textId="77777777" w:rsidR="001B28C5" w:rsidRDefault="001B28C5" w:rsidP="00C6215B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14:paraId="2ECCD745" w14:textId="28887E3E" w:rsidR="004E00C3" w:rsidRPr="00874FBA" w:rsidRDefault="0019176D" w:rsidP="00C6215B">
      <w:pPr>
        <w:spacing w:after="0" w:line="360" w:lineRule="auto"/>
        <w:jc w:val="both"/>
        <w:rPr>
          <w:rFonts w:ascii="MS Mincho" w:eastAsia="MS Mincho" w:hAnsi="MS Mincho" w:cs="MS Mincho"/>
          <w:b/>
          <w:bCs/>
          <w:sz w:val="24"/>
          <w:szCs w:val="24"/>
        </w:rPr>
      </w:pPr>
      <w:r w:rsidRPr="00874FBA">
        <w:rPr>
          <w:rFonts w:ascii="GHEA Grapalat" w:hAnsi="GHEA Grapalat"/>
          <w:b/>
          <w:bCs/>
          <w:sz w:val="24"/>
          <w:szCs w:val="24"/>
        </w:rPr>
        <w:t>3</w:t>
      </w:r>
      <w:r w:rsidRPr="00874FBA">
        <w:rPr>
          <w:rFonts w:ascii="MS Mincho" w:eastAsia="MS Mincho" w:hAnsi="MS Mincho" w:cs="MS Mincho"/>
          <w:b/>
          <w:bCs/>
          <w:sz w:val="24"/>
          <w:szCs w:val="24"/>
        </w:rPr>
        <w:t xml:space="preserve">․ </w:t>
      </w:r>
      <w:r w:rsidR="00154FCB" w:rsidRPr="00874FBA">
        <w:rPr>
          <w:rFonts w:ascii="GHEA Grapalat" w:hAnsi="GHEA Grapalat"/>
          <w:b/>
          <w:bCs/>
          <w:sz w:val="24"/>
          <w:szCs w:val="24"/>
        </w:rPr>
        <w:t>Առաջարկվող կարգավորման բնույթը և նպատակը</w:t>
      </w:r>
      <w:r w:rsidR="00154FCB" w:rsidRPr="00874FBA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</w:p>
    <w:p w14:paraId="768BD4CF" w14:textId="77777777" w:rsidR="001764A1" w:rsidRDefault="001764A1" w:rsidP="001764A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Նախագծով առաջարկվում է հաստատել զբոսաշրջային </w:t>
      </w:r>
      <w:r w:rsidRPr="001764A1">
        <w:rPr>
          <w:rFonts w:ascii="GHEA Grapalat" w:hAnsi="GHEA Grapalat"/>
          <w:sz w:val="24"/>
          <w:szCs w:val="24"/>
        </w:rPr>
        <w:t>կենտրոն կառավարող կազմակերպությունների որակավորման ընթացակարգը, չափորոշիչները (այդ թվում՝ զբոսաշրջային կենտրոն կառավարող կազմակերպության գործառույթներին, կառուցվածքին վերաբերող նվազագույն պահանջները),  որակավորման վկայականի ձ</w:t>
      </w:r>
      <w:r>
        <w:rPr>
          <w:rFonts w:ascii="GHEA Grapalat" w:hAnsi="GHEA Grapalat"/>
          <w:sz w:val="24"/>
          <w:szCs w:val="24"/>
        </w:rPr>
        <w:t>և</w:t>
      </w:r>
      <w:r w:rsidRPr="001764A1">
        <w:rPr>
          <w:rFonts w:ascii="GHEA Grapalat" w:hAnsi="GHEA Grapalat"/>
          <w:sz w:val="24"/>
          <w:szCs w:val="24"/>
        </w:rPr>
        <w:t>ը,  որակավորման վկայականի ժամկետը, վկայականի տրամադրման կարգը,  որակավորման դադարման հիմքերը</w:t>
      </w:r>
      <w:r>
        <w:rPr>
          <w:rFonts w:ascii="GHEA Grapalat" w:hAnsi="GHEA Grapalat"/>
          <w:sz w:val="24"/>
          <w:szCs w:val="24"/>
        </w:rPr>
        <w:t>։</w:t>
      </w:r>
    </w:p>
    <w:p w14:paraId="235C12FC" w14:textId="77777777" w:rsidR="009C3CF4" w:rsidRDefault="001764A1" w:rsidP="001764A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Այնուհետև</w:t>
      </w:r>
      <w:r w:rsidR="009C3CF4">
        <w:rPr>
          <w:rFonts w:ascii="GHEA Grapalat" w:hAnsi="GHEA Grapalat"/>
          <w:sz w:val="24"/>
          <w:szCs w:val="24"/>
        </w:rPr>
        <w:t xml:space="preserve"> նախատեսվում է</w:t>
      </w:r>
      <w:r>
        <w:rPr>
          <w:rFonts w:ascii="GHEA Grapalat" w:hAnsi="GHEA Grapalat"/>
          <w:sz w:val="24"/>
          <w:szCs w:val="24"/>
        </w:rPr>
        <w:t xml:space="preserve"> որակավորված զբոսաշրջային կենտրոն կառավարող կազմակերպություններ</w:t>
      </w:r>
      <w:r w:rsidR="009C3CF4">
        <w:rPr>
          <w:rFonts w:ascii="GHEA Grapalat" w:hAnsi="GHEA Grapalat"/>
          <w:sz w:val="24"/>
          <w:szCs w:val="24"/>
        </w:rPr>
        <w:t>ի կողմից համապատասխան կառավարման պլանների շրջանակում գործունեության ապահովում։</w:t>
      </w:r>
    </w:p>
    <w:p w14:paraId="1DF1B991" w14:textId="6E733B77" w:rsidR="001764A1" w:rsidRDefault="009C3CF4" w:rsidP="001764A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Նախագծով առաջարկվող կարգավորման նպատակն է ապահովել համակարգված և համաչափ տարածքային զարգացում, զբոսաշրջայի</w:t>
      </w:r>
      <w:r w:rsidR="00731F23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 xml:space="preserve"> ռեսուրսների պահպանությանն ու հանրահռչակմանն ուղղված միջոցառումների</w:t>
      </w:r>
      <w:r w:rsidR="00731F23">
        <w:rPr>
          <w:rFonts w:ascii="GHEA Grapalat" w:hAnsi="GHEA Grapalat"/>
          <w:sz w:val="24"/>
          <w:szCs w:val="24"/>
        </w:rPr>
        <w:t xml:space="preserve"> պատշաճ իրականացում, զբոսաշրջային արդյունքի դիվերսիֆիկացման ապահովում։</w:t>
      </w:r>
      <w:r>
        <w:rPr>
          <w:rFonts w:ascii="GHEA Grapalat" w:hAnsi="GHEA Grapalat"/>
          <w:sz w:val="24"/>
          <w:szCs w:val="24"/>
        </w:rPr>
        <w:t xml:space="preserve">  </w:t>
      </w:r>
    </w:p>
    <w:p w14:paraId="31EBEB4A" w14:textId="52E10B2B" w:rsidR="00154FCB" w:rsidRPr="00874FBA" w:rsidRDefault="00275A8F" w:rsidP="006B1EE2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 </w:t>
      </w:r>
      <w:r w:rsidR="00874FBA">
        <w:rPr>
          <w:rFonts w:ascii="GHEA Grapalat" w:hAnsi="GHEA Grapalat"/>
          <w:b/>
          <w:bCs/>
          <w:sz w:val="24"/>
          <w:szCs w:val="24"/>
        </w:rPr>
        <w:t>4</w:t>
      </w:r>
      <w:r w:rsidR="00874FBA">
        <w:rPr>
          <w:rFonts w:ascii="MS Mincho" w:eastAsia="MS Mincho" w:hAnsi="MS Mincho" w:cs="MS Mincho"/>
          <w:b/>
          <w:bCs/>
          <w:sz w:val="24"/>
          <w:szCs w:val="24"/>
        </w:rPr>
        <w:t xml:space="preserve">․ </w:t>
      </w:r>
      <w:r w:rsidR="00154FCB" w:rsidRPr="00874FBA">
        <w:rPr>
          <w:rFonts w:ascii="GHEA Grapalat" w:hAnsi="GHEA Grapalat"/>
          <w:b/>
          <w:bCs/>
          <w:sz w:val="24"/>
          <w:szCs w:val="24"/>
        </w:rPr>
        <w:t>Նախագծի մշակման գործընթացում ներգրավված ինստիտուտները և անձիք.</w:t>
      </w:r>
    </w:p>
    <w:p w14:paraId="5463C886" w14:textId="475DA79D" w:rsidR="00275A8F" w:rsidRDefault="00107E32" w:rsidP="00BA607D">
      <w:pPr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Նախագիծը մշակվել է ՀՀ ԷՆ զբոսաշրջության կոմիտեի կողմից</w:t>
      </w:r>
      <w:r w:rsidR="00731F23">
        <w:rPr>
          <w:rFonts w:ascii="GHEA Grapalat" w:hAnsi="GHEA Grapalat" w:cs="Arial"/>
          <w:sz w:val="24"/>
          <w:szCs w:val="24"/>
        </w:rPr>
        <w:t xml:space="preserve"> միջազգային դոնոր կազմակերպության հետ համագործակցությամբ</w:t>
      </w:r>
      <w:r>
        <w:rPr>
          <w:rFonts w:ascii="GHEA Grapalat" w:hAnsi="GHEA Grapalat" w:cs="Arial"/>
          <w:sz w:val="24"/>
          <w:szCs w:val="24"/>
        </w:rPr>
        <w:t>։</w:t>
      </w:r>
    </w:p>
    <w:p w14:paraId="3FEF2C70" w14:textId="77777777" w:rsidR="00BA607D" w:rsidRPr="00BA607D" w:rsidRDefault="00BA607D" w:rsidP="00BA607D">
      <w:pPr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</w:rPr>
      </w:pPr>
    </w:p>
    <w:p w14:paraId="2A9F3862" w14:textId="1C3EF665" w:rsidR="00B926F9" w:rsidRPr="00C61F44" w:rsidRDefault="00275A8F" w:rsidP="006B1EE2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  </w:t>
      </w:r>
      <w:r w:rsidR="00583546" w:rsidRPr="00C61F44">
        <w:rPr>
          <w:rFonts w:ascii="GHEA Grapalat" w:hAnsi="GHEA Grapalat"/>
          <w:b/>
          <w:bCs/>
          <w:sz w:val="24"/>
          <w:szCs w:val="24"/>
        </w:rPr>
        <w:t xml:space="preserve"> 5</w:t>
      </w:r>
      <w:r w:rsidR="00583546" w:rsidRPr="00C61F44">
        <w:rPr>
          <w:rFonts w:ascii="MS Mincho" w:eastAsia="MS Mincho" w:hAnsi="MS Mincho" w:cs="MS Mincho"/>
          <w:b/>
          <w:bCs/>
          <w:sz w:val="24"/>
          <w:szCs w:val="24"/>
        </w:rPr>
        <w:t>․</w:t>
      </w:r>
      <w:r w:rsidR="00154FCB" w:rsidRPr="00C61F44">
        <w:rPr>
          <w:rFonts w:ascii="GHEA Grapalat" w:hAnsi="GHEA Grapalat"/>
          <w:b/>
          <w:bCs/>
          <w:sz w:val="24"/>
          <w:szCs w:val="24"/>
        </w:rPr>
        <w:t>Իրավական ակտի կիրառման դեպքում ակնկալվող արդյունքները</w:t>
      </w:r>
      <w:r w:rsidR="00154FCB" w:rsidRPr="00C61F44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</w:p>
    <w:p w14:paraId="6370FC70" w14:textId="77777777" w:rsidR="0054594E" w:rsidRDefault="00107E32" w:rsidP="00707878">
      <w:pPr>
        <w:spacing w:after="0" w:line="360" w:lineRule="auto"/>
        <w:ind w:right="6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Իրավական ակտի ընդունման արդյունքում </w:t>
      </w:r>
      <w:r w:rsidR="00707878">
        <w:rPr>
          <w:rFonts w:ascii="GHEA Grapalat" w:hAnsi="GHEA Grapalat"/>
          <w:sz w:val="24"/>
          <w:szCs w:val="24"/>
        </w:rPr>
        <w:t xml:space="preserve">ՀՀ էկոնոմիկայի նախարարության կոմիտեն սերտորեն </w:t>
      </w:r>
      <w:r w:rsidR="0054594E">
        <w:rPr>
          <w:rFonts w:ascii="GHEA Grapalat" w:hAnsi="GHEA Grapalat"/>
          <w:sz w:val="24"/>
          <w:szCs w:val="24"/>
        </w:rPr>
        <w:t xml:space="preserve">համագործակցելու է </w:t>
      </w:r>
      <w:r w:rsidR="00707878">
        <w:rPr>
          <w:rFonts w:ascii="GHEA Grapalat" w:hAnsi="GHEA Grapalat"/>
          <w:sz w:val="24"/>
          <w:szCs w:val="24"/>
        </w:rPr>
        <w:t>զբոսաշրջային կենտրոն կառավարող կազմակերպության հետ, ինչպես նաև մշակվելու է զբոսաշրջային կենտրոնի կառավարման պլան։ Իրականացվելու են զբոսաշրջության զարգացմանն ուղղված մի շարք միջոցառումներ</w:t>
      </w:r>
      <w:r w:rsidR="00802F9A">
        <w:rPr>
          <w:rFonts w:ascii="GHEA Grapalat" w:hAnsi="GHEA Grapalat"/>
          <w:sz w:val="24"/>
          <w:szCs w:val="24"/>
        </w:rPr>
        <w:t xml:space="preserve"> և ծրագրերի արդյունքների մշտադիտարկում և գնահատում։</w:t>
      </w:r>
    </w:p>
    <w:p w14:paraId="67C79ED4" w14:textId="68A6D61D" w:rsidR="00C61F44" w:rsidRDefault="008E0D51" w:rsidP="00707878">
      <w:pPr>
        <w:spacing w:after="0" w:line="360" w:lineRule="auto"/>
        <w:ind w:right="6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>Ստեղծվելու են նոր աշխատատեղեր և բարելավ</w:t>
      </w:r>
      <w:r w:rsidR="004F2466">
        <w:rPr>
          <w:rFonts w:ascii="GHEA Grapalat" w:hAnsi="GHEA Grapalat"/>
          <w:sz w:val="24"/>
          <w:szCs w:val="24"/>
        </w:rPr>
        <w:t>վ</w:t>
      </w:r>
      <w:r>
        <w:rPr>
          <w:rFonts w:ascii="GHEA Grapalat" w:hAnsi="GHEA Grapalat"/>
          <w:sz w:val="24"/>
          <w:szCs w:val="24"/>
        </w:rPr>
        <w:t>ելու է բնակավայրի բնակիչների կենսամակարդակը և բարօրությունը</w:t>
      </w:r>
      <w:r w:rsidR="004F2466">
        <w:rPr>
          <w:rFonts w:ascii="GHEA Grapalat" w:hAnsi="GHEA Grapalat"/>
          <w:sz w:val="24"/>
          <w:szCs w:val="24"/>
        </w:rPr>
        <w:t xml:space="preserve">։ Ապահովվելու է զբոսաշրջիկին մատուցվող կամ առաջարկվող ծառայությունների կենսակայունությունը և դրա հետագա զարգացումը։ </w:t>
      </w:r>
    </w:p>
    <w:p w14:paraId="45137009" w14:textId="7240C846" w:rsidR="001B28C5" w:rsidRPr="00275A8F" w:rsidRDefault="001B28C5" w:rsidP="00707878">
      <w:pPr>
        <w:spacing w:after="0" w:line="360" w:lineRule="auto"/>
        <w:ind w:right="60"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Արդյունքում՝ կապահովվի կենտրոնացված, համակարգային կառավարմամբ զբոսաշրջային կենտրոնների գործունեությունը։</w:t>
      </w:r>
    </w:p>
    <w:p w14:paraId="0122883A" w14:textId="77777777" w:rsidR="00F007D3" w:rsidRDefault="00583546" w:rsidP="00275A8F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   </w:t>
      </w:r>
    </w:p>
    <w:p w14:paraId="1EEDE79A" w14:textId="3A501BE4" w:rsidR="00154FCB" w:rsidRPr="001B28C5" w:rsidRDefault="00F007D3" w:rsidP="00275A8F">
      <w:pPr>
        <w:spacing w:after="0" w:line="360" w:lineRule="auto"/>
        <w:jc w:val="both"/>
        <w:rPr>
          <w:rFonts w:ascii="MS Mincho" w:eastAsia="MS Mincho" w:hAnsi="MS Mincho" w:cs="MS Mincho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  </w:t>
      </w:r>
      <w:r w:rsidR="00583546" w:rsidRPr="00583546">
        <w:rPr>
          <w:rFonts w:ascii="GHEA Grapalat" w:hAnsi="GHEA Grapalat"/>
          <w:b/>
          <w:bCs/>
          <w:sz w:val="24"/>
          <w:szCs w:val="24"/>
        </w:rPr>
        <w:t>6</w:t>
      </w:r>
      <w:r w:rsidR="00583546" w:rsidRPr="00583546">
        <w:rPr>
          <w:rFonts w:ascii="MS Mincho" w:eastAsia="MS Mincho" w:hAnsi="MS Mincho" w:cs="MS Mincho"/>
          <w:b/>
          <w:bCs/>
          <w:sz w:val="24"/>
          <w:szCs w:val="24"/>
        </w:rPr>
        <w:t>․</w:t>
      </w:r>
      <w:r w:rsidR="00154FCB" w:rsidRPr="00583546">
        <w:rPr>
          <w:rFonts w:ascii="GHEA Grapalat" w:hAnsi="GHEA Grapalat"/>
          <w:b/>
          <w:bCs/>
          <w:sz w:val="24"/>
          <w:szCs w:val="24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="001B28C5">
        <w:rPr>
          <w:rFonts w:ascii="MS Mincho" w:eastAsia="MS Mincho" w:hAnsi="MS Mincho" w:cs="MS Mincho"/>
          <w:b/>
          <w:bCs/>
          <w:sz w:val="24"/>
          <w:szCs w:val="24"/>
        </w:rPr>
        <w:t>․</w:t>
      </w:r>
    </w:p>
    <w:p w14:paraId="69D4D323" w14:textId="77777777" w:rsidR="00583546" w:rsidRPr="00583546" w:rsidRDefault="0022441D" w:rsidP="00275A8F">
      <w:pPr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</w:rPr>
      </w:pPr>
      <w:r w:rsidRPr="00583546">
        <w:rPr>
          <w:rFonts w:ascii="GHEA Grapalat" w:hAnsi="GHEA Grapalat"/>
          <w:sz w:val="24"/>
          <w:szCs w:val="24"/>
        </w:rPr>
        <w:t xml:space="preserve">Նախագծի ընդունումը պետական բյուջեից հավելյալ ֆինանսական միջոցների հատկացում չի պահանջում։ </w:t>
      </w:r>
    </w:p>
    <w:p w14:paraId="08079F36" w14:textId="2E4ADA69" w:rsidR="00792690" w:rsidRPr="002253F4" w:rsidRDefault="00F007D3" w:rsidP="001B28C5">
      <w:pPr>
        <w:spacing w:after="0" w:line="360" w:lineRule="auto"/>
        <w:ind w:firstLine="270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</w:t>
      </w:r>
      <w:r w:rsidR="00583546">
        <w:rPr>
          <w:rFonts w:ascii="GHEA Grapalat" w:hAnsi="GHEA Grapalat"/>
          <w:b/>
          <w:bCs/>
          <w:sz w:val="24"/>
          <w:szCs w:val="24"/>
        </w:rPr>
        <w:t>7</w:t>
      </w:r>
      <w:r w:rsidR="00583546">
        <w:rPr>
          <w:rFonts w:ascii="MS Mincho" w:eastAsia="MS Mincho" w:hAnsi="MS Mincho" w:cs="MS Mincho"/>
          <w:b/>
          <w:bCs/>
          <w:sz w:val="24"/>
          <w:szCs w:val="24"/>
        </w:rPr>
        <w:t xml:space="preserve">․ </w:t>
      </w:r>
      <w:r w:rsidR="00154FCB" w:rsidRPr="002253F4">
        <w:rPr>
          <w:rFonts w:ascii="GHEA Grapalat" w:hAnsi="GHEA Grapalat"/>
          <w:b/>
          <w:bCs/>
          <w:sz w:val="24"/>
          <w:szCs w:val="24"/>
        </w:rPr>
        <w:t>Կապը ռազմավարական փաստաթղթերի հետ</w:t>
      </w:r>
    </w:p>
    <w:p w14:paraId="22F8A86D" w14:textId="77777777" w:rsidR="00107E32" w:rsidRPr="002B468B" w:rsidRDefault="00107E32" w:rsidP="00107E32">
      <w:pPr>
        <w:spacing w:line="360" w:lineRule="auto"/>
        <w:ind w:left="-180" w:firstLine="540"/>
        <w:jc w:val="both"/>
        <w:rPr>
          <w:rFonts w:ascii="GHEA Grapalat" w:hAnsi="GHEA Grapalat"/>
          <w:sz w:val="24"/>
          <w:szCs w:val="24"/>
        </w:rPr>
      </w:pPr>
      <w:r w:rsidRPr="002B468B">
        <w:rPr>
          <w:rFonts w:ascii="GHEA Grapalat" w:hAnsi="GHEA Grapalat"/>
          <w:sz w:val="24"/>
          <w:szCs w:val="24"/>
        </w:rPr>
        <w:t xml:space="preserve">Նախագիծը բխում </w:t>
      </w:r>
      <w:r>
        <w:rPr>
          <w:rFonts w:ascii="GHEA Grapalat" w:hAnsi="GHEA Grapalat"/>
          <w:sz w:val="24"/>
          <w:szCs w:val="24"/>
        </w:rPr>
        <w:t>է</w:t>
      </w:r>
      <w:r w:rsidRPr="002B468B">
        <w:rPr>
          <w:rFonts w:ascii="GHEA Grapalat" w:hAnsi="GHEA Grapalat"/>
          <w:sz w:val="24"/>
          <w:szCs w:val="24"/>
        </w:rPr>
        <w:t xml:space="preserve"> Հայաստանի վերափոխման ռազմավարություն 2050-ի 16-րդ «Ճանաչված, հարգված և հյուրընկալ Հայաստան» մեգանպատակից և «Վերափոխենք հարյուր միլիոնավոր օտարերկրացիների և նրանց առաջնորդների վերաբերմունքը Հայաստանի հանդեպ» «Զանգվածային վերափոխման իմաստը»-ից (հղում՝ </w:t>
      </w:r>
      <w:hyperlink r:id="rId6" w:history="1">
        <w:r w:rsidRPr="00EB77D8">
          <w:rPr>
            <w:rStyle w:val="Hyperlink"/>
            <w:rFonts w:ascii="GHEA Grapalat" w:hAnsi="GHEA Grapalat"/>
            <w:sz w:val="24"/>
            <w:szCs w:val="24"/>
          </w:rPr>
          <w:t>https://www.primeminister.am/u_files/file/Haytararutyunner/Armenia2050_7_5.pdf</w:t>
        </w:r>
      </w:hyperlink>
      <w:r>
        <w:rPr>
          <w:rFonts w:ascii="GHEA Grapalat" w:hAnsi="GHEA Grapalat"/>
          <w:sz w:val="24"/>
          <w:szCs w:val="24"/>
        </w:rPr>
        <w:t xml:space="preserve"> </w:t>
      </w:r>
      <w:r w:rsidRPr="002B468B">
        <w:rPr>
          <w:rFonts w:ascii="GHEA Grapalat" w:hAnsi="GHEA Grapalat"/>
          <w:sz w:val="24"/>
          <w:szCs w:val="24"/>
        </w:rPr>
        <w:t xml:space="preserve">, 28-րդ և 70-րդ էջեր), Հայաստանի Հանրապետության կառավարության 2021-2026 թվականների ծրագրի «2 ՏՆՏԵՍՈՒԹՅՈՒՆ» կետի «Արտաքին տնտեսական քաղաքականություն և արտահանման խթանում» բաժնի 1-ին, 4-րդ, 5-րդ, 6-րդ պարբերություններից և «2.5 Զբոսաշրջություն» բաժնից (հղում՝ </w:t>
      </w:r>
      <w:hyperlink r:id="rId7" w:history="1">
        <w:r w:rsidRPr="00EB77D8">
          <w:rPr>
            <w:rStyle w:val="Hyperlink"/>
            <w:rFonts w:ascii="GHEA Grapalat" w:hAnsi="GHEA Grapalat"/>
            <w:sz w:val="24"/>
            <w:szCs w:val="24"/>
          </w:rPr>
          <w:t>https://www.arlis.am/Annexes/6/2021_N1363hav.pdf</w:t>
        </w:r>
      </w:hyperlink>
      <w:r>
        <w:rPr>
          <w:rFonts w:ascii="GHEA Grapalat" w:hAnsi="GHEA Grapalat"/>
          <w:sz w:val="24"/>
          <w:szCs w:val="24"/>
        </w:rPr>
        <w:t xml:space="preserve"> </w:t>
      </w:r>
      <w:r w:rsidRPr="002B468B">
        <w:rPr>
          <w:rFonts w:ascii="GHEA Grapalat" w:hAnsi="GHEA Grapalat"/>
          <w:sz w:val="24"/>
          <w:szCs w:val="24"/>
        </w:rPr>
        <w:t xml:space="preserve">, 27-րդ, 28-րդ և 38-39-րդ էջեր) և ՀՀ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</w:t>
      </w:r>
      <w:r w:rsidRPr="002B468B">
        <w:rPr>
          <w:rFonts w:ascii="GHEA Grapalat" w:hAnsi="GHEA Grapalat"/>
          <w:sz w:val="24"/>
          <w:szCs w:val="24"/>
        </w:rPr>
        <w:lastRenderedPageBreak/>
        <w:t>նախարարություն» բաժնի 10</w:t>
      </w:r>
      <w:r w:rsidRPr="002B468B">
        <w:rPr>
          <w:rFonts w:ascii="MS Mincho" w:eastAsia="MS Mincho" w:hAnsi="MS Mincho" w:cs="MS Mincho" w:hint="eastAsia"/>
          <w:sz w:val="24"/>
          <w:szCs w:val="24"/>
        </w:rPr>
        <w:t>․</w:t>
      </w:r>
      <w:r w:rsidRPr="002B468B">
        <w:rPr>
          <w:rFonts w:ascii="GHEA Grapalat" w:hAnsi="GHEA Grapalat"/>
          <w:sz w:val="24"/>
          <w:szCs w:val="24"/>
        </w:rPr>
        <w:t xml:space="preserve">2 կետ (հղում՝ </w:t>
      </w:r>
      <w:hyperlink r:id="rId8" w:history="1">
        <w:r w:rsidRPr="00EB77D8">
          <w:rPr>
            <w:rStyle w:val="Hyperlink"/>
            <w:rFonts w:ascii="GHEA Grapalat" w:hAnsi="GHEA Grapalat"/>
            <w:sz w:val="24"/>
            <w:szCs w:val="24"/>
          </w:rPr>
          <w:t>https://www.arlis.am/Annexes/6/2021_N1902hav.1.pdf</w:t>
        </w:r>
      </w:hyperlink>
      <w:r>
        <w:rPr>
          <w:rFonts w:ascii="GHEA Grapalat" w:hAnsi="GHEA Grapalat"/>
          <w:sz w:val="24"/>
          <w:szCs w:val="24"/>
        </w:rPr>
        <w:t xml:space="preserve"> </w:t>
      </w:r>
      <w:r w:rsidRPr="002B468B">
        <w:rPr>
          <w:rFonts w:ascii="GHEA Grapalat" w:hAnsi="GHEA Grapalat"/>
          <w:sz w:val="24"/>
          <w:szCs w:val="24"/>
        </w:rPr>
        <w:t xml:space="preserve"> 231-232-րդ էջ)։  </w:t>
      </w:r>
    </w:p>
    <w:p w14:paraId="255EAF55" w14:textId="77777777" w:rsidR="00C33B8D" w:rsidRPr="00C33B8D" w:rsidRDefault="00C33B8D" w:rsidP="00C33B8D">
      <w:pPr>
        <w:spacing w:line="360" w:lineRule="auto"/>
        <w:ind w:left="720"/>
        <w:rPr>
          <w:rFonts w:ascii="GHEA Grapalat" w:hAnsi="GHEA Grapalat"/>
          <w:b/>
          <w:bCs/>
        </w:rPr>
      </w:pPr>
    </w:p>
    <w:sectPr w:rsidR="00C33B8D" w:rsidRPr="00C33B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1658"/>
    <w:multiLevelType w:val="hybridMultilevel"/>
    <w:tmpl w:val="BE58E93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07267A"/>
    <w:multiLevelType w:val="hybridMultilevel"/>
    <w:tmpl w:val="B27250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296664"/>
    <w:multiLevelType w:val="hybridMultilevel"/>
    <w:tmpl w:val="65B6856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24382051"/>
    <w:multiLevelType w:val="hybridMultilevel"/>
    <w:tmpl w:val="0952D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F011D"/>
    <w:multiLevelType w:val="hybridMultilevel"/>
    <w:tmpl w:val="E8C0D0BA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9D29AE"/>
    <w:multiLevelType w:val="hybridMultilevel"/>
    <w:tmpl w:val="20887D82"/>
    <w:lvl w:ilvl="0" w:tplc="48D211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E3443"/>
    <w:multiLevelType w:val="hybridMultilevel"/>
    <w:tmpl w:val="18A023C8"/>
    <w:lvl w:ilvl="0" w:tplc="038A0916">
      <w:start w:val="1"/>
      <w:numFmt w:val="decimal"/>
      <w:lvlText w:val="%1."/>
      <w:lvlJc w:val="left"/>
      <w:pPr>
        <w:ind w:left="54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6B1E295E"/>
    <w:multiLevelType w:val="hybridMultilevel"/>
    <w:tmpl w:val="8EB88A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3724666">
    <w:abstractNumId w:val="3"/>
  </w:num>
  <w:num w:numId="2" w16cid:durableId="1672485235">
    <w:abstractNumId w:val="1"/>
  </w:num>
  <w:num w:numId="3" w16cid:durableId="872838676">
    <w:abstractNumId w:val="4"/>
  </w:num>
  <w:num w:numId="4" w16cid:durableId="1512571114">
    <w:abstractNumId w:val="0"/>
  </w:num>
  <w:num w:numId="5" w16cid:durableId="262424143">
    <w:abstractNumId w:val="2"/>
  </w:num>
  <w:num w:numId="6" w16cid:durableId="705980928">
    <w:abstractNumId w:val="6"/>
  </w:num>
  <w:num w:numId="7" w16cid:durableId="1951353813">
    <w:abstractNumId w:val="7"/>
  </w:num>
  <w:num w:numId="8" w16cid:durableId="10346911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FEF"/>
    <w:rsid w:val="00016EB6"/>
    <w:rsid w:val="00025458"/>
    <w:rsid w:val="00072B81"/>
    <w:rsid w:val="0007547F"/>
    <w:rsid w:val="00083CD4"/>
    <w:rsid w:val="00087E48"/>
    <w:rsid w:val="000B2136"/>
    <w:rsid w:val="000B750B"/>
    <w:rsid w:val="000C06F2"/>
    <w:rsid w:val="000C1B33"/>
    <w:rsid w:val="00107E32"/>
    <w:rsid w:val="00115ED6"/>
    <w:rsid w:val="00117D6B"/>
    <w:rsid w:val="00154FCB"/>
    <w:rsid w:val="00163124"/>
    <w:rsid w:val="001764A1"/>
    <w:rsid w:val="00184A4B"/>
    <w:rsid w:val="00186B81"/>
    <w:rsid w:val="0019176D"/>
    <w:rsid w:val="001A5CE6"/>
    <w:rsid w:val="001A66A0"/>
    <w:rsid w:val="001B28C5"/>
    <w:rsid w:val="001B7419"/>
    <w:rsid w:val="001E1A5A"/>
    <w:rsid w:val="001F7D15"/>
    <w:rsid w:val="00200EBD"/>
    <w:rsid w:val="0022441D"/>
    <w:rsid w:val="002253F4"/>
    <w:rsid w:val="00257A49"/>
    <w:rsid w:val="00275A8F"/>
    <w:rsid w:val="0027635C"/>
    <w:rsid w:val="002857A1"/>
    <w:rsid w:val="00290589"/>
    <w:rsid w:val="002A3E86"/>
    <w:rsid w:val="002A4DAF"/>
    <w:rsid w:val="002B5140"/>
    <w:rsid w:val="002B7C49"/>
    <w:rsid w:val="002D05BB"/>
    <w:rsid w:val="002F5714"/>
    <w:rsid w:val="00306FD2"/>
    <w:rsid w:val="0032122D"/>
    <w:rsid w:val="003236D2"/>
    <w:rsid w:val="0034770A"/>
    <w:rsid w:val="003505E7"/>
    <w:rsid w:val="003A71D5"/>
    <w:rsid w:val="003A7308"/>
    <w:rsid w:val="003B3132"/>
    <w:rsid w:val="003C08D1"/>
    <w:rsid w:val="003C31DE"/>
    <w:rsid w:val="003C4FEB"/>
    <w:rsid w:val="003D00F1"/>
    <w:rsid w:val="003E73C9"/>
    <w:rsid w:val="003F57A0"/>
    <w:rsid w:val="003F72F1"/>
    <w:rsid w:val="00406DB1"/>
    <w:rsid w:val="00426424"/>
    <w:rsid w:val="004302B3"/>
    <w:rsid w:val="00445AC1"/>
    <w:rsid w:val="004700B0"/>
    <w:rsid w:val="004769B7"/>
    <w:rsid w:val="004C0052"/>
    <w:rsid w:val="004C7938"/>
    <w:rsid w:val="004E00C3"/>
    <w:rsid w:val="004F2466"/>
    <w:rsid w:val="00502CD8"/>
    <w:rsid w:val="00503156"/>
    <w:rsid w:val="00504AA5"/>
    <w:rsid w:val="00516261"/>
    <w:rsid w:val="00530C03"/>
    <w:rsid w:val="00541436"/>
    <w:rsid w:val="0054594E"/>
    <w:rsid w:val="005707E6"/>
    <w:rsid w:val="00573381"/>
    <w:rsid w:val="00574EBA"/>
    <w:rsid w:val="00583546"/>
    <w:rsid w:val="005934CC"/>
    <w:rsid w:val="005B1E4D"/>
    <w:rsid w:val="005C2C07"/>
    <w:rsid w:val="005D4818"/>
    <w:rsid w:val="00607087"/>
    <w:rsid w:val="00620DFA"/>
    <w:rsid w:val="00632414"/>
    <w:rsid w:val="00640C4C"/>
    <w:rsid w:val="00646433"/>
    <w:rsid w:val="0064780E"/>
    <w:rsid w:val="006479D7"/>
    <w:rsid w:val="00655701"/>
    <w:rsid w:val="006720F0"/>
    <w:rsid w:val="006A0C31"/>
    <w:rsid w:val="006B1EE2"/>
    <w:rsid w:val="006C5494"/>
    <w:rsid w:val="00707878"/>
    <w:rsid w:val="007078B1"/>
    <w:rsid w:val="0071293E"/>
    <w:rsid w:val="007143B8"/>
    <w:rsid w:val="0072779D"/>
    <w:rsid w:val="00731F23"/>
    <w:rsid w:val="00781EDD"/>
    <w:rsid w:val="00792690"/>
    <w:rsid w:val="00793186"/>
    <w:rsid w:val="007B51FA"/>
    <w:rsid w:val="007C2633"/>
    <w:rsid w:val="007D4D9D"/>
    <w:rsid w:val="007D6745"/>
    <w:rsid w:val="00802F9A"/>
    <w:rsid w:val="0081496A"/>
    <w:rsid w:val="0082552A"/>
    <w:rsid w:val="00835B94"/>
    <w:rsid w:val="00851E33"/>
    <w:rsid w:val="00865BE6"/>
    <w:rsid w:val="00871A1D"/>
    <w:rsid w:val="00874FBA"/>
    <w:rsid w:val="0089588C"/>
    <w:rsid w:val="00897D4B"/>
    <w:rsid w:val="008B7984"/>
    <w:rsid w:val="008D2AE1"/>
    <w:rsid w:val="008E0225"/>
    <w:rsid w:val="008E0D51"/>
    <w:rsid w:val="008E1E61"/>
    <w:rsid w:val="008E3FEF"/>
    <w:rsid w:val="008F133E"/>
    <w:rsid w:val="0090612C"/>
    <w:rsid w:val="00906941"/>
    <w:rsid w:val="00924812"/>
    <w:rsid w:val="009320B3"/>
    <w:rsid w:val="00932742"/>
    <w:rsid w:val="009514C2"/>
    <w:rsid w:val="009574C3"/>
    <w:rsid w:val="009756F7"/>
    <w:rsid w:val="00996FE8"/>
    <w:rsid w:val="009A2576"/>
    <w:rsid w:val="009C3CF4"/>
    <w:rsid w:val="009E76E0"/>
    <w:rsid w:val="00A04B48"/>
    <w:rsid w:val="00A0514B"/>
    <w:rsid w:val="00A52FEB"/>
    <w:rsid w:val="00A54833"/>
    <w:rsid w:val="00A65B1F"/>
    <w:rsid w:val="00A822D6"/>
    <w:rsid w:val="00A83E1A"/>
    <w:rsid w:val="00A83E2F"/>
    <w:rsid w:val="00A86255"/>
    <w:rsid w:val="00A9088B"/>
    <w:rsid w:val="00AB3EB3"/>
    <w:rsid w:val="00AD2680"/>
    <w:rsid w:val="00AD7325"/>
    <w:rsid w:val="00AF03A6"/>
    <w:rsid w:val="00AF4316"/>
    <w:rsid w:val="00AF51FE"/>
    <w:rsid w:val="00B16765"/>
    <w:rsid w:val="00B1763F"/>
    <w:rsid w:val="00B179D2"/>
    <w:rsid w:val="00B264D7"/>
    <w:rsid w:val="00B407FA"/>
    <w:rsid w:val="00B47FDA"/>
    <w:rsid w:val="00B51B36"/>
    <w:rsid w:val="00B715FD"/>
    <w:rsid w:val="00B81908"/>
    <w:rsid w:val="00B91063"/>
    <w:rsid w:val="00B926F9"/>
    <w:rsid w:val="00BA607D"/>
    <w:rsid w:val="00BB1E8C"/>
    <w:rsid w:val="00BC1B26"/>
    <w:rsid w:val="00BC5865"/>
    <w:rsid w:val="00BC6112"/>
    <w:rsid w:val="00BF399B"/>
    <w:rsid w:val="00BF49EA"/>
    <w:rsid w:val="00BF58DD"/>
    <w:rsid w:val="00C016AB"/>
    <w:rsid w:val="00C113B5"/>
    <w:rsid w:val="00C128F1"/>
    <w:rsid w:val="00C20EFD"/>
    <w:rsid w:val="00C33B8D"/>
    <w:rsid w:val="00C34448"/>
    <w:rsid w:val="00C46282"/>
    <w:rsid w:val="00C61F44"/>
    <w:rsid w:val="00C6215B"/>
    <w:rsid w:val="00C64B5F"/>
    <w:rsid w:val="00C66436"/>
    <w:rsid w:val="00C9144C"/>
    <w:rsid w:val="00D07E8C"/>
    <w:rsid w:val="00D304FC"/>
    <w:rsid w:val="00D41543"/>
    <w:rsid w:val="00D41A53"/>
    <w:rsid w:val="00D42223"/>
    <w:rsid w:val="00D45CA4"/>
    <w:rsid w:val="00D855F3"/>
    <w:rsid w:val="00D952A3"/>
    <w:rsid w:val="00DA169D"/>
    <w:rsid w:val="00DB4424"/>
    <w:rsid w:val="00DC2CDF"/>
    <w:rsid w:val="00DC3198"/>
    <w:rsid w:val="00DD79F5"/>
    <w:rsid w:val="00DE4707"/>
    <w:rsid w:val="00E10185"/>
    <w:rsid w:val="00E25EC9"/>
    <w:rsid w:val="00E32ED6"/>
    <w:rsid w:val="00E33D16"/>
    <w:rsid w:val="00E43491"/>
    <w:rsid w:val="00E71115"/>
    <w:rsid w:val="00E75F8C"/>
    <w:rsid w:val="00E77665"/>
    <w:rsid w:val="00E9367E"/>
    <w:rsid w:val="00EA31AE"/>
    <w:rsid w:val="00EF6F31"/>
    <w:rsid w:val="00F007D3"/>
    <w:rsid w:val="00F25625"/>
    <w:rsid w:val="00F36427"/>
    <w:rsid w:val="00F5510C"/>
    <w:rsid w:val="00F57FE1"/>
    <w:rsid w:val="00F95AB3"/>
    <w:rsid w:val="00FA1E6A"/>
    <w:rsid w:val="00FC042C"/>
    <w:rsid w:val="00FC4DF7"/>
    <w:rsid w:val="00FD7EE5"/>
    <w:rsid w:val="00FE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51E6B"/>
  <w15:chartTrackingRefBased/>
  <w15:docId w15:val="{8B571C20-380E-4AEF-AC2D-BEA430078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3F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F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F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F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F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F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F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F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F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FE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FE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FEF"/>
    <w:rPr>
      <w:rFonts w:eastAsiaTheme="majorEastAsia" w:cstheme="majorBidi"/>
      <w:color w:val="2F5496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2"/>
    <w:rsid w:val="008E3FEF"/>
    <w:rPr>
      <w:rFonts w:eastAsiaTheme="majorEastAsia" w:cstheme="majorBidi"/>
      <w:i/>
      <w:iCs/>
      <w:color w:val="2F5496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FEF"/>
    <w:rPr>
      <w:rFonts w:eastAsiaTheme="majorEastAsia" w:cstheme="majorBidi"/>
      <w:color w:val="2F5496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FEF"/>
    <w:rPr>
      <w:rFonts w:eastAsiaTheme="majorEastAsia" w:cstheme="majorBidi"/>
      <w:i/>
      <w:iCs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FEF"/>
    <w:rPr>
      <w:rFonts w:eastAsiaTheme="majorEastAsia" w:cstheme="majorBidi"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FEF"/>
    <w:rPr>
      <w:rFonts w:eastAsiaTheme="majorEastAsia" w:cstheme="majorBidi"/>
      <w:i/>
      <w:iCs/>
      <w:color w:val="272727" w:themeColor="text1" w:themeTint="D8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FEF"/>
    <w:rPr>
      <w:rFonts w:eastAsiaTheme="majorEastAsia" w:cstheme="majorBidi"/>
      <w:color w:val="272727" w:themeColor="text1" w:themeTint="D8"/>
      <w:lang w:val="hy-AM"/>
    </w:rPr>
  </w:style>
  <w:style w:type="paragraph" w:styleId="Title">
    <w:name w:val="Title"/>
    <w:basedOn w:val="Normal"/>
    <w:next w:val="Normal"/>
    <w:link w:val="TitleChar"/>
    <w:uiPriority w:val="10"/>
    <w:qFormat/>
    <w:rsid w:val="008E3F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FEF"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F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FEF"/>
    <w:rPr>
      <w:rFonts w:eastAsiaTheme="majorEastAsia" w:cstheme="majorBidi"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rsid w:val="008E3F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FEF"/>
    <w:rPr>
      <w:i/>
      <w:iCs/>
      <w:color w:val="404040" w:themeColor="text1" w:themeTint="BF"/>
      <w:lang w:val="hy-AM"/>
    </w:rPr>
  </w:style>
  <w:style w:type="paragraph" w:styleId="ListParagraph">
    <w:name w:val="List Paragraph"/>
    <w:aliases w:val="Table/Figure Heading,Listeafsnit,Paragraphe de liste1,Bullet Points,Dot pt,No Spacing1,List Paragraph Char Char Char,Indicator Text,Numbered Para 1,Bullet 1,List Paragraph1,F5 List Paragraph,MAIN CONTENT,List Paragraph12,Bullet Style"/>
    <w:basedOn w:val="Normal"/>
    <w:link w:val="ListParagraphChar"/>
    <w:uiPriority w:val="34"/>
    <w:qFormat/>
    <w:rsid w:val="008E3F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FE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F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FEF"/>
    <w:rPr>
      <w:i/>
      <w:iCs/>
      <w:color w:val="2F5496" w:themeColor="accent1" w:themeShade="BF"/>
      <w:lang w:val="hy-AM"/>
    </w:rPr>
  </w:style>
  <w:style w:type="character" w:styleId="IntenseReference">
    <w:name w:val="Intense Reference"/>
    <w:basedOn w:val="DefaultParagraphFont"/>
    <w:uiPriority w:val="32"/>
    <w:qFormat/>
    <w:rsid w:val="008E3FE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302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02B3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0612C"/>
    <w:rPr>
      <w:b/>
      <w:bCs/>
    </w:rPr>
  </w:style>
  <w:style w:type="paragraph" w:styleId="Revision">
    <w:name w:val="Revision"/>
    <w:hidden/>
    <w:uiPriority w:val="99"/>
    <w:semiHidden/>
    <w:rsid w:val="00107E32"/>
    <w:pPr>
      <w:spacing w:after="0" w:line="240" w:lineRule="auto"/>
    </w:pPr>
    <w:rPr>
      <w:lang w:val="hy-AM"/>
    </w:rPr>
  </w:style>
  <w:style w:type="character" w:customStyle="1" w:styleId="ListParagraphChar">
    <w:name w:val="List Paragraph Char"/>
    <w:aliases w:val="Table/Figure Heading Char,Listeafsnit Char,Paragraphe de liste1 Char,Bullet Points Char,Dot pt Char,No Spacing1 Char,List Paragraph Char Char Char Char,Indicator Text Char,Numbered Para 1 Char,Bullet 1 Char,List Paragraph1 Char"/>
    <w:basedOn w:val="DefaultParagraphFont"/>
    <w:link w:val="ListParagraph"/>
    <w:uiPriority w:val="34"/>
    <w:qFormat/>
    <w:rsid w:val="000C1B33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Annexes/6/2021_N1902hav.1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arlis.am/Annexes/6/2021_N1363hav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rimeminister.am/u_files/file/Haytararutyunner/Armenia2050_7_5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237C4-51AA-473E-82CC-3ED868BB5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Gh. Hayrapetyan</dc:creator>
  <cp:keywords>https:/mul2-mineconomy.gov.am/tasks/846848/oneclick?token=85332982487c4619fb918dd247aff122</cp:keywords>
  <dc:description/>
  <cp:lastModifiedBy>Araksia A. Zulallyan</cp:lastModifiedBy>
  <cp:revision>4</cp:revision>
  <dcterms:created xsi:type="dcterms:W3CDTF">2026-03-12T12:19:00Z</dcterms:created>
  <dcterms:modified xsi:type="dcterms:W3CDTF">2026-03-25T08:11:00Z</dcterms:modified>
</cp:coreProperties>
</file>