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08" w:rsidRPr="00966835" w:rsidRDefault="00001808" w:rsidP="00966835">
      <w:pPr>
        <w:spacing w:after="0"/>
        <w:jc w:val="center"/>
        <w:rPr>
          <w:rFonts w:ascii="GHEA Grapalat" w:hAnsi="GHEA Grapalat"/>
          <w:b/>
          <w:noProof/>
          <w:sz w:val="24"/>
          <w:szCs w:val="24"/>
          <w:lang w:val="hy-AM"/>
        </w:rPr>
      </w:pPr>
      <w:r w:rsidRPr="00966835">
        <w:rPr>
          <w:rFonts w:ascii="GHEA Grapalat" w:hAnsi="GHEA Grapalat"/>
          <w:b/>
          <w:noProof/>
          <w:sz w:val="24"/>
          <w:szCs w:val="24"/>
          <w:lang w:val="hy-AM"/>
        </w:rPr>
        <w:t>ԱՄՓՈՓԱԹԵՐԹ</w:t>
      </w:r>
    </w:p>
    <w:p w:rsidR="00001808" w:rsidRPr="00B61621" w:rsidRDefault="004774A1" w:rsidP="00BD38E5">
      <w:pPr>
        <w:spacing w:after="0"/>
        <w:jc w:val="center"/>
        <w:rPr>
          <w:rFonts w:ascii="GHEA Grapalat" w:hAnsi="GHEA Grapalat"/>
          <w:b/>
          <w:noProof/>
          <w:sz w:val="24"/>
          <w:szCs w:val="24"/>
          <w:lang w:val="hy-AM"/>
        </w:rPr>
      </w:pPr>
      <w:r w:rsidRPr="00966835">
        <w:rPr>
          <w:rFonts w:ascii="GHEA Grapalat" w:hAnsi="GHEA Grapalat"/>
          <w:b/>
          <w:noProof/>
          <w:sz w:val="24"/>
          <w:szCs w:val="24"/>
          <w:lang w:val="hy-AM"/>
        </w:rPr>
        <w:t>«</w:t>
      </w:r>
      <w:r w:rsidR="00512A9E" w:rsidRPr="009A30DF">
        <w:rPr>
          <w:rFonts w:ascii="GHEA Grapalat" w:hAnsi="GHEA Grapalat"/>
          <w:b/>
          <w:noProof/>
          <w:sz w:val="24"/>
          <w:szCs w:val="24"/>
          <w:lang w:val="hy-AM"/>
        </w:rPr>
        <w:t>«ԳՐԱՆԱՏՈՒՍ ՎԵՆՉՈՒՐ ՖՈՆԴ I» ՓԱԿ ԲԱԺՆԵՏԻՐԱԿԱՆ ԸՆԿԵՐՈՒԹՅԱՆ ՆԵՐԴՐՈՂՆԵՐԻ ԵՎ «ԳՐԱՆԱՏՈՒՍ ՎԵՆՉՈՒՐՍ» ՓԱԿ ԲԱԺՆԵՏԻՐԱԿԱՆ ԸՆԿԵՐՈՒԹՅԱՆ ՀԵՏ 2013 ԹՎԱԿԱՆԻ ՀՈԿՏԵՄԲԵՐԻ 12-ԻՆ ԿՆՔՎԱԾ ԳՆՄԱՆ ՕՊՑԻՈՆԻ ՊԱՅՄԱՆԱԳՐԻ ՓՈՓՈԽՈՒԹՅԱՆ ՀԱՄԱՁԱՅՆԱԳՐԻ ՆԱԽԱԳԾԻՆ ԵՎ «ԳՐԱՆԱՏՈՒՍ ՎԵՆՉՈՒՐ ՖՈՆԴ I» ՓԱԿ ԲԱԺՆԵՏԻՐԱԿԱՆ ԸՆԿԵՐՈՒԹՅԱՆ ԿԱՆՈՆԱԴՐԱԿԱՆ ԿԱՊԻՏԱԼՈՒՄ ՊԵՏՈՒԹՅԱՆԸ ՊԱՏԿԱՆՈՂ ԱՐՏՈՆՅԱԼ ԲԱԺՆԵՏՈՄՍԵՐԻ ՄԻ ՄԱՍԻ ՄԱՐՄԱՆ ԱՌԱՋԱՐԿՈՎ ՀԱՆԴԵՍ ԳԱԼՈՒՆ ՀԱՎԱՆՈՒԹՅՈՒՆ ՏԱԼՈՒ ԵՎ ՀԱՅԱՍՏԱՆԻ ՀԱՆՐԱՊԵՏՈՒԹՅԱՆ ԷԿՈՆՈՄԻԿԱՅԻ ՆԱԽԱՐԱՐՈՒԹՅԱՆԸ ՀԱՄԱՁԱՅՆԱԳՐԻ ԿՆՔՄԱՆ ԵՎ ԱՅԼ ԼԻԱԶՈՐՈՒԹՅՈՒՆՆԵՐ ՎԵՐԱՊԱՀԵԼՈՒ ՄԱՍԻՆ</w:t>
      </w:r>
      <w:r w:rsidR="00001808" w:rsidRPr="00966835">
        <w:rPr>
          <w:rFonts w:ascii="GHEA Grapalat" w:hAnsi="GHEA Grapalat"/>
          <w:b/>
          <w:noProof/>
          <w:sz w:val="24"/>
          <w:szCs w:val="24"/>
          <w:lang w:val="hy-AM"/>
        </w:rPr>
        <w:t xml:space="preserve">» ՀՀ </w:t>
      </w:r>
      <w:r w:rsidR="00B61621" w:rsidRPr="00B61621">
        <w:rPr>
          <w:rFonts w:ascii="GHEA Grapalat" w:hAnsi="GHEA Grapalat"/>
          <w:b/>
          <w:noProof/>
          <w:sz w:val="24"/>
          <w:szCs w:val="24"/>
          <w:lang w:val="hy-AM"/>
        </w:rPr>
        <w:t>ԿԱՌԱՎԱՐՈՒԹՅԱՆ ՈՐՈՇՄԱՆ ՆԱԽԱԳԾԻ</w:t>
      </w:r>
      <w:r w:rsidR="00001808" w:rsidRPr="00966835">
        <w:rPr>
          <w:rFonts w:ascii="GHEA Grapalat" w:hAnsi="GHEA Grapalat"/>
          <w:b/>
          <w:noProof/>
          <w:sz w:val="24"/>
          <w:szCs w:val="24"/>
          <w:lang w:val="hy-AM"/>
        </w:rPr>
        <w:t xml:space="preserve"> ՎԵՐԱԲԵՐՅԱԼ</w:t>
      </w:r>
    </w:p>
    <w:tbl>
      <w:tblPr>
        <w:tblW w:w="15204"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410"/>
        <w:gridCol w:w="2126"/>
        <w:gridCol w:w="5670"/>
        <w:gridCol w:w="4395"/>
      </w:tblGrid>
      <w:tr w:rsidR="005E0D3B" w:rsidRPr="00966835" w:rsidTr="00097528">
        <w:trPr>
          <w:trHeight w:val="845"/>
        </w:trPr>
        <w:tc>
          <w:tcPr>
            <w:tcW w:w="603" w:type="dxa"/>
            <w:noWrap/>
            <w:vAlign w:val="center"/>
            <w:hideMark/>
          </w:tcPr>
          <w:p w:rsidR="005E0D3B" w:rsidRPr="00966835" w:rsidRDefault="005E0D3B" w:rsidP="00966835">
            <w:pPr>
              <w:spacing w:after="0"/>
              <w:jc w:val="center"/>
              <w:rPr>
                <w:rFonts w:ascii="GHEA Grapalat" w:hAnsi="GHEA Grapalat"/>
                <w:noProof/>
                <w:color w:val="000000"/>
                <w:lang w:val="hy-AM"/>
              </w:rPr>
            </w:pPr>
            <w:r w:rsidRPr="00966835">
              <w:rPr>
                <w:rFonts w:ascii="GHEA Grapalat" w:hAnsi="GHEA Grapalat" w:cs="Sylfaen"/>
                <w:noProof/>
                <w:color w:val="000000"/>
                <w:lang w:val="hy-AM"/>
              </w:rPr>
              <w:t>հ</w:t>
            </w:r>
            <w:r w:rsidRPr="00966835">
              <w:rPr>
                <w:rFonts w:ascii="GHEA Grapalat" w:hAnsi="GHEA Grapalat"/>
                <w:noProof/>
                <w:color w:val="000000"/>
                <w:lang w:val="hy-AM"/>
              </w:rPr>
              <w:t>/</w:t>
            </w:r>
            <w:r w:rsidRPr="00966835">
              <w:rPr>
                <w:rFonts w:ascii="GHEA Grapalat" w:hAnsi="GHEA Grapalat" w:cs="Sylfaen"/>
                <w:noProof/>
                <w:color w:val="000000"/>
                <w:lang w:val="hy-AM"/>
              </w:rPr>
              <w:t>հ</w:t>
            </w:r>
          </w:p>
        </w:tc>
        <w:tc>
          <w:tcPr>
            <w:tcW w:w="2410" w:type="dxa"/>
            <w:noWrap/>
            <w:vAlign w:val="center"/>
            <w:hideMark/>
          </w:tcPr>
          <w:p w:rsidR="005E0D3B" w:rsidRPr="00966835" w:rsidRDefault="005E0D3B" w:rsidP="00966835">
            <w:pPr>
              <w:spacing w:after="0"/>
              <w:jc w:val="center"/>
              <w:rPr>
                <w:rFonts w:ascii="GHEA Grapalat" w:hAnsi="GHEA Grapalat"/>
                <w:noProof/>
                <w:color w:val="000000"/>
                <w:lang w:val="hy-AM"/>
              </w:rPr>
            </w:pPr>
            <w:r w:rsidRPr="00966835">
              <w:rPr>
                <w:rFonts w:ascii="GHEA Grapalat" w:hAnsi="GHEA Grapalat" w:cs="Sylfaen"/>
                <w:noProof/>
                <w:lang w:val="hy-AM"/>
              </w:rPr>
              <w:t>Առաջարկության</w:t>
            </w:r>
            <w:r w:rsidRPr="00966835">
              <w:rPr>
                <w:rFonts w:ascii="GHEA Grapalat" w:hAnsi="GHEA Grapalat"/>
                <w:noProof/>
                <w:lang w:val="hy-AM"/>
              </w:rPr>
              <w:t xml:space="preserve"> </w:t>
            </w:r>
            <w:r w:rsidRPr="00966835">
              <w:rPr>
                <w:rFonts w:ascii="GHEA Grapalat" w:hAnsi="GHEA Grapalat" w:cs="Sylfaen"/>
                <w:noProof/>
                <w:lang w:val="hy-AM"/>
              </w:rPr>
              <w:t>հեղինակը</w:t>
            </w:r>
          </w:p>
        </w:tc>
        <w:tc>
          <w:tcPr>
            <w:tcW w:w="2126" w:type="dxa"/>
            <w:noWrap/>
            <w:vAlign w:val="center"/>
            <w:hideMark/>
          </w:tcPr>
          <w:p w:rsidR="005E0D3B" w:rsidRPr="00966835" w:rsidRDefault="005E0D3B" w:rsidP="00966835">
            <w:pPr>
              <w:spacing w:after="0"/>
              <w:jc w:val="center"/>
              <w:rPr>
                <w:rFonts w:ascii="GHEA Grapalat" w:hAnsi="GHEA Grapalat"/>
                <w:noProof/>
                <w:color w:val="000000"/>
                <w:lang w:val="hy-AM"/>
              </w:rPr>
            </w:pPr>
            <w:r w:rsidRPr="00966835">
              <w:rPr>
                <w:rFonts w:ascii="GHEA Grapalat" w:hAnsi="GHEA Grapalat" w:cs="Sylfaen"/>
                <w:noProof/>
                <w:lang w:val="hy-AM"/>
              </w:rPr>
              <w:t>Հոդվածը</w:t>
            </w:r>
            <w:r w:rsidRPr="00966835">
              <w:rPr>
                <w:rFonts w:ascii="GHEA Grapalat" w:hAnsi="GHEA Grapalat"/>
                <w:noProof/>
                <w:lang w:val="hy-AM"/>
              </w:rPr>
              <w:t xml:space="preserve">, </w:t>
            </w:r>
            <w:r w:rsidRPr="00966835">
              <w:rPr>
                <w:rFonts w:ascii="GHEA Grapalat" w:hAnsi="GHEA Grapalat" w:cs="Sylfaen"/>
                <w:noProof/>
                <w:lang w:val="hy-AM"/>
              </w:rPr>
              <w:t>կետը</w:t>
            </w:r>
            <w:r w:rsidRPr="00966835">
              <w:rPr>
                <w:rFonts w:ascii="GHEA Grapalat" w:hAnsi="GHEA Grapalat"/>
                <w:noProof/>
                <w:lang w:val="hy-AM"/>
              </w:rPr>
              <w:t xml:space="preserve">, </w:t>
            </w:r>
            <w:r w:rsidRPr="00966835">
              <w:rPr>
                <w:rFonts w:ascii="GHEA Grapalat" w:hAnsi="GHEA Grapalat" w:cs="Sylfaen"/>
                <w:noProof/>
                <w:lang w:val="hy-AM"/>
              </w:rPr>
              <w:t>որին</w:t>
            </w:r>
            <w:r w:rsidRPr="00966835">
              <w:rPr>
                <w:rFonts w:ascii="GHEA Grapalat" w:hAnsi="GHEA Grapalat"/>
                <w:noProof/>
                <w:lang w:val="hy-AM"/>
              </w:rPr>
              <w:t xml:space="preserve"> </w:t>
            </w:r>
            <w:r w:rsidRPr="00966835">
              <w:rPr>
                <w:rFonts w:ascii="GHEA Grapalat" w:hAnsi="GHEA Grapalat" w:cs="Sylfaen"/>
                <w:noProof/>
                <w:lang w:val="hy-AM"/>
              </w:rPr>
              <w:t>վերաբերում</w:t>
            </w:r>
            <w:r w:rsidRPr="00966835">
              <w:rPr>
                <w:rFonts w:ascii="GHEA Grapalat" w:hAnsi="GHEA Grapalat"/>
                <w:noProof/>
                <w:lang w:val="hy-AM"/>
              </w:rPr>
              <w:t xml:space="preserve"> </w:t>
            </w:r>
            <w:r w:rsidRPr="00966835">
              <w:rPr>
                <w:rFonts w:ascii="GHEA Grapalat" w:hAnsi="GHEA Grapalat" w:cs="Sylfaen"/>
                <w:noProof/>
                <w:lang w:val="hy-AM"/>
              </w:rPr>
              <w:t>է</w:t>
            </w:r>
            <w:r w:rsidRPr="00966835">
              <w:rPr>
                <w:rFonts w:ascii="GHEA Grapalat" w:hAnsi="GHEA Grapalat"/>
                <w:noProof/>
                <w:lang w:val="hy-AM"/>
              </w:rPr>
              <w:t xml:space="preserve"> </w:t>
            </w:r>
            <w:r w:rsidRPr="00966835">
              <w:rPr>
                <w:rFonts w:ascii="GHEA Grapalat" w:hAnsi="GHEA Grapalat" w:cs="Sylfaen"/>
                <w:noProof/>
                <w:lang w:val="hy-AM"/>
              </w:rPr>
              <w:t>առաջարկությունը</w:t>
            </w:r>
          </w:p>
        </w:tc>
        <w:tc>
          <w:tcPr>
            <w:tcW w:w="5670" w:type="dxa"/>
            <w:noWrap/>
            <w:vAlign w:val="center"/>
            <w:hideMark/>
          </w:tcPr>
          <w:p w:rsidR="005E0D3B" w:rsidRPr="00966835" w:rsidRDefault="005E0D3B" w:rsidP="00966835">
            <w:pPr>
              <w:spacing w:after="0"/>
              <w:jc w:val="center"/>
              <w:rPr>
                <w:rFonts w:ascii="GHEA Grapalat" w:hAnsi="GHEA Grapalat"/>
                <w:noProof/>
                <w:color w:val="000000"/>
                <w:lang w:val="hy-AM"/>
              </w:rPr>
            </w:pPr>
            <w:r w:rsidRPr="00966835">
              <w:rPr>
                <w:rFonts w:ascii="GHEA Grapalat" w:hAnsi="GHEA Grapalat" w:cs="Sylfaen"/>
                <w:noProof/>
                <w:lang w:val="hy-AM"/>
              </w:rPr>
              <w:t>Առաջարկություն</w:t>
            </w:r>
            <w:r w:rsidRPr="00966835">
              <w:rPr>
                <w:rFonts w:ascii="GHEA Grapalat" w:hAnsi="GHEA Grapalat"/>
                <w:noProof/>
                <w:lang w:val="hy-AM"/>
              </w:rPr>
              <w:t xml:space="preserve"> (</w:t>
            </w:r>
            <w:r w:rsidRPr="00966835">
              <w:rPr>
                <w:rFonts w:ascii="GHEA Grapalat" w:hAnsi="GHEA Grapalat" w:cs="Sylfaen"/>
                <w:noProof/>
                <w:lang w:val="hy-AM"/>
              </w:rPr>
              <w:t>փոփոխություն</w:t>
            </w:r>
            <w:r w:rsidRPr="00966835">
              <w:rPr>
                <w:rFonts w:ascii="GHEA Grapalat" w:hAnsi="GHEA Grapalat"/>
                <w:noProof/>
                <w:lang w:val="hy-AM"/>
              </w:rPr>
              <w:t xml:space="preserve">, </w:t>
            </w:r>
            <w:r w:rsidRPr="00966835">
              <w:rPr>
                <w:rFonts w:ascii="GHEA Grapalat" w:hAnsi="GHEA Grapalat" w:cs="Sylfaen"/>
                <w:noProof/>
                <w:lang w:val="hy-AM"/>
              </w:rPr>
              <w:t>լրացում</w:t>
            </w:r>
            <w:r w:rsidRPr="00966835">
              <w:rPr>
                <w:rFonts w:ascii="GHEA Grapalat" w:hAnsi="GHEA Grapalat"/>
                <w:noProof/>
                <w:lang w:val="hy-AM"/>
              </w:rPr>
              <w:t>)</w:t>
            </w:r>
          </w:p>
        </w:tc>
        <w:tc>
          <w:tcPr>
            <w:tcW w:w="4395" w:type="dxa"/>
            <w:vAlign w:val="center"/>
            <w:hideMark/>
          </w:tcPr>
          <w:p w:rsidR="005E0D3B" w:rsidRPr="00966835" w:rsidRDefault="005E0D3B" w:rsidP="00EE3F82">
            <w:pPr>
              <w:spacing w:after="0"/>
              <w:jc w:val="center"/>
              <w:rPr>
                <w:rFonts w:ascii="GHEA Grapalat" w:hAnsi="GHEA Grapalat"/>
                <w:noProof/>
                <w:lang w:val="hy-AM"/>
              </w:rPr>
            </w:pPr>
            <w:r w:rsidRPr="00966835">
              <w:rPr>
                <w:rFonts w:ascii="GHEA Grapalat" w:hAnsi="GHEA Grapalat" w:cs="Sylfaen"/>
                <w:noProof/>
                <w:lang w:val="hy-AM"/>
              </w:rPr>
              <w:t>Առաջարկության</w:t>
            </w:r>
            <w:r w:rsidRPr="00966835">
              <w:rPr>
                <w:rFonts w:ascii="GHEA Grapalat" w:hAnsi="GHEA Grapalat"/>
                <w:noProof/>
                <w:lang w:val="hy-AM"/>
              </w:rPr>
              <w:t xml:space="preserve"> </w:t>
            </w:r>
            <w:r w:rsidRPr="00966835">
              <w:rPr>
                <w:rFonts w:ascii="GHEA Grapalat" w:hAnsi="GHEA Grapalat" w:cs="Sylfaen"/>
                <w:noProof/>
                <w:lang w:val="hy-AM"/>
              </w:rPr>
              <w:t>վերաբերյալ</w:t>
            </w:r>
            <w:r w:rsidRPr="00966835">
              <w:rPr>
                <w:rFonts w:ascii="GHEA Grapalat" w:hAnsi="GHEA Grapalat"/>
                <w:noProof/>
                <w:lang w:val="hy-AM"/>
              </w:rPr>
              <w:t xml:space="preserve"> </w:t>
            </w:r>
            <w:r w:rsidRPr="00966835">
              <w:rPr>
                <w:rFonts w:ascii="GHEA Grapalat" w:hAnsi="GHEA Grapalat" w:cs="Sylfaen"/>
                <w:noProof/>
                <w:lang w:val="hy-AM"/>
              </w:rPr>
              <w:t>հեղինակի</w:t>
            </w:r>
            <w:r w:rsidRPr="00966835">
              <w:rPr>
                <w:rFonts w:ascii="GHEA Grapalat" w:hAnsi="GHEA Grapalat"/>
                <w:noProof/>
                <w:lang w:val="hy-AM"/>
              </w:rPr>
              <w:t xml:space="preserve"> </w:t>
            </w:r>
            <w:r w:rsidRPr="00966835">
              <w:rPr>
                <w:rFonts w:ascii="GHEA Grapalat" w:hAnsi="GHEA Grapalat" w:cs="Sylfaen"/>
                <w:noProof/>
                <w:lang w:val="hy-AM"/>
              </w:rPr>
              <w:t>եզրակացությունը</w:t>
            </w:r>
          </w:p>
        </w:tc>
      </w:tr>
      <w:tr w:rsidR="005E0D3B" w:rsidRPr="00966835" w:rsidTr="00097528">
        <w:trPr>
          <w:trHeight w:val="368"/>
        </w:trPr>
        <w:tc>
          <w:tcPr>
            <w:tcW w:w="603" w:type="dxa"/>
            <w:noWrap/>
            <w:vAlign w:val="center"/>
            <w:hideMark/>
          </w:tcPr>
          <w:p w:rsidR="005E0D3B" w:rsidRPr="00966835" w:rsidRDefault="005E0D3B" w:rsidP="00966835">
            <w:pPr>
              <w:spacing w:after="0"/>
              <w:jc w:val="center"/>
              <w:rPr>
                <w:rFonts w:ascii="GHEA Grapalat" w:eastAsia="Times New Roman" w:hAnsi="GHEA Grapalat"/>
                <w:noProof/>
                <w:lang w:val="hy-AM"/>
              </w:rPr>
            </w:pPr>
            <w:r w:rsidRPr="00966835">
              <w:rPr>
                <w:rFonts w:ascii="GHEA Grapalat" w:hAnsi="GHEA Grapalat"/>
                <w:noProof/>
                <w:lang w:val="hy-AM"/>
              </w:rPr>
              <w:t>1</w:t>
            </w:r>
          </w:p>
        </w:tc>
        <w:tc>
          <w:tcPr>
            <w:tcW w:w="2410" w:type="dxa"/>
            <w:noWrap/>
            <w:vAlign w:val="center"/>
            <w:hideMark/>
          </w:tcPr>
          <w:p w:rsidR="005E0D3B" w:rsidRPr="00966835" w:rsidRDefault="005E0D3B" w:rsidP="00966835">
            <w:pPr>
              <w:pStyle w:val="BodyText"/>
              <w:spacing w:line="276" w:lineRule="auto"/>
              <w:rPr>
                <w:rFonts w:ascii="GHEA Grapalat" w:hAnsi="GHEA Grapalat"/>
                <w:noProof/>
                <w:sz w:val="22"/>
                <w:szCs w:val="22"/>
                <w:lang w:val="hy-AM"/>
              </w:rPr>
            </w:pPr>
            <w:r w:rsidRPr="00966835">
              <w:rPr>
                <w:rFonts w:ascii="GHEA Grapalat" w:hAnsi="GHEA Grapalat"/>
                <w:noProof/>
                <w:sz w:val="22"/>
                <w:szCs w:val="22"/>
                <w:lang w:val="hy-AM"/>
              </w:rPr>
              <w:t>2</w:t>
            </w:r>
          </w:p>
        </w:tc>
        <w:tc>
          <w:tcPr>
            <w:tcW w:w="2126" w:type="dxa"/>
            <w:noWrap/>
            <w:vAlign w:val="center"/>
            <w:hideMark/>
          </w:tcPr>
          <w:p w:rsidR="005E0D3B" w:rsidRPr="00966835" w:rsidRDefault="005E0D3B" w:rsidP="00966835">
            <w:pPr>
              <w:spacing w:after="0"/>
              <w:jc w:val="center"/>
              <w:rPr>
                <w:rFonts w:ascii="GHEA Grapalat" w:hAnsi="GHEA Grapalat"/>
                <w:noProof/>
                <w:lang w:val="hy-AM"/>
              </w:rPr>
            </w:pPr>
            <w:r w:rsidRPr="00966835">
              <w:rPr>
                <w:rFonts w:ascii="GHEA Grapalat" w:hAnsi="GHEA Grapalat"/>
                <w:noProof/>
                <w:lang w:val="hy-AM"/>
              </w:rPr>
              <w:t>3</w:t>
            </w:r>
          </w:p>
        </w:tc>
        <w:tc>
          <w:tcPr>
            <w:tcW w:w="5670" w:type="dxa"/>
            <w:noWrap/>
            <w:vAlign w:val="center"/>
            <w:hideMark/>
          </w:tcPr>
          <w:p w:rsidR="005E0D3B" w:rsidRPr="00966835" w:rsidRDefault="005E0D3B" w:rsidP="00966835">
            <w:pPr>
              <w:spacing w:after="0"/>
              <w:jc w:val="center"/>
              <w:rPr>
                <w:rFonts w:ascii="GHEA Grapalat" w:hAnsi="GHEA Grapalat"/>
                <w:noProof/>
                <w:lang w:val="hy-AM"/>
              </w:rPr>
            </w:pPr>
            <w:r w:rsidRPr="00966835">
              <w:rPr>
                <w:rFonts w:ascii="GHEA Grapalat" w:hAnsi="GHEA Grapalat"/>
                <w:noProof/>
                <w:lang w:val="hy-AM"/>
              </w:rPr>
              <w:t>4</w:t>
            </w:r>
          </w:p>
        </w:tc>
        <w:tc>
          <w:tcPr>
            <w:tcW w:w="4395" w:type="dxa"/>
            <w:vAlign w:val="center"/>
            <w:hideMark/>
          </w:tcPr>
          <w:p w:rsidR="005E0D3B" w:rsidRPr="00966835" w:rsidRDefault="005E0D3B" w:rsidP="00966835">
            <w:pPr>
              <w:spacing w:after="0"/>
              <w:jc w:val="center"/>
              <w:rPr>
                <w:rFonts w:ascii="GHEA Grapalat" w:hAnsi="GHEA Grapalat"/>
                <w:noProof/>
                <w:lang w:val="hy-AM"/>
              </w:rPr>
            </w:pPr>
            <w:r w:rsidRPr="00966835">
              <w:rPr>
                <w:rFonts w:ascii="GHEA Grapalat" w:hAnsi="GHEA Grapalat"/>
                <w:noProof/>
                <w:lang w:val="hy-AM"/>
              </w:rPr>
              <w:t>5</w:t>
            </w:r>
          </w:p>
        </w:tc>
      </w:tr>
      <w:tr w:rsidR="00274A5F" w:rsidRPr="00A567F8" w:rsidTr="00A567F8">
        <w:trPr>
          <w:trHeight w:val="416"/>
        </w:trPr>
        <w:tc>
          <w:tcPr>
            <w:tcW w:w="603" w:type="dxa"/>
            <w:noWrap/>
            <w:vAlign w:val="center"/>
          </w:tcPr>
          <w:p w:rsidR="00274A5F" w:rsidRDefault="00274A5F" w:rsidP="00966835">
            <w:pPr>
              <w:spacing w:after="0"/>
              <w:jc w:val="center"/>
              <w:rPr>
                <w:rFonts w:ascii="GHEA Grapalat" w:eastAsia="Times New Roman" w:hAnsi="GHEA Grapalat"/>
                <w:noProof/>
                <w:color w:val="000000"/>
              </w:rPr>
            </w:pPr>
            <w:r>
              <w:rPr>
                <w:rFonts w:ascii="GHEA Grapalat" w:eastAsia="Times New Roman" w:hAnsi="GHEA Grapalat"/>
                <w:noProof/>
                <w:color w:val="000000"/>
              </w:rPr>
              <w:t>1.</w:t>
            </w:r>
          </w:p>
        </w:tc>
        <w:tc>
          <w:tcPr>
            <w:tcW w:w="2410" w:type="dxa"/>
            <w:noWrap/>
            <w:vAlign w:val="center"/>
          </w:tcPr>
          <w:p w:rsidR="00274A5F" w:rsidRDefault="00274A5F" w:rsidP="00512A9E">
            <w:pPr>
              <w:spacing w:after="0"/>
              <w:rPr>
                <w:rFonts w:ascii="GHEA Grapalat" w:hAnsi="GHEA Grapalat" w:cs="Sylfaen"/>
                <w:noProof/>
              </w:rPr>
            </w:pPr>
            <w:r>
              <w:rPr>
                <w:rFonts w:ascii="GHEA Grapalat" w:hAnsi="GHEA Grapalat" w:cs="Sylfaen"/>
                <w:noProof/>
              </w:rPr>
              <w:t>ՀՀ արդարադատության նախարարություն</w:t>
            </w:r>
          </w:p>
        </w:tc>
        <w:tc>
          <w:tcPr>
            <w:tcW w:w="2126" w:type="dxa"/>
            <w:noWrap/>
          </w:tcPr>
          <w:p w:rsidR="00274A5F" w:rsidRDefault="00274A5F" w:rsidP="00A567F8">
            <w:pPr>
              <w:spacing w:after="0"/>
              <w:rPr>
                <w:rFonts w:ascii="GHEA Grapalat" w:hAnsi="GHEA Grapalat" w:cs="Sylfaen"/>
                <w:noProof/>
              </w:rPr>
            </w:pPr>
          </w:p>
        </w:tc>
        <w:tc>
          <w:tcPr>
            <w:tcW w:w="5670" w:type="dxa"/>
            <w:noWrap/>
          </w:tcPr>
          <w:p w:rsidR="00274A5F" w:rsidRDefault="00274A5F" w:rsidP="009411AD">
            <w:pPr>
              <w:pStyle w:val="ListParagraph"/>
              <w:spacing w:after="0"/>
              <w:ind w:left="34"/>
              <w:jc w:val="both"/>
              <w:rPr>
                <w:rFonts w:ascii="GHEA Grapalat" w:hAnsi="GHEA Grapalat"/>
                <w:noProof/>
              </w:rPr>
            </w:pPr>
            <w:r w:rsidRPr="00274A5F">
              <w:rPr>
                <w:rFonts w:ascii="GHEA Grapalat" w:hAnsi="GHEA Grapalat"/>
                <w:noProof/>
                <w:lang w:val="hy-AM"/>
              </w:rPr>
              <w:t xml:space="preserve">«Գրանատուս Վենչուր Ֆոնդ I» փակ բաժնետիրական ընկերության ներդրողների և «Գրանատուս Վենչուրս» փակ բաժնետիրական ընկերության հետ 2013 թվականի հոկտեմբերի 12-ին կնքված գնման օպցիոնի պայմանագրի փոփոխության համաձայնագրի նախագծին և «Գրանատուս Վենչուր Ֆոնդ I» փակ բաժնետիրական ընկերության կանոնադրական կապիտալում պետությանը պատկանող արտոնյալ բաժնետոմսերի մի մասի մարման առաջարկով հանդես գալուն հավանություն տալու և Հայաստանի Հանրապետության էկոնոմիկայի նախարարությանը </w:t>
            </w:r>
            <w:r w:rsidRPr="00274A5F">
              <w:rPr>
                <w:rFonts w:ascii="GHEA Grapalat" w:hAnsi="GHEA Grapalat"/>
                <w:noProof/>
                <w:lang w:val="hy-AM"/>
              </w:rPr>
              <w:lastRenderedPageBreak/>
              <w:t xml:space="preserve">համաձայնագրի կնքման և այլ լիազորություններ վերապահելու մասին» Հայաստանի Հանրապետության </w:t>
            </w:r>
            <w:proofErr w:type="spellStart"/>
            <w:r w:rsidRPr="00274A5F">
              <w:rPr>
                <w:rFonts w:ascii="GHEA Grapalat" w:hAnsi="GHEA Grapalat"/>
                <w:noProof/>
                <w:lang w:val="hy-AM"/>
              </w:rPr>
              <w:t>կառավարության</w:t>
            </w:r>
            <w:proofErr w:type="spellEnd"/>
            <w:r w:rsidRPr="00274A5F">
              <w:rPr>
                <w:rFonts w:ascii="GHEA Grapalat" w:hAnsi="GHEA Grapalat"/>
                <w:noProof/>
                <w:lang w:val="hy-AM"/>
              </w:rPr>
              <w:t xml:space="preserve"> որոշման  նախագծի վերաբերյալ </w:t>
            </w:r>
            <w:proofErr w:type="spellStart"/>
            <w:r w:rsidRPr="00274A5F">
              <w:rPr>
                <w:rFonts w:ascii="GHEA Grapalat" w:hAnsi="GHEA Grapalat"/>
                <w:noProof/>
                <w:lang w:val="hy-AM"/>
              </w:rPr>
              <w:t>առաջարկություններ</w:t>
            </w:r>
            <w:proofErr w:type="spellEnd"/>
            <w:r w:rsidRPr="00274A5F">
              <w:rPr>
                <w:rFonts w:ascii="GHEA Grapalat" w:hAnsi="GHEA Grapalat"/>
                <w:noProof/>
                <w:lang w:val="hy-AM"/>
              </w:rPr>
              <w:t xml:space="preserve"> </w:t>
            </w:r>
            <w:proofErr w:type="spellStart"/>
            <w:r w:rsidRPr="00274A5F">
              <w:rPr>
                <w:rFonts w:ascii="GHEA Grapalat" w:hAnsi="GHEA Grapalat"/>
                <w:noProof/>
                <w:lang w:val="hy-AM"/>
              </w:rPr>
              <w:t>չունենք</w:t>
            </w:r>
            <w:proofErr w:type="spellEnd"/>
            <w:r w:rsidRPr="00274A5F">
              <w:rPr>
                <w:rFonts w:ascii="GHEA Grapalat" w:hAnsi="GHEA Grapalat"/>
                <w:noProof/>
                <w:lang w:val="hy-AM"/>
              </w:rPr>
              <w:t>:</w:t>
            </w:r>
          </w:p>
        </w:tc>
        <w:tc>
          <w:tcPr>
            <w:tcW w:w="4395" w:type="dxa"/>
          </w:tcPr>
          <w:p w:rsidR="00274A5F" w:rsidRDefault="00274A5F" w:rsidP="00A567F8">
            <w:pPr>
              <w:pStyle w:val="ListParagraph"/>
              <w:shd w:val="clear" w:color="auto" w:fill="FFFFFF"/>
              <w:spacing w:after="0"/>
              <w:ind w:left="34"/>
              <w:jc w:val="both"/>
              <w:rPr>
                <w:rFonts w:ascii="GHEA Grapalat" w:eastAsia="Times New Roman" w:hAnsi="GHEA Grapalat"/>
                <w:noProof/>
                <w:color w:val="000000"/>
              </w:rPr>
            </w:pPr>
            <w:r w:rsidRPr="00966835">
              <w:rPr>
                <w:rFonts w:ascii="GHEA Grapalat" w:eastAsia="Times New Roman" w:hAnsi="GHEA Grapalat"/>
                <w:noProof/>
                <w:color w:val="000000"/>
                <w:lang w:val="hy-AM"/>
              </w:rPr>
              <w:lastRenderedPageBreak/>
              <w:t xml:space="preserve">Ընդունվել է ի </w:t>
            </w:r>
            <w:bookmarkStart w:id="0" w:name="_GoBack"/>
            <w:bookmarkEnd w:id="0"/>
            <w:r w:rsidRPr="00966835">
              <w:rPr>
                <w:rFonts w:ascii="GHEA Grapalat" w:eastAsia="Times New Roman" w:hAnsi="GHEA Grapalat"/>
                <w:noProof/>
                <w:color w:val="000000"/>
                <w:lang w:val="hy-AM"/>
              </w:rPr>
              <w:t>գիտություն:</w:t>
            </w:r>
          </w:p>
        </w:tc>
      </w:tr>
      <w:tr w:rsidR="00A567F8" w:rsidRPr="00A567F8" w:rsidTr="00A567F8">
        <w:trPr>
          <w:trHeight w:val="416"/>
        </w:trPr>
        <w:tc>
          <w:tcPr>
            <w:tcW w:w="603" w:type="dxa"/>
            <w:noWrap/>
            <w:vAlign w:val="center"/>
          </w:tcPr>
          <w:p w:rsidR="00A567F8" w:rsidRDefault="00274A5F" w:rsidP="00966835">
            <w:pPr>
              <w:spacing w:after="0"/>
              <w:jc w:val="center"/>
              <w:rPr>
                <w:rFonts w:ascii="GHEA Grapalat" w:eastAsia="Times New Roman" w:hAnsi="GHEA Grapalat"/>
                <w:noProof/>
                <w:color w:val="000000"/>
              </w:rPr>
            </w:pPr>
            <w:r>
              <w:rPr>
                <w:rFonts w:ascii="GHEA Grapalat" w:eastAsia="Times New Roman" w:hAnsi="GHEA Grapalat"/>
                <w:noProof/>
                <w:color w:val="000000"/>
              </w:rPr>
              <w:lastRenderedPageBreak/>
              <w:t>2</w:t>
            </w:r>
            <w:r w:rsidR="00A567F8">
              <w:rPr>
                <w:rFonts w:ascii="GHEA Grapalat" w:eastAsia="Times New Roman" w:hAnsi="GHEA Grapalat"/>
                <w:noProof/>
                <w:color w:val="000000"/>
              </w:rPr>
              <w:t xml:space="preserve">. </w:t>
            </w:r>
          </w:p>
        </w:tc>
        <w:tc>
          <w:tcPr>
            <w:tcW w:w="2410" w:type="dxa"/>
            <w:noWrap/>
            <w:vAlign w:val="center"/>
          </w:tcPr>
          <w:p w:rsidR="00A567F8" w:rsidRPr="00A567F8" w:rsidRDefault="00A567F8" w:rsidP="00512A9E">
            <w:pPr>
              <w:spacing w:after="0"/>
              <w:rPr>
                <w:rFonts w:ascii="GHEA Grapalat" w:hAnsi="GHEA Grapalat" w:cs="Sylfaen"/>
                <w:noProof/>
              </w:rPr>
            </w:pPr>
            <w:r>
              <w:rPr>
                <w:rFonts w:ascii="GHEA Grapalat" w:hAnsi="GHEA Grapalat" w:cs="Sylfaen"/>
                <w:noProof/>
              </w:rPr>
              <w:t>ՀՀ էկոնոմիկայի նախարարություն</w:t>
            </w:r>
          </w:p>
        </w:tc>
        <w:tc>
          <w:tcPr>
            <w:tcW w:w="2126" w:type="dxa"/>
            <w:noWrap/>
          </w:tcPr>
          <w:p w:rsidR="00A567F8" w:rsidRPr="00A567F8" w:rsidRDefault="00A567F8" w:rsidP="00A567F8">
            <w:pPr>
              <w:spacing w:after="0"/>
              <w:rPr>
                <w:rFonts w:ascii="GHEA Grapalat" w:hAnsi="GHEA Grapalat" w:cs="Sylfaen"/>
                <w:noProof/>
              </w:rPr>
            </w:pPr>
            <w:r>
              <w:rPr>
                <w:rFonts w:ascii="GHEA Grapalat" w:hAnsi="GHEA Grapalat" w:cs="Sylfaen"/>
                <w:noProof/>
              </w:rPr>
              <w:t>Կետ 2</w:t>
            </w:r>
          </w:p>
        </w:tc>
        <w:tc>
          <w:tcPr>
            <w:tcW w:w="5670" w:type="dxa"/>
            <w:noWrap/>
          </w:tcPr>
          <w:p w:rsidR="00A567F8" w:rsidRPr="00A567F8" w:rsidRDefault="00A567F8" w:rsidP="009411AD">
            <w:pPr>
              <w:pStyle w:val="ListParagraph"/>
              <w:spacing w:after="0"/>
              <w:ind w:left="34"/>
              <w:jc w:val="both"/>
              <w:rPr>
                <w:rFonts w:ascii="GHEA Grapalat" w:hAnsi="GHEA Grapalat"/>
                <w:noProof/>
              </w:rPr>
            </w:pPr>
            <w:r>
              <w:rPr>
                <w:rFonts w:ascii="GHEA Grapalat" w:hAnsi="GHEA Grapalat"/>
                <w:noProof/>
              </w:rPr>
              <w:t xml:space="preserve">Որոշման 2-րդ </w:t>
            </w:r>
            <w:r w:rsidR="009411AD">
              <w:rPr>
                <w:rFonts w:ascii="GHEA Grapalat" w:hAnsi="GHEA Grapalat"/>
                <w:noProof/>
              </w:rPr>
              <w:t xml:space="preserve">կետում «նվազեցնելու» բառից հետո </w:t>
            </w:r>
            <w:r>
              <w:rPr>
                <w:rFonts w:ascii="GHEA Grapalat" w:hAnsi="GHEA Grapalat"/>
                <w:noProof/>
              </w:rPr>
              <w:t xml:space="preserve">լրացվել է </w:t>
            </w:r>
            <w:r w:rsidRPr="00A567F8">
              <w:rPr>
                <w:rFonts w:ascii="GHEA Grapalat" w:hAnsi="GHEA Grapalat"/>
                <w:noProof/>
              </w:rPr>
              <w:t>«</w:t>
            </w:r>
            <w:r w:rsidR="009411AD">
              <w:rPr>
                <w:rFonts w:ascii="GHEA Grapalat" w:hAnsi="GHEA Grapalat"/>
                <w:noProof/>
              </w:rPr>
              <w:t>և ս</w:t>
            </w:r>
            <w:r w:rsidRPr="00A567F8">
              <w:rPr>
                <w:rFonts w:ascii="GHEA Grapalat" w:hAnsi="GHEA Grapalat"/>
                <w:noProof/>
                <w:lang w:val="hy-AM"/>
              </w:rPr>
              <w:t xml:space="preserve">ույն որոշման 1-ին կետով նախատեսված համաձայնագրի </w:t>
            </w:r>
            <w:r w:rsidR="009411AD">
              <w:rPr>
                <w:rFonts w:ascii="GHEA Grapalat" w:hAnsi="GHEA Grapalat"/>
                <w:noProof/>
              </w:rPr>
              <w:t>կնքման</w:t>
            </w:r>
            <w:r w:rsidRPr="00A567F8">
              <w:rPr>
                <w:rFonts w:ascii="GHEA Grapalat" w:hAnsi="GHEA Grapalat"/>
                <w:noProof/>
                <w:lang w:val="hy-AM"/>
              </w:rPr>
              <w:t>»</w:t>
            </w:r>
            <w:r w:rsidRPr="00A567F8">
              <w:rPr>
                <w:rFonts w:ascii="GHEA Grapalat" w:hAnsi="GHEA Grapalat"/>
                <w:noProof/>
              </w:rPr>
              <w:t xml:space="preserve"> բառերով:</w:t>
            </w:r>
          </w:p>
        </w:tc>
        <w:tc>
          <w:tcPr>
            <w:tcW w:w="4395" w:type="dxa"/>
          </w:tcPr>
          <w:p w:rsidR="00A567F8" w:rsidRPr="00A567F8" w:rsidRDefault="00A567F8" w:rsidP="00A567F8">
            <w:pPr>
              <w:pStyle w:val="ListParagraph"/>
              <w:shd w:val="clear" w:color="auto" w:fill="FFFFFF"/>
              <w:spacing w:after="0"/>
              <w:ind w:left="34"/>
              <w:jc w:val="both"/>
              <w:rPr>
                <w:rFonts w:ascii="GHEA Grapalat" w:eastAsia="Times New Roman" w:hAnsi="GHEA Grapalat"/>
                <w:noProof/>
                <w:color w:val="000000"/>
              </w:rPr>
            </w:pPr>
            <w:r>
              <w:rPr>
                <w:rFonts w:ascii="GHEA Grapalat" w:eastAsia="Times New Roman" w:hAnsi="GHEA Grapalat"/>
                <w:noProof/>
                <w:color w:val="000000"/>
              </w:rPr>
              <w:t>Կատարվել է համապատասխան փոփոխություն:</w:t>
            </w:r>
          </w:p>
        </w:tc>
      </w:tr>
      <w:tr w:rsidR="00097528" w:rsidRPr="00274A5F" w:rsidTr="00097528">
        <w:trPr>
          <w:trHeight w:val="416"/>
        </w:trPr>
        <w:tc>
          <w:tcPr>
            <w:tcW w:w="603" w:type="dxa"/>
            <w:noWrap/>
            <w:vAlign w:val="center"/>
          </w:tcPr>
          <w:p w:rsidR="00097528" w:rsidRPr="00966835" w:rsidRDefault="00274A5F" w:rsidP="00966835">
            <w:pPr>
              <w:spacing w:after="0"/>
              <w:jc w:val="center"/>
              <w:rPr>
                <w:rFonts w:ascii="GHEA Grapalat" w:eastAsia="Times New Roman" w:hAnsi="GHEA Grapalat"/>
                <w:noProof/>
                <w:color w:val="000000"/>
                <w:lang w:val="hy-AM"/>
              </w:rPr>
            </w:pPr>
            <w:r>
              <w:rPr>
                <w:rFonts w:ascii="GHEA Grapalat" w:eastAsia="Times New Roman" w:hAnsi="GHEA Grapalat"/>
                <w:noProof/>
                <w:color w:val="000000"/>
              </w:rPr>
              <w:t>3</w:t>
            </w:r>
            <w:r w:rsidR="00097528" w:rsidRPr="00966835">
              <w:rPr>
                <w:rFonts w:ascii="GHEA Grapalat" w:eastAsia="Times New Roman" w:hAnsi="GHEA Grapalat"/>
                <w:noProof/>
                <w:color w:val="000000"/>
                <w:lang w:val="hy-AM"/>
              </w:rPr>
              <w:t>.</w:t>
            </w:r>
          </w:p>
        </w:tc>
        <w:tc>
          <w:tcPr>
            <w:tcW w:w="2410" w:type="dxa"/>
            <w:vMerge w:val="restart"/>
            <w:noWrap/>
            <w:vAlign w:val="center"/>
          </w:tcPr>
          <w:p w:rsidR="00097528" w:rsidRPr="00966835" w:rsidRDefault="00097528" w:rsidP="00512A9E">
            <w:pPr>
              <w:spacing w:after="0"/>
              <w:rPr>
                <w:rFonts w:ascii="GHEA Grapalat" w:hAnsi="GHEA Grapalat" w:cs="Sylfaen"/>
                <w:noProof/>
                <w:lang w:val="hy-AM"/>
              </w:rPr>
            </w:pPr>
            <w:r w:rsidRPr="00966835">
              <w:rPr>
                <w:rFonts w:ascii="GHEA Grapalat" w:hAnsi="GHEA Grapalat" w:cs="Sylfaen"/>
                <w:noProof/>
                <w:lang w:val="hy-AM"/>
              </w:rPr>
              <w:t xml:space="preserve">ՀՀ </w:t>
            </w:r>
            <w:r>
              <w:rPr>
                <w:rFonts w:ascii="GHEA Grapalat" w:hAnsi="GHEA Grapalat" w:cs="Sylfaen"/>
                <w:noProof/>
              </w:rPr>
              <w:t>ֆինանսների նախարարություն</w:t>
            </w:r>
          </w:p>
        </w:tc>
        <w:tc>
          <w:tcPr>
            <w:tcW w:w="2126" w:type="dxa"/>
            <w:vMerge w:val="restart"/>
            <w:noWrap/>
            <w:vAlign w:val="center"/>
          </w:tcPr>
          <w:p w:rsidR="00097528" w:rsidRPr="00966835" w:rsidRDefault="00097528" w:rsidP="00966835">
            <w:pPr>
              <w:spacing w:after="0"/>
              <w:jc w:val="center"/>
              <w:rPr>
                <w:rFonts w:ascii="GHEA Grapalat" w:hAnsi="GHEA Grapalat" w:cs="Sylfaen"/>
                <w:noProof/>
                <w:lang w:val="hy-AM"/>
              </w:rPr>
            </w:pPr>
          </w:p>
        </w:tc>
        <w:tc>
          <w:tcPr>
            <w:tcW w:w="5670" w:type="dxa"/>
            <w:noWrap/>
          </w:tcPr>
          <w:p w:rsidR="00097528" w:rsidRPr="00512A9E" w:rsidRDefault="00097528" w:rsidP="00512A9E">
            <w:pPr>
              <w:pStyle w:val="ListParagraph"/>
              <w:numPr>
                <w:ilvl w:val="0"/>
                <w:numId w:val="2"/>
              </w:numPr>
              <w:spacing w:after="0"/>
              <w:ind w:left="34" w:firstLine="0"/>
              <w:jc w:val="both"/>
              <w:rPr>
                <w:rFonts w:ascii="GHEA Grapalat" w:hAnsi="GHEA Grapalat" w:cs="Sylfaen"/>
                <w:noProof/>
                <w:lang w:val="hy-AM"/>
              </w:rPr>
            </w:pPr>
            <w:r w:rsidRPr="00512A9E">
              <w:rPr>
                <w:rFonts w:ascii="GHEA Grapalat" w:hAnsi="GHEA Grapalat"/>
                <w:noProof/>
                <w:lang w:val="hy-AM"/>
              </w:rPr>
              <w:t>Հասկա</w:t>
            </w:r>
            <w:r w:rsidRPr="00512A9E">
              <w:rPr>
                <w:rFonts w:ascii="GHEA Grapalat" w:hAnsi="GHEA Grapalat"/>
                <w:noProof/>
                <w:lang w:val="af-ZA"/>
              </w:rPr>
              <w:softHyphen/>
            </w:r>
            <w:r w:rsidRPr="00512A9E">
              <w:rPr>
                <w:rFonts w:ascii="GHEA Grapalat" w:hAnsi="GHEA Grapalat"/>
                <w:noProof/>
                <w:lang w:val="hy-AM"/>
              </w:rPr>
              <w:t>նալի</w:t>
            </w:r>
            <w:r w:rsidRPr="00512A9E">
              <w:rPr>
                <w:rFonts w:ascii="GHEA Grapalat" w:hAnsi="GHEA Grapalat"/>
                <w:noProof/>
                <w:lang w:val="af-ZA"/>
              </w:rPr>
              <w:t xml:space="preserve"> </w:t>
            </w:r>
            <w:r w:rsidRPr="00512A9E">
              <w:rPr>
                <w:rFonts w:ascii="GHEA Grapalat" w:hAnsi="GHEA Grapalat"/>
                <w:noProof/>
                <w:lang w:val="hy-AM"/>
              </w:rPr>
              <w:t>չէ Ընկերության կողմից պետությանը պատկա</w:t>
            </w:r>
            <w:r w:rsidRPr="00512A9E">
              <w:rPr>
                <w:rFonts w:ascii="GHEA Grapalat" w:hAnsi="GHEA Grapalat"/>
                <w:noProof/>
                <w:lang w:val="hy-AM"/>
              </w:rPr>
              <w:softHyphen/>
              <w:t>նող բաժնետոմսերի ձեռքբերման և մար</w:t>
            </w:r>
            <w:r w:rsidRPr="00512A9E">
              <w:rPr>
                <w:rFonts w:ascii="GHEA Grapalat" w:hAnsi="GHEA Grapalat"/>
                <w:noProof/>
                <w:lang w:val="hy-AM"/>
              </w:rPr>
              <w:softHyphen/>
              <w:t>ման գործընթացով</w:t>
            </w:r>
            <w:r w:rsidRPr="00512A9E">
              <w:rPr>
                <w:rFonts w:ascii="GHEA Grapalat" w:hAnsi="GHEA Grapalat"/>
                <w:noProof/>
                <w:lang w:val="af-ZA"/>
              </w:rPr>
              <w:t xml:space="preserve"> </w:t>
            </w:r>
            <w:r w:rsidRPr="00512A9E">
              <w:rPr>
                <w:rFonts w:ascii="GHEA Grapalat" w:hAnsi="GHEA Grapalat"/>
                <w:noProof/>
                <w:lang w:val="hy-AM"/>
              </w:rPr>
              <w:t>պայմանավորված՝</w:t>
            </w:r>
            <w:r w:rsidRPr="00512A9E">
              <w:rPr>
                <w:rFonts w:ascii="GHEA Grapalat" w:hAnsi="GHEA Grapalat"/>
                <w:noProof/>
                <w:lang w:val="af-ZA"/>
              </w:rPr>
              <w:t xml:space="preserve"> </w:t>
            </w:r>
            <w:r w:rsidRPr="00512A9E">
              <w:rPr>
                <w:rFonts w:ascii="GHEA Grapalat" w:eastAsia="Times New Roman" w:hAnsi="GHEA Grapalat" w:cs="Sylfaen"/>
                <w:lang w:val="hy-AM"/>
              </w:rPr>
              <w:t>ՀՀ կառավարության 2013</w:t>
            </w:r>
            <w:r w:rsidRPr="00512A9E">
              <w:rPr>
                <w:rFonts w:ascii="GHEA Grapalat" w:eastAsia="Times New Roman" w:hAnsi="GHEA Grapalat" w:cs="Sylfaen"/>
                <w:lang w:val="af-ZA"/>
              </w:rPr>
              <w:t xml:space="preserve"> </w:t>
            </w:r>
            <w:r w:rsidRPr="00512A9E">
              <w:rPr>
                <w:rFonts w:ascii="GHEA Grapalat" w:eastAsia="Times New Roman" w:hAnsi="GHEA Grapalat" w:cs="Sylfaen"/>
                <w:lang w:val="hy-AM"/>
              </w:rPr>
              <w:t>թվականի հոկտեմբերի 3-ի ««Գրանատուս Վեն</w:t>
            </w:r>
            <w:r w:rsidRPr="00512A9E">
              <w:rPr>
                <w:rFonts w:ascii="GHEA Grapalat" w:eastAsia="Times New Roman" w:hAnsi="GHEA Grapalat" w:cs="Sylfaen"/>
                <w:lang w:val="hy-AM"/>
              </w:rPr>
              <w:softHyphen/>
              <w:t>չուր Ֆոնդ I» փակ բաժնետիրական ընկերության կանոնադրական կապիտալում պետու</w:t>
            </w:r>
            <w:r w:rsidRPr="00512A9E">
              <w:rPr>
                <w:rFonts w:ascii="GHEA Grapalat" w:eastAsia="Times New Roman" w:hAnsi="GHEA Grapalat" w:cs="Sylfaen"/>
                <w:lang w:val="hy-AM"/>
              </w:rPr>
              <w:softHyphen/>
              <w:t>թյան մասնակցության և Հայաստանի Հանրապետության էկոնոմի</w:t>
            </w:r>
            <w:r w:rsidRPr="00512A9E">
              <w:rPr>
                <w:rFonts w:ascii="GHEA Grapalat" w:eastAsia="Times New Roman" w:hAnsi="GHEA Grapalat" w:cs="Sylfaen"/>
                <w:lang w:val="hy-AM"/>
              </w:rPr>
              <w:softHyphen/>
              <w:t>կայի նախարարու</w:t>
            </w:r>
            <w:r w:rsidRPr="00512A9E">
              <w:rPr>
                <w:rFonts w:ascii="GHEA Grapalat" w:eastAsia="Times New Roman" w:hAnsi="GHEA Grapalat" w:cs="Sylfaen"/>
                <w:lang w:val="hy-AM"/>
              </w:rPr>
              <w:softHyphen/>
              <w:t>թյանը պայմանագիր կնքելու լիազորություն վերապահելու մասին» N</w:t>
            </w:r>
            <w:r w:rsidRPr="00512A9E">
              <w:rPr>
                <w:rFonts w:ascii="GHEA Grapalat" w:eastAsia="Times New Roman" w:hAnsi="GHEA Grapalat" w:cs="Sylfaen"/>
                <w:lang w:val="af-ZA"/>
              </w:rPr>
              <w:t xml:space="preserve"> </w:t>
            </w:r>
            <w:r w:rsidRPr="00512A9E">
              <w:rPr>
                <w:rFonts w:ascii="GHEA Grapalat" w:eastAsia="Times New Roman" w:hAnsi="GHEA Grapalat" w:cs="Sylfaen"/>
                <w:lang w:val="hy-AM"/>
              </w:rPr>
              <w:t>1083-Ա որոշման</w:t>
            </w:r>
            <w:r w:rsidRPr="00512A9E">
              <w:rPr>
                <w:rFonts w:ascii="GHEA Grapalat" w:eastAsia="Times New Roman" w:hAnsi="GHEA Grapalat" w:cs="Sylfaen"/>
                <w:lang w:val="af-ZA"/>
              </w:rPr>
              <w:t xml:space="preserve"> </w:t>
            </w:r>
            <w:r w:rsidRPr="00512A9E">
              <w:rPr>
                <w:rFonts w:ascii="GHEA Grapalat" w:eastAsia="Times New Roman" w:hAnsi="GHEA Grapalat" w:cs="Sylfaen"/>
                <w:lang w:val="hy-AM"/>
              </w:rPr>
              <w:t>համաձայն</w:t>
            </w:r>
            <w:r w:rsidRPr="00512A9E">
              <w:rPr>
                <w:rFonts w:ascii="GHEA Grapalat" w:eastAsia="Times New Roman" w:hAnsi="GHEA Grapalat" w:cs="Sylfaen"/>
                <w:lang w:val="af-ZA"/>
              </w:rPr>
              <w:t xml:space="preserve"> </w:t>
            </w:r>
            <w:r w:rsidRPr="00512A9E">
              <w:rPr>
                <w:rFonts w:ascii="GHEA Grapalat" w:hAnsi="GHEA Grapalat"/>
                <w:noProof/>
                <w:lang w:val="hy-AM"/>
              </w:rPr>
              <w:t>2013</w:t>
            </w:r>
            <w:r w:rsidRPr="00512A9E">
              <w:rPr>
                <w:rFonts w:ascii="GHEA Grapalat" w:hAnsi="GHEA Grapalat"/>
                <w:noProof/>
                <w:lang w:val="af-ZA"/>
              </w:rPr>
              <w:t xml:space="preserve"> </w:t>
            </w:r>
            <w:r w:rsidRPr="00512A9E">
              <w:rPr>
                <w:rFonts w:ascii="GHEA Grapalat" w:hAnsi="GHEA Grapalat"/>
                <w:noProof/>
                <w:lang w:val="hy-AM"/>
              </w:rPr>
              <w:t>թվականի հոկտեմբերի 12-ին կնքված գնման օպցիոնի պայմանագրում փոփոխություն կատարելու անհրաժեշտությունը։</w:t>
            </w:r>
          </w:p>
        </w:tc>
        <w:tc>
          <w:tcPr>
            <w:tcW w:w="4395" w:type="dxa"/>
          </w:tcPr>
          <w:p w:rsidR="00097528" w:rsidRPr="00512A9E" w:rsidRDefault="00097528" w:rsidP="00512A9E">
            <w:pPr>
              <w:pStyle w:val="ListParagraph"/>
              <w:numPr>
                <w:ilvl w:val="0"/>
                <w:numId w:val="3"/>
              </w:numPr>
              <w:shd w:val="clear" w:color="auto" w:fill="FFFFFF"/>
              <w:spacing w:after="0"/>
              <w:ind w:left="34" w:firstLine="0"/>
              <w:jc w:val="both"/>
              <w:rPr>
                <w:rFonts w:ascii="GHEA Grapalat" w:eastAsia="Times New Roman" w:hAnsi="GHEA Grapalat"/>
                <w:noProof/>
                <w:color w:val="000000"/>
                <w:lang w:val="hy-AM"/>
              </w:rPr>
            </w:pPr>
            <w:r w:rsidRPr="00512A9E">
              <w:rPr>
                <w:rFonts w:ascii="GHEA Grapalat" w:eastAsia="Times New Roman" w:hAnsi="GHEA Grapalat"/>
                <w:noProof/>
                <w:color w:val="000000"/>
                <w:lang w:val="hy-AM"/>
              </w:rPr>
              <w:t>Համաձայն Նախագծ</w:t>
            </w:r>
            <w:r>
              <w:rPr>
                <w:rFonts w:ascii="GHEA Grapalat" w:eastAsia="Times New Roman" w:hAnsi="GHEA Grapalat"/>
                <w:noProof/>
                <w:color w:val="000000"/>
                <w:lang w:val="hy-AM"/>
              </w:rPr>
              <w:t>ին կից ներկայացված հիմնավորման</w:t>
            </w:r>
            <w:r w:rsidRPr="00512A9E">
              <w:rPr>
                <w:rFonts w:ascii="GHEA Grapalat" w:eastAsia="Times New Roman" w:hAnsi="GHEA Grapalat"/>
                <w:noProof/>
                <w:color w:val="000000"/>
                <w:lang w:val="hy-AM"/>
              </w:rPr>
              <w:t xml:space="preserve"> 3-րդ մասի. </w:t>
            </w:r>
            <w:r>
              <w:rPr>
                <w:rFonts w:ascii="GHEA Grapalat" w:eastAsia="Times New Roman" w:hAnsi="GHEA Grapalat"/>
                <w:noProof/>
                <w:color w:val="000000"/>
                <w:lang w:val="hy-AM"/>
              </w:rPr>
              <w:t>«…</w:t>
            </w:r>
            <w:r w:rsidRPr="00512A9E">
              <w:rPr>
                <w:rFonts w:ascii="GHEA Grapalat" w:eastAsia="Times New Roman" w:hAnsi="GHEA Grapalat"/>
                <w:noProof/>
                <w:color w:val="000000"/>
                <w:lang w:val="hy-AM"/>
              </w:rPr>
              <w:t xml:space="preserve"> </w:t>
            </w:r>
            <w:r w:rsidRPr="00512A9E">
              <w:rPr>
                <w:rFonts w:ascii="GHEA Grapalat" w:hAnsi="GHEA Grapalat"/>
                <w:noProof/>
                <w:lang w:val="hy-AM"/>
              </w:rPr>
              <w:t>Նախագծով առաջարկվում է գնման օպցիոնի պայմանագրում կատարել անհրաժեշտ փոփոխություններ՝ օպցիոնի իրագործման պահի դրությամբ արդեն մարված A դասի արտոնյալ բաժնետոմսերի նկատմամբ ևս 3 տոկոս բարդ տոկոսադրույքով հաշվարկվող գումարի վճարման նպատակով:</w:t>
            </w:r>
            <w:r>
              <w:rPr>
                <w:rFonts w:ascii="GHEA Grapalat" w:eastAsia="Times New Roman" w:hAnsi="GHEA Grapalat"/>
                <w:noProof/>
                <w:color w:val="000000"/>
                <w:lang w:val="hy-AM"/>
              </w:rPr>
              <w:t>»</w:t>
            </w:r>
          </w:p>
        </w:tc>
      </w:tr>
      <w:tr w:rsidR="00097528" w:rsidRPr="00274A5F" w:rsidTr="00097528">
        <w:trPr>
          <w:trHeight w:val="845"/>
        </w:trPr>
        <w:tc>
          <w:tcPr>
            <w:tcW w:w="603" w:type="dxa"/>
            <w:noWrap/>
            <w:vAlign w:val="center"/>
          </w:tcPr>
          <w:p w:rsidR="00097528" w:rsidRPr="00512A9E" w:rsidRDefault="00097528" w:rsidP="00966835">
            <w:pPr>
              <w:spacing w:after="0"/>
              <w:jc w:val="center"/>
              <w:rPr>
                <w:rFonts w:ascii="GHEA Grapalat" w:eastAsia="Times New Roman" w:hAnsi="GHEA Grapalat"/>
                <w:noProof/>
                <w:color w:val="000000"/>
                <w:lang w:val="hy-AM"/>
              </w:rPr>
            </w:pPr>
          </w:p>
        </w:tc>
        <w:tc>
          <w:tcPr>
            <w:tcW w:w="2410" w:type="dxa"/>
            <w:vMerge/>
            <w:noWrap/>
            <w:vAlign w:val="center"/>
          </w:tcPr>
          <w:p w:rsidR="00097528" w:rsidRPr="00966835" w:rsidRDefault="00097528" w:rsidP="00512A9E">
            <w:pPr>
              <w:spacing w:after="0"/>
              <w:rPr>
                <w:rFonts w:ascii="GHEA Grapalat" w:hAnsi="GHEA Grapalat" w:cs="Sylfaen"/>
                <w:noProof/>
                <w:lang w:val="hy-AM"/>
              </w:rPr>
            </w:pPr>
          </w:p>
        </w:tc>
        <w:tc>
          <w:tcPr>
            <w:tcW w:w="2126" w:type="dxa"/>
            <w:vMerge/>
            <w:noWrap/>
            <w:vAlign w:val="center"/>
          </w:tcPr>
          <w:p w:rsidR="00097528" w:rsidRPr="00966835" w:rsidRDefault="00097528" w:rsidP="00966835">
            <w:pPr>
              <w:spacing w:after="0"/>
              <w:jc w:val="center"/>
              <w:rPr>
                <w:rFonts w:ascii="GHEA Grapalat" w:hAnsi="GHEA Grapalat" w:cs="Sylfaen"/>
                <w:noProof/>
                <w:lang w:val="hy-AM"/>
              </w:rPr>
            </w:pPr>
          </w:p>
        </w:tc>
        <w:tc>
          <w:tcPr>
            <w:tcW w:w="5670" w:type="dxa"/>
            <w:noWrap/>
          </w:tcPr>
          <w:p w:rsidR="00097528" w:rsidRPr="00250311" w:rsidRDefault="00097528" w:rsidP="001470B0">
            <w:pPr>
              <w:pStyle w:val="ListParagraph"/>
              <w:widowControl w:val="0"/>
              <w:numPr>
                <w:ilvl w:val="0"/>
                <w:numId w:val="3"/>
              </w:numPr>
              <w:overflowPunct w:val="0"/>
              <w:autoSpaceDE w:val="0"/>
              <w:autoSpaceDN w:val="0"/>
              <w:adjustRightInd w:val="0"/>
              <w:spacing w:after="0"/>
              <w:ind w:left="34" w:right="90" w:firstLine="0"/>
              <w:jc w:val="both"/>
              <w:textAlignment w:val="baseline"/>
              <w:rPr>
                <w:rFonts w:ascii="GHEA Grapalat" w:hAnsi="GHEA Grapalat"/>
                <w:noProof/>
                <w:lang w:val="hy-AM"/>
              </w:rPr>
            </w:pPr>
            <w:r w:rsidRPr="001470B0">
              <w:rPr>
                <w:rFonts w:ascii="GHEA Grapalat" w:eastAsia="Times New Roman" w:hAnsi="GHEA Grapalat" w:cs="Sylfaen"/>
                <w:szCs w:val="24"/>
                <w:lang w:val="hy-AM"/>
              </w:rPr>
              <w:t xml:space="preserve">Որոշման 1-ին կետով հաստատվել է </w:t>
            </w:r>
            <w:r w:rsidRPr="001470B0">
              <w:rPr>
                <w:rFonts w:ascii="GHEA Grapalat" w:eastAsia="Times New Roman" w:hAnsi="GHEA Grapalat" w:cs="Sylfaen"/>
                <w:szCs w:val="24"/>
                <w:lang w:val="af-ZA"/>
              </w:rPr>
              <w:br/>
            </w:r>
            <w:r w:rsidRPr="001470B0">
              <w:rPr>
                <w:rFonts w:ascii="GHEA Grapalat" w:eastAsia="Times New Roman" w:hAnsi="GHEA Grapalat" w:cs="Sylfaen"/>
                <w:szCs w:val="24"/>
                <w:lang w:val="hy-AM"/>
              </w:rPr>
              <w:t>Ընկե</w:t>
            </w:r>
            <w:r w:rsidRPr="001470B0">
              <w:rPr>
                <w:rFonts w:ascii="GHEA Grapalat" w:eastAsia="Times New Roman" w:hAnsi="GHEA Grapalat" w:cs="Sylfaen"/>
                <w:szCs w:val="24"/>
                <w:lang w:val="hy-AM"/>
              </w:rPr>
              <w:softHyphen/>
              <w:t>րության կանոնադրական կապիտա</w:t>
            </w:r>
            <w:r w:rsidRPr="001470B0">
              <w:rPr>
                <w:rFonts w:ascii="GHEA Grapalat" w:eastAsia="Times New Roman" w:hAnsi="GHEA Grapalat" w:cs="Sylfaen"/>
                <w:szCs w:val="24"/>
                <w:lang w:val="hy-AM"/>
              </w:rPr>
              <w:softHyphen/>
              <w:t xml:space="preserve">լում պետության մասնակցությունը՝ </w:t>
            </w:r>
            <w:r w:rsidRPr="001470B0">
              <w:rPr>
                <w:rFonts w:ascii="GHEA Grapalat" w:hAnsi="GHEA Grapalat"/>
                <w:noProof/>
                <w:szCs w:val="24"/>
                <w:lang w:val="hy-AM"/>
              </w:rPr>
              <w:t>3000 հատ</w:t>
            </w:r>
            <w:r w:rsidRPr="001470B0">
              <w:rPr>
                <w:rFonts w:ascii="GHEA Grapalat" w:eastAsia="Times New Roman" w:hAnsi="GHEA Grapalat" w:cs="Sylfaen"/>
                <w:szCs w:val="24"/>
                <w:lang w:val="hy-AM"/>
              </w:rPr>
              <w:t xml:space="preserve"> </w:t>
            </w:r>
            <w:r w:rsidRPr="001470B0">
              <w:rPr>
                <w:rFonts w:ascii="GHEA Grapalat" w:hAnsi="GHEA Grapalat"/>
                <w:noProof/>
                <w:szCs w:val="24"/>
                <w:lang w:val="hy-AM"/>
              </w:rPr>
              <w:t>A դա</w:t>
            </w:r>
            <w:r w:rsidRPr="001470B0">
              <w:rPr>
                <w:rFonts w:ascii="GHEA Grapalat" w:hAnsi="GHEA Grapalat"/>
                <w:noProof/>
                <w:szCs w:val="24"/>
                <w:lang w:val="hy-AM"/>
              </w:rPr>
              <w:softHyphen/>
              <w:t>սի արտոնյալ մարվող</w:t>
            </w:r>
            <w:r w:rsidRPr="001470B0">
              <w:rPr>
                <w:rFonts w:ascii="GHEA Grapalat" w:hAnsi="GHEA Grapalat"/>
                <w:noProof/>
                <w:szCs w:val="24"/>
                <w:lang w:val="af-ZA"/>
              </w:rPr>
              <w:t>,</w:t>
            </w:r>
            <w:r w:rsidRPr="001470B0">
              <w:rPr>
                <w:rFonts w:ascii="GHEA Grapalat" w:hAnsi="GHEA Grapalat"/>
                <w:noProof/>
                <w:szCs w:val="24"/>
                <w:lang w:val="hy-AM"/>
              </w:rPr>
              <w:t xml:space="preserve"> 3000 հատ</w:t>
            </w:r>
            <w:r w:rsidRPr="001470B0">
              <w:rPr>
                <w:rFonts w:ascii="GHEA Grapalat" w:eastAsia="Times New Roman" w:hAnsi="GHEA Grapalat" w:cs="Sylfaen"/>
                <w:szCs w:val="24"/>
                <w:lang w:val="hy-AM"/>
              </w:rPr>
              <w:t xml:space="preserve"> </w:t>
            </w:r>
            <w:r w:rsidRPr="001470B0">
              <w:rPr>
                <w:rFonts w:ascii="GHEA Grapalat" w:hAnsi="GHEA Grapalat"/>
                <w:noProof/>
                <w:szCs w:val="24"/>
                <w:lang w:val="hy-AM"/>
              </w:rPr>
              <w:t>B դասի արտոնյալ փոխարկելի և</w:t>
            </w:r>
            <w:r w:rsidRPr="001470B0">
              <w:rPr>
                <w:rFonts w:ascii="GHEA Grapalat" w:hAnsi="GHEA Grapalat"/>
                <w:noProof/>
                <w:szCs w:val="24"/>
                <w:lang w:val="af-ZA"/>
              </w:rPr>
              <w:t xml:space="preserve"> </w:t>
            </w:r>
            <w:r w:rsidRPr="001470B0">
              <w:rPr>
                <w:rFonts w:ascii="GHEA Grapalat" w:hAnsi="GHEA Grapalat"/>
                <w:noProof/>
                <w:szCs w:val="24"/>
                <w:lang w:val="hy-AM"/>
              </w:rPr>
              <w:t>3,000 հատ C դասի մարվող արտոնյալ բաժնետոմսերի</w:t>
            </w:r>
            <w:r w:rsidRPr="001470B0">
              <w:rPr>
                <w:rFonts w:ascii="GHEA Grapalat" w:hAnsi="GHEA Grapalat"/>
                <w:noProof/>
                <w:szCs w:val="24"/>
                <w:lang w:val="af-ZA"/>
              </w:rPr>
              <w:t xml:space="preserve"> </w:t>
            </w:r>
            <w:r w:rsidRPr="001470B0">
              <w:rPr>
                <w:rFonts w:ascii="GHEA Grapalat" w:hAnsi="GHEA Grapalat"/>
                <w:noProof/>
                <w:szCs w:val="24"/>
                <w:lang w:val="hy-AM"/>
              </w:rPr>
              <w:t>չափով: Մինչդեռ</w:t>
            </w:r>
            <w:r w:rsidRPr="001470B0">
              <w:rPr>
                <w:rFonts w:ascii="GHEA Grapalat" w:hAnsi="GHEA Grapalat"/>
                <w:noProof/>
                <w:szCs w:val="24"/>
                <w:lang w:val="af-ZA"/>
              </w:rPr>
              <w:t xml:space="preserve">, </w:t>
            </w:r>
            <w:r w:rsidRPr="001470B0">
              <w:rPr>
                <w:rFonts w:ascii="GHEA Grapalat" w:eastAsia="Times New Roman" w:hAnsi="GHEA Grapalat" w:cs="Sylfaen"/>
                <w:szCs w:val="24"/>
                <w:lang w:val="hy-AM"/>
              </w:rPr>
              <w:t xml:space="preserve">Նախագծին կից </w:t>
            </w:r>
            <w:r w:rsidRPr="001470B0">
              <w:rPr>
                <w:rFonts w:ascii="GHEA Grapalat" w:eastAsia="Times New Roman" w:hAnsi="GHEA Grapalat" w:cs="Sylfaen"/>
                <w:szCs w:val="24"/>
                <w:lang w:val="af-ZA"/>
              </w:rPr>
              <w:br/>
            </w:r>
            <w:r w:rsidRPr="001470B0">
              <w:rPr>
                <w:rFonts w:ascii="GHEA Grapalat" w:eastAsia="Times New Roman" w:hAnsi="GHEA Grapalat" w:cs="Sylfaen"/>
                <w:szCs w:val="24"/>
                <w:lang w:val="hy-AM"/>
              </w:rPr>
              <w:lastRenderedPageBreak/>
              <w:t>հիմնավոր</w:t>
            </w:r>
            <w:r w:rsidRPr="001470B0">
              <w:rPr>
                <w:rFonts w:ascii="GHEA Grapalat" w:eastAsia="Times New Roman" w:hAnsi="GHEA Grapalat" w:cs="Sylfaen"/>
                <w:szCs w:val="24"/>
                <w:lang w:val="hy-AM"/>
              </w:rPr>
              <w:softHyphen/>
              <w:t>ման մեջ</w:t>
            </w:r>
            <w:r w:rsidRPr="001470B0">
              <w:rPr>
                <w:rFonts w:ascii="GHEA Grapalat" w:eastAsia="Times New Roman" w:hAnsi="GHEA Grapalat" w:cs="Sylfaen"/>
                <w:szCs w:val="24"/>
                <w:lang w:val="af-ZA"/>
              </w:rPr>
              <w:t xml:space="preserve"> «</w:t>
            </w:r>
            <w:r w:rsidRPr="001470B0">
              <w:rPr>
                <w:rFonts w:ascii="GHEA Grapalat" w:hAnsi="GHEA Grapalat"/>
                <w:noProof/>
                <w:szCs w:val="24"/>
                <w:lang w:val="hy-AM"/>
              </w:rPr>
              <w:t>Կարգավորման հարաբերություն</w:t>
            </w:r>
            <w:r w:rsidRPr="001470B0">
              <w:rPr>
                <w:rFonts w:ascii="GHEA Grapalat" w:hAnsi="GHEA Grapalat"/>
                <w:noProof/>
                <w:szCs w:val="24"/>
                <w:lang w:val="hy-AM"/>
              </w:rPr>
              <w:softHyphen/>
              <w:t>ների ներկա վիճակը և առկա խնդիրները</w:t>
            </w:r>
            <w:r w:rsidRPr="001470B0">
              <w:rPr>
                <w:rFonts w:ascii="GHEA Grapalat" w:hAnsi="GHEA Grapalat"/>
                <w:noProof/>
                <w:szCs w:val="24"/>
                <w:lang w:val="af-ZA"/>
              </w:rPr>
              <w:t>» 2-</w:t>
            </w:r>
            <w:r w:rsidRPr="001470B0">
              <w:rPr>
                <w:rFonts w:ascii="GHEA Grapalat" w:hAnsi="GHEA Grapalat"/>
                <w:noProof/>
                <w:szCs w:val="24"/>
                <w:lang w:val="hy-AM"/>
              </w:rPr>
              <w:t>րդ</w:t>
            </w:r>
            <w:r w:rsidRPr="001470B0">
              <w:rPr>
                <w:rFonts w:ascii="GHEA Grapalat" w:hAnsi="GHEA Grapalat"/>
                <w:noProof/>
                <w:szCs w:val="24"/>
                <w:lang w:val="af-ZA"/>
              </w:rPr>
              <w:t xml:space="preserve"> </w:t>
            </w:r>
            <w:r w:rsidRPr="001470B0">
              <w:rPr>
                <w:rFonts w:ascii="GHEA Grapalat" w:hAnsi="GHEA Grapalat"/>
                <w:noProof/>
                <w:szCs w:val="24"/>
                <w:lang w:val="hy-AM"/>
              </w:rPr>
              <w:t>բաժ</w:t>
            </w:r>
            <w:r w:rsidRPr="001470B0">
              <w:rPr>
                <w:rFonts w:ascii="GHEA Grapalat" w:hAnsi="GHEA Grapalat"/>
                <w:noProof/>
                <w:szCs w:val="24"/>
                <w:lang w:val="af-ZA"/>
              </w:rPr>
              <w:softHyphen/>
            </w:r>
            <w:r w:rsidRPr="001470B0">
              <w:rPr>
                <w:rFonts w:ascii="GHEA Grapalat" w:hAnsi="GHEA Grapalat"/>
                <w:noProof/>
                <w:szCs w:val="24"/>
                <w:lang w:val="hy-AM"/>
              </w:rPr>
              <w:t>նում</w:t>
            </w:r>
            <w:r w:rsidRPr="001470B0">
              <w:rPr>
                <w:rFonts w:ascii="GHEA Grapalat" w:hAnsi="GHEA Grapalat"/>
                <w:noProof/>
                <w:szCs w:val="24"/>
                <w:lang w:val="af-ZA"/>
              </w:rPr>
              <w:t xml:space="preserve"> </w:t>
            </w:r>
            <w:r w:rsidRPr="001470B0">
              <w:rPr>
                <w:rFonts w:ascii="GHEA Grapalat" w:hAnsi="GHEA Grapalat"/>
                <w:noProof/>
                <w:szCs w:val="24"/>
                <w:lang w:val="hy-AM"/>
              </w:rPr>
              <w:t>ներկայացված</w:t>
            </w:r>
            <w:r w:rsidRPr="001470B0">
              <w:rPr>
                <w:rFonts w:ascii="GHEA Grapalat" w:hAnsi="GHEA Grapalat"/>
                <w:noProof/>
                <w:szCs w:val="24"/>
                <w:lang w:val="af-ZA"/>
              </w:rPr>
              <w:t xml:space="preserve"> </w:t>
            </w:r>
            <w:r w:rsidRPr="001470B0">
              <w:rPr>
                <w:rFonts w:ascii="GHEA Grapalat" w:hAnsi="GHEA Grapalat"/>
                <w:noProof/>
                <w:szCs w:val="24"/>
                <w:lang w:val="hy-AM"/>
              </w:rPr>
              <w:t>է</w:t>
            </w:r>
            <w:r w:rsidRPr="001470B0">
              <w:rPr>
                <w:rFonts w:ascii="GHEA Grapalat" w:hAnsi="GHEA Grapalat"/>
                <w:noProof/>
                <w:szCs w:val="24"/>
                <w:lang w:val="af-ZA"/>
              </w:rPr>
              <w:t xml:space="preserve">, </w:t>
            </w:r>
            <w:r w:rsidRPr="001470B0">
              <w:rPr>
                <w:rFonts w:ascii="GHEA Grapalat" w:hAnsi="GHEA Grapalat"/>
                <w:noProof/>
                <w:szCs w:val="24"/>
                <w:lang w:val="hy-AM"/>
              </w:rPr>
              <w:t>որ</w:t>
            </w:r>
            <w:r w:rsidRPr="001470B0">
              <w:rPr>
                <w:rFonts w:ascii="GHEA Grapalat" w:hAnsi="GHEA Grapalat"/>
                <w:noProof/>
                <w:szCs w:val="24"/>
                <w:lang w:val="af-ZA"/>
              </w:rPr>
              <w:t xml:space="preserve"> </w:t>
            </w:r>
            <w:r w:rsidRPr="001470B0">
              <w:rPr>
                <w:rFonts w:ascii="GHEA Grapalat" w:hAnsi="GHEA Grapalat"/>
                <w:noProof/>
                <w:szCs w:val="24"/>
                <w:lang w:val="hy-AM"/>
              </w:rPr>
              <w:t xml:space="preserve">պետության մասնակցությունը կառուցված է </w:t>
            </w:r>
            <w:r w:rsidRPr="001470B0">
              <w:rPr>
                <w:rFonts w:ascii="GHEA Grapalat" w:hAnsi="GHEA Grapalat"/>
                <w:noProof/>
                <w:szCs w:val="24"/>
                <w:lang w:val="af-ZA"/>
              </w:rPr>
              <w:t>3</w:t>
            </w:r>
            <w:r w:rsidRPr="001470B0">
              <w:rPr>
                <w:rFonts w:ascii="GHEA Grapalat" w:hAnsi="GHEA Grapalat"/>
                <w:noProof/>
                <w:szCs w:val="24"/>
                <w:lang w:val="hy-AM"/>
              </w:rPr>
              <w:t xml:space="preserve"> դասի արտոնյալ բաժնետոմսերի նկատմամբ սեփա</w:t>
            </w:r>
            <w:r w:rsidRPr="001470B0">
              <w:rPr>
                <w:rFonts w:ascii="GHEA Grapalat" w:hAnsi="GHEA Grapalat"/>
                <w:noProof/>
                <w:szCs w:val="24"/>
                <w:lang w:val="hy-AM"/>
              </w:rPr>
              <w:softHyphen/>
              <w:t>կանության իրավունքների հիման վրա</w:t>
            </w:r>
            <w:r w:rsidRPr="001470B0">
              <w:rPr>
                <w:rFonts w:ascii="GHEA Grapalat" w:hAnsi="GHEA Grapalat"/>
                <w:noProof/>
                <w:szCs w:val="24"/>
                <w:lang w:val="af-ZA"/>
              </w:rPr>
              <w:t xml:space="preserve">, </w:t>
            </w:r>
            <w:r w:rsidRPr="001470B0">
              <w:rPr>
                <w:rFonts w:ascii="GHEA Grapalat" w:hAnsi="GHEA Grapalat"/>
                <w:noProof/>
                <w:szCs w:val="24"/>
                <w:lang w:val="hy-AM"/>
              </w:rPr>
              <w:t>սակայն</w:t>
            </w:r>
            <w:r w:rsidRPr="001470B0">
              <w:rPr>
                <w:rFonts w:ascii="GHEA Grapalat" w:hAnsi="GHEA Grapalat"/>
                <w:noProof/>
                <w:szCs w:val="24"/>
                <w:lang w:val="af-ZA"/>
              </w:rPr>
              <w:t xml:space="preserve"> </w:t>
            </w:r>
            <w:r w:rsidRPr="001470B0">
              <w:rPr>
                <w:rFonts w:ascii="GHEA Grapalat" w:hAnsi="GHEA Grapalat"/>
                <w:noProof/>
                <w:szCs w:val="24"/>
                <w:lang w:val="hy-AM"/>
              </w:rPr>
              <w:t>A դա</w:t>
            </w:r>
            <w:r w:rsidRPr="001470B0">
              <w:rPr>
                <w:rFonts w:ascii="GHEA Grapalat" w:hAnsi="GHEA Grapalat"/>
                <w:noProof/>
                <w:szCs w:val="24"/>
                <w:lang w:val="hy-AM"/>
              </w:rPr>
              <w:softHyphen/>
              <w:t>սի անվանական մարվող և</w:t>
            </w:r>
            <w:r w:rsidRPr="001470B0">
              <w:rPr>
                <w:rFonts w:ascii="GHEA Grapalat" w:hAnsi="GHEA Grapalat"/>
                <w:noProof/>
                <w:szCs w:val="24"/>
                <w:lang w:val="af-ZA"/>
              </w:rPr>
              <w:t xml:space="preserve"> </w:t>
            </w:r>
            <w:r w:rsidRPr="001470B0">
              <w:rPr>
                <w:rFonts w:ascii="GHEA Grapalat" w:hAnsi="GHEA Grapalat"/>
                <w:noProof/>
                <w:szCs w:val="24"/>
                <w:lang w:val="hy-AM"/>
              </w:rPr>
              <w:t>B դասի փոխարկելի բաժնետոմսերի</w:t>
            </w:r>
            <w:r w:rsidRPr="001470B0">
              <w:rPr>
                <w:rFonts w:ascii="GHEA Grapalat" w:eastAsia="Times New Roman" w:hAnsi="GHEA Grapalat" w:cs="Sylfaen"/>
                <w:szCs w:val="24"/>
                <w:lang w:val="af-ZA"/>
              </w:rPr>
              <w:t xml:space="preserve"> </w:t>
            </w:r>
            <w:r w:rsidRPr="001470B0">
              <w:rPr>
                <w:rFonts w:ascii="GHEA Grapalat" w:eastAsia="Times New Roman" w:hAnsi="GHEA Grapalat" w:cs="Sylfaen"/>
                <w:szCs w:val="24"/>
                <w:lang w:val="hy-AM"/>
              </w:rPr>
              <w:t>քանակների</w:t>
            </w:r>
            <w:r w:rsidRPr="001470B0">
              <w:rPr>
                <w:rFonts w:ascii="GHEA Grapalat" w:eastAsia="Times New Roman" w:hAnsi="GHEA Grapalat" w:cs="Sylfaen"/>
                <w:szCs w:val="24"/>
                <w:lang w:val="af-ZA"/>
              </w:rPr>
              <w:t xml:space="preserve"> </w:t>
            </w:r>
            <w:r w:rsidRPr="001470B0">
              <w:rPr>
                <w:rFonts w:ascii="GHEA Grapalat" w:eastAsia="Times New Roman" w:hAnsi="GHEA Grapalat" w:cs="Sylfaen"/>
                <w:szCs w:val="24"/>
                <w:lang w:val="hy-AM"/>
              </w:rPr>
              <w:t>առնչու</w:t>
            </w:r>
            <w:r w:rsidRPr="001470B0">
              <w:rPr>
                <w:rFonts w:ascii="GHEA Grapalat" w:eastAsia="Times New Roman" w:hAnsi="GHEA Grapalat" w:cs="Sylfaen"/>
                <w:szCs w:val="24"/>
                <w:lang w:val="af-ZA"/>
              </w:rPr>
              <w:softHyphen/>
            </w:r>
            <w:r w:rsidRPr="001470B0">
              <w:rPr>
                <w:rFonts w:ascii="GHEA Grapalat" w:eastAsia="Times New Roman" w:hAnsi="GHEA Grapalat" w:cs="Sylfaen"/>
                <w:szCs w:val="24"/>
                <w:lang w:val="hy-AM"/>
              </w:rPr>
              <w:t>թյամբ</w:t>
            </w:r>
            <w:r w:rsidRPr="001470B0">
              <w:rPr>
                <w:rFonts w:ascii="GHEA Grapalat" w:eastAsia="Times New Roman" w:hAnsi="GHEA Grapalat" w:cs="Sylfaen"/>
                <w:szCs w:val="24"/>
                <w:lang w:val="af-ZA"/>
              </w:rPr>
              <w:t xml:space="preserve"> (</w:t>
            </w:r>
            <w:r w:rsidRPr="001470B0">
              <w:rPr>
                <w:rFonts w:ascii="GHEA Grapalat" w:hAnsi="GHEA Grapalat"/>
                <w:noProof/>
                <w:szCs w:val="24"/>
                <w:lang w:val="hy-AM"/>
              </w:rPr>
              <w:t>2,714</w:t>
            </w:r>
            <w:r w:rsidRPr="001470B0">
              <w:rPr>
                <w:rFonts w:ascii="GHEA Grapalat" w:hAnsi="GHEA Grapalat"/>
                <w:noProof/>
                <w:szCs w:val="24"/>
                <w:lang w:val="af-ZA"/>
              </w:rPr>
              <w:t>-</w:t>
            </w:r>
            <w:r w:rsidRPr="001470B0">
              <w:rPr>
                <w:rFonts w:ascii="GHEA Grapalat" w:hAnsi="GHEA Grapalat"/>
                <w:noProof/>
                <w:szCs w:val="24"/>
                <w:lang w:val="hy-AM"/>
              </w:rPr>
              <w:t>ական հատ</w:t>
            </w:r>
            <w:r w:rsidRPr="001470B0">
              <w:rPr>
                <w:rFonts w:ascii="GHEA Grapalat" w:hAnsi="GHEA Grapalat"/>
                <w:noProof/>
                <w:szCs w:val="24"/>
                <w:lang w:val="af-ZA"/>
              </w:rPr>
              <w:t>)</w:t>
            </w:r>
            <w:r w:rsidRPr="001470B0">
              <w:rPr>
                <w:rFonts w:ascii="GHEA Grapalat" w:hAnsi="GHEA Grapalat"/>
                <w:noProof/>
                <w:szCs w:val="24"/>
                <w:lang w:val="hy-AM"/>
              </w:rPr>
              <w:t xml:space="preserve"> </w:t>
            </w:r>
            <w:r w:rsidRPr="001470B0">
              <w:rPr>
                <w:rFonts w:ascii="GHEA Grapalat" w:eastAsia="Times New Roman" w:hAnsi="GHEA Grapalat" w:cs="Sylfaen"/>
                <w:szCs w:val="24"/>
                <w:lang w:val="hy-AM"/>
              </w:rPr>
              <w:t>առկա են</w:t>
            </w:r>
            <w:r w:rsidRPr="001470B0">
              <w:rPr>
                <w:rFonts w:ascii="GHEA Grapalat" w:eastAsia="Times New Roman" w:hAnsi="GHEA Grapalat" w:cs="Sylfaen"/>
                <w:szCs w:val="24"/>
                <w:lang w:val="af-ZA"/>
              </w:rPr>
              <w:t xml:space="preserve"> </w:t>
            </w:r>
            <w:r w:rsidRPr="001470B0">
              <w:rPr>
                <w:rFonts w:ascii="GHEA Grapalat" w:eastAsia="Times New Roman" w:hAnsi="GHEA Grapalat" w:cs="Sylfaen"/>
                <w:szCs w:val="24"/>
                <w:lang w:val="hy-AM"/>
              </w:rPr>
              <w:t>անհա</w:t>
            </w:r>
            <w:r w:rsidRPr="001470B0">
              <w:rPr>
                <w:rFonts w:ascii="GHEA Grapalat" w:eastAsia="Times New Roman" w:hAnsi="GHEA Grapalat" w:cs="Sylfaen"/>
                <w:szCs w:val="24"/>
                <w:lang w:val="af-ZA"/>
              </w:rPr>
              <w:softHyphen/>
            </w:r>
            <w:r w:rsidRPr="001470B0">
              <w:rPr>
                <w:rFonts w:ascii="GHEA Grapalat" w:eastAsia="Times New Roman" w:hAnsi="GHEA Grapalat" w:cs="Sylfaen"/>
                <w:szCs w:val="24"/>
                <w:lang w:val="hy-AM"/>
              </w:rPr>
              <w:t>մապատասխանություններ</w:t>
            </w:r>
            <w:r w:rsidRPr="001470B0">
              <w:rPr>
                <w:rFonts w:ascii="GHEA Grapalat" w:hAnsi="GHEA Grapalat"/>
                <w:noProof/>
                <w:szCs w:val="24"/>
                <w:lang w:val="hy-AM"/>
              </w:rPr>
              <w:t>:</w:t>
            </w:r>
          </w:p>
        </w:tc>
        <w:tc>
          <w:tcPr>
            <w:tcW w:w="4395" w:type="dxa"/>
          </w:tcPr>
          <w:p w:rsidR="00097528" w:rsidRPr="00250311" w:rsidRDefault="00097528" w:rsidP="00C12C09">
            <w:pPr>
              <w:pStyle w:val="ListParagraph"/>
              <w:numPr>
                <w:ilvl w:val="0"/>
                <w:numId w:val="2"/>
              </w:numPr>
              <w:shd w:val="clear" w:color="auto" w:fill="FFFFFF"/>
              <w:spacing w:after="0"/>
              <w:ind w:left="0" w:firstLine="0"/>
              <w:jc w:val="both"/>
              <w:rPr>
                <w:rFonts w:ascii="GHEA Grapalat" w:eastAsia="Times New Roman" w:hAnsi="GHEA Grapalat"/>
                <w:noProof/>
                <w:color w:val="000000"/>
                <w:lang w:val="hy-AM"/>
              </w:rPr>
            </w:pPr>
            <w:r w:rsidRPr="00250311">
              <w:rPr>
                <w:rFonts w:ascii="GHEA Grapalat" w:eastAsia="Times New Roman" w:hAnsi="GHEA Grapalat" w:cs="Sylfaen"/>
                <w:noProof/>
                <w:color w:val="000000"/>
                <w:lang w:val="hy-AM"/>
              </w:rPr>
              <w:lastRenderedPageBreak/>
              <w:t>Ընկերության</w:t>
            </w:r>
            <w:r w:rsidRPr="00250311">
              <w:rPr>
                <w:rFonts w:ascii="GHEA Grapalat" w:eastAsia="Times New Roman" w:hAnsi="GHEA Grapalat"/>
                <w:noProof/>
                <w:color w:val="000000"/>
                <w:lang w:val="hy-AM"/>
              </w:rPr>
              <w:t xml:space="preserve"> կանոնադրական կապիտալում ՀՀ կառավարության մասնակցության համար հիմք են ծառայել ֆոնդի կողմից թողարկված արտոնյալ բաժնետոմսերին ՀՀ կառավարության կատարած հետևյալ բաժանորդագրումները.</w:t>
            </w:r>
          </w:p>
          <w:p w:rsidR="00097528" w:rsidRPr="00250311" w:rsidRDefault="00097528" w:rsidP="001470B0">
            <w:pPr>
              <w:pStyle w:val="ListParagraph"/>
              <w:numPr>
                <w:ilvl w:val="0"/>
                <w:numId w:val="4"/>
              </w:numPr>
              <w:shd w:val="clear" w:color="auto" w:fill="FFFFFF"/>
              <w:spacing w:after="0"/>
              <w:ind w:left="34" w:firstLine="0"/>
              <w:jc w:val="both"/>
              <w:rPr>
                <w:rFonts w:ascii="GHEA Grapalat" w:eastAsia="Times New Roman" w:hAnsi="GHEA Grapalat"/>
                <w:noProof/>
                <w:color w:val="000000"/>
                <w:lang w:val="hy-AM"/>
              </w:rPr>
            </w:pPr>
            <w:r w:rsidRPr="00250311">
              <w:rPr>
                <w:rFonts w:ascii="GHEA Grapalat" w:eastAsia="Times New Roman" w:hAnsi="GHEA Grapalat"/>
                <w:noProof/>
                <w:color w:val="000000"/>
                <w:lang w:val="hy-AM"/>
              </w:rPr>
              <w:lastRenderedPageBreak/>
              <w:t>05.02.2014թ. – 266 հատ A դասի արտոնյալ բաժնետոմս, 266 հատ B դասի արտոնյալ բաժնետոմս</w:t>
            </w:r>
          </w:p>
          <w:p w:rsidR="00097528" w:rsidRPr="00250311" w:rsidRDefault="00097528" w:rsidP="001470B0">
            <w:pPr>
              <w:pStyle w:val="ListParagraph"/>
              <w:numPr>
                <w:ilvl w:val="0"/>
                <w:numId w:val="4"/>
              </w:numPr>
              <w:shd w:val="clear" w:color="auto" w:fill="FFFFFF"/>
              <w:spacing w:after="0"/>
              <w:ind w:left="34" w:firstLine="0"/>
              <w:jc w:val="both"/>
              <w:rPr>
                <w:rFonts w:ascii="GHEA Grapalat" w:eastAsia="Times New Roman" w:hAnsi="GHEA Grapalat"/>
                <w:noProof/>
                <w:color w:val="000000"/>
                <w:lang w:val="hy-AM"/>
              </w:rPr>
            </w:pPr>
            <w:r w:rsidRPr="00250311">
              <w:rPr>
                <w:rFonts w:ascii="GHEA Grapalat" w:eastAsia="Times New Roman" w:hAnsi="GHEA Grapalat"/>
                <w:noProof/>
                <w:color w:val="000000"/>
                <w:lang w:val="hy-AM"/>
              </w:rPr>
              <w:t>14.01.2015թ. – 576 հատ A դասի արտոնյալ բաժնետոմս, 576 հատ B դասի արտոնյալ բաժնետոմս և 3,000 հատ C դասի  արտոնյալ բաժնետոմս</w:t>
            </w:r>
          </w:p>
          <w:p w:rsidR="00097528" w:rsidRPr="00250311" w:rsidRDefault="00097528" w:rsidP="001470B0">
            <w:pPr>
              <w:pStyle w:val="ListParagraph"/>
              <w:numPr>
                <w:ilvl w:val="0"/>
                <w:numId w:val="4"/>
              </w:numPr>
              <w:shd w:val="clear" w:color="auto" w:fill="FFFFFF"/>
              <w:spacing w:after="0"/>
              <w:ind w:left="34" w:firstLine="0"/>
              <w:jc w:val="both"/>
              <w:rPr>
                <w:rFonts w:ascii="GHEA Grapalat" w:eastAsia="Times New Roman" w:hAnsi="GHEA Grapalat"/>
                <w:noProof/>
                <w:color w:val="000000"/>
                <w:lang w:val="hy-AM"/>
              </w:rPr>
            </w:pPr>
            <w:r w:rsidRPr="00250311">
              <w:rPr>
                <w:rFonts w:ascii="GHEA Grapalat" w:eastAsia="Times New Roman" w:hAnsi="GHEA Grapalat"/>
                <w:noProof/>
                <w:color w:val="000000"/>
                <w:lang w:val="hy-AM"/>
              </w:rPr>
              <w:t>20.02.2015թ. – 72 հատ A դասի արտոնյալ բաժնետոմս, 72 հատ B դասի արտոնյալ բաժնետոմս</w:t>
            </w:r>
          </w:p>
          <w:p w:rsidR="00097528" w:rsidRPr="00250311" w:rsidRDefault="00097528" w:rsidP="001470B0">
            <w:pPr>
              <w:pStyle w:val="ListParagraph"/>
              <w:numPr>
                <w:ilvl w:val="0"/>
                <w:numId w:val="4"/>
              </w:numPr>
              <w:shd w:val="clear" w:color="auto" w:fill="FFFFFF"/>
              <w:spacing w:after="0"/>
              <w:ind w:left="34" w:firstLine="0"/>
              <w:jc w:val="both"/>
              <w:rPr>
                <w:rFonts w:ascii="GHEA Grapalat" w:eastAsia="Times New Roman" w:hAnsi="GHEA Grapalat"/>
                <w:noProof/>
                <w:color w:val="000000"/>
                <w:lang w:val="hy-AM"/>
              </w:rPr>
            </w:pPr>
            <w:r w:rsidRPr="00250311">
              <w:rPr>
                <w:rFonts w:ascii="GHEA Grapalat" w:eastAsia="Times New Roman" w:hAnsi="GHEA Grapalat"/>
                <w:noProof/>
                <w:color w:val="000000"/>
                <w:lang w:val="hy-AM"/>
              </w:rPr>
              <w:t>19.11.2015թ. 586 հատ A դասի արտոնյալ բաժնետոմս, 586 հատ B դասի արտոնյալ բաժնետոմս</w:t>
            </w:r>
          </w:p>
          <w:p w:rsidR="00097528" w:rsidRPr="00250311" w:rsidRDefault="00097528" w:rsidP="001470B0">
            <w:pPr>
              <w:pStyle w:val="ListParagraph"/>
              <w:numPr>
                <w:ilvl w:val="0"/>
                <w:numId w:val="4"/>
              </w:numPr>
              <w:shd w:val="clear" w:color="auto" w:fill="FFFFFF"/>
              <w:spacing w:after="0"/>
              <w:ind w:left="34" w:firstLine="0"/>
              <w:jc w:val="both"/>
              <w:rPr>
                <w:rFonts w:ascii="GHEA Grapalat" w:eastAsia="Times New Roman" w:hAnsi="GHEA Grapalat"/>
                <w:noProof/>
                <w:color w:val="000000"/>
                <w:lang w:val="hy-AM"/>
              </w:rPr>
            </w:pPr>
            <w:r w:rsidRPr="00250311">
              <w:rPr>
                <w:rFonts w:ascii="GHEA Grapalat" w:eastAsia="Times New Roman" w:hAnsi="GHEA Grapalat"/>
                <w:noProof/>
                <w:color w:val="000000"/>
                <w:lang w:val="hy-AM"/>
              </w:rPr>
              <w:t>24.06.2016թ. – 1,214 հատ  A դասի արտոնյալ բաժնետոմս, 1,214 հատ B դասի արտոնյալ բաժնետոմս</w:t>
            </w:r>
          </w:p>
        </w:tc>
      </w:tr>
      <w:tr w:rsidR="00B61621" w:rsidRPr="00BD38E5" w:rsidTr="00097528">
        <w:trPr>
          <w:trHeight w:val="845"/>
        </w:trPr>
        <w:tc>
          <w:tcPr>
            <w:tcW w:w="603" w:type="dxa"/>
            <w:noWrap/>
            <w:vAlign w:val="center"/>
          </w:tcPr>
          <w:p w:rsidR="00B61621" w:rsidRDefault="00274A5F" w:rsidP="00966835">
            <w:pPr>
              <w:spacing w:after="0"/>
              <w:jc w:val="center"/>
              <w:rPr>
                <w:rFonts w:ascii="GHEA Grapalat" w:eastAsia="Times New Roman" w:hAnsi="GHEA Grapalat"/>
                <w:noProof/>
                <w:color w:val="000000"/>
              </w:rPr>
            </w:pPr>
            <w:r>
              <w:rPr>
                <w:rFonts w:ascii="GHEA Grapalat" w:eastAsia="Times New Roman" w:hAnsi="GHEA Grapalat"/>
                <w:noProof/>
                <w:color w:val="000000"/>
              </w:rPr>
              <w:lastRenderedPageBreak/>
              <w:t>4</w:t>
            </w:r>
            <w:r w:rsidR="00BD38E5">
              <w:rPr>
                <w:rFonts w:ascii="GHEA Grapalat" w:eastAsia="Times New Roman" w:hAnsi="GHEA Grapalat"/>
                <w:noProof/>
                <w:color w:val="000000"/>
              </w:rPr>
              <w:t>.</w:t>
            </w:r>
          </w:p>
        </w:tc>
        <w:tc>
          <w:tcPr>
            <w:tcW w:w="2410" w:type="dxa"/>
            <w:noWrap/>
            <w:vAlign w:val="center"/>
          </w:tcPr>
          <w:p w:rsidR="00B61621" w:rsidRPr="00BD38E5" w:rsidRDefault="00BD38E5" w:rsidP="00D563DB">
            <w:pPr>
              <w:spacing w:after="0"/>
              <w:rPr>
                <w:rFonts w:ascii="GHEA Grapalat" w:hAnsi="GHEA Grapalat" w:cs="Sylfaen"/>
                <w:noProof/>
              </w:rPr>
            </w:pPr>
            <w:r>
              <w:rPr>
                <w:rFonts w:ascii="GHEA Grapalat" w:hAnsi="GHEA Grapalat" w:cs="Sylfaen"/>
                <w:noProof/>
              </w:rPr>
              <w:t xml:space="preserve">ՀՀ </w:t>
            </w:r>
            <w:r w:rsidR="00D563DB">
              <w:rPr>
                <w:rFonts w:ascii="GHEA Grapalat" w:hAnsi="GHEA Grapalat" w:cs="Sylfaen"/>
                <w:noProof/>
              </w:rPr>
              <w:t>տարածքային կառավարման և ենթակառուցվածքների</w:t>
            </w:r>
            <w:r>
              <w:rPr>
                <w:rFonts w:ascii="GHEA Grapalat" w:hAnsi="GHEA Grapalat" w:cs="Sylfaen"/>
                <w:noProof/>
              </w:rPr>
              <w:t xml:space="preserve"> նախարարություն</w:t>
            </w:r>
          </w:p>
        </w:tc>
        <w:tc>
          <w:tcPr>
            <w:tcW w:w="2126" w:type="dxa"/>
            <w:noWrap/>
            <w:vAlign w:val="center"/>
          </w:tcPr>
          <w:p w:rsidR="00B61621" w:rsidRPr="00966835" w:rsidRDefault="00B61621" w:rsidP="00966835">
            <w:pPr>
              <w:spacing w:after="0"/>
              <w:jc w:val="center"/>
              <w:rPr>
                <w:rFonts w:ascii="GHEA Grapalat" w:hAnsi="GHEA Grapalat" w:cs="Sylfaen"/>
                <w:noProof/>
                <w:lang w:val="hy-AM"/>
              </w:rPr>
            </w:pPr>
          </w:p>
        </w:tc>
        <w:tc>
          <w:tcPr>
            <w:tcW w:w="5670" w:type="dxa"/>
            <w:noWrap/>
            <w:vAlign w:val="center"/>
          </w:tcPr>
          <w:p w:rsidR="00B61621" w:rsidRPr="00BD38E5" w:rsidRDefault="00D563DB" w:rsidP="00BD38E5">
            <w:pPr>
              <w:shd w:val="clear" w:color="auto" w:fill="FFFFFF"/>
              <w:tabs>
                <w:tab w:val="left" w:pos="8640"/>
              </w:tabs>
              <w:spacing w:after="120"/>
              <w:ind w:left="34" w:right="144"/>
              <w:jc w:val="both"/>
              <w:rPr>
                <w:rFonts w:ascii="GHEA Grapalat" w:hAnsi="GHEA Grapalat" w:cs="Sylfaen"/>
                <w:lang w:val="hy-AM"/>
              </w:rPr>
            </w:pPr>
            <w:r>
              <w:rPr>
                <w:rFonts w:ascii="GHEA Grapalat" w:hAnsi="GHEA Grapalat" w:cs="Sylfaen"/>
                <w:szCs w:val="20"/>
                <w:lang w:val="hy-AM"/>
              </w:rPr>
              <w:t xml:space="preserve">«Գրանատուս Վենչուր Ֆոնդ I» փակ բաժնետիրական ընկերության ներդրողների և «Գրանատուս Վենչուրս» փակ բաժնետիրական ընկերության հետ 2013 թվականի հոկտեմբերի 12-ին կնքված գնման օպցիոնի պայմանագրի փոփոխության համաձայնագրի նախագծին և «Գրանատուս Վենչուր Ֆոնդ I» փակ բաժնետիրական ընկերության կանոնադրական կապիտալում պետությանը պատկանող արտոնյալ բաժնետոմսերի մի մասի մարման առաջարկով հանդես գալուն հավանություն տալու և </w:t>
            </w:r>
            <w:r>
              <w:rPr>
                <w:rFonts w:ascii="GHEA Grapalat" w:hAnsi="GHEA Grapalat" w:cs="Sylfaen"/>
                <w:szCs w:val="20"/>
                <w:lang w:val="hy-AM"/>
              </w:rPr>
              <w:lastRenderedPageBreak/>
              <w:t>Հայաստանի Հանրապետության էկոնոմիկայի նախարարությանը համաձայնագրի կնքման և այլ լիազորություններ վերապահելու մասին» Հայաստանի Հանրապետության կառավարության որոշման նախագծի վերաբերյալ դիտողություններ և առաջարկություններ չունի։</w:t>
            </w:r>
          </w:p>
        </w:tc>
        <w:tc>
          <w:tcPr>
            <w:tcW w:w="4395" w:type="dxa"/>
          </w:tcPr>
          <w:p w:rsidR="00B61621" w:rsidRPr="00966835" w:rsidRDefault="00BD38E5" w:rsidP="00966835">
            <w:pPr>
              <w:shd w:val="clear" w:color="auto" w:fill="FFFFFF"/>
              <w:spacing w:after="0"/>
              <w:jc w:val="both"/>
              <w:rPr>
                <w:rFonts w:ascii="GHEA Grapalat" w:eastAsia="Times New Roman" w:hAnsi="GHEA Grapalat"/>
                <w:noProof/>
                <w:color w:val="000000"/>
                <w:lang w:val="hy-AM"/>
              </w:rPr>
            </w:pPr>
            <w:r w:rsidRPr="00966835">
              <w:rPr>
                <w:rFonts w:ascii="GHEA Grapalat" w:eastAsia="Times New Roman" w:hAnsi="GHEA Grapalat"/>
                <w:noProof/>
                <w:color w:val="000000"/>
                <w:lang w:val="hy-AM"/>
              </w:rPr>
              <w:lastRenderedPageBreak/>
              <w:t>Ընդունվել է ի գիտություն:</w:t>
            </w:r>
          </w:p>
        </w:tc>
      </w:tr>
      <w:tr w:rsidR="00BD38E5" w:rsidRPr="00BD38E5" w:rsidTr="00097528">
        <w:trPr>
          <w:trHeight w:val="1613"/>
        </w:trPr>
        <w:tc>
          <w:tcPr>
            <w:tcW w:w="603" w:type="dxa"/>
            <w:noWrap/>
            <w:vAlign w:val="center"/>
          </w:tcPr>
          <w:p w:rsidR="00BD38E5" w:rsidRDefault="00274A5F" w:rsidP="00966835">
            <w:pPr>
              <w:spacing w:after="0"/>
              <w:jc w:val="center"/>
              <w:rPr>
                <w:rFonts w:ascii="GHEA Grapalat" w:eastAsia="Times New Roman" w:hAnsi="GHEA Grapalat"/>
                <w:noProof/>
                <w:color w:val="000000"/>
              </w:rPr>
            </w:pPr>
            <w:r>
              <w:rPr>
                <w:rFonts w:ascii="GHEA Grapalat" w:eastAsia="Times New Roman" w:hAnsi="GHEA Grapalat"/>
                <w:noProof/>
                <w:color w:val="000000"/>
              </w:rPr>
              <w:lastRenderedPageBreak/>
              <w:t>5</w:t>
            </w:r>
            <w:r w:rsidR="00BD38E5">
              <w:rPr>
                <w:rFonts w:ascii="GHEA Grapalat" w:eastAsia="Times New Roman" w:hAnsi="GHEA Grapalat"/>
                <w:noProof/>
                <w:color w:val="000000"/>
              </w:rPr>
              <w:t>.</w:t>
            </w:r>
          </w:p>
        </w:tc>
        <w:tc>
          <w:tcPr>
            <w:tcW w:w="2410" w:type="dxa"/>
            <w:noWrap/>
            <w:vAlign w:val="center"/>
          </w:tcPr>
          <w:p w:rsidR="00BD38E5" w:rsidRDefault="00BD38E5" w:rsidP="00250311">
            <w:pPr>
              <w:spacing w:after="0"/>
              <w:rPr>
                <w:rFonts w:ascii="GHEA Grapalat" w:hAnsi="GHEA Grapalat" w:cs="Sylfaen"/>
                <w:noProof/>
              </w:rPr>
            </w:pPr>
            <w:r>
              <w:rPr>
                <w:rFonts w:ascii="GHEA Grapalat" w:hAnsi="GHEA Grapalat" w:cs="Sylfaen"/>
                <w:noProof/>
              </w:rPr>
              <w:t xml:space="preserve">ՀՀ </w:t>
            </w:r>
            <w:r w:rsidR="00250311">
              <w:rPr>
                <w:rFonts w:ascii="GHEA Grapalat" w:hAnsi="GHEA Grapalat" w:cs="Sylfaen"/>
                <w:noProof/>
              </w:rPr>
              <w:t>բարձր տեխնոլոգիական արդյունաբերության նախարարություն</w:t>
            </w:r>
          </w:p>
        </w:tc>
        <w:tc>
          <w:tcPr>
            <w:tcW w:w="2126" w:type="dxa"/>
            <w:noWrap/>
            <w:vAlign w:val="center"/>
          </w:tcPr>
          <w:p w:rsidR="00BD38E5" w:rsidRPr="00966835" w:rsidRDefault="00BD38E5" w:rsidP="00966835">
            <w:pPr>
              <w:spacing w:after="0"/>
              <w:jc w:val="center"/>
              <w:rPr>
                <w:rFonts w:ascii="GHEA Grapalat" w:hAnsi="GHEA Grapalat" w:cs="Sylfaen"/>
                <w:noProof/>
                <w:lang w:val="hy-AM"/>
              </w:rPr>
            </w:pPr>
          </w:p>
        </w:tc>
        <w:tc>
          <w:tcPr>
            <w:tcW w:w="5670" w:type="dxa"/>
            <w:noWrap/>
          </w:tcPr>
          <w:p w:rsidR="00BD38E5" w:rsidRPr="00250311" w:rsidRDefault="00250311" w:rsidP="00250311">
            <w:pPr>
              <w:spacing w:before="120" w:after="120"/>
              <w:rPr>
                <w:rFonts w:ascii="GHEA Grapalat" w:hAnsi="GHEA Grapalat"/>
                <w:b/>
                <w:szCs w:val="24"/>
                <w:lang w:val="hy-AM"/>
              </w:rPr>
            </w:pPr>
            <w:r w:rsidRPr="00250311">
              <w:rPr>
                <w:rFonts w:ascii="GHEA Grapalat" w:hAnsi="GHEA Grapalat"/>
                <w:szCs w:val="24"/>
                <w:lang w:val="hy-AM"/>
              </w:rPr>
              <w:t>««Գրանատուս Վենչուր Ֆոնդ I» փակ բաժնետիրական ընկերության ներդրողների և «Գրանատուս Վենչուրս» փակ բաժնետիրական ընկերության հետ 2013 թվականի հոկտեմբերի 12-ին կնքված գնման օպցիոնի պայմանագրի փոփոխության համաձայնագրի նախագծին և «Գրանատուս Վենչուր Ֆոնդ I» փակ բաժնետիրական ընկերության կանոնադրական կապիտալում պետությանը պատկանող արտոնյալ բաժնետոմսերի մի մասի մարման առաջարկով հանդես գալուն հավանություն տալու և Հայաստանի Հանրապետության էկոնոմիկայի նախարարությանը համաձայնագրի կնքման և այլ լիազորություններ վերապահելու մասին» Հայաստանի Հանրապետության կառավարության որոշման նախագծի վերաբերյալ առաջարկություններ և դիտողություններ չունեմ:</w:t>
            </w:r>
            <w:r w:rsidRPr="00250311">
              <w:rPr>
                <w:rFonts w:ascii="GHEA Grapalat" w:hAnsi="GHEA Grapalat"/>
                <w:b/>
                <w:szCs w:val="24"/>
                <w:lang w:val="hy-AM"/>
              </w:rPr>
              <w:t xml:space="preserve">        </w:t>
            </w:r>
          </w:p>
        </w:tc>
        <w:tc>
          <w:tcPr>
            <w:tcW w:w="4395" w:type="dxa"/>
          </w:tcPr>
          <w:p w:rsidR="00BD38E5" w:rsidRPr="00966835" w:rsidRDefault="00BD38E5" w:rsidP="00966835">
            <w:pPr>
              <w:shd w:val="clear" w:color="auto" w:fill="FFFFFF"/>
              <w:spacing w:after="0"/>
              <w:jc w:val="both"/>
              <w:rPr>
                <w:rFonts w:ascii="GHEA Grapalat" w:eastAsia="Times New Roman" w:hAnsi="GHEA Grapalat"/>
                <w:noProof/>
                <w:color w:val="000000"/>
                <w:lang w:val="hy-AM"/>
              </w:rPr>
            </w:pPr>
            <w:r w:rsidRPr="00966835">
              <w:rPr>
                <w:rFonts w:ascii="GHEA Grapalat" w:eastAsia="Times New Roman" w:hAnsi="GHEA Grapalat"/>
                <w:noProof/>
                <w:color w:val="000000"/>
                <w:lang w:val="hy-AM"/>
              </w:rPr>
              <w:t>Ընդունվել է ի գիտություն:</w:t>
            </w:r>
          </w:p>
        </w:tc>
      </w:tr>
      <w:tr w:rsidR="00250311" w:rsidRPr="00250311" w:rsidTr="00097528">
        <w:trPr>
          <w:trHeight w:val="1613"/>
        </w:trPr>
        <w:tc>
          <w:tcPr>
            <w:tcW w:w="603" w:type="dxa"/>
            <w:noWrap/>
            <w:vAlign w:val="center"/>
          </w:tcPr>
          <w:p w:rsidR="00250311" w:rsidRDefault="00274A5F" w:rsidP="00966835">
            <w:pPr>
              <w:spacing w:after="0"/>
              <w:jc w:val="center"/>
              <w:rPr>
                <w:rFonts w:ascii="GHEA Grapalat" w:eastAsia="Times New Roman" w:hAnsi="GHEA Grapalat"/>
                <w:noProof/>
                <w:color w:val="000000"/>
              </w:rPr>
            </w:pPr>
            <w:r>
              <w:rPr>
                <w:rFonts w:ascii="GHEA Grapalat" w:eastAsia="Times New Roman" w:hAnsi="GHEA Grapalat"/>
                <w:noProof/>
                <w:color w:val="000000"/>
              </w:rPr>
              <w:lastRenderedPageBreak/>
              <w:t>6</w:t>
            </w:r>
            <w:r w:rsidR="00250311">
              <w:rPr>
                <w:rFonts w:ascii="GHEA Grapalat" w:eastAsia="Times New Roman" w:hAnsi="GHEA Grapalat"/>
                <w:noProof/>
                <w:color w:val="000000"/>
              </w:rPr>
              <w:t>.</w:t>
            </w:r>
          </w:p>
        </w:tc>
        <w:tc>
          <w:tcPr>
            <w:tcW w:w="2410" w:type="dxa"/>
            <w:noWrap/>
            <w:vAlign w:val="center"/>
          </w:tcPr>
          <w:p w:rsidR="00250311" w:rsidRDefault="00250311" w:rsidP="00250311">
            <w:pPr>
              <w:spacing w:after="0"/>
              <w:rPr>
                <w:rFonts w:ascii="GHEA Grapalat" w:hAnsi="GHEA Grapalat" w:cs="Sylfaen"/>
                <w:noProof/>
              </w:rPr>
            </w:pPr>
            <w:r>
              <w:rPr>
                <w:rFonts w:ascii="GHEA Grapalat" w:hAnsi="GHEA Grapalat" w:cs="Sylfaen"/>
                <w:noProof/>
              </w:rPr>
              <w:t>ՀՀ պետական եկամուտների կոմիտե</w:t>
            </w:r>
          </w:p>
        </w:tc>
        <w:tc>
          <w:tcPr>
            <w:tcW w:w="2126" w:type="dxa"/>
            <w:noWrap/>
            <w:vAlign w:val="center"/>
          </w:tcPr>
          <w:p w:rsidR="00250311" w:rsidRPr="00966835" w:rsidRDefault="00250311" w:rsidP="00966835">
            <w:pPr>
              <w:spacing w:after="0"/>
              <w:jc w:val="center"/>
              <w:rPr>
                <w:rFonts w:ascii="GHEA Grapalat" w:hAnsi="GHEA Grapalat" w:cs="Sylfaen"/>
                <w:noProof/>
                <w:lang w:val="hy-AM"/>
              </w:rPr>
            </w:pPr>
          </w:p>
        </w:tc>
        <w:tc>
          <w:tcPr>
            <w:tcW w:w="5670" w:type="dxa"/>
            <w:noWrap/>
          </w:tcPr>
          <w:p w:rsidR="00250311" w:rsidRPr="00250311" w:rsidRDefault="00250311" w:rsidP="00250311">
            <w:pPr>
              <w:jc w:val="both"/>
              <w:rPr>
                <w:rFonts w:ascii="GHEA Grapalat" w:hAnsi="GHEA Grapalat" w:cs="Sylfaen"/>
                <w:noProof/>
                <w:lang w:val="hy-AM"/>
              </w:rPr>
            </w:pPr>
            <w:r>
              <w:rPr>
                <w:rFonts w:ascii="GHEA Grapalat" w:hAnsi="GHEA Grapalat" w:cs="Sylfaen"/>
                <w:noProof/>
                <w:lang w:val="hy-AM"/>
              </w:rPr>
              <w:t xml:space="preserve">««Գրանատուս Վենչուր Ֆոնդ I» փակ բաժնետիրական ընկերության ներդրողների և «Գրանատուս Վենչուրս» փակ բաժնետիրական ընկերության հետ 2013 թվականի հոկտեմբերի 12-ին կնքված գնման օպցիոնի պայմանագրի փոփոխության համաձայնագրի նախագծին և «Գրանատուս Վենչուր Ֆոնդ I» փակ բաժնետիրական ընկերության կանոնադրական կապիտալում պետությանը պատկանող արտոնյալ բաժնետոմսերի մի մասի մարման առաջարկով հանդես գալուն հավանություն տալու և Հայաստանի Հանրապետության էկոնոմիկայի նախարարությանը համաձայնագրի կնքման և այլ լիազորություններ վերապահելու մասին» ՀՀ կառավարության որոշման նախագծի վերաբերյալ առաջարկություններ չկան: </w:t>
            </w:r>
          </w:p>
        </w:tc>
        <w:tc>
          <w:tcPr>
            <w:tcW w:w="4395" w:type="dxa"/>
          </w:tcPr>
          <w:p w:rsidR="00250311" w:rsidRPr="00966835" w:rsidRDefault="00250311" w:rsidP="00966835">
            <w:pPr>
              <w:shd w:val="clear" w:color="auto" w:fill="FFFFFF"/>
              <w:spacing w:after="0"/>
              <w:jc w:val="both"/>
              <w:rPr>
                <w:rFonts w:ascii="GHEA Grapalat" w:eastAsia="Times New Roman" w:hAnsi="GHEA Grapalat"/>
                <w:noProof/>
                <w:color w:val="000000"/>
                <w:lang w:val="hy-AM"/>
              </w:rPr>
            </w:pPr>
            <w:r w:rsidRPr="00966835">
              <w:rPr>
                <w:rFonts w:ascii="GHEA Grapalat" w:eastAsia="Times New Roman" w:hAnsi="GHEA Grapalat"/>
                <w:noProof/>
                <w:color w:val="000000"/>
                <w:lang w:val="hy-AM"/>
              </w:rPr>
              <w:t>Ընդունվել է ի գիտություն:</w:t>
            </w:r>
          </w:p>
        </w:tc>
      </w:tr>
      <w:tr w:rsidR="00250311" w:rsidRPr="00250311" w:rsidTr="00097528">
        <w:trPr>
          <w:trHeight w:val="3392"/>
        </w:trPr>
        <w:tc>
          <w:tcPr>
            <w:tcW w:w="603" w:type="dxa"/>
            <w:noWrap/>
            <w:vAlign w:val="center"/>
          </w:tcPr>
          <w:p w:rsidR="00250311" w:rsidRDefault="00274A5F" w:rsidP="00966835">
            <w:pPr>
              <w:spacing w:after="0"/>
              <w:jc w:val="center"/>
              <w:rPr>
                <w:rFonts w:ascii="GHEA Grapalat" w:eastAsia="Times New Roman" w:hAnsi="GHEA Grapalat"/>
                <w:noProof/>
                <w:color w:val="000000"/>
              </w:rPr>
            </w:pPr>
            <w:r>
              <w:rPr>
                <w:rFonts w:ascii="GHEA Grapalat" w:eastAsia="Times New Roman" w:hAnsi="GHEA Grapalat"/>
                <w:noProof/>
                <w:color w:val="000000"/>
              </w:rPr>
              <w:t>7</w:t>
            </w:r>
            <w:r w:rsidR="00250311">
              <w:rPr>
                <w:rFonts w:ascii="GHEA Grapalat" w:eastAsia="Times New Roman" w:hAnsi="GHEA Grapalat"/>
                <w:noProof/>
                <w:color w:val="000000"/>
              </w:rPr>
              <w:t>.</w:t>
            </w:r>
          </w:p>
        </w:tc>
        <w:tc>
          <w:tcPr>
            <w:tcW w:w="2410" w:type="dxa"/>
            <w:noWrap/>
            <w:vAlign w:val="center"/>
          </w:tcPr>
          <w:p w:rsidR="00250311" w:rsidRDefault="00250311" w:rsidP="00250311">
            <w:pPr>
              <w:spacing w:after="0"/>
              <w:rPr>
                <w:rFonts w:ascii="GHEA Grapalat" w:hAnsi="GHEA Grapalat" w:cs="Sylfaen"/>
                <w:noProof/>
              </w:rPr>
            </w:pPr>
            <w:r>
              <w:rPr>
                <w:rFonts w:ascii="GHEA Grapalat" w:hAnsi="GHEA Grapalat" w:cs="Sylfaen"/>
                <w:noProof/>
              </w:rPr>
              <w:t>ՀՀ պետական գույքի կառավարման կոմիտե</w:t>
            </w:r>
          </w:p>
        </w:tc>
        <w:tc>
          <w:tcPr>
            <w:tcW w:w="2126" w:type="dxa"/>
            <w:noWrap/>
            <w:vAlign w:val="center"/>
          </w:tcPr>
          <w:p w:rsidR="00250311" w:rsidRPr="00966835" w:rsidRDefault="00250311" w:rsidP="00966835">
            <w:pPr>
              <w:spacing w:after="0"/>
              <w:jc w:val="center"/>
              <w:rPr>
                <w:rFonts w:ascii="GHEA Grapalat" w:hAnsi="GHEA Grapalat" w:cs="Sylfaen"/>
                <w:noProof/>
                <w:lang w:val="hy-AM"/>
              </w:rPr>
            </w:pPr>
          </w:p>
        </w:tc>
        <w:tc>
          <w:tcPr>
            <w:tcW w:w="5670" w:type="dxa"/>
            <w:noWrap/>
          </w:tcPr>
          <w:p w:rsidR="00250311" w:rsidRPr="00250311" w:rsidRDefault="00BB50BC" w:rsidP="00250311">
            <w:pPr>
              <w:jc w:val="both"/>
              <w:rPr>
                <w:rFonts w:ascii="GHEA Grapalat" w:hAnsi="GHEA Grapalat" w:cs="Sylfaen"/>
                <w:noProof/>
                <w:lang w:val="hy-AM"/>
              </w:rPr>
            </w:pPr>
            <w:r w:rsidRPr="00250311">
              <w:rPr>
                <w:rFonts w:ascii="GHEA Grapalat" w:hAnsi="GHEA Grapalat"/>
                <w:noProof/>
                <w:szCs w:val="24"/>
                <w:lang w:val="hy-AM"/>
              </w:rPr>
              <w:t>«</w:t>
            </w:r>
            <w:r w:rsidR="00250311" w:rsidRPr="00250311">
              <w:rPr>
                <w:rFonts w:ascii="GHEA Grapalat" w:hAnsi="GHEA Grapalat"/>
                <w:noProof/>
                <w:szCs w:val="24"/>
                <w:lang w:val="hy-AM"/>
              </w:rPr>
              <w:t xml:space="preserve">«Գրանատուս Վենչուր Ֆոնդ I» փակ բաժնետիրական ընկերության ներդրողների և «Գրանատուս Վենչուրս» փակ բաժնետիրական ընկերության հետ 2013 թվականի հոկտեմբերի 12-ին կնքված գնման օպցիոնի պայմանագրի փոփոխության համաձայնագրի նախագծին և «Գրանատուս Վենչուր Ֆոնդ I» փակ բաժնետիրական ընկերության կանոնադրական կապիտալում պետությանը պատկանող արտոնյալ բաժնետոմսերի մի մասի մարման առաջարկով հանդես գալուն հավանություն տալու և Հայաստանի </w:t>
            </w:r>
            <w:r w:rsidR="00250311" w:rsidRPr="00250311">
              <w:rPr>
                <w:rFonts w:ascii="GHEA Grapalat" w:hAnsi="GHEA Grapalat"/>
                <w:noProof/>
                <w:szCs w:val="24"/>
                <w:lang w:val="hy-AM"/>
              </w:rPr>
              <w:lastRenderedPageBreak/>
              <w:t>Հանրապետության էկոնոմիկայի նախարարությանը համաձայնագրի կնքման և այլ լիազորություններ վերապահելու մասին» Հայաստանի Հանրապետության կառավարության որոշման նախագծի վերաբերյալ դիտողություններ և առաջարկություններ չկան:</w:t>
            </w:r>
          </w:p>
        </w:tc>
        <w:tc>
          <w:tcPr>
            <w:tcW w:w="4395" w:type="dxa"/>
          </w:tcPr>
          <w:p w:rsidR="00250311" w:rsidRPr="00966835" w:rsidRDefault="00250311" w:rsidP="00966835">
            <w:pPr>
              <w:shd w:val="clear" w:color="auto" w:fill="FFFFFF"/>
              <w:spacing w:after="0"/>
              <w:jc w:val="both"/>
              <w:rPr>
                <w:rFonts w:ascii="GHEA Grapalat" w:eastAsia="Times New Roman" w:hAnsi="GHEA Grapalat"/>
                <w:noProof/>
                <w:color w:val="000000"/>
                <w:lang w:val="hy-AM"/>
              </w:rPr>
            </w:pPr>
            <w:r w:rsidRPr="00966835">
              <w:rPr>
                <w:rFonts w:ascii="GHEA Grapalat" w:eastAsia="Times New Roman" w:hAnsi="GHEA Grapalat"/>
                <w:noProof/>
                <w:color w:val="000000"/>
                <w:lang w:val="hy-AM"/>
              </w:rPr>
              <w:lastRenderedPageBreak/>
              <w:t>Ընդունվել է ի գիտություն:</w:t>
            </w:r>
          </w:p>
        </w:tc>
      </w:tr>
    </w:tbl>
    <w:p w:rsidR="004C0B74" w:rsidRPr="00250311" w:rsidRDefault="004C0B74" w:rsidP="00966835">
      <w:pPr>
        <w:spacing w:after="0"/>
        <w:rPr>
          <w:noProof/>
          <w:lang w:val="hy-AM"/>
        </w:rPr>
      </w:pPr>
    </w:p>
    <w:sectPr w:rsidR="004C0B74" w:rsidRPr="00250311" w:rsidSect="00CB20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0BF"/>
    <w:multiLevelType w:val="hybridMultilevel"/>
    <w:tmpl w:val="61BA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60EAC"/>
    <w:multiLevelType w:val="hybridMultilevel"/>
    <w:tmpl w:val="CD6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D6642"/>
    <w:multiLevelType w:val="hybridMultilevel"/>
    <w:tmpl w:val="9494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42F7"/>
    <w:multiLevelType w:val="hybridMultilevel"/>
    <w:tmpl w:val="FFF29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E9"/>
    <w:rsid w:val="00001808"/>
    <w:rsid w:val="00044376"/>
    <w:rsid w:val="00097528"/>
    <w:rsid w:val="001470B0"/>
    <w:rsid w:val="00250311"/>
    <w:rsid w:val="00274A5F"/>
    <w:rsid w:val="002850E9"/>
    <w:rsid w:val="00337FA0"/>
    <w:rsid w:val="004774A1"/>
    <w:rsid w:val="004C0B74"/>
    <w:rsid w:val="00512A9E"/>
    <w:rsid w:val="005E0D3B"/>
    <w:rsid w:val="008C1182"/>
    <w:rsid w:val="009411AD"/>
    <w:rsid w:val="00966835"/>
    <w:rsid w:val="00A567F8"/>
    <w:rsid w:val="00B61621"/>
    <w:rsid w:val="00BB50BC"/>
    <w:rsid w:val="00BD38E5"/>
    <w:rsid w:val="00C12C09"/>
    <w:rsid w:val="00C65E71"/>
    <w:rsid w:val="00CA23EA"/>
    <w:rsid w:val="00CB2031"/>
    <w:rsid w:val="00D563DB"/>
    <w:rsid w:val="00D905F9"/>
    <w:rsid w:val="00DF6806"/>
    <w:rsid w:val="00EE3F82"/>
    <w:rsid w:val="00F146A0"/>
    <w:rsid w:val="00FA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CB2031"/>
    <w:pPr>
      <w:spacing w:after="0" w:line="240" w:lineRule="auto"/>
      <w:jc w:val="center"/>
    </w:pPr>
    <w:rPr>
      <w:rFonts w:ascii="Times Armenian" w:eastAsia="Times New Roman" w:hAnsi="Times Armenian" w:cs="Times New Roman"/>
      <w:sz w:val="24"/>
      <w:szCs w:val="20"/>
    </w:rPr>
  </w:style>
  <w:style w:type="character" w:customStyle="1" w:styleId="BodyTextChar">
    <w:name w:val="Body Text Char"/>
    <w:basedOn w:val="DefaultParagraphFont"/>
    <w:link w:val="BodyText"/>
    <w:rsid w:val="00CB2031"/>
    <w:rPr>
      <w:rFonts w:ascii="Times Armenian" w:eastAsia="Times New Roman" w:hAnsi="Times Armenian" w:cs="Times New Roman"/>
      <w:sz w:val="24"/>
      <w:szCs w:val="20"/>
    </w:rPr>
  </w:style>
  <w:style w:type="paragraph" w:styleId="ListParagraph">
    <w:name w:val="List Paragraph"/>
    <w:basedOn w:val="Normal"/>
    <w:uiPriority w:val="34"/>
    <w:qFormat/>
    <w:rsid w:val="00CB2031"/>
    <w:pPr>
      <w:ind w:left="720"/>
      <w:contextualSpacing/>
    </w:pPr>
  </w:style>
  <w:style w:type="paragraph" w:styleId="NormalWeb">
    <w:name w:val="Normal (Web)"/>
    <w:basedOn w:val="Normal"/>
    <w:uiPriority w:val="99"/>
    <w:unhideWhenUsed/>
    <w:rsid w:val="005E0D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9668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CB2031"/>
    <w:pPr>
      <w:spacing w:after="0" w:line="240" w:lineRule="auto"/>
      <w:jc w:val="center"/>
    </w:pPr>
    <w:rPr>
      <w:rFonts w:ascii="Times Armenian" w:eastAsia="Times New Roman" w:hAnsi="Times Armenian" w:cs="Times New Roman"/>
      <w:sz w:val="24"/>
      <w:szCs w:val="20"/>
    </w:rPr>
  </w:style>
  <w:style w:type="character" w:customStyle="1" w:styleId="BodyTextChar">
    <w:name w:val="Body Text Char"/>
    <w:basedOn w:val="DefaultParagraphFont"/>
    <w:link w:val="BodyText"/>
    <w:rsid w:val="00CB2031"/>
    <w:rPr>
      <w:rFonts w:ascii="Times Armenian" w:eastAsia="Times New Roman" w:hAnsi="Times Armenian" w:cs="Times New Roman"/>
      <w:sz w:val="24"/>
      <w:szCs w:val="20"/>
    </w:rPr>
  </w:style>
  <w:style w:type="paragraph" w:styleId="ListParagraph">
    <w:name w:val="List Paragraph"/>
    <w:basedOn w:val="Normal"/>
    <w:uiPriority w:val="34"/>
    <w:qFormat/>
    <w:rsid w:val="00CB2031"/>
    <w:pPr>
      <w:ind w:left="720"/>
      <w:contextualSpacing/>
    </w:pPr>
  </w:style>
  <w:style w:type="paragraph" w:styleId="NormalWeb">
    <w:name w:val="Normal (Web)"/>
    <w:basedOn w:val="Normal"/>
    <w:uiPriority w:val="99"/>
    <w:unhideWhenUsed/>
    <w:rsid w:val="005E0D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966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9369">
      <w:bodyDiv w:val="1"/>
      <w:marLeft w:val="0"/>
      <w:marRight w:val="0"/>
      <w:marTop w:val="0"/>
      <w:marBottom w:val="0"/>
      <w:divBdr>
        <w:top w:val="none" w:sz="0" w:space="0" w:color="auto"/>
        <w:left w:val="none" w:sz="0" w:space="0" w:color="auto"/>
        <w:bottom w:val="none" w:sz="0" w:space="0" w:color="auto"/>
        <w:right w:val="none" w:sz="0" w:space="0" w:color="auto"/>
      </w:divBdr>
    </w:div>
    <w:div w:id="410008282">
      <w:bodyDiv w:val="1"/>
      <w:marLeft w:val="0"/>
      <w:marRight w:val="0"/>
      <w:marTop w:val="0"/>
      <w:marBottom w:val="0"/>
      <w:divBdr>
        <w:top w:val="none" w:sz="0" w:space="0" w:color="auto"/>
        <w:left w:val="none" w:sz="0" w:space="0" w:color="auto"/>
        <w:bottom w:val="none" w:sz="0" w:space="0" w:color="auto"/>
        <w:right w:val="none" w:sz="0" w:space="0" w:color="auto"/>
      </w:divBdr>
    </w:div>
    <w:div w:id="1181701027">
      <w:bodyDiv w:val="1"/>
      <w:marLeft w:val="0"/>
      <w:marRight w:val="0"/>
      <w:marTop w:val="0"/>
      <w:marBottom w:val="0"/>
      <w:divBdr>
        <w:top w:val="none" w:sz="0" w:space="0" w:color="auto"/>
        <w:left w:val="none" w:sz="0" w:space="0" w:color="auto"/>
        <w:bottom w:val="none" w:sz="0" w:space="0" w:color="auto"/>
        <w:right w:val="none" w:sz="0" w:space="0" w:color="auto"/>
      </w:divBdr>
    </w:div>
    <w:div w:id="1310553457">
      <w:bodyDiv w:val="1"/>
      <w:marLeft w:val="0"/>
      <w:marRight w:val="0"/>
      <w:marTop w:val="0"/>
      <w:marBottom w:val="0"/>
      <w:divBdr>
        <w:top w:val="none" w:sz="0" w:space="0" w:color="auto"/>
        <w:left w:val="none" w:sz="0" w:space="0" w:color="auto"/>
        <w:bottom w:val="none" w:sz="0" w:space="0" w:color="auto"/>
        <w:right w:val="none" w:sz="0" w:space="0" w:color="auto"/>
      </w:divBdr>
    </w:div>
    <w:div w:id="1573278216">
      <w:bodyDiv w:val="1"/>
      <w:marLeft w:val="0"/>
      <w:marRight w:val="0"/>
      <w:marTop w:val="0"/>
      <w:marBottom w:val="0"/>
      <w:divBdr>
        <w:top w:val="none" w:sz="0" w:space="0" w:color="auto"/>
        <w:left w:val="none" w:sz="0" w:space="0" w:color="auto"/>
        <w:bottom w:val="none" w:sz="0" w:space="0" w:color="auto"/>
        <w:right w:val="none" w:sz="0" w:space="0" w:color="auto"/>
      </w:divBdr>
    </w:div>
    <w:div w:id="1770540018">
      <w:bodyDiv w:val="1"/>
      <w:marLeft w:val="0"/>
      <w:marRight w:val="0"/>
      <w:marTop w:val="0"/>
      <w:marBottom w:val="0"/>
      <w:divBdr>
        <w:top w:val="none" w:sz="0" w:space="0" w:color="auto"/>
        <w:left w:val="none" w:sz="0" w:space="0" w:color="auto"/>
        <w:bottom w:val="none" w:sz="0" w:space="0" w:color="auto"/>
        <w:right w:val="none" w:sz="0" w:space="0" w:color="auto"/>
      </w:divBdr>
    </w:div>
    <w:div w:id="1949703583">
      <w:bodyDiv w:val="1"/>
      <w:marLeft w:val="0"/>
      <w:marRight w:val="0"/>
      <w:marTop w:val="0"/>
      <w:marBottom w:val="0"/>
      <w:divBdr>
        <w:top w:val="none" w:sz="0" w:space="0" w:color="auto"/>
        <w:left w:val="none" w:sz="0" w:space="0" w:color="auto"/>
        <w:bottom w:val="none" w:sz="0" w:space="0" w:color="auto"/>
        <w:right w:val="none" w:sz="0" w:space="0" w:color="auto"/>
      </w:divBdr>
    </w:div>
    <w:div w:id="2036349029">
      <w:bodyDiv w:val="1"/>
      <w:marLeft w:val="0"/>
      <w:marRight w:val="0"/>
      <w:marTop w:val="0"/>
      <w:marBottom w:val="0"/>
      <w:divBdr>
        <w:top w:val="none" w:sz="0" w:space="0" w:color="auto"/>
        <w:left w:val="none" w:sz="0" w:space="0" w:color="auto"/>
        <w:bottom w:val="none" w:sz="0" w:space="0" w:color="auto"/>
        <w:right w:val="none" w:sz="0" w:space="0" w:color="auto"/>
      </w:divBdr>
    </w:div>
    <w:div w:id="2073382484">
      <w:bodyDiv w:val="1"/>
      <w:marLeft w:val="0"/>
      <w:marRight w:val="0"/>
      <w:marTop w:val="0"/>
      <w:marBottom w:val="0"/>
      <w:divBdr>
        <w:top w:val="none" w:sz="0" w:space="0" w:color="auto"/>
        <w:left w:val="none" w:sz="0" w:space="0" w:color="auto"/>
        <w:bottom w:val="none" w:sz="0" w:space="0" w:color="auto"/>
        <w:right w:val="none" w:sz="0" w:space="0" w:color="auto"/>
      </w:divBdr>
    </w:div>
    <w:div w:id="21288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2333-C2E5-4627-932C-52D73713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Narek Sharafyan</dc:creator>
  <cp:keywords>Mulberry 2.0</cp:keywords>
  <dc:description/>
  <cp:lastModifiedBy>Narek Sharafyan</cp:lastModifiedBy>
  <cp:revision>25</cp:revision>
  <dcterms:created xsi:type="dcterms:W3CDTF">2019-06-25T13:43:00Z</dcterms:created>
  <dcterms:modified xsi:type="dcterms:W3CDTF">2019-10-01T09:54:00Z</dcterms:modified>
</cp:coreProperties>
</file>