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86197" w14:textId="77777777" w:rsidR="00EA1BE9" w:rsidRDefault="00253E4B">
      <w:pPr>
        <w:spacing w:after="0" w:line="360" w:lineRule="auto"/>
        <w:jc w:val="center"/>
        <w:rPr>
          <w:b/>
          <w:bCs/>
        </w:rPr>
      </w:pPr>
      <w:r>
        <w:rPr>
          <w:b/>
          <w:bCs/>
        </w:rPr>
        <w:t xml:space="preserve"> ԱՄՓՈՓԱԹԵՐԹ</w:t>
      </w:r>
    </w:p>
    <w:p w14:paraId="3024C8C8" w14:textId="77777777" w:rsidR="00EA1BE9" w:rsidRDefault="00253E4B">
      <w:pPr>
        <w:spacing w:after="0" w:line="360" w:lineRule="auto"/>
        <w:jc w:val="center"/>
        <w:rPr>
          <w:b/>
          <w:bCs/>
        </w:rPr>
      </w:pPr>
      <w:r>
        <w:rPr>
          <w:b/>
          <w:bCs/>
        </w:rPr>
        <w:t>«ՀԱՅԱՍՏԱՆԻ ՀԱՆՐԱՊԵՏՈՒԹՅԱՆ ՎԱՐՉԱՊԵՏԻ 2018 ԹՎԱԿԱՆԻ ՀՈՒՆԻՍԻ 11-Ի 706-Ա ՈՐՈՇՄԱՆ ՄԵՋ ՓՈՓՈԽՈՒԹՅՈՒՆ ԿԱՏԱՐԵԼՈՒ ՄԱՍԻՆ» ՀԱՅԱՍՏԱՆԻ ՀԱՆՐԱՊԵՏՈՒԹՅԱՆ ՎԱՐՉԱՊԵՏԻ ՈՐՈՇՄԱՆ ԵՎ «ՀԱՅԱՍՏԱՆԻ ՀԱՆՐԱՊԵՏՈՒԹՅԱՆ ԿԱՌԱՎԱՐՈՒԹՅԱՆ 2020 ԹՎԱԿԱՆԻ ՍԵՊՏԵՄԲԵՐԻ 10-Ի ԹԻՎ 1500-Ա ՈՐՈՇՄԱՆ ՄԵՋ ՓՈՓՈԽՈՒԹՅՈՒՆ ԿԱՏԱՐԵԼՈՒ ՄԱՍԻՆ» ՀԱՅԱՍՏԱՆԻ ՀԱՆՐԱՊԵՏՈՒԹՅԱՆ ԿԱՌԱՎԱՐՈՒԹՅԱՆ ՈՐՈՇՄԱՆ</w:t>
      </w:r>
    </w:p>
    <w:p w14:paraId="0E375BDA" w14:textId="77777777" w:rsidR="00EA1BE9" w:rsidRDefault="00253E4B">
      <w:pPr>
        <w:spacing w:after="0" w:line="360" w:lineRule="auto"/>
        <w:jc w:val="center"/>
        <w:rPr>
          <w:b/>
          <w:bCs/>
          <w:color w:val="000000"/>
        </w:rPr>
      </w:pPr>
      <w:bookmarkStart w:id="0" w:name="_heading=h.tybv7yx68rf1" w:colFirst="0" w:colLast="0"/>
      <w:bookmarkEnd w:id="0"/>
      <w:r>
        <w:rPr>
          <w:b/>
          <w:bCs/>
          <w:color w:val="000000"/>
        </w:rPr>
        <w:t>ՆԱԽԱԳԾԵՐԻ</w:t>
      </w:r>
    </w:p>
    <w:p w14:paraId="7CCB80B3" w14:textId="77777777" w:rsidR="00EA1BE9" w:rsidRPr="00C514B4" w:rsidRDefault="00253E4B">
      <w:pPr>
        <w:spacing w:after="0" w:line="360" w:lineRule="auto"/>
        <w:jc w:val="center"/>
        <w:rPr>
          <w:b/>
          <w:bCs/>
        </w:rPr>
      </w:pPr>
      <w:r>
        <w:rPr>
          <w:b/>
          <w:bCs/>
        </w:rPr>
        <w:tab/>
      </w:r>
    </w:p>
    <w:tbl>
      <w:tblPr>
        <w:tblStyle w:val="a"/>
        <w:tblpPr w:leftFromText="180" w:rightFromText="180" w:vertAnchor="text" w:tblpX="-466" w:tblpY="1"/>
        <w:tblW w:w="15380"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285"/>
        <w:gridCol w:w="7036"/>
        <w:gridCol w:w="59"/>
      </w:tblGrid>
      <w:tr w:rsidR="00EA1BE9" w14:paraId="6E505376" w14:textId="77777777" w:rsidTr="00C22B2F">
        <w:trPr>
          <w:gridAfter w:val="1"/>
          <w:wAfter w:w="59" w:type="dxa"/>
        </w:trPr>
        <w:tc>
          <w:tcPr>
            <w:tcW w:w="8285" w:type="dxa"/>
            <w:vMerge w:val="restart"/>
            <w:tcBorders>
              <w:top w:val="single" w:sz="6" w:space="0" w:color="000000"/>
              <w:left w:val="single" w:sz="6" w:space="0" w:color="000000"/>
              <w:bottom w:val="single" w:sz="6" w:space="0" w:color="000000"/>
              <w:right w:val="single" w:sz="6" w:space="0" w:color="000000"/>
            </w:tcBorders>
            <w:shd w:val="clear" w:color="auto" w:fill="D0D0D0"/>
          </w:tcPr>
          <w:p w14:paraId="2615504F" w14:textId="77777777" w:rsidR="00EA1BE9" w:rsidRDefault="00253E4B">
            <w:pPr>
              <w:tabs>
                <w:tab w:val="left" w:pos="5253"/>
              </w:tabs>
              <w:spacing w:after="0" w:line="360" w:lineRule="auto"/>
              <w:jc w:val="center"/>
              <w:rPr>
                <w:b/>
                <w:bCs/>
              </w:rPr>
            </w:pPr>
            <w:r>
              <w:rPr>
                <w:b/>
                <w:bCs/>
              </w:rPr>
              <w:t>1. Վարչապետի աշխատակազմի քաղաքացիական ծառայության գրասենյակ</w:t>
            </w:r>
          </w:p>
        </w:tc>
        <w:tc>
          <w:tcPr>
            <w:tcW w:w="7036" w:type="dxa"/>
            <w:tcBorders>
              <w:top w:val="single" w:sz="6" w:space="0" w:color="000000"/>
              <w:left w:val="single" w:sz="6" w:space="0" w:color="000000"/>
              <w:bottom w:val="single" w:sz="6" w:space="0" w:color="000000"/>
              <w:right w:val="single" w:sz="6" w:space="0" w:color="000000"/>
            </w:tcBorders>
            <w:shd w:val="clear" w:color="auto" w:fill="D0D0D0"/>
          </w:tcPr>
          <w:p w14:paraId="1AB6B527" w14:textId="77777777" w:rsidR="00EA1BE9" w:rsidRDefault="00253E4B">
            <w:pPr>
              <w:tabs>
                <w:tab w:val="left" w:pos="5253"/>
              </w:tabs>
              <w:spacing w:after="0" w:line="360" w:lineRule="auto"/>
              <w:jc w:val="center"/>
              <w:rPr>
                <w:b/>
                <w:bCs/>
              </w:rPr>
            </w:pPr>
            <w:r>
              <w:rPr>
                <w:b/>
                <w:bCs/>
              </w:rPr>
              <w:t>21.01.2026թ.</w:t>
            </w:r>
          </w:p>
        </w:tc>
      </w:tr>
      <w:tr w:rsidR="00EA1BE9" w14:paraId="274C3CE0" w14:textId="77777777" w:rsidTr="00C22B2F">
        <w:trPr>
          <w:gridAfter w:val="1"/>
          <w:wAfter w:w="59" w:type="dxa"/>
        </w:trPr>
        <w:tc>
          <w:tcPr>
            <w:tcW w:w="8285" w:type="dxa"/>
            <w:vMerge/>
            <w:tcBorders>
              <w:top w:val="single" w:sz="6" w:space="0" w:color="000000"/>
              <w:left w:val="single" w:sz="6" w:space="0" w:color="000000"/>
              <w:bottom w:val="single" w:sz="6" w:space="0" w:color="000000"/>
              <w:right w:val="single" w:sz="6" w:space="0" w:color="000000"/>
            </w:tcBorders>
            <w:shd w:val="clear" w:color="auto" w:fill="D0D0D0"/>
          </w:tcPr>
          <w:p w14:paraId="1A9EBBD9" w14:textId="77777777" w:rsidR="00EA1BE9" w:rsidRDefault="00EA1BE9">
            <w:pPr>
              <w:widowControl w:val="0"/>
              <w:pBdr>
                <w:top w:val="nil"/>
                <w:left w:val="nil"/>
                <w:bottom w:val="nil"/>
                <w:right w:val="nil"/>
                <w:between w:val="nil"/>
              </w:pBdr>
              <w:spacing w:after="0"/>
              <w:rPr>
                <w:b/>
                <w:bCs/>
              </w:rPr>
            </w:pPr>
          </w:p>
        </w:tc>
        <w:tc>
          <w:tcPr>
            <w:tcW w:w="7036" w:type="dxa"/>
            <w:tcBorders>
              <w:top w:val="single" w:sz="6" w:space="0" w:color="000000"/>
              <w:left w:val="single" w:sz="6" w:space="0" w:color="000000"/>
              <w:bottom w:val="single" w:sz="6" w:space="0" w:color="000000"/>
              <w:right w:val="single" w:sz="6" w:space="0" w:color="000000"/>
            </w:tcBorders>
            <w:shd w:val="clear" w:color="auto" w:fill="D0D0D0"/>
          </w:tcPr>
          <w:p w14:paraId="56992F8D" w14:textId="77777777" w:rsidR="00EA1BE9" w:rsidRDefault="00253E4B">
            <w:pPr>
              <w:spacing w:after="0"/>
              <w:ind w:left="90" w:firstLine="90"/>
              <w:jc w:val="center"/>
            </w:pPr>
            <w:r>
              <w:rPr>
                <w:b/>
                <w:bCs/>
              </w:rPr>
              <w:t>N 01/8/511-2026</w:t>
            </w:r>
          </w:p>
          <w:p w14:paraId="4DC20525" w14:textId="77777777" w:rsidR="00EA1BE9" w:rsidRDefault="00EA1BE9">
            <w:pPr>
              <w:spacing w:after="0" w:line="360" w:lineRule="auto"/>
              <w:ind w:left="90" w:firstLine="90"/>
              <w:jc w:val="center"/>
            </w:pPr>
          </w:p>
        </w:tc>
      </w:tr>
      <w:tr w:rsidR="00EA1BE9" w14:paraId="69BCA5EA" w14:textId="77777777" w:rsidTr="00C22B2F">
        <w:trPr>
          <w:gridAfter w:val="1"/>
          <w:wAfter w:w="59" w:type="dxa"/>
          <w:trHeight w:val="4377"/>
        </w:trPr>
        <w:tc>
          <w:tcPr>
            <w:tcW w:w="8285" w:type="dxa"/>
            <w:tcBorders>
              <w:top w:val="single" w:sz="6" w:space="0" w:color="000000"/>
              <w:left w:val="single" w:sz="6" w:space="0" w:color="000000"/>
              <w:bottom w:val="single" w:sz="6" w:space="0" w:color="000000"/>
              <w:right w:val="single" w:sz="6" w:space="0" w:color="000000"/>
            </w:tcBorders>
            <w:shd w:val="clear" w:color="auto" w:fill="FFFFFF"/>
          </w:tcPr>
          <w:p w14:paraId="32C82E73" w14:textId="77777777" w:rsidR="00EA1BE9" w:rsidRDefault="00253E4B">
            <w:pPr>
              <w:tabs>
                <w:tab w:val="left" w:pos="5253"/>
              </w:tabs>
              <w:spacing w:after="0" w:line="360" w:lineRule="auto"/>
              <w:ind w:right="180"/>
              <w:jc w:val="both"/>
            </w:pPr>
            <w:r>
              <w:t>1. «Հայաստանի Հանրապետության կառավարության 2020 թվականի սեպտեմբերի 10-ի թիվ 1500-Ա որոշման մեջ փոփոխություն կատարելու մասին» Կառավարության որոշման նախագծով (այսուհետ՝ Նախագիծ) առաջարկվում է փոփոխություններ կատարել Կոռուպցիայի կանխարգելման հանձնաժողովի (այսուհետ՝ Հանձնաժողով) հաստիքացուցակում։ Միևնույն ժամանակ հարկ է արձանագրել, որ Հանձնաժողովի կանոնադրությամբ դեռևս չեն իրականացվել Նախագծով առաջարկվող փոփոխություններին համապատասխան կառուցվածքային փոփոխությունները։</w:t>
            </w:r>
          </w:p>
          <w:p w14:paraId="44AAB9C9" w14:textId="77777777" w:rsidR="00EA1BE9" w:rsidRDefault="00253E4B">
            <w:pPr>
              <w:tabs>
                <w:tab w:val="left" w:pos="5253"/>
              </w:tabs>
              <w:spacing w:after="0" w:line="360" w:lineRule="auto"/>
              <w:ind w:left="90" w:right="180"/>
              <w:jc w:val="both"/>
            </w:pPr>
            <w:r>
              <w:lastRenderedPageBreak/>
              <w:t>Այս հանգամանքը կրկին ի հայտ է բերում համակարգային խնդիր, որն առաջանում է այն պատճառով, որ Հանձնաժողովի հաստիքացուցակը հաստատելու լիազորությունը վերապահված է Կառավարությանը։ Արդյունքում պարբերաբար առաջանում են իրավիճակներ, երբ Կառավարության կողմից հաստատվող հաստիքացուցակում արտացոլվում է Հանձնաժողովի այնպիսի կառուցվածք, որը դեռևս հաստատված չէ Հանձնաժողովի կողմից։ Բացի այդ, չի բացառվում նաև հակառակ իրավիճակը, երբ Հանձնաժողովը հաստատում է կառուցվածք, որը չի համընկնում Կառավարության կողմից հաստատված հաստիքացուցակի հետ։ Նման պարագայում անհրաժեշտություն է առաջանում արհեստական կերպով համադրել տարբեր իրավաստեղծ մարմինների իրավասությունները մեկ և նույն հարցի շուրջ, ինչը չի բխում իրավակարգավորման կանխատեսելիության և համակարգվածության սկզբունքներից։</w:t>
            </w:r>
          </w:p>
        </w:tc>
        <w:tc>
          <w:tcPr>
            <w:tcW w:w="7036" w:type="dxa"/>
            <w:tcBorders>
              <w:top w:val="single" w:sz="6" w:space="0" w:color="000000"/>
              <w:left w:val="single" w:sz="6" w:space="0" w:color="000000"/>
              <w:bottom w:val="single" w:sz="6" w:space="0" w:color="000000"/>
              <w:right w:val="single" w:sz="6" w:space="0" w:color="000000"/>
            </w:tcBorders>
            <w:shd w:val="clear" w:color="auto" w:fill="FFFFFF"/>
          </w:tcPr>
          <w:p w14:paraId="64A61CD9" w14:textId="4320ACD2" w:rsidR="00EA1BE9" w:rsidRPr="00C514B4" w:rsidRDefault="00253E4B">
            <w:pPr>
              <w:spacing w:after="0" w:line="360" w:lineRule="auto"/>
              <w:ind w:left="90" w:right="105" w:firstLine="90"/>
              <w:jc w:val="center"/>
              <w:rPr>
                <w:b/>
                <w:bCs/>
                <w:lang w:val="hy-AM"/>
              </w:rPr>
            </w:pPr>
            <w:r>
              <w:rPr>
                <w:b/>
                <w:bCs/>
              </w:rPr>
              <w:lastRenderedPageBreak/>
              <w:t>Ընդունվել է</w:t>
            </w:r>
            <w:r w:rsidR="00C514B4">
              <w:rPr>
                <w:b/>
                <w:bCs/>
                <w:lang w:val="hy-AM"/>
              </w:rPr>
              <w:t>։</w:t>
            </w:r>
          </w:p>
          <w:p w14:paraId="53AD9FF3" w14:textId="77777777" w:rsidR="00EA1BE9" w:rsidRDefault="00253E4B">
            <w:pPr>
              <w:spacing w:after="0" w:line="360" w:lineRule="auto"/>
              <w:ind w:left="90" w:right="105" w:firstLine="90"/>
              <w:jc w:val="both"/>
              <w:rPr>
                <w:b/>
                <w:bCs/>
              </w:rPr>
            </w:pPr>
            <w:r>
              <w:t xml:space="preserve"> Հանձնաժողովը հնարավորության դեպքում առաջիկայում ձեռնամուխ կլինի Հանձնաժողովի հաստիքացուցակը հաստատելու լիազորությունը Հանձնաժողովին վերապահելու իրավասության՝ «Կոռուպցիայի կանխարգելման հանձնաժողովի մասին» օրենքով նախատեսմանը: Ինչ վերաբերում է կանոնադրությանը, ապա, հարկ է արձանագրել, որ Նախագծի եզրափակիչ դրույթով սահմանվել է, որ սույն որոշումն ուժի մեջ է մտնում 2026 թվականի հունիսի 1-ից: Հիշյալ դրույթը Հանձնաժողովին </w:t>
            </w:r>
            <w:r>
              <w:lastRenderedPageBreak/>
              <w:t xml:space="preserve">հնարավորություն կտա Նախագծից բխող փոփոխություններ կատարել նաև Հանձնաժողովի կանոնադրության մեջ, որոնց ուժի մեջ մտնելու ժամկետ ևս կսահմանվի 2026 թվականի հունիսի 1-ը՝ այդպիսով ապահովելով մատնանշված հնարավոր անհամապատասխանությունների կանխարգելումը և գործընթացի իրավական շարունակականությունը: </w:t>
            </w:r>
          </w:p>
          <w:p w14:paraId="46DE156D" w14:textId="77777777" w:rsidR="00EA1BE9" w:rsidRDefault="00EA1BE9">
            <w:pPr>
              <w:spacing w:after="0" w:line="360" w:lineRule="auto"/>
              <w:ind w:left="90" w:right="105" w:firstLine="90"/>
              <w:jc w:val="center"/>
            </w:pPr>
          </w:p>
          <w:p w14:paraId="50E8E2DE" w14:textId="77777777" w:rsidR="00EA1BE9" w:rsidRDefault="00EA1BE9">
            <w:pPr>
              <w:shd w:val="clear" w:color="auto" w:fill="FFFFFF"/>
              <w:spacing w:after="0" w:line="360" w:lineRule="auto"/>
              <w:ind w:left="90" w:right="105" w:firstLine="90"/>
              <w:jc w:val="center"/>
            </w:pPr>
          </w:p>
          <w:p w14:paraId="11544A8C" w14:textId="77777777" w:rsidR="00EA1BE9" w:rsidRDefault="00EA1BE9">
            <w:pPr>
              <w:tabs>
                <w:tab w:val="left" w:pos="5253"/>
              </w:tabs>
              <w:spacing w:after="0" w:line="360" w:lineRule="auto"/>
              <w:ind w:left="90" w:right="105" w:firstLine="90"/>
              <w:jc w:val="center"/>
              <w:rPr>
                <w:color w:val="000000"/>
              </w:rPr>
            </w:pPr>
          </w:p>
        </w:tc>
      </w:tr>
      <w:tr w:rsidR="00EA1BE9" w14:paraId="3CFCBEF5" w14:textId="77777777" w:rsidTr="00C22B2F">
        <w:trPr>
          <w:gridAfter w:val="1"/>
          <w:wAfter w:w="59" w:type="dxa"/>
        </w:trPr>
        <w:tc>
          <w:tcPr>
            <w:tcW w:w="8285" w:type="dxa"/>
            <w:tcBorders>
              <w:top w:val="single" w:sz="6" w:space="0" w:color="000000"/>
              <w:left w:val="single" w:sz="6" w:space="0" w:color="000000"/>
              <w:bottom w:val="single" w:sz="6" w:space="0" w:color="000000"/>
              <w:right w:val="single" w:sz="6" w:space="0" w:color="000000"/>
            </w:tcBorders>
            <w:shd w:val="clear" w:color="auto" w:fill="FFFFFF"/>
          </w:tcPr>
          <w:p w14:paraId="0535DFAC" w14:textId="77777777" w:rsidR="00EA1BE9" w:rsidRDefault="00253E4B">
            <w:pPr>
              <w:tabs>
                <w:tab w:val="left" w:pos="5253"/>
              </w:tabs>
              <w:spacing w:after="0" w:line="360" w:lineRule="auto"/>
              <w:ind w:right="180"/>
              <w:jc w:val="both"/>
            </w:pPr>
            <w:r>
              <w:lastRenderedPageBreak/>
              <w:t xml:space="preserve">2. Միաժամանակ, Նախագծին կից ներկայացված հիմնավորմամբ (այսուհետ՝ Հիմնավորում) առաջարկվում է Հանձնաժողովի տարբեր կառուցվածքային ստորաբաժանումներում լրացնել արդեն իսկ կանխորոշված մասնագիտական խմբի քաղաքացիական ծառայության պաշտոններ։ Այս առումով հարկ է ընդգծել, որ քաղաքացիական ծառայության պաշտոնների գնահատումը և դասակարգումը </w:t>
            </w:r>
            <w:r>
              <w:lastRenderedPageBreak/>
              <w:t>համապատասխան ենթախմբերում իրականացվում է ոչ թե կամայական, այլ ՀՀ առաջին փոխվարչապետի 2019 թվականի հունվարի 11-ի թիվ 3-Ն որոշմամբ հաստատված մեթոդաբանությամբ սահմանված գնահատման ընթացակարգերի արդյունքում։ Հետևաբար մասնագիտական խմբի և ենթախմբի կանխորոշումը նախքան համապատասխան գնահատման գործընթացի իրականացումը հակասում է գործող իրավակարգավորմանը։</w:t>
            </w:r>
          </w:p>
          <w:p w14:paraId="7ED27EE8" w14:textId="77777777" w:rsidR="00EA1BE9" w:rsidRDefault="00EA1BE9">
            <w:pPr>
              <w:tabs>
                <w:tab w:val="left" w:pos="5253"/>
              </w:tabs>
              <w:spacing w:after="0" w:line="360" w:lineRule="auto"/>
              <w:ind w:left="90" w:right="180"/>
              <w:jc w:val="both"/>
            </w:pPr>
          </w:p>
        </w:tc>
        <w:tc>
          <w:tcPr>
            <w:tcW w:w="7036" w:type="dxa"/>
            <w:tcBorders>
              <w:top w:val="single" w:sz="6" w:space="0" w:color="000000"/>
              <w:left w:val="single" w:sz="6" w:space="0" w:color="000000"/>
              <w:bottom w:val="single" w:sz="6" w:space="0" w:color="000000"/>
              <w:right w:val="single" w:sz="6" w:space="0" w:color="000000"/>
            </w:tcBorders>
            <w:shd w:val="clear" w:color="auto" w:fill="FFFFFF"/>
          </w:tcPr>
          <w:p w14:paraId="6C5B77AD" w14:textId="244E98B7" w:rsidR="00EA1BE9" w:rsidRPr="00C514B4" w:rsidRDefault="00253E4B">
            <w:pPr>
              <w:shd w:val="clear" w:color="auto" w:fill="FFFFFF"/>
              <w:spacing w:after="0" w:line="360" w:lineRule="auto"/>
              <w:ind w:left="90" w:right="105"/>
              <w:jc w:val="center"/>
              <w:rPr>
                <w:b/>
                <w:bCs/>
                <w:lang w:val="hy-AM"/>
              </w:rPr>
            </w:pPr>
            <w:r>
              <w:rPr>
                <w:b/>
                <w:bCs/>
              </w:rPr>
              <w:lastRenderedPageBreak/>
              <w:t>Մասամբ է ընդունվել</w:t>
            </w:r>
            <w:r w:rsidR="00C514B4">
              <w:rPr>
                <w:b/>
                <w:bCs/>
                <w:lang w:val="hy-AM"/>
              </w:rPr>
              <w:t>։</w:t>
            </w:r>
          </w:p>
          <w:p w14:paraId="0C0B092F" w14:textId="77777777" w:rsidR="00EA1BE9" w:rsidRDefault="00253E4B">
            <w:pPr>
              <w:shd w:val="clear" w:color="auto" w:fill="FFFFFF"/>
              <w:spacing w:after="0" w:line="360" w:lineRule="auto"/>
              <w:ind w:left="90" w:right="105"/>
              <w:jc w:val="both"/>
            </w:pPr>
            <w:r>
              <w:t xml:space="preserve">Նախագծի հիմնավորմամբ քաղաքացիական ծառայության պաշտոնների խմբերի և ենթախմբերի դասակարգումը կատարվել է Հանձնաժողովին վերապահվող նոր գործառույթների համապարփակ վերլուծության հիման վրա՝ կիրառելով պաշտոնների գնահատման և դասակարգման </w:t>
            </w:r>
            <w:r>
              <w:lastRenderedPageBreak/>
              <w:t>համար հաստատված չափորոշիչները (ՀՀ առաջին փոխվարչապետի 2019 թվականի հունվարի 11-ի թիվ 3-Ն որոշում):</w:t>
            </w:r>
          </w:p>
          <w:p w14:paraId="1E6C01C1" w14:textId="77777777" w:rsidR="00EA1BE9" w:rsidRDefault="00253E4B">
            <w:pPr>
              <w:shd w:val="clear" w:color="auto" w:fill="FFFFFF"/>
              <w:spacing w:after="0" w:line="360" w:lineRule="auto"/>
              <w:ind w:left="90" w:right="105"/>
              <w:jc w:val="both"/>
            </w:pPr>
            <w:r>
              <w:t>Յուրաքանչյուր պաշտոնի դեպքում գնահատվել են գործառույթներից բխող աշխատանքների կազմակերպման և ղեկավարման պատասխանատվությունը, որոշումներ կայացնելու լիազորությունները, գործունեության ազդեցությունը, շփումները և ներկայացուցչությունը, ինչպես նաև խնդիրների բարդությունը և դրանց լուծման ձևերը:</w:t>
            </w:r>
          </w:p>
          <w:p w14:paraId="308C0D00" w14:textId="77777777" w:rsidR="00EA1BE9" w:rsidRDefault="00253E4B">
            <w:pPr>
              <w:shd w:val="clear" w:color="auto" w:fill="FFFFFF"/>
              <w:spacing w:after="0" w:line="360" w:lineRule="auto"/>
              <w:ind w:left="90" w:right="105"/>
              <w:jc w:val="both"/>
            </w:pPr>
            <w:r>
              <w:t>Առաջարկվող հաստիքների դասակարգման համար հիմք է հանդիսացել նաև համապատասխան վարչություններում արդեն առկա այլ հաստիքների համար սահմանված և փաստացի իրականացվող գործառույթների և պատասխանատվության շրջանակը:</w:t>
            </w:r>
          </w:p>
          <w:p w14:paraId="07DB8235" w14:textId="77777777" w:rsidR="00EA1BE9" w:rsidRDefault="00253E4B">
            <w:pPr>
              <w:shd w:val="clear" w:color="auto" w:fill="FFFFFF"/>
              <w:spacing w:after="0" w:line="360" w:lineRule="auto"/>
              <w:ind w:left="90" w:right="105"/>
              <w:jc w:val="both"/>
            </w:pPr>
            <w:r>
              <w:t xml:space="preserve">Հետևաբար, նշված դասակարգումը չի հանդիսանում կամայական և չի հակասում պաշտոնների գնահատման և դասակարգման սահմանված չափորոշիչներին: </w:t>
            </w:r>
          </w:p>
          <w:p w14:paraId="0B1EF07E" w14:textId="77777777" w:rsidR="00EA1BE9" w:rsidRDefault="00253E4B">
            <w:pPr>
              <w:shd w:val="clear" w:color="auto" w:fill="FFFFFF"/>
              <w:spacing w:after="0" w:line="360" w:lineRule="auto"/>
              <w:ind w:left="90" w:right="105"/>
              <w:jc w:val="both"/>
            </w:pPr>
            <w:r>
              <w:t xml:space="preserve">Միաժամանակ, նախագծի հիմնավորմամբ ընդգծվել է, որ պաշտոնների վերջնական դասակարգումը կիրականացվի բացառապես ՀՀ առաջին փոխվարչապետի 2019 թվականի </w:t>
            </w:r>
            <w:r>
              <w:lastRenderedPageBreak/>
              <w:t>հունվարի 11-ի թիվ 3-Ն որոշմամբ սահմանված ընթացակարգով:</w:t>
            </w:r>
          </w:p>
        </w:tc>
      </w:tr>
      <w:tr w:rsidR="00EA1BE9" w14:paraId="6F342740" w14:textId="77777777" w:rsidTr="00C22B2F">
        <w:trPr>
          <w:gridAfter w:val="1"/>
          <w:wAfter w:w="59" w:type="dxa"/>
        </w:trPr>
        <w:tc>
          <w:tcPr>
            <w:tcW w:w="8285" w:type="dxa"/>
            <w:tcBorders>
              <w:top w:val="single" w:sz="6" w:space="0" w:color="000000"/>
              <w:left w:val="single" w:sz="6" w:space="0" w:color="000000"/>
              <w:bottom w:val="single" w:sz="6" w:space="0" w:color="000000"/>
              <w:right w:val="single" w:sz="6" w:space="0" w:color="000000"/>
            </w:tcBorders>
            <w:shd w:val="clear" w:color="auto" w:fill="FFFFFF"/>
          </w:tcPr>
          <w:p w14:paraId="473684C9" w14:textId="77777777" w:rsidR="00EA1BE9" w:rsidRDefault="00253E4B">
            <w:pPr>
              <w:tabs>
                <w:tab w:val="left" w:pos="5253"/>
              </w:tabs>
              <w:spacing w:after="0" w:line="360" w:lineRule="auto"/>
              <w:ind w:right="180"/>
              <w:jc w:val="both"/>
            </w:pPr>
            <w:r>
              <w:lastRenderedPageBreak/>
              <w:t>3. Բացի այդ, Հիմնավորման համաձայն՝ նախատեսվում է Հայտարարագրերի վերլուծության վարչությունը վերակազմավորել Հայտարարագրերի վարչության՝ վերջինիս կազմում ստեղծելով Հայտարարագրերի վերլուծության և Հայտարարագրման գործընթացի կազմակերպման բաժիններ։</w:t>
            </w:r>
          </w:p>
          <w:p w14:paraId="1190ED50" w14:textId="77777777" w:rsidR="00EA1BE9" w:rsidRDefault="00253E4B">
            <w:pPr>
              <w:tabs>
                <w:tab w:val="left" w:pos="5253"/>
              </w:tabs>
              <w:spacing w:after="0" w:line="360" w:lineRule="auto"/>
              <w:ind w:left="90" w:right="180"/>
              <w:jc w:val="both"/>
              <w:rPr>
                <w:rFonts w:ascii="Arial" w:eastAsia="Arial" w:hAnsi="Arial" w:cs="Arial"/>
                <w:color w:val="000000"/>
                <w:sz w:val="22"/>
                <w:szCs w:val="22"/>
              </w:rPr>
            </w:pPr>
            <w:r>
              <w:t xml:space="preserve">Այս կապակցությամբ հարկ է նկատել, որ ՀՀ փոխվարչապետի 2019 թվականի մարտի 29-ի թիվ «Վերակազմակերպումից և (կամ) կառուցվածքային փոփոխությունից հետո անձնակազմի կառավարման ընթացակարգային առանձնահատկությունները սահմանելու մասին» 170-Ն որոշմամբ հաստատված հավելվածի 8-րդ կետի 11-րդ ենթակետի համաձայն՝ կառուցվածքային ստորաբաժանման վերակազմավորում է համարվում կառուցվածքային ստորաբաժանման կարգավիճակի փոփոխությունը կամ կառուցվածքային ստորաբաժանման կազմում գործող ներքին կառուցվածքային միավորի (միավորների) փոփոխությունը, որն իրականացվում է կառուցվածքային փոփոխության եղանակներով և կառուցվածքային փոփոխության համար սույն հավելվածով նախատեսված ընթացակարգով: Կառուցվածքային ստորաբաժանման վերակազմավորման դեպքում նրա իրավունքները և </w:t>
            </w:r>
            <w:r>
              <w:lastRenderedPageBreak/>
              <w:t>պարտականությունները փոխանցվում են վերակազմավորված կառուցվածքային ստորաբաժանմանը։</w:t>
            </w:r>
          </w:p>
          <w:p w14:paraId="7FECC4D0" w14:textId="77777777" w:rsidR="00EA1BE9" w:rsidRDefault="00253E4B">
            <w:pPr>
              <w:tabs>
                <w:tab w:val="left" w:pos="5253"/>
              </w:tabs>
              <w:spacing w:after="0" w:line="360" w:lineRule="auto"/>
              <w:ind w:left="90" w:right="180"/>
              <w:jc w:val="both"/>
            </w:pPr>
            <w:r>
              <w:t>Սակայն վարչությունը վարչության վերակազմավորելը, ըստ էության, չի հանգեցնում կառուցվածքային ստորաբաժանման կարգավիճակի փոփոխության, ինչի արդյունքում առաջարկվող լուծումը չի համապատասխանում վերոնշյալ որոշմամբ սահմանված վերակազմավորման իրավական բնորոշմանը և հակասում է կառուցվածքային փոփոխությունների իրականացման պահանջներին։</w:t>
            </w:r>
          </w:p>
          <w:p w14:paraId="39476CF4" w14:textId="77777777" w:rsidR="00EA1BE9" w:rsidRDefault="00253E4B">
            <w:pPr>
              <w:tabs>
                <w:tab w:val="left" w:pos="5253"/>
              </w:tabs>
              <w:spacing w:after="0" w:line="360" w:lineRule="auto"/>
              <w:ind w:left="90" w:right="180"/>
              <w:jc w:val="both"/>
            </w:pPr>
            <w:r>
              <w:t xml:space="preserve">Բացի այդ, հարկ ենք համարում ընդգծել, որ Հայտարարագրերի վերլուծության վարչության կազմում հայտարարագրման գործընթացի կազմակերպման բաժնի ստեղծումը մեր գնահատմամբ չի բխում Հանձնաժողովի խնդիրներից և նպատակներից։ Նախատեսվող գործառույթները՝ մասամբ փոփոխված, արդեն իսկ իրականացվում են Հանձնաժողովի կառուցվածքում գործող հայտարարագրման բաժնի կողմից, այդ թվում՝ խորհրդատվական աջակցության տրամադրումը, հայտարարագրերի ձևաչափի համապատասխանության ստուգումը և հարակից այլ գործառույթներ։ Այսօրինակ մոտեցումը կարող է հանգեցնել գործառույթների կրկնության և կառավարման արդյունավետության նվազման, ինչը խնդրահարույց է նաև Կառավարության 2022 թվականի </w:t>
            </w:r>
            <w:r>
              <w:lastRenderedPageBreak/>
              <w:t>մայիսի 13-ի թիվ N 691-Լ որոշմամբ հաստատված հանրային կառավարման բարեփոխումների ռազմավարության տեսանկյունից։</w:t>
            </w:r>
          </w:p>
          <w:p w14:paraId="042B9D31" w14:textId="77777777" w:rsidR="00EA1BE9" w:rsidRDefault="00253E4B">
            <w:pPr>
              <w:tabs>
                <w:tab w:val="left" w:pos="5253"/>
              </w:tabs>
              <w:spacing w:after="0" w:line="360" w:lineRule="auto"/>
              <w:ind w:left="90" w:right="180"/>
              <w:jc w:val="both"/>
            </w:pPr>
            <w:r>
              <w:t>Ելնելով վերոգրյալից՝ նպատակահարմար ենք համարում ևս մեկ անգամ ամբողջական գույքագրել այն բոլոր գործառույթները, որոնք նախատեսվում է վերապահել հայտարարագրման գործընթացի կազմակերպման բաժնին, և անհրաժեշտության դեպքում դրանք վերապահել Հանձնաժողովի կառուցվածքում արդեն իսկ գործող հայտարարագրման բաժնին՝ ապահովելով գործառույթների հստակ, արդյունավետ և իրավաչափ բաշխում։</w:t>
            </w:r>
          </w:p>
        </w:tc>
        <w:tc>
          <w:tcPr>
            <w:tcW w:w="7036" w:type="dxa"/>
            <w:tcBorders>
              <w:top w:val="single" w:sz="6" w:space="0" w:color="000000"/>
              <w:left w:val="single" w:sz="6" w:space="0" w:color="000000"/>
              <w:bottom w:val="single" w:sz="6" w:space="0" w:color="000000"/>
              <w:right w:val="single" w:sz="6" w:space="0" w:color="000000"/>
            </w:tcBorders>
            <w:shd w:val="clear" w:color="auto" w:fill="FFFFFF"/>
          </w:tcPr>
          <w:p w14:paraId="183A1E65" w14:textId="3E854FD9" w:rsidR="00EA1BE9" w:rsidRPr="00C514B4" w:rsidRDefault="00253E4B">
            <w:pPr>
              <w:spacing w:after="0" w:line="360" w:lineRule="auto"/>
              <w:ind w:left="90" w:right="105" w:firstLine="90"/>
              <w:jc w:val="center"/>
              <w:rPr>
                <w:b/>
                <w:bCs/>
                <w:lang w:val="hy-AM"/>
              </w:rPr>
            </w:pPr>
            <w:r>
              <w:rPr>
                <w:b/>
                <w:bCs/>
              </w:rPr>
              <w:lastRenderedPageBreak/>
              <w:t>Ընդունվել է</w:t>
            </w:r>
            <w:r w:rsidR="00C514B4">
              <w:rPr>
                <w:b/>
                <w:bCs/>
                <w:lang w:val="hy-AM"/>
              </w:rPr>
              <w:t>։</w:t>
            </w:r>
          </w:p>
          <w:p w14:paraId="08ACC802" w14:textId="77777777" w:rsidR="00EA1BE9" w:rsidRDefault="00253E4B">
            <w:pPr>
              <w:spacing w:after="0" w:line="360" w:lineRule="auto"/>
              <w:ind w:left="90" w:right="105"/>
              <w:jc w:val="both"/>
            </w:pPr>
            <w:r>
              <w:t>Նախագծում, ինչպես նաև հիմնավորման մեջ կատարվել է համապատասխան փոփոխություն: Մասնավորապես, նախագծով առաջարկվել է իրականացնել հետևյալ կառուցվածքային փոփոխությունները․</w:t>
            </w:r>
          </w:p>
          <w:p w14:paraId="6781BADB" w14:textId="77777777" w:rsidR="00EA1BE9" w:rsidRDefault="00253E4B">
            <w:pPr>
              <w:spacing w:after="0" w:line="360" w:lineRule="auto"/>
              <w:ind w:left="90" w:right="105" w:firstLine="90"/>
              <w:jc w:val="both"/>
            </w:pPr>
            <w:r>
              <w:t>1. Հայտարարագրերի վերլուծության վարչությունից առանձնացնել Կուսակցությունների ֆինանսական գործունեության վերահսկողության բաժինը՝ որպես առանձին կառուցվածքային միավոր (ՀՀ փոխվարչապետի 2019 թվականի N 170-Ն որոշմամբ հաստատված հավելվածի 8-րդ կետի 9-րդ ենթակետ)․</w:t>
            </w:r>
          </w:p>
          <w:p w14:paraId="76EA645B" w14:textId="77777777" w:rsidR="00EA1BE9" w:rsidRDefault="00253E4B">
            <w:pPr>
              <w:spacing w:after="0" w:line="360" w:lineRule="auto"/>
              <w:ind w:left="90" w:right="105" w:firstLine="90"/>
              <w:jc w:val="both"/>
            </w:pPr>
            <w:r>
              <w:t xml:space="preserve">2. Հայտարարագրերի վերլուծության վարչությունում իրականացնել կառուցվածքային փոփոխություն՝ ներքին կառուցվածքային միավորի կարգավիճակի փոփոխությամբ, կազմակերպելով վարչության աշխատանքը որպես միասնական կառուցվածքային ստորաբաժանում՝  առանց ներքին բաժանման (ՀՀ փոխվարչապետի 2019 թվականի N </w:t>
            </w:r>
            <w:r>
              <w:lastRenderedPageBreak/>
              <w:t>170-Ն որոշմամբ հաստատված հավելվածի 8-րդ կետի 11-րդ ենթակետ):</w:t>
            </w:r>
          </w:p>
          <w:p w14:paraId="1919007B" w14:textId="77777777" w:rsidR="00EA1BE9" w:rsidRDefault="00EA1BE9">
            <w:pPr>
              <w:spacing w:after="0" w:line="360" w:lineRule="auto"/>
              <w:ind w:left="90" w:right="105" w:firstLine="90"/>
              <w:jc w:val="both"/>
              <w:rPr>
                <w:rFonts w:ascii="Arial" w:eastAsia="Arial" w:hAnsi="Arial" w:cs="Arial"/>
                <w:color w:val="000000"/>
                <w:sz w:val="22"/>
                <w:szCs w:val="22"/>
              </w:rPr>
            </w:pPr>
          </w:p>
        </w:tc>
      </w:tr>
      <w:tr w:rsidR="00EA1BE9" w14:paraId="4922A0D5" w14:textId="77777777" w:rsidTr="00C22B2F">
        <w:tc>
          <w:tcPr>
            <w:tcW w:w="8285" w:type="dxa"/>
            <w:tcBorders>
              <w:top w:val="single" w:sz="6" w:space="0" w:color="000000"/>
              <w:left w:val="single" w:sz="6" w:space="0" w:color="000000"/>
              <w:bottom w:val="single" w:sz="6" w:space="0" w:color="000000"/>
              <w:right w:val="single" w:sz="6" w:space="0" w:color="000000"/>
            </w:tcBorders>
            <w:shd w:val="clear" w:color="auto" w:fill="FFFFFF"/>
          </w:tcPr>
          <w:p w14:paraId="3ED2C7C6" w14:textId="77777777" w:rsidR="00EA1BE9" w:rsidRDefault="00253E4B">
            <w:pPr>
              <w:tabs>
                <w:tab w:val="left" w:pos="990"/>
                <w:tab w:val="left" w:pos="1080"/>
              </w:tabs>
              <w:spacing w:after="0" w:line="360" w:lineRule="auto"/>
              <w:ind w:left="90" w:right="270"/>
              <w:jc w:val="both"/>
            </w:pPr>
            <w:r>
              <w:lastRenderedPageBreak/>
              <w:t>4. «Հայաստանի Հանրապետության վարչապետի 2018 թվականի հունիսի 11-ի թիվ 706-Ա որոշման մեջ փոփոխություն կատարելու մասին» Վարչապետի որոշման նախագծի (այսուհետ՝ Նախագիծ) 1-ին կետով նախատեսվում է Հանձնաժողովի հաստիքների առավելագույն թիվը ավելացնել 10-ով՝ 62-ից դարձնելով 72։ Հիմնավորման համաձայն՝</w:t>
            </w:r>
            <w:r>
              <w:rPr>
                <w:i/>
                <w:iCs/>
              </w:rPr>
              <w:t xml:space="preserve"> Նախագծի ընդունման</w:t>
            </w:r>
            <w:r>
              <w:rPr>
                <w:b/>
                <w:bCs/>
                <w:i/>
                <w:iCs/>
              </w:rPr>
              <w:t xml:space="preserve"> </w:t>
            </w:r>
            <w:r>
              <w:rPr>
                <w:i/>
                <w:iCs/>
              </w:rPr>
              <w:t xml:space="preserve">անհրաժեշտությունը պայմանավորված է օրենսդրական մի շարք նախաձեռնություններով Հանձնաժողովին վերջին ժամանակաշրջանում վերապահված և առաջիկայում </w:t>
            </w:r>
            <w:r>
              <w:rPr>
                <w:b/>
                <w:bCs/>
                <w:i/>
                <w:iCs/>
              </w:rPr>
              <w:t xml:space="preserve">վերապահվելիք նոր լիազորություններով։ </w:t>
            </w:r>
            <w:r>
              <w:t xml:space="preserve">Նշվածի վերաբերյալ հարկ է ընդգծել, որ հաստիքների թվաքանակի պլանավորումը պետք է իրականացվի ոչ թե կանխատեսվող կամ ընդհանուր ձևակերպված </w:t>
            </w:r>
            <w:r>
              <w:lastRenderedPageBreak/>
              <w:t>նախաձեռնությունների, այլ համապատասխան իրավական ակտերով մարմնին արդեն իսկ վերապահված լիազորությունների և գործառույթների հիման վրա՝ հաշվի առնելով դրանց իրականացման ծավալը, բարդությունը և ծանրաբեռնվածությունը</w:t>
            </w:r>
            <w:r>
              <w:rPr>
                <w:rFonts w:ascii="Cambria Math" w:eastAsia="Cambria Math" w:hAnsi="Cambria Math" w:cs="Cambria Math"/>
              </w:rPr>
              <w:t xml:space="preserve">․ </w:t>
            </w:r>
            <w:r>
              <w:t>քանի դեռ համապատասխան իրավական ակտերով նոր գործառույթների վերապահումը չի կատարվել, հնարավոր չէ իրականացնել մարդկային ռեսուրսների անհրաժեշտության օբյեկտիվ և չափելի գնահատում։ Հետևաբար հաստիքների թվաքանակի ավելացումը՝ առանց առկա կամ փաստացի չափելի ծանրաբեռնվածության, չի կարող համարվել հիմնավորված և կարող է հանգեցնել ֆինանսական միջոցների ոչ նպատակային օգտագործման։</w:t>
            </w:r>
          </w:p>
          <w:p w14:paraId="3746C4C8" w14:textId="77777777" w:rsidR="00EA1BE9" w:rsidRDefault="00253E4B">
            <w:pPr>
              <w:spacing w:after="0" w:line="360" w:lineRule="auto"/>
              <w:ind w:left="90" w:right="270"/>
              <w:jc w:val="both"/>
              <w:rPr>
                <w:color w:val="000000"/>
              </w:rPr>
            </w:pPr>
            <w:r>
              <w:t xml:space="preserve">Այդ կապակցությամբ հարկ է նկատել, որ Քաղաքացիական ծառայության տեղեկատվական հարթակում առկա տվյալների համաձայն՝ Հանձնաժողովում առկա է 12 թափուր հաստիք։ Հետևաբար, հաշվի առնելով վերոգրյալը, ինչպես նաև Կառավարության 2021 թվականի օգոստոսի 18-ի «Հայաստանի Հանրապետության կառավարության ծրագրի մասին» N 1363-Ա որոշմամբ սահմանված հավելվածի 6.10-րդ կետով նախատեսված հանրային ֆինանսները նպատակային, խնայողաբար և արդյունավետ օգտագործման նպատակները՝ Հանձնաժողովում հաստիքների առավելագույն թվի </w:t>
            </w:r>
            <w:r>
              <w:rPr>
                <w:color w:val="000000"/>
              </w:rPr>
              <w:lastRenderedPageBreak/>
              <w:t xml:space="preserve">ավելացման հարցն </w:t>
            </w:r>
            <w:r>
              <w:rPr>
                <w:color w:val="191919"/>
                <w:highlight w:val="white"/>
              </w:rPr>
              <w:t xml:space="preserve">առաջարկում ենք առաջնահերթ </w:t>
            </w:r>
            <w:r>
              <w:rPr>
                <w:color w:val="000000"/>
              </w:rPr>
              <w:t>դիտարկել առկա թափուր հաստիքների հաշվին։</w:t>
            </w:r>
          </w:p>
          <w:p w14:paraId="30F7FBEE" w14:textId="77777777" w:rsidR="00EA1BE9" w:rsidRDefault="00253E4B">
            <w:pPr>
              <w:spacing w:after="0" w:line="360" w:lineRule="auto"/>
              <w:ind w:left="90" w:right="270"/>
              <w:jc w:val="both"/>
              <w:rPr>
                <w:i/>
                <w:iCs/>
              </w:rPr>
            </w:pPr>
            <w:r>
              <w:t xml:space="preserve">Միաժամանակ, Հիմնավորման համաձայն՝ </w:t>
            </w:r>
            <w:r>
              <w:rPr>
                <w:i/>
                <w:iCs/>
              </w:rPr>
              <w:t>թափուր հաստիքների համալրման գործընթացը հնարավոր է իրականացնել առնվազն երկու ամսվա ընթացքում։ Սակայն անհրաժեշտ է նկատել, որ քաղաքացիական ծառայության պաշտոնների համալրման գործընթացը բնույթով բարդ և ժամանակատար է, և գործնականում միշտ չէ, որ առաջին իսկ մրցույթի արդյունքում հնարավոր է լինում ապահովել անհրաժեշտ մասնագիտական պատրաստվածություն և փորձառություն ունեցող կադրերի ներգրավումը։</w:t>
            </w:r>
          </w:p>
          <w:p w14:paraId="3488BA0B" w14:textId="77777777" w:rsidR="00EA1BE9" w:rsidRDefault="00253E4B">
            <w:pPr>
              <w:spacing w:after="0" w:line="360" w:lineRule="auto"/>
              <w:ind w:left="90" w:right="270"/>
              <w:jc w:val="both"/>
              <w:rPr>
                <w:i/>
                <w:iCs/>
              </w:rPr>
            </w:pPr>
            <w:r>
              <w:t xml:space="preserve">Այս համատեքստում հարկ է անդրադառնալ նաև «Քաղաքացիական ծառայության մասին» օրենքի 8-րդ հոդվածի կարգավորումներին, որոնց համաձայն՝ </w:t>
            </w:r>
            <w:r>
              <w:rPr>
                <w:i/>
                <w:iCs/>
              </w:rPr>
              <w:t>քաղաքացիական ծառայության պաշտոնները զբաղեցվում են անժամկետ՝ մրցույթի արդյունքով, վարկանիշային ցուցակներից, փոխադրման, կատարողականի գնահատման, վերակազմակերպման և (կամ) կառուցվածքային փոփոխության արդյունքով կամ կադրերի ռեզերվից՝ մինչև օրենքով սահմանված տարիքի լրանալը, իսկ որոշակի ժամկետով՝ ժամկետային աշխատանքային պայմանագրով, տեղափոխության կամ գործուղման դեպքում։</w:t>
            </w:r>
          </w:p>
          <w:p w14:paraId="7C561700" w14:textId="77777777" w:rsidR="00EA1BE9" w:rsidRDefault="00253E4B">
            <w:pPr>
              <w:spacing w:after="0" w:line="360" w:lineRule="auto"/>
              <w:ind w:left="90" w:right="270"/>
              <w:jc w:val="both"/>
            </w:pPr>
            <w:r>
              <w:lastRenderedPageBreak/>
              <w:t xml:space="preserve">Ստացվում է, որ թե՛ ներկայումս առկա թափուր հաստիքների, թե՛ Նախագծով նախատեսվող նոր հաստիքների համալրումը ենթակա է նույն իրավական պահանջներին, ընթացակարգերին և ժամանակային սահմանափակումներին։ Հետևաբար նոր հաստիքների ավելացումն ինքնին չի ապահովում մարդկային ռեսուրսների ավելի արագ կամ արդյունավետ ներգրավում և չի կարող դիտարկվել որպես ընթացիկ կամ կարճաժամկետ խնդիրների լուծման գործիք, </w:t>
            </w:r>
            <w:r>
              <w:rPr>
                <w:color w:val="000000"/>
                <w:highlight w:val="white"/>
              </w:rPr>
              <w:t>ինչը ևս չի հիմնավորում նոր հաստիքների ավելացման օբյեկտիվ անհրաժեշտությունն ու պահանջը։</w:t>
            </w:r>
          </w:p>
          <w:p w14:paraId="0DBD677E" w14:textId="77777777" w:rsidR="00EA1BE9" w:rsidRDefault="00253E4B">
            <w:pPr>
              <w:tabs>
                <w:tab w:val="left" w:pos="5253"/>
              </w:tabs>
              <w:spacing w:after="0" w:line="360" w:lineRule="auto"/>
              <w:ind w:left="90" w:right="270"/>
              <w:jc w:val="both"/>
            </w:pPr>
            <w:r>
              <w:t>Ելնելով վերոգրյալից՝ առաջարկում ենք Նախագծով նախատեսված Հանձնաժողովի հաստիքների առավելագույն թվի ավելացման հարցը վերանայել՝ այն կապելով կոնկրետ իրավական ակտերով վերապահված նոր լիազորությունների, գործառույթների փաստացի ծավալի գնահատման, ինչպես նաև գործող հաստիքների լիարժեք օգտագործման հետ։</w:t>
            </w:r>
          </w:p>
        </w:tc>
        <w:tc>
          <w:tcPr>
            <w:tcW w:w="7095" w:type="dxa"/>
            <w:gridSpan w:val="2"/>
            <w:tcBorders>
              <w:top w:val="single" w:sz="6" w:space="0" w:color="000000"/>
              <w:left w:val="single" w:sz="6" w:space="0" w:color="000000"/>
              <w:bottom w:val="single" w:sz="6" w:space="0" w:color="000000"/>
              <w:right w:val="single" w:sz="6" w:space="0" w:color="000000"/>
            </w:tcBorders>
            <w:shd w:val="clear" w:color="auto" w:fill="FFFFFF"/>
          </w:tcPr>
          <w:p w14:paraId="3638166E" w14:textId="17A538E2" w:rsidR="00EA1BE9" w:rsidRPr="00C514B4" w:rsidRDefault="00253E4B">
            <w:pPr>
              <w:spacing w:after="0" w:line="360" w:lineRule="auto"/>
              <w:ind w:left="90" w:right="105" w:firstLine="90"/>
              <w:jc w:val="center"/>
              <w:rPr>
                <w:b/>
                <w:bCs/>
                <w:lang w:val="hy-AM"/>
              </w:rPr>
            </w:pPr>
            <w:r>
              <w:rPr>
                <w:b/>
                <w:bCs/>
              </w:rPr>
              <w:lastRenderedPageBreak/>
              <w:t>Մասամբ է ընդունվել</w:t>
            </w:r>
            <w:r w:rsidR="00C514B4">
              <w:rPr>
                <w:b/>
                <w:bCs/>
                <w:lang w:val="hy-AM"/>
              </w:rPr>
              <w:t>։</w:t>
            </w:r>
          </w:p>
          <w:p w14:paraId="20C142A5" w14:textId="77777777" w:rsidR="00EA1BE9" w:rsidRDefault="00253E4B">
            <w:pPr>
              <w:spacing w:after="0" w:line="360" w:lineRule="auto"/>
              <w:ind w:left="90" w:right="105"/>
              <w:jc w:val="both"/>
            </w:pPr>
            <w:r>
              <w:t xml:space="preserve">Ներկայացված դիտարկման առնչությամբ նախ անհրաժեշտ է նշել, որ </w:t>
            </w:r>
            <w:r>
              <w:rPr>
                <w:b/>
                <w:bCs/>
                <w:i/>
                <w:iCs/>
              </w:rPr>
              <w:t>վերապահվելիք նոր լիազորություններով</w:t>
            </w:r>
            <w:r>
              <w:t xml:space="preserve"> պայմանավորված՝ հաստիքների ավելացման առաջարկն ինքնանպատակ չէր և ոչ թե կանխատեսվող նախաձեռնություններից էր բխում, այլ կոնկրետ ամսաթվերով նախատեսված նախագծերի ընդունումից առաջ գործընթացը մեկնարկելու հրամայականից: Մինչդեռ, հաշվի առնելով սույն նախագծի վերաբերյալ ներկայացված կարծիքը՝ Հանձնաժողովն արձանագրում է, որ նախնական տարբերակում նշված «առաջիկայում վերահապվելիք </w:t>
            </w:r>
            <w:r>
              <w:lastRenderedPageBreak/>
              <w:t>լիազորություններն» արդեն իսկ Հանձնաժողովին վերապահվել են, իսկ նախագծերից մեկով՝ նախագիծն ընդունվել է առաջին ընթերցմամբ և առաջիկայում կներկայացվի 2-րդ ընթերցման: Նախագծին կից հիմնավորման մեջ կատարվել են համապատասխան փոփոխություններ, որոնց շրջանակում հստակ նշվել են այն օրենսդրական նախագծերը, որոնք արդեն իսկ ընդունվել են Ազգային ժողովի կողմից առաջին ընթերցմամբ կամ ամբողջությամբ:</w:t>
            </w:r>
          </w:p>
          <w:p w14:paraId="31266EC3" w14:textId="77777777" w:rsidR="00EA1BE9" w:rsidRDefault="00253E4B">
            <w:pPr>
              <w:spacing w:after="0" w:line="360" w:lineRule="auto"/>
              <w:ind w:left="90" w:right="105"/>
              <w:jc w:val="both"/>
              <w:rPr>
                <w:rFonts w:ascii="Cambria Math" w:eastAsia="Cambria Math" w:hAnsi="Cambria Math" w:cs="Cambria Math"/>
              </w:rPr>
            </w:pPr>
            <w:r>
              <w:t>Ինչ վերաբերում է Հանձնաժողովում առկա թափուր հաստիքներին, ապա հարկ է նշել հետևյալը</w:t>
            </w:r>
            <w:r>
              <w:rPr>
                <w:rFonts w:ascii="Cambria Math" w:eastAsia="Cambria Math" w:hAnsi="Cambria Math" w:cs="Cambria Math"/>
              </w:rPr>
              <w:t>․</w:t>
            </w:r>
          </w:p>
          <w:p w14:paraId="2A73F8DF" w14:textId="77777777" w:rsidR="00EA1BE9" w:rsidRDefault="00253E4B">
            <w:pPr>
              <w:spacing w:after="0" w:line="360" w:lineRule="auto"/>
              <w:ind w:left="90" w:right="105"/>
              <w:jc w:val="both"/>
            </w:pPr>
            <w:r>
              <w:t xml:space="preserve">Ներկայում Հանձնաժողովում առկա է քաղաքացիական ծառայության 9 թափուր հաստիք։ Միաժամանակ, այն վարչություններում, որոնցում նախագծով առաջարկվում է նոր հաստիքների ավելացում, </w:t>
            </w:r>
            <w:r>
              <w:rPr>
                <w:b/>
                <w:bCs/>
              </w:rPr>
              <w:t>թափուր հաստիքները հիմնականում համալրված են։</w:t>
            </w:r>
            <w:r>
              <w:t xml:space="preserve"> Մյուս վարչություններում թափուր հաստիքների համալրման նպատակով հայտարարված են համապատասխան մրցույթներ, որոնց մասնակցության համար միջինում դիմել է 10 անձ, ինչը հիմք է </w:t>
            </w:r>
            <w:r>
              <w:lastRenderedPageBreak/>
              <w:t>տալիս ենթադրելու, որ նշված հաստիքներն առաջիկայում նույնպես կհամալրվեն։</w:t>
            </w:r>
          </w:p>
          <w:p w14:paraId="3E1F482C" w14:textId="77777777" w:rsidR="00EA1BE9" w:rsidRDefault="00253E4B">
            <w:pPr>
              <w:spacing w:after="0" w:line="360" w:lineRule="auto"/>
              <w:ind w:left="90" w:right="105"/>
              <w:jc w:val="both"/>
            </w:pPr>
            <w:r>
              <w:t>Այս առումով հարկ է ընդգծել, որ թափուր հաստիքների առկայությունը պայմանավորված է աշխատանքային ծանրաբեռնվածության և վարձատրության անհամաչափությամբ, որը հանգեցնում է կադրերի բարձր հոսելիության: Հանձնաժողովը յուրաքանչյուր թափուր հաստիքի համար տարեկան հայտարարում է միջինում 3–4, իսկ որոշ դեպքերում՝ 4–5 մրցույթ, ինչը վկայում է համալրման գործընթացի հետևողական իրականացման մասին։ Այնուամենայնիվ, նոր աշխատակիցները, ծանոթանալով աշխատանքի իրական ծավալին, պատասխանատվության մակարդակին և վարձատրության պայմաններին, հաճախ հրաժարվում են Հանձնաժողովում աշխատանքը շարունակելուց:</w:t>
            </w:r>
          </w:p>
          <w:p w14:paraId="51208C8F" w14:textId="77777777" w:rsidR="00EA1BE9" w:rsidRDefault="00253E4B">
            <w:pPr>
              <w:spacing w:after="0" w:line="360" w:lineRule="auto"/>
              <w:ind w:left="90" w:right="105"/>
              <w:jc w:val="both"/>
            </w:pPr>
            <w:r>
              <w:t xml:space="preserve">Դիտարկման առնչությամբ, առ այն, որ թափուր և նոր հաստիքների համալրման ընթացակարգերն ու ժամկետները նույնն են, և հետևաբար նոր հաստիքների ավելացումն ինքնին չի ապահովում ռեսուրսների ավելի արագ ներգրավում, հարկ է կրկին ընդգծել, որ նախագծով նոր հաստիքներն </w:t>
            </w:r>
            <w:r>
              <w:lastRenderedPageBreak/>
              <w:t>առաջարկվում է ավելացնել այն վարչություններում, որոնցում թափուր հաստիքներ հիմնականում առկա չեն: Նշված վարչությունների ծանրաբեռնվածության խնդիրն ընթացիկ փուլում Հանձնաժողովը ժամանակավորապես լուծում է փորձագետների ներգրավման միջոցով։ Այդուհանդերձ, էական է, որ Հանձնաժողովի աշխատակիցներն ունենան հստակ ակնկալիք առ այն, որ գերծանրաբեռնված պայմաններում աշխատելն ունի ժամանակավոր բնույթ, և խնդիրը որոշակիորեն կլուծվի նոր հաստիքների տրամադրմամբ։</w:t>
            </w:r>
          </w:p>
          <w:p w14:paraId="68BD3C36" w14:textId="77777777" w:rsidR="00EA1BE9" w:rsidRDefault="00253E4B">
            <w:pPr>
              <w:spacing w:after="0" w:line="360" w:lineRule="auto"/>
              <w:ind w:left="90" w:right="105" w:firstLine="90"/>
              <w:jc w:val="both"/>
            </w:pPr>
            <w:r>
              <w:t xml:space="preserve">Հարկ է նաև արձանագրել, որ Հանձնաժողովի 6 փորձագետները և հայեցողական պաշտոններ զբաղեցնող աշխատակիցները (Հանձնաժողովի նախագահի և անդամների օգնականները) փաստացի կցված են վարչություններին այն պայմաններում, երբ Հանձնաժողովի կառուցվածքում առկա չեն առանձին հաստիքներ որոշ օժանդակ գործառույթների համար (արտաքին կապերի, հանրային հաղորդակցության, տնտեսական ապահովման և այլ ոլորտներում): Նշված հանգամանքն, իր հերթին, բացասաբար է ազդում ինչպես Հանձնաժողովի </w:t>
            </w:r>
            <w:r>
              <w:lastRenderedPageBreak/>
              <w:t xml:space="preserve">աշխատանքների կազմակերպման արդյունավետության, այնպես էլ Հանձնաժողովի անդամների աշխատանքային ծանրաբեռնվածության վրա: </w:t>
            </w:r>
          </w:p>
          <w:p w14:paraId="3EBBE3E5" w14:textId="77777777" w:rsidR="00EA1BE9" w:rsidRDefault="00253E4B">
            <w:pPr>
              <w:spacing w:after="0" w:line="360" w:lineRule="auto"/>
              <w:ind w:left="90" w:right="105"/>
              <w:jc w:val="both"/>
              <w:rPr>
                <w:b/>
                <w:bCs/>
              </w:rPr>
            </w:pPr>
            <w:r>
              <w:t>Հետևաբար, վերոնշյալ հանգամանքների համատեքստում նոր հաստիքների տրամադրումը չպետք է դիտարկել որպես առկա թափուր հաստիքների համալրման այլընտրանք, այլ որպես գործիք՝ Հանձնաժողովի նոր վերապահված գործառույթները պատշաճ իրականացնելու և բնականոն գործունեությանը լրացուցիչ խոչընդոտ չստեղծելու, ծանրաբեռնվածության նվազեցման միջոցով հաստիքների համալրման գործընթացի արդյունավետության բարձրացման և աշխատողների հոսելիության նվազեցման համար։ Նոր հաստիքների ավելացումը հնարավորություն կտա նաև հավասարակշռել գործառույթների բաշխումը և ապահովել Հանձնաժողովի գործառույթների առավել արդյունավետ իրականացումը։</w:t>
            </w:r>
          </w:p>
        </w:tc>
      </w:tr>
      <w:tr w:rsidR="00EA1BE9" w14:paraId="5FBE5953" w14:textId="77777777" w:rsidTr="00C22B2F">
        <w:trPr>
          <w:gridAfter w:val="1"/>
          <w:wAfter w:w="59" w:type="dxa"/>
        </w:trPr>
        <w:tc>
          <w:tcPr>
            <w:tcW w:w="8285" w:type="dxa"/>
            <w:tcBorders>
              <w:top w:val="single" w:sz="6" w:space="0" w:color="000000"/>
              <w:left w:val="single" w:sz="6" w:space="0" w:color="000000"/>
              <w:bottom w:val="single" w:sz="6" w:space="0" w:color="000000"/>
              <w:right w:val="single" w:sz="6" w:space="0" w:color="000000"/>
            </w:tcBorders>
            <w:shd w:val="clear" w:color="auto" w:fill="FFFFFF"/>
          </w:tcPr>
          <w:p w14:paraId="5080E0A6" w14:textId="77777777" w:rsidR="00EA1BE9" w:rsidRDefault="00253E4B">
            <w:pPr>
              <w:tabs>
                <w:tab w:val="left" w:pos="5253"/>
              </w:tabs>
              <w:spacing w:after="0" w:line="360" w:lineRule="auto"/>
              <w:ind w:left="90" w:right="270"/>
              <w:jc w:val="both"/>
            </w:pPr>
            <w:r>
              <w:lastRenderedPageBreak/>
              <w:t xml:space="preserve">5. Նախագծերի 2-րդ կետերով սահմանվում են անցումային դրույթներ, որոնց համաձայն՝ Որոշումներն ուժի մեջ են մտնում պաշտոնական հրապարակմանը հաջորդող օրվանից։ Մինչդեռ «Նորմատիվ իրավական ակտերի մասին» օրենքի 23-րդ հոդվածի 6-րդ մասի համաձայն՝ անհատական իրավական ակտն ուժի մեջ է մտնում այդ </w:t>
            </w:r>
            <w:r>
              <w:lastRenderedPageBreak/>
              <w:t>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 Հետևաբար անհրաժեշտ է Նախագծերով առաջարկվող կարգավորումները համապատասխանեցնել վերոնշյալ օրենքով սահմանված պահանջներին։</w:t>
            </w:r>
          </w:p>
        </w:tc>
        <w:tc>
          <w:tcPr>
            <w:tcW w:w="7036" w:type="dxa"/>
            <w:tcBorders>
              <w:top w:val="single" w:sz="6" w:space="0" w:color="000000"/>
              <w:left w:val="single" w:sz="6" w:space="0" w:color="000000"/>
              <w:bottom w:val="single" w:sz="6" w:space="0" w:color="000000"/>
              <w:right w:val="single" w:sz="6" w:space="0" w:color="000000"/>
            </w:tcBorders>
            <w:shd w:val="clear" w:color="auto" w:fill="FFFFFF"/>
          </w:tcPr>
          <w:p w14:paraId="7B370EE7" w14:textId="6A95A478" w:rsidR="00EA1BE9" w:rsidRPr="00C514B4" w:rsidRDefault="00253E4B">
            <w:pPr>
              <w:tabs>
                <w:tab w:val="left" w:pos="5253"/>
              </w:tabs>
              <w:spacing w:after="0" w:line="360" w:lineRule="auto"/>
              <w:ind w:left="90" w:right="105" w:firstLine="90"/>
              <w:jc w:val="center"/>
              <w:rPr>
                <w:b/>
                <w:bCs/>
                <w:lang w:val="hy-AM"/>
              </w:rPr>
            </w:pPr>
            <w:r>
              <w:rPr>
                <w:b/>
                <w:bCs/>
                <w:color w:val="000000"/>
              </w:rPr>
              <w:lastRenderedPageBreak/>
              <w:t>Մասամբ է ընդունվել</w:t>
            </w:r>
            <w:r w:rsidR="00C514B4">
              <w:rPr>
                <w:b/>
                <w:bCs/>
                <w:color w:val="000000"/>
                <w:lang w:val="hy-AM"/>
              </w:rPr>
              <w:t>։</w:t>
            </w:r>
          </w:p>
          <w:p w14:paraId="0A43A284" w14:textId="77777777" w:rsidR="00EA1BE9" w:rsidRDefault="00253E4B">
            <w:pPr>
              <w:tabs>
                <w:tab w:val="left" w:pos="5253"/>
              </w:tabs>
              <w:spacing w:after="0" w:line="360" w:lineRule="auto"/>
              <w:ind w:left="90" w:right="105" w:firstLine="90"/>
              <w:jc w:val="both"/>
            </w:pPr>
            <w:r>
              <w:t xml:space="preserve">Նախագծերի  եզրափակիչ դրույթներով սահմանվել է, որ համապատասխան սույն որոշումներն ուժի մեջ են մտնում 2026 թվականի հունիսի 1-ից՝ նպատակ ունենալով Հանձնաժողովին հնարավորություն ընձեռելու Նախագծերից </w:t>
            </w:r>
            <w:r>
              <w:lastRenderedPageBreak/>
              <w:t>բխող փոփոխություններ կատարել նաև Հանձնաժողովի կանոնադրության մեջ, որոնց ուժի մեջ մտնելու ժամկետ ևս կսահմանվի 2026 թվականի հունիսի 1-ը՝ այդպիսով ապահովելով մատնանշված հնարավոր անհամապատասխանությունների կանխարգելումը և գործընթացի իրավական շարունակականությունը:</w:t>
            </w:r>
          </w:p>
        </w:tc>
      </w:tr>
      <w:tr w:rsidR="00EA1BE9" w14:paraId="24CD214B" w14:textId="77777777" w:rsidTr="00C22B2F">
        <w:trPr>
          <w:gridAfter w:val="1"/>
          <w:wAfter w:w="59" w:type="dxa"/>
        </w:trPr>
        <w:tc>
          <w:tcPr>
            <w:tcW w:w="8285" w:type="dxa"/>
            <w:vMerge w:val="restart"/>
            <w:tcBorders>
              <w:top w:val="single" w:sz="6" w:space="0" w:color="000000"/>
              <w:left w:val="single" w:sz="6" w:space="0" w:color="000000"/>
              <w:bottom w:val="single" w:sz="6" w:space="0" w:color="000000"/>
              <w:right w:val="single" w:sz="6" w:space="0" w:color="000000"/>
            </w:tcBorders>
            <w:shd w:val="clear" w:color="auto" w:fill="D0D0D0"/>
          </w:tcPr>
          <w:p w14:paraId="2475A7E9" w14:textId="77777777" w:rsidR="00EA1BE9" w:rsidRDefault="00253E4B">
            <w:pPr>
              <w:tabs>
                <w:tab w:val="center" w:pos="5269"/>
                <w:tab w:val="left" w:pos="8550"/>
              </w:tabs>
              <w:spacing w:after="0" w:line="360" w:lineRule="auto"/>
              <w:jc w:val="center"/>
              <w:rPr>
                <w:b/>
                <w:bCs/>
              </w:rPr>
            </w:pPr>
            <w:r>
              <w:rPr>
                <w:b/>
                <w:bCs/>
              </w:rPr>
              <w:lastRenderedPageBreak/>
              <w:t>2. Ֆինանսների նախարարություն</w:t>
            </w:r>
          </w:p>
        </w:tc>
        <w:tc>
          <w:tcPr>
            <w:tcW w:w="7036" w:type="dxa"/>
            <w:tcBorders>
              <w:top w:val="single" w:sz="6" w:space="0" w:color="000000"/>
              <w:left w:val="single" w:sz="6" w:space="0" w:color="000000"/>
              <w:bottom w:val="single" w:sz="6" w:space="0" w:color="000000"/>
              <w:right w:val="single" w:sz="6" w:space="0" w:color="000000"/>
            </w:tcBorders>
            <w:shd w:val="clear" w:color="auto" w:fill="D0D0D0"/>
          </w:tcPr>
          <w:p w14:paraId="50B7588E" w14:textId="77777777" w:rsidR="00EA1BE9" w:rsidRDefault="00253E4B">
            <w:pPr>
              <w:tabs>
                <w:tab w:val="left" w:pos="5253"/>
              </w:tabs>
              <w:spacing w:after="0" w:line="360" w:lineRule="auto"/>
              <w:ind w:left="90" w:right="105" w:firstLine="90"/>
              <w:jc w:val="center"/>
              <w:rPr>
                <w:b/>
                <w:bCs/>
              </w:rPr>
            </w:pPr>
            <w:r>
              <w:rPr>
                <w:b/>
                <w:bCs/>
              </w:rPr>
              <w:t>26.01.2026</w:t>
            </w:r>
          </w:p>
        </w:tc>
      </w:tr>
      <w:tr w:rsidR="00EA1BE9" w14:paraId="352FC82C" w14:textId="77777777" w:rsidTr="00C22B2F">
        <w:trPr>
          <w:gridAfter w:val="1"/>
          <w:wAfter w:w="59" w:type="dxa"/>
          <w:trHeight w:val="65"/>
        </w:trPr>
        <w:tc>
          <w:tcPr>
            <w:tcW w:w="8285" w:type="dxa"/>
            <w:vMerge/>
            <w:tcBorders>
              <w:top w:val="single" w:sz="6" w:space="0" w:color="000000"/>
              <w:left w:val="single" w:sz="6" w:space="0" w:color="000000"/>
              <w:bottom w:val="single" w:sz="6" w:space="0" w:color="000000"/>
              <w:right w:val="single" w:sz="6" w:space="0" w:color="000000"/>
            </w:tcBorders>
            <w:shd w:val="clear" w:color="auto" w:fill="D0D0D0"/>
          </w:tcPr>
          <w:p w14:paraId="6C830EB0" w14:textId="77777777" w:rsidR="00EA1BE9" w:rsidRDefault="00EA1BE9">
            <w:pPr>
              <w:widowControl w:val="0"/>
              <w:pBdr>
                <w:top w:val="nil"/>
                <w:left w:val="nil"/>
                <w:bottom w:val="nil"/>
                <w:right w:val="nil"/>
                <w:between w:val="nil"/>
              </w:pBdr>
              <w:spacing w:after="0"/>
              <w:rPr>
                <w:b/>
                <w:bCs/>
              </w:rPr>
            </w:pPr>
          </w:p>
        </w:tc>
        <w:tc>
          <w:tcPr>
            <w:tcW w:w="7036" w:type="dxa"/>
            <w:tcBorders>
              <w:top w:val="single" w:sz="6" w:space="0" w:color="000000"/>
              <w:left w:val="single" w:sz="6" w:space="0" w:color="000000"/>
              <w:bottom w:val="single" w:sz="6" w:space="0" w:color="000000"/>
              <w:right w:val="single" w:sz="6" w:space="0" w:color="000000"/>
            </w:tcBorders>
            <w:shd w:val="clear" w:color="auto" w:fill="D0D0D0"/>
          </w:tcPr>
          <w:p w14:paraId="7AD76AF9" w14:textId="77777777" w:rsidR="00EA1BE9" w:rsidRDefault="00253E4B">
            <w:pPr>
              <w:tabs>
                <w:tab w:val="left" w:pos="5253"/>
              </w:tabs>
              <w:spacing w:after="0" w:line="360" w:lineRule="auto"/>
              <w:ind w:left="90" w:right="105" w:firstLine="90"/>
              <w:jc w:val="center"/>
              <w:rPr>
                <w:b/>
                <w:bCs/>
              </w:rPr>
            </w:pPr>
            <w:r>
              <w:rPr>
                <w:b/>
                <w:bCs/>
              </w:rPr>
              <w:t>№ 01/8/511-2026</w:t>
            </w:r>
          </w:p>
        </w:tc>
      </w:tr>
      <w:tr w:rsidR="00C22B2F" w14:paraId="11D0EDB5" w14:textId="77777777" w:rsidTr="00C22B2F">
        <w:trPr>
          <w:gridAfter w:val="1"/>
          <w:wAfter w:w="59" w:type="dxa"/>
          <w:trHeight w:val="65"/>
        </w:trPr>
        <w:tc>
          <w:tcPr>
            <w:tcW w:w="8285"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24F5514" w14:textId="510534C6" w:rsidR="00C22B2F" w:rsidRDefault="00C22B2F" w:rsidP="00C22B2F">
            <w:pPr>
              <w:spacing w:after="0" w:line="360" w:lineRule="auto"/>
              <w:ind w:right="360"/>
              <w:jc w:val="both"/>
            </w:pPr>
            <w:r>
              <w:t>1. Հարկ է նշել, որ Հանձնաժողովի 2026թ. բյուջետային հայտի համաձայն հաստիքային ցուցակում առկա է 16 թափուր հաստիք:</w:t>
            </w:r>
          </w:p>
          <w:p w14:paraId="4BD7356C" w14:textId="398B34DE" w:rsidR="00C22B2F" w:rsidRDefault="00C22B2F" w:rsidP="00C22B2F">
            <w:pPr>
              <w:spacing w:after="0" w:line="360" w:lineRule="auto"/>
              <w:ind w:left="90" w:right="360"/>
              <w:jc w:val="both"/>
            </w:pPr>
            <w:r>
              <w:t xml:space="preserve">Միաժամանակ հայտնում ենք, որ հիմք ընդունելով 2025 թվականի սեպտեմբերի 20-ի տեղեկատվական համակարգերի կառավարման խորհրդի նիստի արձանագրությունը (ԽԱ/22-2025) Հանձնաժողովի թվայնացման համակարգի լավարկման, սպասարկման, տվյալների միգրացիայի և վերլուծական գործիքի ներդրման նպատակով ՀՀ 2026թ. պետական բյուջեով ՀՀ բարձր տեխնոլոգիական արդյունաբերության նախարարության կողմից իրականացվող 1235 ծրագրի «31001.Միասնական թվային միջավայրի ձևավորում» միջոցառմամբ նախատեսվել է շուրջ 169,9 մլն ՀՀ դրամ։ </w:t>
            </w:r>
          </w:p>
          <w:p w14:paraId="2C77F35A" w14:textId="10BFA136" w:rsidR="00865D7A" w:rsidRDefault="00865D7A" w:rsidP="00C22B2F">
            <w:pPr>
              <w:spacing w:after="0" w:line="360" w:lineRule="auto"/>
              <w:ind w:left="90" w:right="360"/>
              <w:jc w:val="both"/>
            </w:pPr>
            <w:r>
              <w:lastRenderedPageBreak/>
              <w:t>Ելնելով վերոգրյալից հայտնում ենք, որ Նախագծերով նախատեսվող հաստիքների առավելագույն թվաքանակի ավելացման վերաբերյալ դիրքորոշում հնարավոր կլինի ներկայացնել Հանձնաժողովում առկա թափուր հաստիքների համալրման ընթացքի, ինչպես նաև թվայնացման արդյունքում գործառույթների օպտիմալացման հնարավորությունների վերաբերյալ լրացուցիչ տեղեկատվության առկայության պայմաններում:</w:t>
            </w:r>
          </w:p>
          <w:p w14:paraId="4FC6772E" w14:textId="77777777" w:rsidR="00C22B2F" w:rsidRDefault="00C22B2F" w:rsidP="00C22B2F">
            <w:pPr>
              <w:spacing w:after="0" w:line="360" w:lineRule="auto"/>
              <w:ind w:right="360"/>
              <w:jc w:val="both"/>
            </w:pPr>
          </w:p>
          <w:p w14:paraId="7082526F" w14:textId="12CD3292" w:rsidR="00C22B2F" w:rsidRDefault="00C22B2F" w:rsidP="00C22B2F">
            <w:pPr>
              <w:widowControl w:val="0"/>
              <w:pBdr>
                <w:top w:val="nil"/>
                <w:left w:val="nil"/>
                <w:bottom w:val="nil"/>
                <w:right w:val="nil"/>
                <w:between w:val="nil"/>
              </w:pBdr>
              <w:tabs>
                <w:tab w:val="left" w:pos="7530"/>
              </w:tabs>
              <w:spacing w:after="0"/>
              <w:rPr>
                <w:b/>
                <w:bCs/>
              </w:rPr>
            </w:pPr>
          </w:p>
        </w:tc>
        <w:tc>
          <w:tcPr>
            <w:tcW w:w="703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2CAF27DF" w14:textId="18F52D61" w:rsidR="00C22B2F" w:rsidRPr="00C514B4" w:rsidRDefault="00C22B2F" w:rsidP="00C22B2F">
            <w:pPr>
              <w:spacing w:after="280" w:line="240" w:lineRule="auto"/>
              <w:ind w:left="90" w:right="105" w:firstLine="90"/>
              <w:jc w:val="center"/>
              <w:rPr>
                <w:lang w:val="hy-AM"/>
              </w:rPr>
            </w:pPr>
            <w:r>
              <w:rPr>
                <w:b/>
                <w:bCs/>
              </w:rPr>
              <w:lastRenderedPageBreak/>
              <w:t>Մասամբ է ընդունվել</w:t>
            </w:r>
            <w:r w:rsidR="00C514B4">
              <w:rPr>
                <w:b/>
                <w:bCs/>
                <w:lang w:val="hy-AM"/>
              </w:rPr>
              <w:t>։</w:t>
            </w:r>
          </w:p>
          <w:p w14:paraId="5699685B" w14:textId="77777777" w:rsidR="00C22B2F" w:rsidRDefault="00C22B2F" w:rsidP="00C22B2F">
            <w:pPr>
              <w:spacing w:after="0" w:line="360" w:lineRule="auto"/>
              <w:ind w:left="90" w:right="105"/>
              <w:jc w:val="both"/>
            </w:pPr>
            <w:r>
              <w:t>Նախագծի հիմնավորման մեջ ներկայացվել է տեղեկատվություն ինչպես թափուր հաստիքների համալրման գործընթացի, այնպես էլ Հանձնաժողովի թվայնացման օրակարգի վերաբերյալ:</w:t>
            </w:r>
          </w:p>
          <w:p w14:paraId="0E885488" w14:textId="77777777" w:rsidR="00865D7A" w:rsidRDefault="00865D7A" w:rsidP="00865D7A">
            <w:pPr>
              <w:spacing w:after="0" w:line="360" w:lineRule="auto"/>
              <w:ind w:right="105"/>
              <w:jc w:val="both"/>
              <w:rPr>
                <w:b/>
                <w:bCs/>
                <w:i/>
                <w:iCs/>
              </w:rPr>
            </w:pPr>
            <w:r>
              <w:rPr>
                <w:b/>
                <w:bCs/>
                <w:i/>
                <w:iCs/>
              </w:rPr>
              <w:t>Հանձնաժողովում առկա թափուր հաստիքների առնչությամբ հարկ է նշել հետևյալը․</w:t>
            </w:r>
          </w:p>
          <w:p w14:paraId="4284B136" w14:textId="06E6ADE3" w:rsidR="00865D7A" w:rsidRDefault="00865D7A" w:rsidP="00865D7A">
            <w:pPr>
              <w:spacing w:after="0" w:line="360" w:lineRule="auto"/>
              <w:ind w:right="105"/>
              <w:jc w:val="both"/>
            </w:pPr>
            <w:r>
              <w:t xml:space="preserve">Ներկայում Հանձնաժողովում առկա է քաղաքացիական ծառայության 9 թափուր հաստիք։ Միաժամանակ, այն վարչություններում, որոնցում նախագծով առաջարկվում է նոր հաստիքների ավելացում, </w:t>
            </w:r>
            <w:r>
              <w:rPr>
                <w:b/>
                <w:bCs/>
              </w:rPr>
              <w:t>թափուր հաստիքները հիմնականում համալրված են։</w:t>
            </w:r>
            <w:r>
              <w:rPr>
                <w:b/>
                <w:bCs/>
                <w:lang w:val="hy-AM"/>
              </w:rPr>
              <w:t xml:space="preserve"> </w:t>
            </w:r>
            <w:r>
              <w:t xml:space="preserve"> Մյուս վարչություններում </w:t>
            </w:r>
            <w:r>
              <w:lastRenderedPageBreak/>
              <w:t>թափուր հաստիքների համալրման նպատակով հայտարարված են համապատասխան մրցույթներ,</w:t>
            </w:r>
            <w:r w:rsidR="00C22B2F">
              <w:rPr>
                <w:b/>
                <w:bCs/>
              </w:rPr>
              <w:tab/>
            </w:r>
            <w:r>
              <w:t xml:space="preserve"> որոնց մասնակցության համար միջինում դիմել է 10 անձ, ինչը հիմք է տալիս ենթադրելու, որ նշված հաստիքները առաջիկայում նույնպես կհամալրվեն։</w:t>
            </w:r>
          </w:p>
          <w:p w14:paraId="5AA9858D" w14:textId="1DC4C3DE" w:rsidR="00865D7A" w:rsidRDefault="00865D7A" w:rsidP="00865D7A">
            <w:pPr>
              <w:spacing w:after="0" w:line="360" w:lineRule="auto"/>
              <w:ind w:right="105"/>
              <w:jc w:val="both"/>
            </w:pPr>
            <w:r>
              <w:t>Այս առումով հարկ է ընդգծել, որ թափուր հաստիքների առկայությունը պայմանավորված է աշխատանքային ծանրաբեռնվածության և վարձատրության անհամաչափությամբ, որը հանգեցնում է կադրերի բարձր հոսելիության: Հանձնաժողովը յուրաքանչյուր թափուր հաստիքի համար տարեկան հայտարարում է միջինում 3–4, իսկ որոշ դեպքերում՝ 4–5 մրցույթ, ինչը վկայում է համալրման գործընթացի հետևողական իրականացման մասին։ Այնուամենայնիվ, նոր աշխատակիցները, ծանոթանալով աշխատանքի իրական ծավալին, պատասխանատվության մակարդակին և վարձատրության պայմաններին, հաճախ հրաժարվում են Հանձնաժողովում աշխատանքը շարունակելուց:</w:t>
            </w:r>
          </w:p>
          <w:p w14:paraId="6E92CA16" w14:textId="77777777" w:rsidR="00865D7A" w:rsidRDefault="00865D7A" w:rsidP="00865D7A">
            <w:pPr>
              <w:spacing w:after="0" w:line="360" w:lineRule="auto"/>
              <w:ind w:left="90" w:right="105"/>
              <w:jc w:val="both"/>
            </w:pPr>
            <w:r>
              <w:t xml:space="preserve">Հարկ է նաև արձանագրել, որ վարչությունների ծանրաբեռնվածության խնդիրն ընթացիկ փուլում </w:t>
            </w:r>
            <w:r>
              <w:lastRenderedPageBreak/>
              <w:t>Հանձնաժողովը ժամանակավորապես լուծում է փորձագետների ներգրավման միջոցով։ Այդուհանդերձ, էական է, որ Հանձնաժողովի աշխատակիցներն ունենան հստակ ակնկալիք առ այն, որ գերծանրաբեռնված պայմաններում աշխատելն ունի ժամանակավոր բնույթ, և խնդիրը կլուծվի նոր հաստիքների տրամադրմամբ։</w:t>
            </w:r>
          </w:p>
          <w:p w14:paraId="105FA7C1" w14:textId="77777777" w:rsidR="00865D7A" w:rsidRDefault="00865D7A" w:rsidP="00865D7A">
            <w:pPr>
              <w:spacing w:after="0" w:line="360" w:lineRule="auto"/>
              <w:ind w:left="90" w:right="105"/>
              <w:jc w:val="both"/>
            </w:pPr>
            <w:r>
              <w:t xml:space="preserve">Հանձնաժողովի 6 փորձագետները և հայեցողական պաշտոններ զբաղեցնող աշխատակիցները փաստացի կցված են վարչություններին այն պայմաններում, երբ Հանձնաժողովի կառուցվածքում առկա չեն առանձին հաստիքներ որոշ օժանդակ գործառույթների համար (արտաքին կապերի, հանրային հաղորդակցության և այլ ոլորտներում): Նշված հանգամանքն, իր հերթին, բացասաբար է ազդում ինչպես Հանձնաժողովի աշխատանքների կազմակերպման արդյունավետության, այնպես էլ Հանձնաժողովի անդամների աշխատանքային ծանրաբեռնվածության վրա: </w:t>
            </w:r>
          </w:p>
          <w:p w14:paraId="40B35108" w14:textId="77777777" w:rsidR="00865D7A" w:rsidRDefault="00865D7A" w:rsidP="00865D7A">
            <w:pPr>
              <w:spacing w:after="0" w:line="360" w:lineRule="auto"/>
              <w:ind w:left="90" w:right="105"/>
              <w:jc w:val="both"/>
            </w:pPr>
            <w:r>
              <w:t xml:space="preserve">Հետևաբար, վերոնշյալ հանգամանքների համատեքստում նոր հաստիքների տրամադրումը չպետք է դիտարկել որպես առկա թափուր հաստիքների համալրման այլընտրանք, այլ որպես գործիք՝ ծանրաբեռնվածության նվազեցման միջոցով </w:t>
            </w:r>
            <w:r>
              <w:lastRenderedPageBreak/>
              <w:t>հաստիքների համալրման գործընթացի արդյունավետության բարձրացման և աշխատողների հոսելիության նվազեցման համար։ Նոր հաստիքների ավելացումը հնարավորություն կտա հավասարակշռել գործառույթների բաշխումը և ապահովել Հանձնաժողովի գործառույթների առավել արդյունավետ իրականացումը։</w:t>
            </w:r>
          </w:p>
          <w:p w14:paraId="209AD2B9" w14:textId="0A87194C" w:rsidR="00865D7A" w:rsidRDefault="00865D7A" w:rsidP="00865D7A">
            <w:pPr>
              <w:spacing w:after="0" w:line="360" w:lineRule="auto"/>
              <w:ind w:right="105"/>
              <w:jc w:val="both"/>
            </w:pPr>
            <w:r>
              <w:t xml:space="preserve">Գործառույթների օպտիմալացման տեսանկյունից կարևոր է հաշվի առնել այն հանգամանքը, որ «Կոռուպցիայի կանխարգելման հանձնաժողովի մասին» օրենքով </w:t>
            </w:r>
            <w:r>
              <w:rPr>
                <w:b/>
                <w:bCs/>
              </w:rPr>
              <w:t>Հանձնաժողովին վերապահված է 36 լիազորություն,</w:t>
            </w:r>
            <w:r>
              <w:t xml:space="preserve"> մինչդեռ կառույցում առկա քաղաքացիական ծառայության հաստիքների թիվը գրեթե համարժեք է նշված լիազորությունների քանակին։ Նման պայմաններում յուրաքանչյուր քաղաքացիական ծառայողի բաժին է ընկնում մեկ լիազորության իրականացում, ինչը հնարավոր չէ հավասարակշռել թվայնացման կամ օպտիմալացման այլ գործիքների կիրառմամբ։</w:t>
            </w:r>
          </w:p>
          <w:p w14:paraId="2CB13176" w14:textId="77777777" w:rsidR="00865D7A" w:rsidRDefault="00865D7A" w:rsidP="00865D7A">
            <w:pPr>
              <w:spacing w:after="0" w:line="360" w:lineRule="auto"/>
              <w:ind w:left="90" w:right="105"/>
              <w:jc w:val="both"/>
              <w:rPr>
                <w:b/>
                <w:bCs/>
                <w:i/>
                <w:iCs/>
              </w:rPr>
            </w:pPr>
            <w:r>
              <w:rPr>
                <w:b/>
                <w:bCs/>
                <w:i/>
                <w:iCs/>
              </w:rPr>
              <w:t>Հանձնաժողովի կողմից իրականացվող թվայնացման գործընթացների առնչությամբ հարկ է նշել հետևյալը․</w:t>
            </w:r>
          </w:p>
          <w:p w14:paraId="24C34C6B" w14:textId="77777777" w:rsidR="00865D7A" w:rsidRDefault="00865D7A" w:rsidP="00865D7A">
            <w:pPr>
              <w:spacing w:after="0" w:line="360" w:lineRule="auto"/>
              <w:ind w:left="90" w:right="105"/>
              <w:jc w:val="both"/>
            </w:pPr>
            <w:r>
              <w:lastRenderedPageBreak/>
              <w:t>2025 թվականի սեպտեմբերի 20-ին Հանձնաժողովը Տեղեկատվական համակարգերի կառավարման խորհրդի նիստում ներկայացրել է թվայնացման օրակարգը, որը ներառում է՝ հայտարարագրման համակարգի սպասարկման պայմանագիրը, բարեվարքության հարցաթերթիկի թվայնացումը, հայտարարագրերի հրապարակային ռեեստրում ընտանեկան կապերի արտացոլումը, 2011–2021 թվականների հայտարարագրերում ուղղումներ կատարելու հնարավորության ապահովումը, նվերների հաշվառման ռեեստրի կառուցումը, ինչպես նաև ռիսկերի ավտոմատացված վերլուծության գործիքների ներդրումը։</w:t>
            </w:r>
          </w:p>
          <w:p w14:paraId="73576276" w14:textId="77777777" w:rsidR="00865D7A" w:rsidRDefault="00865D7A" w:rsidP="00865D7A">
            <w:pPr>
              <w:spacing w:after="0" w:line="360" w:lineRule="auto"/>
              <w:ind w:left="90" w:right="105"/>
              <w:jc w:val="both"/>
            </w:pPr>
            <w:r>
              <w:t>Թվայնացման խորհրդի նիստի արդյունքներով՝ «Հայաստանի Հանրապետության 2026 թվականի պետական բյուջեի կատարումն ապահովող միջոցառումների մասին» ՀՀ կառավարության 2025 թվականի N 1910-Ն որոշման N 5 հավելվածի 2-րդ աղյուսակով՝ 1235 ծրագրի 31001 «Միասնական թվային միջավայրի ձևավորում» միջոցառմամբ նախատեսվել է 164,939,000 ՀՀ դրամ, Կոռուպցիայի կանխարգելման հանձնաժողովը նշելով որպես կատարող։</w:t>
            </w:r>
          </w:p>
          <w:p w14:paraId="7A692E8B" w14:textId="77777777" w:rsidR="00865D7A" w:rsidRDefault="00865D7A" w:rsidP="00865D7A">
            <w:pPr>
              <w:spacing w:after="0" w:line="360" w:lineRule="auto"/>
              <w:ind w:left="90" w:right="105"/>
              <w:jc w:val="both"/>
              <w:rPr>
                <w:b/>
                <w:bCs/>
              </w:rPr>
            </w:pPr>
            <w:r>
              <w:lastRenderedPageBreak/>
              <w:t xml:space="preserve">Նշված միջոցներով նախատեսվող թվայնացման լուծումները հիմնականում ունեն արտաքին ազդեցություն և միտված են </w:t>
            </w:r>
            <w:r>
              <w:rPr>
                <w:b/>
                <w:bCs/>
              </w:rPr>
              <w:t>Հանձնաժողովի գործառույթների շահառուների համար վարչարարության պարզեցմանը և ծառայությունների մատչելիության բարձրացմանը։ Այդ միջոցառումները չեն հանգեցնում Հանձնաժողովի կողմից իրականացվող գործառույթների ծավալի կրճատմանը։</w:t>
            </w:r>
          </w:p>
          <w:p w14:paraId="302B7712" w14:textId="77777777" w:rsidR="00865D7A" w:rsidRDefault="00865D7A" w:rsidP="00865D7A">
            <w:pPr>
              <w:spacing w:after="0" w:line="360" w:lineRule="auto"/>
              <w:ind w:left="90" w:right="105"/>
              <w:jc w:val="both"/>
            </w:pPr>
            <w:r>
              <w:t>Ներքին ազդեցություն ունեցող թվայնացման միակ բաղադրիչը վերաբերում է հայտարարագրերի վերլուծության գործընթացում ռիսկերի վերհանմանը, որի դեպքում ևս վերլուծական աշխատանքի բաղադրիչը պետք է իրականացվի Հանձնաժողովի աշխատակիցների կողմից՝ առանց դրանց ամբողջական ավտոմատացման կամ փոխանցման թվային գործիքներին։ Անձնական տվյալների մեծածավալ մշակման առանձնահատկություններով, ինչպես նաև մշակվող տեղեկատվության բնույթով պայմանավորված՝ նպատակահարմար և գործնականում արդյունավետ չէ այդ գործառույթների ամբողջական փոխանցումը արհեստական բանականության գործիքներին։</w:t>
            </w:r>
          </w:p>
          <w:p w14:paraId="52A151EE" w14:textId="6BEA1AEE" w:rsidR="00C22B2F" w:rsidRPr="00865D7A" w:rsidRDefault="00865D7A" w:rsidP="00865D7A">
            <w:pPr>
              <w:spacing w:after="0" w:line="360" w:lineRule="auto"/>
              <w:ind w:right="105"/>
              <w:jc w:val="both"/>
            </w:pPr>
            <w:r>
              <w:lastRenderedPageBreak/>
              <w:t>Այսպիսով, այն գործառույթների դեպքում, որոնց իրականացման համար Նախագծով առաջարկվում է նախատեսել նոր հաստիքներ, թվայնացումը հնարավոր է միայն մասնակի: Ուստի, ներկայում նոր հաստիքների անհրաժեշտությունն ուղիղ կապ չունի Հանձնաժողովի կողմից իրականացվող թվայնացման գործընթացների հետ և շարունակում է մնալ հիմնավորված՝ Հանձնաժողովի գործառույթների ծավալով և բովանդակությամբ պայմանավորված։</w:t>
            </w:r>
          </w:p>
        </w:tc>
      </w:tr>
      <w:tr w:rsidR="00C22B2F" w14:paraId="1A206622" w14:textId="77777777" w:rsidTr="00C22B2F">
        <w:trPr>
          <w:gridAfter w:val="1"/>
          <w:wAfter w:w="59" w:type="dxa"/>
          <w:trHeight w:val="330"/>
        </w:trPr>
        <w:tc>
          <w:tcPr>
            <w:tcW w:w="8285" w:type="dxa"/>
            <w:vMerge w:val="restart"/>
            <w:tcBorders>
              <w:top w:val="single" w:sz="6" w:space="0" w:color="000000"/>
              <w:left w:val="single" w:sz="6" w:space="0" w:color="000000"/>
              <w:bottom w:val="single" w:sz="6" w:space="0" w:color="000000"/>
              <w:right w:val="single" w:sz="6" w:space="0" w:color="000000"/>
            </w:tcBorders>
            <w:shd w:val="clear" w:color="auto" w:fill="CCCCCC"/>
          </w:tcPr>
          <w:p w14:paraId="669E39AB" w14:textId="77777777" w:rsidR="00C22B2F" w:rsidRDefault="00C22B2F" w:rsidP="00C22B2F">
            <w:pPr>
              <w:pBdr>
                <w:top w:val="nil"/>
                <w:left w:val="nil"/>
                <w:bottom w:val="nil"/>
                <w:right w:val="nil"/>
                <w:between w:val="nil"/>
              </w:pBdr>
              <w:tabs>
                <w:tab w:val="left" w:pos="5253"/>
              </w:tabs>
              <w:spacing w:after="0" w:line="360" w:lineRule="auto"/>
              <w:ind w:left="90" w:right="105" w:firstLine="90"/>
              <w:jc w:val="center"/>
              <w:rPr>
                <w:b/>
                <w:bCs/>
              </w:rPr>
            </w:pPr>
            <w:r>
              <w:rPr>
                <w:b/>
                <w:bCs/>
              </w:rPr>
              <w:lastRenderedPageBreak/>
              <w:t>3. Վարչապետի աշխատակազմի քաղաքացիական ծառայության գրասենյակ</w:t>
            </w:r>
          </w:p>
        </w:tc>
        <w:tc>
          <w:tcPr>
            <w:tcW w:w="7036" w:type="dxa"/>
            <w:tcBorders>
              <w:top w:val="single" w:sz="6" w:space="0" w:color="000000"/>
              <w:left w:val="single" w:sz="6" w:space="0" w:color="000000"/>
              <w:bottom w:val="single" w:sz="6" w:space="0" w:color="000000"/>
              <w:right w:val="single" w:sz="6" w:space="0" w:color="000000"/>
            </w:tcBorders>
            <w:shd w:val="clear" w:color="auto" w:fill="D0D0D0"/>
          </w:tcPr>
          <w:p w14:paraId="5F1740DE" w14:textId="3E90503D" w:rsidR="00C22B2F" w:rsidRDefault="00C514B4" w:rsidP="00C22B2F">
            <w:pPr>
              <w:tabs>
                <w:tab w:val="left" w:pos="5253"/>
              </w:tabs>
              <w:spacing w:after="0" w:line="360" w:lineRule="auto"/>
              <w:jc w:val="center"/>
              <w:rPr>
                <w:b/>
                <w:bCs/>
              </w:rPr>
            </w:pPr>
            <w:r>
              <w:rPr>
                <w:b/>
                <w:bCs/>
              </w:rPr>
              <w:t>30</w:t>
            </w:r>
            <w:r w:rsidR="00C22B2F">
              <w:rPr>
                <w:b/>
                <w:bCs/>
              </w:rPr>
              <w:t>.04.2026թ.</w:t>
            </w:r>
          </w:p>
        </w:tc>
      </w:tr>
      <w:tr w:rsidR="00C22B2F" w14:paraId="300FB0BA" w14:textId="77777777" w:rsidTr="00C22B2F">
        <w:trPr>
          <w:gridAfter w:val="1"/>
          <w:wAfter w:w="59" w:type="dxa"/>
          <w:trHeight w:val="236"/>
        </w:trPr>
        <w:tc>
          <w:tcPr>
            <w:tcW w:w="8285" w:type="dxa"/>
            <w:vMerge/>
            <w:tcBorders>
              <w:top w:val="single" w:sz="6" w:space="0" w:color="000000"/>
              <w:left w:val="single" w:sz="6" w:space="0" w:color="000000"/>
              <w:bottom w:val="single" w:sz="6" w:space="0" w:color="000000"/>
              <w:right w:val="single" w:sz="6" w:space="0" w:color="000000"/>
            </w:tcBorders>
            <w:shd w:val="clear" w:color="auto" w:fill="CCCCCC"/>
          </w:tcPr>
          <w:p w14:paraId="67FAE5E3" w14:textId="77777777" w:rsidR="00C22B2F" w:rsidRDefault="00C22B2F" w:rsidP="00C22B2F">
            <w:pPr>
              <w:widowControl w:val="0"/>
              <w:pBdr>
                <w:top w:val="nil"/>
                <w:left w:val="nil"/>
                <w:bottom w:val="nil"/>
                <w:right w:val="nil"/>
                <w:between w:val="nil"/>
              </w:pBdr>
              <w:spacing w:after="0"/>
              <w:rPr>
                <w:b/>
                <w:bCs/>
              </w:rPr>
            </w:pPr>
          </w:p>
        </w:tc>
        <w:tc>
          <w:tcPr>
            <w:tcW w:w="7036" w:type="dxa"/>
            <w:tcBorders>
              <w:top w:val="single" w:sz="6" w:space="0" w:color="000000"/>
              <w:left w:val="single" w:sz="6" w:space="0" w:color="000000"/>
              <w:bottom w:val="single" w:sz="6" w:space="0" w:color="000000"/>
              <w:right w:val="single" w:sz="6" w:space="0" w:color="000000"/>
            </w:tcBorders>
            <w:shd w:val="clear" w:color="auto" w:fill="D0D0D0"/>
          </w:tcPr>
          <w:p w14:paraId="1F5236DE" w14:textId="1F21E6B7" w:rsidR="00C22B2F" w:rsidRDefault="00C22B2F" w:rsidP="00C22B2F">
            <w:pPr>
              <w:spacing w:after="0"/>
              <w:ind w:left="90" w:firstLine="90"/>
              <w:jc w:val="center"/>
            </w:pPr>
            <w:r>
              <w:rPr>
                <w:b/>
                <w:bCs/>
              </w:rPr>
              <w:t xml:space="preserve">N </w:t>
            </w:r>
            <w:bookmarkStart w:id="1" w:name="_GoBack"/>
            <w:r w:rsidR="00C514B4">
              <w:rPr>
                <w:b/>
                <w:bCs/>
                <w:color w:val="00000A"/>
              </w:rPr>
              <w:t>02/09.10/9747</w:t>
            </w:r>
            <w:r>
              <w:rPr>
                <w:b/>
                <w:bCs/>
                <w:color w:val="00000A"/>
              </w:rPr>
              <w:t xml:space="preserve">-2026 </w:t>
            </w:r>
            <w:bookmarkEnd w:id="1"/>
          </w:p>
        </w:tc>
      </w:tr>
      <w:tr w:rsidR="00C22B2F" w14:paraId="2875D8C8" w14:textId="77777777" w:rsidTr="00C22B2F">
        <w:trPr>
          <w:gridAfter w:val="1"/>
          <w:wAfter w:w="59" w:type="dxa"/>
          <w:trHeight w:val="3608"/>
        </w:trPr>
        <w:tc>
          <w:tcPr>
            <w:tcW w:w="8285" w:type="dxa"/>
            <w:tcBorders>
              <w:top w:val="single" w:sz="6" w:space="0" w:color="999999"/>
              <w:left w:val="single" w:sz="6" w:space="0" w:color="000000"/>
              <w:bottom w:val="single" w:sz="6" w:space="0" w:color="000000"/>
              <w:right w:val="single" w:sz="6" w:space="0" w:color="000000"/>
            </w:tcBorders>
            <w:shd w:val="clear" w:color="auto" w:fill="FFFFFF"/>
          </w:tcPr>
          <w:p w14:paraId="64FB8D62" w14:textId="77777777" w:rsidR="00C22B2F" w:rsidRDefault="00C22B2F" w:rsidP="00C22B2F">
            <w:pPr>
              <w:tabs>
                <w:tab w:val="left" w:pos="5253"/>
              </w:tabs>
              <w:spacing w:after="0" w:line="360" w:lineRule="auto"/>
              <w:jc w:val="both"/>
            </w:pPr>
            <w:r>
              <w:t xml:space="preserve">1. «Հայաստանի Հանրապետության կառավարության 2020 թվականի սեպտեմբերի 10-ի թիվ 1500-Ա որոշման մեջ փոփոխություն կատարելու մասին» Կառավարության որոշման նախագծով (այսուհետ՝ Նախագիծ) առաջարկվում է փոփոխություններ կատարել Կոռուպցիայի կանխարգելման հանձնաժողովի (այսուհետ՝ Հանձնաժողով) հաստիքացուցակում։ Նախագծի ընդունման արդյունքում առաջանալու է Հանձնաժողովի կանոնադրության մեջ համապատասխան փոփոխություններ կատարելու անհրաժեշտություն: Միևնույն ժամանակ հարկ է արձանագրել, որ Հանձնաժողովի կանոնադրությամբ դեռևս չեն </w:t>
            </w:r>
            <w:r>
              <w:lastRenderedPageBreak/>
              <w:t>իրականացվել Նախագծով առաջարկվող փոփոխություններին համապատասխան կառուցվածքային փոփոխությունները։</w:t>
            </w:r>
          </w:p>
          <w:p w14:paraId="216BE330" w14:textId="77777777" w:rsidR="00C22B2F" w:rsidRDefault="00C22B2F" w:rsidP="00C22B2F">
            <w:pPr>
              <w:tabs>
                <w:tab w:val="left" w:pos="5253"/>
              </w:tabs>
              <w:spacing w:after="0" w:line="360" w:lineRule="auto"/>
              <w:jc w:val="both"/>
              <w:rPr>
                <w:b/>
                <w:bCs/>
              </w:rPr>
            </w:pPr>
            <w:r>
              <w:t>Հաշվի առնելով նախագծերով առաջարկվող փոփոխությունների բովանդակությունը և տրամաբանական հաջորդականությունը, ինչպես նաև նախագծերի՝ տարբեր իրավասուբյեկտների կողմից տարբեր ընթացակարգերով ընդունվելու հանգամանքը, գործընթացի իրավական շարունակականությունն ապահովելու նպատակով անհրաժեշտ է Կառավարության որոշման նախագծի, Վարչապետի որոշման նախագծի և Հանձնաժողովի կանոնադրության համար սահմանել միևնույն ժամկետում (նույն օրը) ուժի մեջ մտնելու դրույթներ:</w:t>
            </w:r>
          </w:p>
        </w:tc>
        <w:tc>
          <w:tcPr>
            <w:tcW w:w="7036" w:type="dxa"/>
            <w:tcBorders>
              <w:top w:val="single" w:sz="6" w:space="0" w:color="000000"/>
              <w:left w:val="single" w:sz="6" w:space="0" w:color="000000"/>
              <w:bottom w:val="single" w:sz="6" w:space="0" w:color="000000"/>
              <w:right w:val="single" w:sz="6" w:space="0" w:color="000000"/>
            </w:tcBorders>
            <w:shd w:val="clear" w:color="auto" w:fill="FFFFFF"/>
          </w:tcPr>
          <w:p w14:paraId="42F76235" w14:textId="77777777" w:rsidR="00C22B2F" w:rsidRDefault="00C22B2F" w:rsidP="00C22B2F">
            <w:pPr>
              <w:spacing w:after="0" w:line="360" w:lineRule="auto"/>
              <w:ind w:left="90" w:right="105" w:firstLine="90"/>
              <w:jc w:val="center"/>
              <w:rPr>
                <w:b/>
                <w:bCs/>
              </w:rPr>
            </w:pPr>
            <w:r>
              <w:rPr>
                <w:b/>
                <w:bCs/>
              </w:rPr>
              <w:lastRenderedPageBreak/>
              <w:t>Ընդունվել է</w:t>
            </w:r>
          </w:p>
          <w:p w14:paraId="277F66D1" w14:textId="77777777" w:rsidR="00C22B2F" w:rsidRDefault="00C22B2F" w:rsidP="00C22B2F">
            <w:pPr>
              <w:tabs>
                <w:tab w:val="left" w:pos="5253"/>
              </w:tabs>
              <w:spacing w:after="0" w:line="360" w:lineRule="auto"/>
              <w:ind w:left="90" w:right="105" w:firstLine="90"/>
              <w:jc w:val="both"/>
            </w:pPr>
            <w:r>
              <w:t>Նախագծում կատարվել է համապատասխան փոփոխություն:</w:t>
            </w:r>
          </w:p>
          <w:p w14:paraId="1C603204" w14:textId="27FCF2F5" w:rsidR="00941C20" w:rsidRDefault="00941C20" w:rsidP="00C22B2F">
            <w:pPr>
              <w:tabs>
                <w:tab w:val="left" w:pos="5253"/>
              </w:tabs>
              <w:spacing w:after="0" w:line="360" w:lineRule="auto"/>
              <w:ind w:left="90" w:right="105" w:firstLine="90"/>
              <w:jc w:val="both"/>
            </w:pPr>
            <w:r>
              <w:t xml:space="preserve">Ընդ որում, հաշվի առնելով, որ դիտարկումը վերաբերում էր նաև «Հայաստանի Հանրապետության վարչապետի 2018 թվականի հունիսի 11-ի թիվ 706-Ա որոշման մեջ փոփոխություն կատարելու մասին» </w:t>
            </w:r>
            <w:r w:rsidR="00556E95">
              <w:t>վ</w:t>
            </w:r>
            <w:r>
              <w:t xml:space="preserve">արչապետի որոշման </w:t>
            </w:r>
            <w:r w:rsidR="00556E95">
              <w:t>ուժի մեջ մտնելուն՝ տվյալ նախագծում ևս կատարվել է համապատասխան փոփոխություն:</w:t>
            </w:r>
          </w:p>
          <w:p w14:paraId="5D98386A" w14:textId="77777777" w:rsidR="00C22B2F" w:rsidRDefault="00C22B2F" w:rsidP="00C22B2F">
            <w:pPr>
              <w:spacing w:after="0" w:line="360" w:lineRule="auto"/>
              <w:ind w:left="90" w:right="105" w:firstLine="90"/>
              <w:jc w:val="both"/>
              <w:rPr>
                <w:b/>
                <w:bCs/>
              </w:rPr>
            </w:pPr>
          </w:p>
          <w:p w14:paraId="33B92834" w14:textId="77777777" w:rsidR="00C22B2F" w:rsidRDefault="00C22B2F" w:rsidP="00C22B2F">
            <w:pPr>
              <w:spacing w:after="0" w:line="360" w:lineRule="auto"/>
              <w:ind w:left="90" w:right="105" w:firstLine="90"/>
              <w:jc w:val="center"/>
              <w:rPr>
                <w:b/>
                <w:bCs/>
              </w:rPr>
            </w:pPr>
          </w:p>
          <w:p w14:paraId="614829BB" w14:textId="77777777" w:rsidR="00C22B2F" w:rsidRDefault="00C22B2F" w:rsidP="00C22B2F">
            <w:pPr>
              <w:spacing w:after="0" w:line="360" w:lineRule="auto"/>
              <w:ind w:left="90" w:right="105" w:firstLine="90"/>
              <w:rPr>
                <w:b/>
                <w:bCs/>
              </w:rPr>
            </w:pPr>
          </w:p>
        </w:tc>
      </w:tr>
    </w:tbl>
    <w:p w14:paraId="4C0A2F12" w14:textId="77777777" w:rsidR="00EA1BE9" w:rsidRDefault="00EA1BE9">
      <w:pPr>
        <w:tabs>
          <w:tab w:val="left" w:pos="3765"/>
        </w:tabs>
        <w:spacing w:after="0"/>
      </w:pPr>
    </w:p>
    <w:sectPr w:rsidR="00EA1BE9">
      <w:footerReference w:type="default" r:id="rId8"/>
      <w:pgSz w:w="16838" w:h="11906" w:orient="landscape"/>
      <w:pgMar w:top="709" w:right="1134" w:bottom="1134" w:left="1134" w:header="709"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A276F7" w14:textId="77777777" w:rsidR="00547406" w:rsidRDefault="00547406">
      <w:pPr>
        <w:spacing w:after="0" w:line="240" w:lineRule="auto"/>
      </w:pPr>
      <w:r>
        <w:separator/>
      </w:r>
    </w:p>
  </w:endnote>
  <w:endnote w:type="continuationSeparator" w:id="0">
    <w:p w14:paraId="78C0B878" w14:textId="77777777" w:rsidR="00547406" w:rsidRDefault="00547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embedRegular r:id="rId1" w:fontKey="{E2855C65-0D45-4E76-99CA-D322A0B54140}"/>
    <w:embedBoldItalic r:id="rId2" w:fontKey="{034A06CD-D97C-46E3-8FC1-60DBCE9A677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E9907284-312E-46C5-BC9D-9793486C715D}"/>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4" w:fontKey="{8AACEF88-2871-42F7-B78E-29BB625B04E7}"/>
  </w:font>
  <w:font w:name="Cambria">
    <w:panose1 w:val="02040503050406030204"/>
    <w:charset w:val="00"/>
    <w:family w:val="roman"/>
    <w:pitch w:val="variable"/>
    <w:sig w:usb0="A00002EF" w:usb1="4000004B" w:usb2="00000000" w:usb3="00000000" w:csb0="0000019F" w:csb1="00000000"/>
    <w:embedRegular r:id="rId5" w:fontKey="{C3BDFC79-F607-48ED-8046-9D335520303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2ED9D" w14:textId="76005417" w:rsidR="00EA1BE9" w:rsidRDefault="00253E4B">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14B4">
      <w:rPr>
        <w:noProof/>
        <w:color w:val="000000"/>
      </w:rPr>
      <w:t>15</w:t>
    </w:r>
    <w:r>
      <w:rPr>
        <w:color w:val="000000"/>
      </w:rPr>
      <w:fldChar w:fldCharType="end"/>
    </w:r>
  </w:p>
  <w:p w14:paraId="4332AC87" w14:textId="77777777" w:rsidR="00EA1BE9" w:rsidRDefault="00EA1BE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03C7F1" w14:textId="77777777" w:rsidR="00547406" w:rsidRDefault="00547406">
      <w:pPr>
        <w:spacing w:after="0" w:line="240" w:lineRule="auto"/>
      </w:pPr>
      <w:r>
        <w:separator/>
      </w:r>
    </w:p>
  </w:footnote>
  <w:footnote w:type="continuationSeparator" w:id="0">
    <w:p w14:paraId="434C3E2C" w14:textId="77777777" w:rsidR="00547406" w:rsidRDefault="005474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BE9"/>
    <w:rsid w:val="00253E4B"/>
    <w:rsid w:val="00547406"/>
    <w:rsid w:val="00556E95"/>
    <w:rsid w:val="00865D7A"/>
    <w:rsid w:val="00941C20"/>
    <w:rsid w:val="00980A14"/>
    <w:rsid w:val="00C22B2F"/>
    <w:rsid w:val="00C514B4"/>
    <w:rsid w:val="00EA1BE9"/>
    <w:rsid w:val="00FA74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7F437"/>
  <w15:docId w15:val="{4A025450-D856-4580-9382-7000702F2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GHEA Grapalat" w:hAnsi="GHEA Grapalat" w:cs="GHEA Grapalat"/>
        <w:sz w:val="24"/>
        <w:szCs w:val="24"/>
        <w:lang w:val="hy"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2B2F"/>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40" w:line="259" w:lineRule="auto"/>
      <w:ind w:left="720" w:right="720"/>
      <w:jc w:val="both"/>
      <w:outlineLvl w:val="1"/>
    </w:pPr>
    <w:rPr>
      <w:rFonts w:ascii="Calibri" w:eastAsia="Calibri" w:hAnsi="Calibri" w:cs="Calibri"/>
      <w:b/>
      <w:bCs/>
      <w:i/>
      <w:iCs/>
      <w:color w:val="2E74B5"/>
    </w:rPr>
  </w:style>
  <w:style w:type="paragraph" w:styleId="Heading3">
    <w:name w:val="heading 3"/>
    <w:basedOn w:val="Normal"/>
    <w:next w:val="Normal"/>
    <w:uiPriority w:val="9"/>
    <w:semiHidden/>
    <w:unhideWhenUsed/>
    <w:qFormat/>
    <w:pPr>
      <w:keepNext/>
      <w:keepLines/>
      <w:spacing w:before="40" w:after="0"/>
      <w:outlineLvl w:val="2"/>
    </w:pPr>
    <w:rPr>
      <w:rFonts w:ascii="Calibri" w:eastAsia="Calibri" w:hAnsi="Calibri" w:cs="Calibri"/>
      <w:color w:val="1F3863"/>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paragraph" w:styleId="Header">
    <w:name w:val="header"/>
    <w:basedOn w:val="Normal"/>
    <w:link w:val="HeaderChar"/>
    <w:uiPriority w:val="99"/>
    <w:unhideWhenUsed/>
    <w:rsid w:val="00C22B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B2F"/>
  </w:style>
  <w:style w:type="paragraph" w:styleId="Footer">
    <w:name w:val="footer"/>
    <w:basedOn w:val="Normal"/>
    <w:link w:val="FooterChar"/>
    <w:uiPriority w:val="99"/>
    <w:unhideWhenUsed/>
    <w:rsid w:val="00C22B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B2F"/>
  </w:style>
  <w:style w:type="paragraph" w:styleId="ListParagraph">
    <w:name w:val="List Paragraph"/>
    <w:basedOn w:val="Normal"/>
    <w:uiPriority w:val="34"/>
    <w:qFormat/>
    <w:rsid w:val="00C22B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yZo9Xu66PlTwUliHGl2Cvqnerw==">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106C565-576A-4A7A-9777-F2B325D07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18</Pages>
  <Words>3487</Words>
  <Characters>19881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https://mul2.cpcarmenia.am/tasks/65248/oneclick?token=fbbc9583fa1c8c9192ca52e91422dcac</cp:keywords>
  <cp:lastModifiedBy>Qnarik Mkrtchyan</cp:lastModifiedBy>
  <cp:revision>4</cp:revision>
  <dcterms:created xsi:type="dcterms:W3CDTF">2026-04-06T12:09:00Z</dcterms:created>
  <dcterms:modified xsi:type="dcterms:W3CDTF">2026-04-28T13:31:00Z</dcterms:modified>
</cp:coreProperties>
</file>