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</w:t>
      </w:r>
      <w:r w:rsidR="000C46BD">
        <w:rPr>
          <w:rFonts w:ascii="GHEA Grapalat" w:hAnsi="GHEA Grapalat" w:cs="Sylfaen"/>
          <w:b/>
          <w:bCs/>
          <w:sz w:val="24"/>
          <w:szCs w:val="24"/>
          <w:lang w:eastAsia="ru-RU"/>
        </w:rPr>
        <w:t>6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ՊԵՏԱԿԱՆ ԲՅՈՒՋԵԻ ՄԱՍԻՆ» ՕՐԵՆՔՈՒՄ ՎԵՐԱԲԱՇԽՈՒՄ,</w:t>
      </w:r>
      <w:r w:rsidR="00860C08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ՀԱՅԱՍՏԱՆԻ ՀԱՆՐԱՊԵՏՈՒԹՅԱՆ ԿԱՌԱՎԱՐՈՒԹՅԱՆ 20</w:t>
      </w:r>
      <w:r w:rsidR="00860C08">
        <w:rPr>
          <w:rFonts w:ascii="GHEA Grapalat" w:hAnsi="GHEA Grapalat" w:cs="Sylfaen"/>
          <w:b/>
          <w:bCs/>
          <w:sz w:val="24"/>
          <w:szCs w:val="24"/>
          <w:lang w:eastAsia="ru-RU"/>
        </w:rPr>
        <w:t>25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ԴԵԿՏԵՄԲԵՐԻ 2</w:t>
      </w:r>
      <w:r w:rsidR="00860C08">
        <w:rPr>
          <w:rFonts w:ascii="GHEA Grapalat" w:hAnsi="GHEA Grapalat" w:cs="Sylfaen"/>
          <w:b/>
          <w:bCs/>
          <w:sz w:val="24"/>
          <w:szCs w:val="24"/>
          <w:lang w:eastAsia="ru-RU"/>
        </w:rPr>
        <w:t>5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-Ի N </w:t>
      </w:r>
      <w:r w:rsidR="00860C08">
        <w:rPr>
          <w:rFonts w:ascii="GHEA Grapalat" w:hAnsi="GHEA Grapalat" w:cs="Sylfaen"/>
          <w:b/>
          <w:bCs/>
          <w:sz w:val="24"/>
          <w:szCs w:val="24"/>
          <w:lang w:eastAsia="ru-RU"/>
        </w:rPr>
        <w:t>1910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-Ն ՈՐՈՇՄԱՆ ՄԵՋ ՓՈՓՈԽՈՒԹՅՈՒՆՆԵՐ ԿԱՏԱՐԵԼՈՒ ՄԱՍԻՆ»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B5450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DE614B" w:rsidRPr="00DE614B" w:rsidRDefault="00DE614B" w:rsidP="00DE614B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614B">
        <w:rPr>
          <w:rFonts w:ascii="GHEA Grapalat" w:hAnsi="GHEA Grapalat"/>
          <w:sz w:val="24"/>
          <w:szCs w:val="24"/>
          <w:lang w:val="hy-AM"/>
        </w:rPr>
        <w:t>Հայաստանի Հանրապետության 2026 թվականի պետական բյուջեով Արդարադատության նախարարությանը հատկացվել են ֆինանսական միջոցներ «1057. Արդարադատության ոլորտում քաղաքականության մշակում, ծրագրերի համակարգում, խորհրդատվության և մոնիտորինգի իրականացում» ծրագրի «11010. Աջակցություն օրենսդրության զարգացման և իրավական հետազոտությունների կենտրոնի գործունեությանը» միջոցառման շրջանակներում՝ 264,436,920 ՀՀ դրամ։ Տվյալ հատկացման հիման վրա Արդարադատության նախարարության և «Օրենսդրության զարգացման կենտրոն» հիմնադրամի միջև կնքվել է Պետության կողմից դրամաշնորհի ձևով տրամադրվող ֆինանսական աջակցության գումարների օգտագործման պայմանագիրը, որի շրջանակներում հիմնադրամը մատուցում է նախատեսված ծառայությունները։</w:t>
      </w:r>
    </w:p>
    <w:p w:rsidR="00DE614B" w:rsidRPr="00DE614B" w:rsidRDefault="00DE614B" w:rsidP="00DE614B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614B">
        <w:rPr>
          <w:rFonts w:ascii="GHEA Grapalat" w:hAnsi="GHEA Grapalat"/>
          <w:sz w:val="24"/>
          <w:szCs w:val="24"/>
          <w:lang w:val="hy-AM"/>
        </w:rPr>
        <w:t xml:space="preserve">Ըստ աշխատանքների իրականացման ընթացքի և նախատեսվող միջոցառումների բնույթի՝ պայմանագրով նախատեսված ծառայությունների շրջանակը ենթարկվել է փոփոխության և ընդլայնվել է՝ պայմանավորված նախարարության առաջնահերթությունների, ոլորտային բարեփոխումների առաջընթացի և մասնագիտական աջակցության մեծացման անհրաժեշտությամբ։ Այսպես, հիմնադրամը պայմանագրի շրջանակներում պարտավորվում է իրականացնել նաև լրացուցիչ ծառայություններ՝ ուղղված  արբիտրաժի ոլորտի զարգացման նպատակով միջոցառումների իրականացմանը և համապատասխան աշխատանքների համակարգմանը, այդ թվում՝ հանրային քննարկումների, ամենամյա արբիտրաժային շաբաթի և մասնագիտական </w:t>
      </w:r>
      <w:r w:rsidRPr="00DE614B">
        <w:rPr>
          <w:rFonts w:ascii="GHEA Grapalat" w:hAnsi="GHEA Grapalat"/>
          <w:sz w:val="24"/>
          <w:szCs w:val="24"/>
          <w:lang w:val="hy-AM"/>
        </w:rPr>
        <w:lastRenderedPageBreak/>
        <w:t>վերապատրաստումների կազմակերպում, ինչպես նաև հանրային իրազեկման ուղղությամբ աշխատանքների իրականացում։ Հայաստանում արբիտրաժի ոլորտի զարգացմանն ուղղված այս գործողությունը նպատակ ունի նպաստել արբիտրաժի՝ որպես վեճերի լուծման արդյունավետ, վստահելի և միջազգային լավագույն չափանիշներին համապատասխանող մեխանիզմի կայացմանը՝ միաժամանակ ամրապնդելով ոլորտի ինստիտուցիոնալ կարողությունները, մասնագիտական ներուժը և հանրային ճանաչելիությունը։ Գործողության շրջանակում նախատեսվում է կազմակերպել արբիտրաժի թեմայով հանրային և մասնագիտական քննարկումներ, որոնք կհամախմբեն պետական մարմինների ներկայացուցիչներին, մասնավոր հատվածին, իրավաբանական համայնքին, ակադեմիական շրջանակներին և միջազգային փորձագետներին՝ ոլորտի առկա մարտահրավերների, օրենսդրական զարգացումների և գործնական կիրառության հարցերի շուրջ կառուցողական երկխոսություն ապահովելու նպատակով։ Գործողության կարևոր բաղադրիչներից մեկը լինելու է ամենամյա Արբիտրաժային շաբաթի կազմակերպումը, որը կծառայի որպես ոլորտային առաջատար հարթակ՝ միջազգային և տեղական փորձագետների ու տարբեր ոլորտների ներկայացուցիչների միջև փորձի փոխանակման, նոր համագործակցությունների ձևավորման և Հայաստանի՝ որպես տարածաշրջանային արբիտրաժային կենտրոնի դիրքավորման համար։ Միևնույն ժամանակ կիրականացվեն թիրախավորված վերապատրաստումներ և աշխատաժողովներ։ Գործողությունը, ըստ անհրաժեշտության, կարող է ներառել նաև հանրային իրազեկման և հաղորդակցության միջոցառումներ, տեղեկատվական ու մեթոդական նյութերի մշակում և տարածում։</w:t>
      </w:r>
    </w:p>
    <w:p w:rsidR="00DE614B" w:rsidRPr="00DE614B" w:rsidRDefault="00DE614B" w:rsidP="00DE614B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614B">
        <w:rPr>
          <w:rFonts w:ascii="GHEA Grapalat" w:hAnsi="GHEA Grapalat"/>
          <w:sz w:val="24"/>
          <w:szCs w:val="24"/>
          <w:lang w:val="hy-AM"/>
        </w:rPr>
        <w:t>Վերոնշյալ միջոցառումների իրականացումը պահանջում է լրացուցիչ մասնագիտական, վերլուծական, կազմակերպչական և տեխնիկական ռեսուրսներ։ Արդյունքում, պայմանագրային պարտավորությունների ծավալը զգալիորեն մեծացել է, ինչի հետևանքով առաջացել է դրամաշնորհի չափի վերանայման և լրացուցիչ ֆինանսավորում տրամադրելու անհրաժեշտություն։</w:t>
      </w:r>
    </w:p>
    <w:p w:rsidR="00875555" w:rsidRPr="00875555" w:rsidRDefault="00DE614B" w:rsidP="00875555">
      <w:pPr>
        <w:pStyle w:val="NormalWeb"/>
        <w:shd w:val="clear" w:color="auto" w:fill="FFFFFF"/>
        <w:spacing w:before="0" w:beforeAutospacing="0"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DE614B">
        <w:rPr>
          <w:rFonts w:ascii="GHEA Grapalat" w:hAnsi="GHEA Grapalat"/>
          <w:lang w:val="hy-AM"/>
        </w:rPr>
        <w:t xml:space="preserve">Հաշվի առնելով վերոգրյալը՝ </w:t>
      </w:r>
      <w:r>
        <w:rPr>
          <w:rFonts w:ascii="GHEA Grapalat" w:hAnsi="GHEA Grapalat"/>
          <w:lang w:val="hy-AM"/>
        </w:rPr>
        <w:t xml:space="preserve">անհրաժեշտություն է առաջացել </w:t>
      </w:r>
      <w:r w:rsidRPr="00DE614B">
        <w:rPr>
          <w:rFonts w:ascii="GHEA Grapalat" w:hAnsi="GHEA Grapalat"/>
          <w:lang w:val="hy-AM"/>
        </w:rPr>
        <w:t>«Օրենսդրության զարգացման կենտրոն» հիմնադրամին</w:t>
      </w:r>
      <w:r>
        <w:rPr>
          <w:rFonts w:ascii="GHEA Grapalat" w:hAnsi="GHEA Grapalat"/>
          <w:lang w:val="hy-AM"/>
        </w:rPr>
        <w:t>՝</w:t>
      </w:r>
      <w:r w:rsidRPr="00DE614B">
        <w:rPr>
          <w:rFonts w:ascii="GHEA Grapalat" w:hAnsi="GHEA Grapalat"/>
          <w:lang w:val="hy-AM"/>
        </w:rPr>
        <w:t xml:space="preserve"> «1057. Արդարադատության ոլորտում քաղաքականության մշակում, ծրագրերի համակարգում, խորհրդատվության և մոնիտորինգի </w:t>
      </w:r>
      <w:r w:rsidRPr="00DE614B">
        <w:rPr>
          <w:rFonts w:ascii="GHEA Grapalat" w:hAnsi="GHEA Grapalat"/>
          <w:lang w:val="hy-AM"/>
        </w:rPr>
        <w:lastRenderedPageBreak/>
        <w:t>իրականացում» ծրագրի «11010. Աջակցություն օրենսդրության զարգացման և իրավական հետազոտությունների կենտրոնի գործունեությանը» միջոցառման շրջանակներում</w:t>
      </w:r>
      <w:r>
        <w:rPr>
          <w:rFonts w:ascii="GHEA Grapalat" w:hAnsi="GHEA Grapalat"/>
          <w:lang w:val="hy-AM"/>
        </w:rPr>
        <w:t xml:space="preserve">, տրամադրել </w:t>
      </w:r>
      <w:r w:rsidRPr="00DE614B">
        <w:rPr>
          <w:rFonts w:ascii="GHEA Grapalat" w:hAnsi="GHEA Grapalat"/>
          <w:lang w:val="hy-AM"/>
        </w:rPr>
        <w:t>լրացուցիչ ֆինանսական միջոցներ՝ 7,550,000 ՀՀ դրամի չափով</w:t>
      </w:r>
      <w:r>
        <w:rPr>
          <w:rFonts w:ascii="GHEA Grapalat" w:hAnsi="GHEA Grapalat"/>
          <w:lang w:val="hy-AM"/>
        </w:rPr>
        <w:t>, որը նախատեսվում է ապահովել «11001</w:t>
      </w:r>
      <w:r>
        <w:rPr>
          <w:rFonts w:ascii="Cambria Math" w:hAnsi="Cambria Math" w:cs="Cambria Math"/>
          <w:lang w:val="hy-AM"/>
        </w:rPr>
        <w:t>․</w:t>
      </w:r>
      <w:r w:rsidRPr="00DE614B">
        <w:rPr>
          <w:lang w:val="hy-AM"/>
        </w:rPr>
        <w:t xml:space="preserve"> </w:t>
      </w:r>
      <w:r w:rsidRPr="00DE614B">
        <w:rPr>
          <w:rFonts w:ascii="GHEA Grapalat" w:hAnsi="GHEA Grapalat"/>
          <w:lang w:val="hy-AM"/>
        </w:rPr>
        <w:t>Արդարադատության ոլորտում քաղաքականության, խորհրդատվության, մոնիտորինգի, գնման և աջակցության իրականացում</w:t>
      </w:r>
      <w:r>
        <w:rPr>
          <w:rFonts w:ascii="GHEA Grapalat" w:hAnsi="GHEA Grapalat"/>
          <w:lang w:val="hy-AM"/>
        </w:rPr>
        <w:t>» միջոցառման գծով տնտեսված գումարների հաշվին։</w:t>
      </w:r>
      <w:r w:rsidR="00875555">
        <w:rPr>
          <w:rFonts w:ascii="GHEA Grapalat" w:hAnsi="GHEA Grapalat"/>
          <w:lang w:val="hy-AM"/>
        </w:rPr>
        <w:t xml:space="preserve"> </w:t>
      </w:r>
      <w:r w:rsidR="00875555" w:rsidRPr="00875555">
        <w:rPr>
          <w:rFonts w:ascii="GHEA Grapalat" w:eastAsia="Times New Roman" w:hAnsi="GHEA Grapalat"/>
          <w:color w:val="000000"/>
          <w:lang w:val="hy-AM" w:eastAsia="ru-RU"/>
        </w:rPr>
        <w:t>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DE614B" w:rsidRDefault="00DE614B" w:rsidP="00DE614B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2A2158" w:rsidRPr="004F3081" w:rsidRDefault="002A2158" w:rsidP="00DE614B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0C46BD" w:rsidRDefault="009C2194" w:rsidP="000C46BD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C219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կապահովվի </w:t>
      </w:r>
      <w:r w:rsidR="00DE614B" w:rsidRPr="00DE614B">
        <w:rPr>
          <w:rFonts w:ascii="GHEA Grapalat" w:hAnsi="GHEA Grapalat"/>
          <w:sz w:val="24"/>
          <w:szCs w:val="24"/>
          <w:lang w:val="hy-AM"/>
        </w:rPr>
        <w:t>«Օրենսդրության զարգացման կենտրոն» հիմնադրամի</w:t>
      </w:r>
      <w:r w:rsidR="00DE614B">
        <w:rPr>
          <w:rFonts w:ascii="GHEA Grapalat" w:hAnsi="GHEA Grapalat"/>
          <w:sz w:val="24"/>
          <w:szCs w:val="24"/>
          <w:lang w:val="hy-AM"/>
        </w:rPr>
        <w:t xml:space="preserve"> կողմից լրացուցիչ ծառայությունների իրականացման նպատակով անհրաժեշտ ֆինանսական միջոցների հատկացումը։</w:t>
      </w:r>
    </w:p>
    <w:p w:rsidR="000C46BD" w:rsidRDefault="000C46BD" w:rsidP="000C46BD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0C46BD" w:rsidRDefault="002A2158" w:rsidP="000C46BD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0C46BD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C46BD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C46BD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0C46B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7B5450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lastRenderedPageBreak/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DE614B" w:rsidRDefault="000B1BAE" w:rsidP="000B1BAE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0B1BAE">
        <w:rPr>
          <w:rFonts w:ascii="GHEA Grapalat" w:hAnsi="GHEA Grapalat" w:cs="Sylfaen"/>
          <w:bCs/>
          <w:sz w:val="24"/>
          <w:szCs w:val="24"/>
        </w:rPr>
        <w:t xml:space="preserve">Նախագիծն առնչվում է Հայաստանի Հանրապետության կառավարության 2021-2026թթ. ծրագրի </w:t>
      </w:r>
      <w:r w:rsidR="00924A50">
        <w:rPr>
          <w:rFonts w:ascii="GHEA Grapalat" w:hAnsi="GHEA Grapalat" w:cs="Sylfaen"/>
          <w:bCs/>
          <w:sz w:val="24"/>
          <w:szCs w:val="24"/>
        </w:rPr>
        <w:t>5</w:t>
      </w:r>
      <w:r w:rsidRPr="000B1BAE">
        <w:rPr>
          <w:rFonts w:ascii="Cambria Math" w:hAnsi="Cambria Math" w:cs="Cambria Math"/>
          <w:bCs/>
          <w:sz w:val="24"/>
          <w:szCs w:val="24"/>
        </w:rPr>
        <w:t>․</w:t>
      </w:r>
      <w:r w:rsidR="00AF1560">
        <w:rPr>
          <w:rFonts w:ascii="GHEA Grapalat" w:hAnsi="GHEA Grapalat" w:cs="Sylfaen"/>
          <w:bCs/>
          <w:sz w:val="24"/>
          <w:szCs w:val="24"/>
        </w:rPr>
        <w:t>3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 w:rsidRPr="000B1BAE">
        <w:rPr>
          <w:rFonts w:ascii="GHEA Grapalat" w:hAnsi="GHEA Grapalat" w:cs="Sylfaen"/>
          <w:bCs/>
          <w:sz w:val="24"/>
          <w:szCs w:val="24"/>
        </w:rPr>
        <w:t>կետին</w:t>
      </w:r>
      <w:r w:rsidR="00AF1560">
        <w:rPr>
          <w:rFonts w:ascii="GHEA Grapalat" w:hAnsi="GHEA Grapalat" w:cs="Sylfaen"/>
          <w:bCs/>
          <w:sz w:val="24"/>
          <w:szCs w:val="24"/>
        </w:rPr>
        <w:t xml:space="preserve">, </w:t>
      </w:r>
      <w:r w:rsidR="00924A50" w:rsidRPr="00924A50">
        <w:rPr>
          <w:rFonts w:ascii="GHEA Grapalat" w:hAnsi="GHEA Grapalat" w:cs="Sylfaen"/>
          <w:bCs/>
          <w:sz w:val="24"/>
          <w:szCs w:val="24"/>
        </w:rPr>
        <w:t>բխում է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Հավելված 1-ում Արդարադատության նախարարությանը վերապահված 8-րդ նպատակից</w:t>
      </w:r>
      <w:r w:rsidR="00924A50">
        <w:rPr>
          <w:rFonts w:ascii="GHEA Grapalat" w:hAnsi="GHEA Grapalat" w:cs="Sylfaen"/>
          <w:bCs/>
          <w:sz w:val="24"/>
          <w:szCs w:val="24"/>
        </w:rPr>
        <w:t xml:space="preserve">։ </w:t>
      </w:r>
    </w:p>
    <w:sectPr w:rsidR="00DE614B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2E9" w:rsidRDefault="00CE72E9">
      <w:pPr>
        <w:spacing w:after="0" w:line="240" w:lineRule="auto"/>
      </w:pPr>
      <w:r>
        <w:separator/>
      </w:r>
    </w:p>
  </w:endnote>
  <w:endnote w:type="continuationSeparator" w:id="0">
    <w:p w:rsidR="00CE72E9" w:rsidRDefault="00CE7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5555">
      <w:rPr>
        <w:noProof/>
      </w:rPr>
      <w:t>4</w:t>
    </w:r>
    <w:r>
      <w:fldChar w:fldCharType="end"/>
    </w:r>
  </w:p>
  <w:p w:rsidR="00104BBD" w:rsidRDefault="00CE72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2E9" w:rsidRDefault="00CE72E9">
      <w:pPr>
        <w:spacing w:after="0" w:line="240" w:lineRule="auto"/>
      </w:pPr>
      <w:r>
        <w:separator/>
      </w:r>
    </w:p>
  </w:footnote>
  <w:footnote w:type="continuationSeparator" w:id="0">
    <w:p w:rsidR="00CE72E9" w:rsidRDefault="00CE7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3372A"/>
    <w:rsid w:val="00070C20"/>
    <w:rsid w:val="00076F4A"/>
    <w:rsid w:val="000B1BAE"/>
    <w:rsid w:val="000C46BD"/>
    <w:rsid w:val="000C6EB5"/>
    <w:rsid w:val="001154F9"/>
    <w:rsid w:val="001215FD"/>
    <w:rsid w:val="00123F2E"/>
    <w:rsid w:val="00143D9C"/>
    <w:rsid w:val="001704FC"/>
    <w:rsid w:val="00190AD0"/>
    <w:rsid w:val="00215DE0"/>
    <w:rsid w:val="00224A34"/>
    <w:rsid w:val="002313C8"/>
    <w:rsid w:val="00272A02"/>
    <w:rsid w:val="00280B2F"/>
    <w:rsid w:val="002A2158"/>
    <w:rsid w:val="002B0883"/>
    <w:rsid w:val="00341D1E"/>
    <w:rsid w:val="00365113"/>
    <w:rsid w:val="00370C04"/>
    <w:rsid w:val="003863A0"/>
    <w:rsid w:val="003948CE"/>
    <w:rsid w:val="003A08FA"/>
    <w:rsid w:val="003C06E8"/>
    <w:rsid w:val="00471DE2"/>
    <w:rsid w:val="00490A23"/>
    <w:rsid w:val="004E3C49"/>
    <w:rsid w:val="00514687"/>
    <w:rsid w:val="005358BF"/>
    <w:rsid w:val="0054734B"/>
    <w:rsid w:val="005C41AE"/>
    <w:rsid w:val="005E05C1"/>
    <w:rsid w:val="00627CDE"/>
    <w:rsid w:val="006817F9"/>
    <w:rsid w:val="006F3E45"/>
    <w:rsid w:val="00713721"/>
    <w:rsid w:val="007272FC"/>
    <w:rsid w:val="007452E5"/>
    <w:rsid w:val="007B5450"/>
    <w:rsid w:val="007D3E70"/>
    <w:rsid w:val="007E60A4"/>
    <w:rsid w:val="00800EDB"/>
    <w:rsid w:val="00803A67"/>
    <w:rsid w:val="00821349"/>
    <w:rsid w:val="00844FA2"/>
    <w:rsid w:val="00856E47"/>
    <w:rsid w:val="00860C08"/>
    <w:rsid w:val="00861E61"/>
    <w:rsid w:val="00875555"/>
    <w:rsid w:val="00895DD1"/>
    <w:rsid w:val="008F26AF"/>
    <w:rsid w:val="00907C94"/>
    <w:rsid w:val="00924A50"/>
    <w:rsid w:val="009B42B4"/>
    <w:rsid w:val="009C2194"/>
    <w:rsid w:val="009E7984"/>
    <w:rsid w:val="009F6274"/>
    <w:rsid w:val="00A14AD0"/>
    <w:rsid w:val="00A34FD6"/>
    <w:rsid w:val="00A67393"/>
    <w:rsid w:val="00AA5224"/>
    <w:rsid w:val="00AA5874"/>
    <w:rsid w:val="00AC6A70"/>
    <w:rsid w:val="00AD57E2"/>
    <w:rsid w:val="00AF0160"/>
    <w:rsid w:val="00AF1560"/>
    <w:rsid w:val="00B01C60"/>
    <w:rsid w:val="00B10476"/>
    <w:rsid w:val="00B50B6F"/>
    <w:rsid w:val="00C04282"/>
    <w:rsid w:val="00C10706"/>
    <w:rsid w:val="00C20DC7"/>
    <w:rsid w:val="00C57882"/>
    <w:rsid w:val="00CC01E5"/>
    <w:rsid w:val="00CC5D0C"/>
    <w:rsid w:val="00CE72E9"/>
    <w:rsid w:val="00D65578"/>
    <w:rsid w:val="00DC1B14"/>
    <w:rsid w:val="00DC50BC"/>
    <w:rsid w:val="00DD6499"/>
    <w:rsid w:val="00DE19D9"/>
    <w:rsid w:val="00DE614B"/>
    <w:rsid w:val="00DF3E21"/>
    <w:rsid w:val="00E41529"/>
    <w:rsid w:val="00E4441A"/>
    <w:rsid w:val="00E7238B"/>
    <w:rsid w:val="00E85804"/>
    <w:rsid w:val="00EB60CA"/>
    <w:rsid w:val="00ED56A5"/>
    <w:rsid w:val="00EF4C65"/>
    <w:rsid w:val="00F22980"/>
    <w:rsid w:val="00F46507"/>
    <w:rsid w:val="00F73987"/>
    <w:rsid w:val="00FA09F1"/>
    <w:rsid w:val="00FD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E2D3B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472A6-7B5E-4370-88BE-BF4200681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4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https://mul2.gov.am/tasks/1319091/oneclick?token=94a2a8e778324becfc1e3a269a82f4d9</cp:keywords>
  <dc:description/>
  <cp:lastModifiedBy>Zara Margaryan</cp:lastModifiedBy>
  <cp:revision>33</cp:revision>
  <cp:lastPrinted>2024-01-26T10:59:00Z</cp:lastPrinted>
  <dcterms:created xsi:type="dcterms:W3CDTF">2024-02-05T05:24:00Z</dcterms:created>
  <dcterms:modified xsi:type="dcterms:W3CDTF">2026-04-28T09:12:00Z</dcterms:modified>
</cp:coreProperties>
</file>