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779776" w14:textId="77777777" w:rsidR="004C708D" w:rsidRDefault="004C708D" w:rsidP="004C708D">
      <w:pPr>
        <w:spacing w:after="0" w:line="360" w:lineRule="auto"/>
        <w:jc w:val="center"/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ՀԻՄՆԱՎՈՐՈՒՄ</w:t>
      </w:r>
    </w:p>
    <w:p w14:paraId="7DFA6E0B" w14:textId="77777777" w:rsidR="004C708D" w:rsidRDefault="004C708D" w:rsidP="004C708D">
      <w:pPr>
        <w:spacing w:before="24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«Ջ</w:t>
      </w:r>
      <w:r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ՐԱՅԻՆ ՌԵՍՈՒՐՍՆԵՐԻ ՎՐԱ ԾԱՆՐԱԲԵՌՆՎԱԾՈՒԹՅԱՆ ԱՍՏԻՃԱՆԻ ՈՐՈՇՄԱՆ </w:t>
      </w:r>
      <w:r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ՄԵԹՈԴԱԲԱՆՈՒԹՅՈՒՆԸ </w:t>
      </w:r>
      <w:r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af-ZA"/>
        </w:rPr>
        <w:t>ՍԱՀՄԱՆԵ</w:t>
      </w:r>
      <w:r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ԼՈՒ ՄԱՍԻՆ</w:t>
      </w:r>
      <w:r>
        <w:rPr>
          <w:rFonts w:ascii="GHEA Grapalat" w:hAnsi="GHEA Grapalat" w:cs="Aramian"/>
          <w:b/>
          <w:bCs/>
          <w:color w:val="000000" w:themeColor="text1"/>
          <w:sz w:val="24"/>
          <w:szCs w:val="24"/>
          <w:lang w:val="hy-AM"/>
        </w:rPr>
        <w:t xml:space="preserve">» </w:t>
      </w:r>
      <w:r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ԿԱՌԱՎԱՐՈՒԹՅԱՆ ՈՐՈՇՄԱՆ ՆԱԽԱԳԾԻ ԸՆԴՈՒՆՄԱՆ</w:t>
      </w:r>
    </w:p>
    <w:p w14:paraId="0B5C9695" w14:textId="77777777" w:rsidR="004C708D" w:rsidRDefault="004C708D" w:rsidP="004C708D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 w:themeColor="text1"/>
          <w:lang w:val="hy-AM"/>
        </w:rPr>
      </w:pPr>
    </w:p>
    <w:p w14:paraId="7A098BE5" w14:textId="77777777" w:rsidR="004C708D" w:rsidRDefault="004C708D" w:rsidP="004C708D">
      <w:pPr>
        <w:spacing w:after="0" w:line="360" w:lineRule="auto"/>
        <w:ind w:firstLine="540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</w:pPr>
      <w:r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  <w:t>1. Ընթացիկ իրավիճակը և իրավական ակտերի ընդունման անհրաժեշտությունը</w:t>
      </w:r>
    </w:p>
    <w:p w14:paraId="5B48D21E" w14:textId="77777777" w:rsidR="004C708D" w:rsidRDefault="004C708D" w:rsidP="004C708D">
      <w:pPr>
        <w:spacing w:after="0" w:line="360" w:lineRule="auto"/>
        <w:ind w:firstLine="54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«Ջ</w:t>
      </w:r>
      <w:r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shd w:val="clear" w:color="auto" w:fill="FFFFFF"/>
          <w:lang w:val="hy-AM"/>
        </w:rPr>
        <w:t>րային ռեսուրսների վրա ծանրաբեռնվածության աստիճանի որոշման</w:t>
      </w:r>
      <w:r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մեթոդաբանությունը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af-ZA"/>
        </w:rPr>
        <w:t>սահմանե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լու մասին»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Կառավարության որոշման նախագծի մշակման համար հիմք է հանդիսացել «Հայաստանի Հանրապետության ջրային օրենսգրքում փոփոխություններ և լրացումներ կատարելու մասին» 2025 թվականի նոյեմբերի 13-ի ՀՕ-380-Ն օրենքի 6-րդ հոդվածը։</w:t>
      </w:r>
    </w:p>
    <w:p w14:paraId="13B1A18B" w14:textId="77777777" w:rsidR="004C708D" w:rsidRDefault="004C708D" w:rsidP="004C708D">
      <w:pPr>
        <w:spacing w:after="0" w:line="360" w:lineRule="auto"/>
        <w:ind w:firstLine="54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Մինչ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13.11.2025թ. «Ջրային օրենսգրքում փոփոխություններ և լրացումներ կատարելու մասին» ՀՕ-380-ն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օրենքի ընդունումը, Ջրային օրենսգրքի համաձայն՝ նոր կառուցվող փոքր հիդրոէլեկտրակայանների ջրօգտագործման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թույլտվությունների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հայտերը մերժվում էին նաև, երբ փոքր հիդրոէլեկտրակայանների կառուցումը նախատեսվում էր այն գետերի վրա, որոնց ծանրաբեռնվածությունը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դերիվացիոն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խողովակներով կազմում էր 40 տոկոս և ավելի։ Նշված սահմանափակումը պայմանավորված էր տվյալ ժամանակահատվածում արդեն շահագործվող հիդրոէլեկտրակայանների գործունեության արդյունքում առաջացած բնապահպանական խնդիրներով, ինչպես նաև որպես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խթանվող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ուղղություն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հիդրոէներգետիկայի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ոլորտի արագ զարգացմամբ։ Քանի որ այդ ժամանակահատվածում չկար ջրային ռեսուրսի ծանրաբեռնվածության հաշվարկի հաստատված մեթոդաբանություն, փոքր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հիդրոէլեկտրակայաններով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գետերի ծանրաբեռնվածության գնահատումը իրականացվում էր տեխնիկական հաշվարկի հիման վրա՝ հիմքում դնելով փոքր հիդրոէլեկտրակայանների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դերիվացիայի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գումարային երկարության և գետի երկարության հարաբերակցությունը՝ արտահայտված տոկոսներով, իսկ որպես ծանրաբեռնվածության ռիսկային շեմ ընտրվել էր միջին ծանրաբեռնվածության մակարդակը։</w:t>
      </w:r>
    </w:p>
    <w:p w14:paraId="208F0067" w14:textId="77777777" w:rsidR="004C708D" w:rsidRDefault="004C708D" w:rsidP="004C708D">
      <w:pPr>
        <w:spacing w:after="0" w:line="360" w:lineRule="auto"/>
        <w:ind w:firstLine="540"/>
        <w:jc w:val="both"/>
        <w:rPr>
          <w:rFonts w:ascii="GHEA Grapalat" w:eastAsia="Times New Roman" w:hAnsi="GHEA Grapalat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Ներկայումս, հաշվի առնելով իրականացված ուսումնասիրությունների արդյունքները, ինչպես նաև </w:t>
      </w:r>
      <w:r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ծանրաբեռնվածության հաշվարկի ճշգրտման և ջրային ռեսուրսի ծանրաբեռնվածության հաշվարկը միջազգային փորձին համապատասխանեցնելու նպատակահարմարությունը՝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անհրաժեշտություն է առաջացել մշակել ջրային ռեսուրսի ծանրաբեռնվածության աստիճանի որոշման նոր մեթոդաբանություն՝ հիմքում դնելով ջրօգտագործման ուղղակի և գումարային ազդեցությունը ջրային ռեսուրսի վրա։ </w:t>
      </w:r>
      <w:r>
        <w:rPr>
          <w:rFonts w:ascii="GHEA Grapalat" w:eastAsia="Times New Roman" w:hAnsi="GHEA Grapalat"/>
          <w:sz w:val="24"/>
          <w:szCs w:val="24"/>
          <w:lang w:val="hy-AM" w:eastAsia="en-GB"/>
        </w:rPr>
        <w:t xml:space="preserve">Նախագծի մշակման համար հիմք են հանդիսացել ՄԱԿ-ի սննդի և գյուղատնտեսության կազմակերպության կանոնակարգը՝ ՄԱԿ-ի և այլ երկրների ջրային ռեսուրսների վրա ծանրաբեռնվածության աստիճանի որոշման մասով։ </w:t>
      </w:r>
      <w:proofErr w:type="spellStart"/>
      <w:r>
        <w:rPr>
          <w:rFonts w:ascii="GHEA Grapalat" w:eastAsia="Times New Roman" w:hAnsi="GHEA Grapalat"/>
          <w:sz w:val="24"/>
          <w:szCs w:val="24"/>
          <w:lang w:val="hy-AM" w:eastAsia="en-GB"/>
        </w:rPr>
        <w:t>Ստորև</w:t>
      </w:r>
      <w:proofErr w:type="spellEnd"/>
      <w:r>
        <w:rPr>
          <w:rFonts w:ascii="GHEA Grapalat" w:eastAsia="Times New Roman" w:hAnsi="GHEA Grapalat"/>
          <w:sz w:val="24"/>
          <w:szCs w:val="24"/>
          <w:lang w:val="hy-AM" w:eastAsia="en-GB"/>
        </w:rPr>
        <w:t xml:space="preserve"> ներկայացվում է մի քանի </w:t>
      </w:r>
      <w:proofErr w:type="spellStart"/>
      <w:r>
        <w:rPr>
          <w:rFonts w:ascii="GHEA Grapalat" w:eastAsia="Times New Roman" w:hAnsi="GHEA Grapalat"/>
          <w:sz w:val="24"/>
          <w:szCs w:val="24"/>
          <w:lang w:val="hy-AM" w:eastAsia="en-GB"/>
        </w:rPr>
        <w:t>հղումներ</w:t>
      </w:r>
      <w:proofErr w:type="spellEnd"/>
      <w:r>
        <w:rPr>
          <w:rFonts w:ascii="GHEA Grapalat" w:eastAsia="Times New Roman" w:hAnsi="GHEA Grapalat"/>
          <w:sz w:val="24"/>
          <w:szCs w:val="24"/>
          <w:lang w:val="hy-AM" w:eastAsia="en-GB"/>
        </w:rPr>
        <w:t xml:space="preserve"> և գրականություն ջրային ռեսուրսների վրա ծանրաբեռնվածության աստիճանի որոշման վերաբերյալ.</w:t>
      </w:r>
    </w:p>
    <w:p w14:paraId="290F3E05" w14:textId="77777777" w:rsidR="004C708D" w:rsidRDefault="004C708D" w:rsidP="004C708D">
      <w:pPr>
        <w:spacing w:after="0" w:line="360" w:lineRule="auto"/>
        <w:ind w:firstLine="540"/>
        <w:jc w:val="both"/>
        <w:rPr>
          <w:rFonts w:ascii="GHEA Grapalat" w:eastAsia="Times New Roman" w:hAnsi="GHEA Grapalat"/>
          <w:sz w:val="24"/>
          <w:szCs w:val="24"/>
          <w:lang w:val="hy-AM" w:eastAsia="en-GB"/>
        </w:rPr>
      </w:pPr>
      <w:r>
        <w:rPr>
          <w:rFonts w:ascii="GHEA Grapalat" w:eastAsia="Times New Roman" w:hAnsi="GHEA Grapalat"/>
          <w:sz w:val="24"/>
          <w:szCs w:val="24"/>
          <w:lang w:val="hy-AM" w:eastAsia="en-GB"/>
        </w:rPr>
        <w:t>1</w:t>
      </w:r>
      <w:r>
        <w:rPr>
          <w:rFonts w:ascii="GHEA Grapalat" w:eastAsia="Microsoft JhengHei" w:hAnsi="GHEA Grapalat" w:cs="Microsoft JhengHei"/>
          <w:sz w:val="24"/>
          <w:szCs w:val="24"/>
          <w:lang w:val="hy-AM" w:eastAsia="en-GB"/>
        </w:rPr>
        <w:t>.</w:t>
      </w:r>
      <w:r>
        <w:rPr>
          <w:rFonts w:ascii="GHEA Grapalat" w:eastAsia="Times New Roman" w:hAnsi="GHEA Grapalat"/>
          <w:sz w:val="24"/>
          <w:szCs w:val="24"/>
          <w:lang w:val="hy-AM" w:eastAsia="en-GB"/>
        </w:rPr>
        <w:t xml:space="preserve"> FAO &amp; UN-</w:t>
      </w:r>
      <w:proofErr w:type="spellStart"/>
      <w:r>
        <w:rPr>
          <w:rFonts w:ascii="GHEA Grapalat" w:eastAsia="Times New Roman" w:hAnsi="GHEA Grapalat"/>
          <w:sz w:val="24"/>
          <w:szCs w:val="24"/>
          <w:lang w:val="hy-AM" w:eastAsia="en-GB"/>
        </w:rPr>
        <w:t>Water</w:t>
      </w:r>
      <w:proofErr w:type="spellEnd"/>
      <w:r>
        <w:rPr>
          <w:rFonts w:ascii="GHEA Grapalat" w:eastAsia="Times New Roman" w:hAnsi="GHEA Grapalat"/>
          <w:sz w:val="24"/>
          <w:szCs w:val="24"/>
          <w:lang w:val="hy-AM" w:eastAsia="en-GB"/>
        </w:rPr>
        <w:t xml:space="preserve">. 2024. </w:t>
      </w:r>
      <w:proofErr w:type="spellStart"/>
      <w:r>
        <w:rPr>
          <w:rFonts w:ascii="GHEA Grapalat" w:eastAsia="Times New Roman" w:hAnsi="GHEA Grapalat"/>
          <w:sz w:val="24"/>
          <w:szCs w:val="24"/>
          <w:lang w:val="hy-AM" w:eastAsia="en-GB"/>
        </w:rPr>
        <w:t>Progress</w:t>
      </w:r>
      <w:proofErr w:type="spellEnd"/>
      <w:r>
        <w:rPr>
          <w:rFonts w:ascii="GHEA Grapalat" w:eastAsia="Times New Roman" w:hAnsi="GHEA Grapalat"/>
          <w:sz w:val="24"/>
          <w:szCs w:val="24"/>
          <w:lang w:val="hy-AM" w:eastAsia="en-GB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  <w:lang w:val="hy-AM" w:eastAsia="en-GB"/>
        </w:rPr>
        <w:t>on</w:t>
      </w:r>
      <w:proofErr w:type="spellEnd"/>
      <w:r>
        <w:rPr>
          <w:rFonts w:ascii="GHEA Grapalat" w:eastAsia="Times New Roman" w:hAnsi="GHEA Grapalat"/>
          <w:sz w:val="24"/>
          <w:szCs w:val="24"/>
          <w:lang w:val="hy-AM" w:eastAsia="en-GB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  <w:lang w:val="hy-AM" w:eastAsia="en-GB"/>
        </w:rPr>
        <w:t>the</w:t>
      </w:r>
      <w:proofErr w:type="spellEnd"/>
      <w:r>
        <w:rPr>
          <w:rFonts w:ascii="GHEA Grapalat" w:eastAsia="Times New Roman" w:hAnsi="GHEA Grapalat"/>
          <w:sz w:val="24"/>
          <w:szCs w:val="24"/>
          <w:lang w:val="hy-AM" w:eastAsia="en-GB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  <w:lang w:val="hy-AM" w:eastAsia="en-GB"/>
        </w:rPr>
        <w:t>level</w:t>
      </w:r>
      <w:proofErr w:type="spellEnd"/>
      <w:r>
        <w:rPr>
          <w:rFonts w:ascii="GHEA Grapalat" w:eastAsia="Times New Roman" w:hAnsi="GHEA Grapalat"/>
          <w:sz w:val="24"/>
          <w:szCs w:val="24"/>
          <w:lang w:val="hy-AM" w:eastAsia="en-GB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  <w:lang w:val="hy-AM" w:eastAsia="en-GB"/>
        </w:rPr>
        <w:t>of</w:t>
      </w:r>
      <w:proofErr w:type="spellEnd"/>
      <w:r>
        <w:rPr>
          <w:rFonts w:ascii="GHEA Grapalat" w:eastAsia="Times New Roman" w:hAnsi="GHEA Grapalat"/>
          <w:sz w:val="24"/>
          <w:szCs w:val="24"/>
          <w:lang w:val="hy-AM" w:eastAsia="en-GB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  <w:lang w:val="hy-AM" w:eastAsia="en-GB"/>
        </w:rPr>
        <w:t>water</w:t>
      </w:r>
      <w:proofErr w:type="spellEnd"/>
      <w:r>
        <w:rPr>
          <w:rFonts w:ascii="GHEA Grapalat" w:eastAsia="Times New Roman" w:hAnsi="GHEA Grapalat"/>
          <w:sz w:val="24"/>
          <w:szCs w:val="24"/>
          <w:lang w:val="hy-AM" w:eastAsia="en-GB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  <w:lang w:val="hy-AM" w:eastAsia="en-GB"/>
        </w:rPr>
        <w:t>stress</w:t>
      </w:r>
      <w:proofErr w:type="spellEnd"/>
      <w:r>
        <w:rPr>
          <w:rFonts w:ascii="GHEA Grapalat" w:eastAsia="Times New Roman" w:hAnsi="GHEA Grapalat"/>
          <w:sz w:val="24"/>
          <w:szCs w:val="24"/>
          <w:lang w:val="hy-AM" w:eastAsia="en-GB"/>
        </w:rPr>
        <w:t xml:space="preserve"> – </w:t>
      </w:r>
      <w:proofErr w:type="spellStart"/>
      <w:r>
        <w:rPr>
          <w:rFonts w:ascii="GHEA Grapalat" w:eastAsia="Times New Roman" w:hAnsi="GHEA Grapalat"/>
          <w:sz w:val="24"/>
          <w:szCs w:val="24"/>
          <w:lang w:val="hy-AM" w:eastAsia="en-GB"/>
        </w:rPr>
        <w:t>Mid-term</w:t>
      </w:r>
      <w:proofErr w:type="spellEnd"/>
      <w:r>
        <w:rPr>
          <w:rFonts w:ascii="GHEA Grapalat" w:eastAsia="Times New Roman" w:hAnsi="GHEA Grapalat"/>
          <w:sz w:val="24"/>
          <w:szCs w:val="24"/>
          <w:lang w:val="hy-AM" w:eastAsia="en-GB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  <w:lang w:val="hy-AM" w:eastAsia="en-GB"/>
        </w:rPr>
        <w:t>status</w:t>
      </w:r>
      <w:proofErr w:type="spellEnd"/>
      <w:r>
        <w:rPr>
          <w:rFonts w:ascii="GHEA Grapalat" w:eastAsia="Times New Roman" w:hAnsi="GHEA Grapalat"/>
          <w:sz w:val="24"/>
          <w:szCs w:val="24"/>
          <w:lang w:val="hy-AM" w:eastAsia="en-GB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  <w:lang w:val="hy-AM" w:eastAsia="en-GB"/>
        </w:rPr>
        <w:t>of</w:t>
      </w:r>
      <w:proofErr w:type="spellEnd"/>
      <w:r>
        <w:rPr>
          <w:rFonts w:ascii="GHEA Grapalat" w:eastAsia="Times New Roman" w:hAnsi="GHEA Grapalat"/>
          <w:sz w:val="24"/>
          <w:szCs w:val="24"/>
          <w:lang w:val="hy-AM" w:eastAsia="en-GB"/>
        </w:rPr>
        <w:t xml:space="preserve"> SDG </w:t>
      </w:r>
      <w:proofErr w:type="spellStart"/>
      <w:r>
        <w:rPr>
          <w:rFonts w:ascii="GHEA Grapalat" w:eastAsia="Times New Roman" w:hAnsi="GHEA Grapalat"/>
          <w:sz w:val="24"/>
          <w:szCs w:val="24"/>
          <w:lang w:val="hy-AM" w:eastAsia="en-GB"/>
        </w:rPr>
        <w:t>Indicator</w:t>
      </w:r>
      <w:proofErr w:type="spellEnd"/>
      <w:r>
        <w:rPr>
          <w:rFonts w:ascii="GHEA Grapalat" w:eastAsia="Times New Roman" w:hAnsi="GHEA Grapalat"/>
          <w:sz w:val="24"/>
          <w:szCs w:val="24"/>
          <w:lang w:val="hy-AM" w:eastAsia="en-GB"/>
        </w:rPr>
        <w:t xml:space="preserve"> 6.4.2 </w:t>
      </w:r>
      <w:proofErr w:type="spellStart"/>
      <w:r>
        <w:rPr>
          <w:rFonts w:ascii="GHEA Grapalat" w:eastAsia="Times New Roman" w:hAnsi="GHEA Grapalat"/>
          <w:sz w:val="24"/>
          <w:szCs w:val="24"/>
          <w:lang w:val="hy-AM" w:eastAsia="en-GB"/>
        </w:rPr>
        <w:t>and</w:t>
      </w:r>
      <w:proofErr w:type="spellEnd"/>
      <w:r>
        <w:rPr>
          <w:rFonts w:ascii="GHEA Grapalat" w:eastAsia="Times New Roman" w:hAnsi="GHEA Grapalat"/>
          <w:sz w:val="24"/>
          <w:szCs w:val="24"/>
          <w:lang w:val="hy-AM" w:eastAsia="en-GB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  <w:lang w:val="hy-AM" w:eastAsia="en-GB"/>
        </w:rPr>
        <w:t>acceleration</w:t>
      </w:r>
      <w:proofErr w:type="spellEnd"/>
      <w:r>
        <w:rPr>
          <w:rFonts w:ascii="GHEA Grapalat" w:eastAsia="Times New Roman" w:hAnsi="GHEA Grapalat"/>
          <w:sz w:val="24"/>
          <w:szCs w:val="24"/>
          <w:lang w:val="hy-AM" w:eastAsia="en-GB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  <w:lang w:val="hy-AM" w:eastAsia="en-GB"/>
        </w:rPr>
        <w:t>needs</w:t>
      </w:r>
      <w:proofErr w:type="spellEnd"/>
      <w:r>
        <w:rPr>
          <w:rFonts w:ascii="GHEA Grapalat" w:eastAsia="Times New Roman" w:hAnsi="GHEA Grapalat"/>
          <w:sz w:val="24"/>
          <w:szCs w:val="24"/>
          <w:lang w:val="hy-AM" w:eastAsia="en-GB"/>
        </w:rPr>
        <w:t xml:space="preserve">, </w:t>
      </w:r>
      <w:proofErr w:type="spellStart"/>
      <w:r>
        <w:rPr>
          <w:rFonts w:ascii="GHEA Grapalat" w:eastAsia="Times New Roman" w:hAnsi="GHEA Grapalat"/>
          <w:sz w:val="24"/>
          <w:szCs w:val="24"/>
          <w:lang w:val="hy-AM" w:eastAsia="en-GB"/>
        </w:rPr>
        <w:t>with</w:t>
      </w:r>
      <w:proofErr w:type="spellEnd"/>
      <w:r>
        <w:rPr>
          <w:rFonts w:ascii="GHEA Grapalat" w:eastAsia="Times New Roman" w:hAnsi="GHEA Grapalat"/>
          <w:sz w:val="24"/>
          <w:szCs w:val="24"/>
          <w:lang w:val="hy-AM" w:eastAsia="en-GB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  <w:lang w:val="hy-AM" w:eastAsia="en-GB"/>
        </w:rPr>
        <w:t>special</w:t>
      </w:r>
      <w:proofErr w:type="spellEnd"/>
      <w:r>
        <w:rPr>
          <w:rFonts w:ascii="GHEA Grapalat" w:eastAsia="Times New Roman" w:hAnsi="GHEA Grapalat"/>
          <w:sz w:val="24"/>
          <w:szCs w:val="24"/>
          <w:lang w:val="hy-AM" w:eastAsia="en-GB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  <w:lang w:val="hy-AM" w:eastAsia="en-GB"/>
        </w:rPr>
        <w:t>focus</w:t>
      </w:r>
      <w:proofErr w:type="spellEnd"/>
      <w:r>
        <w:rPr>
          <w:rFonts w:ascii="GHEA Grapalat" w:eastAsia="Times New Roman" w:hAnsi="GHEA Grapalat"/>
          <w:sz w:val="24"/>
          <w:szCs w:val="24"/>
          <w:lang w:val="hy-AM" w:eastAsia="en-GB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  <w:lang w:val="hy-AM" w:eastAsia="en-GB"/>
        </w:rPr>
        <w:t>on</w:t>
      </w:r>
      <w:proofErr w:type="spellEnd"/>
      <w:r>
        <w:rPr>
          <w:rFonts w:ascii="GHEA Grapalat" w:eastAsia="Times New Roman" w:hAnsi="GHEA Grapalat"/>
          <w:sz w:val="24"/>
          <w:szCs w:val="24"/>
          <w:lang w:val="hy-AM" w:eastAsia="en-GB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  <w:lang w:val="hy-AM" w:eastAsia="en-GB"/>
        </w:rPr>
        <w:t>food</w:t>
      </w:r>
      <w:proofErr w:type="spellEnd"/>
      <w:r>
        <w:rPr>
          <w:rFonts w:ascii="GHEA Grapalat" w:eastAsia="Times New Roman" w:hAnsi="GHEA Grapalat"/>
          <w:sz w:val="24"/>
          <w:szCs w:val="24"/>
          <w:lang w:val="hy-AM" w:eastAsia="en-GB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  <w:lang w:val="hy-AM" w:eastAsia="en-GB"/>
        </w:rPr>
        <w:t>security</w:t>
      </w:r>
      <w:proofErr w:type="spellEnd"/>
      <w:r>
        <w:rPr>
          <w:rFonts w:ascii="GHEA Grapalat" w:eastAsia="Times New Roman" w:hAnsi="GHEA Grapalat"/>
          <w:sz w:val="24"/>
          <w:szCs w:val="24"/>
          <w:lang w:val="hy-AM" w:eastAsia="en-GB"/>
        </w:rPr>
        <w:t xml:space="preserve"> - 2024. </w:t>
      </w:r>
      <w:proofErr w:type="spellStart"/>
      <w:r>
        <w:rPr>
          <w:rFonts w:ascii="GHEA Grapalat" w:eastAsia="Times New Roman" w:hAnsi="GHEA Grapalat"/>
          <w:sz w:val="24"/>
          <w:szCs w:val="24"/>
          <w:lang w:val="hy-AM" w:eastAsia="en-GB"/>
        </w:rPr>
        <w:t>Rome</w:t>
      </w:r>
      <w:proofErr w:type="spellEnd"/>
      <w:r>
        <w:rPr>
          <w:rFonts w:ascii="GHEA Grapalat" w:eastAsia="Times New Roman" w:hAnsi="GHEA Grapalat"/>
          <w:sz w:val="24"/>
          <w:szCs w:val="24"/>
          <w:lang w:val="hy-AM" w:eastAsia="en-GB"/>
        </w:rPr>
        <w:t xml:space="preserve">, FAO. </w:t>
      </w:r>
      <w:hyperlink r:id="rId5" w:history="1">
        <w:r>
          <w:rPr>
            <w:rStyle w:val="Hyperlink"/>
            <w:rFonts w:ascii="GHEA Grapalat" w:eastAsia="Times New Roman" w:hAnsi="GHEA Grapalat"/>
            <w:sz w:val="24"/>
            <w:szCs w:val="24"/>
            <w:lang w:val="hy-AM" w:eastAsia="en-GB"/>
          </w:rPr>
          <w:t>https://doi.org/10.4060/cd2179en</w:t>
        </w:r>
      </w:hyperlink>
      <w:r>
        <w:rPr>
          <w:rFonts w:ascii="GHEA Grapalat" w:eastAsia="Times New Roman" w:hAnsi="GHEA Grapalat"/>
          <w:sz w:val="24"/>
          <w:szCs w:val="24"/>
          <w:lang w:val="hy-AM" w:eastAsia="en-GB"/>
        </w:rPr>
        <w:t xml:space="preserve"> ,</w:t>
      </w:r>
    </w:p>
    <w:p w14:paraId="48CB0E0C" w14:textId="77777777" w:rsidR="004C708D" w:rsidRDefault="004C708D" w:rsidP="004C708D">
      <w:pPr>
        <w:tabs>
          <w:tab w:val="left" w:pos="990"/>
          <w:tab w:val="left" w:pos="2340"/>
        </w:tabs>
        <w:spacing w:after="0" w:line="360" w:lineRule="auto"/>
        <w:ind w:firstLine="540"/>
        <w:jc w:val="both"/>
        <w:rPr>
          <w:rFonts w:ascii="GHEA Grapalat" w:eastAsia="Times New Roman" w:hAnsi="GHEA Grapalat"/>
          <w:sz w:val="24"/>
          <w:szCs w:val="24"/>
          <w:lang w:val="hy-AM" w:eastAsia="en-GB"/>
        </w:rPr>
      </w:pPr>
      <w:r>
        <w:rPr>
          <w:rFonts w:ascii="GHEA Grapalat" w:eastAsia="Times New Roman" w:hAnsi="GHEA Grapalat"/>
          <w:sz w:val="24"/>
          <w:szCs w:val="24"/>
          <w:lang w:val="hy-AM" w:eastAsia="en-GB"/>
        </w:rPr>
        <w:t>2</w:t>
      </w:r>
      <w:r>
        <w:rPr>
          <w:rFonts w:ascii="GHEA Grapalat" w:eastAsia="Microsoft JhengHei" w:hAnsi="GHEA Grapalat" w:cs="Microsoft JhengHei"/>
          <w:sz w:val="24"/>
          <w:szCs w:val="24"/>
          <w:lang w:val="hy-AM" w:eastAsia="en-GB"/>
        </w:rPr>
        <w:t>.</w:t>
      </w:r>
      <w:r>
        <w:rPr>
          <w:rFonts w:ascii="GHEA Grapalat" w:eastAsia="Times New Roman" w:hAnsi="GHEA Grapalat"/>
          <w:sz w:val="24"/>
          <w:szCs w:val="24"/>
          <w:lang w:val="hy-AM" w:eastAsia="en-GB"/>
        </w:rPr>
        <w:t xml:space="preserve"> </w:t>
      </w:r>
      <w:hyperlink r:id="rId6" w:history="1">
        <w:r>
          <w:rPr>
            <w:rStyle w:val="Hyperlink"/>
            <w:rFonts w:ascii="GHEA Grapalat" w:eastAsia="Times New Roman" w:hAnsi="GHEA Grapalat"/>
            <w:sz w:val="24"/>
            <w:szCs w:val="24"/>
            <w:lang w:val="hy-AM" w:eastAsia="en-GB"/>
          </w:rPr>
          <w:t>https://www.unwater.org/our-work/sdg-6-integrated-monitoring-initiative/indicator-642-level-water-stress-freshwater</w:t>
        </w:r>
      </w:hyperlink>
      <w:r>
        <w:rPr>
          <w:rFonts w:ascii="GHEA Grapalat" w:hAnsi="GHEA Grapalat"/>
          <w:sz w:val="24"/>
          <w:szCs w:val="24"/>
          <w:lang w:val="hy-AM"/>
        </w:rPr>
        <w:t>,</w:t>
      </w:r>
    </w:p>
    <w:p w14:paraId="30E6C019" w14:textId="77777777" w:rsidR="004C708D" w:rsidRDefault="004C708D" w:rsidP="004C708D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>
        <w:rPr>
          <w:rFonts w:ascii="GHEA Grapalat" w:eastAsia="Microsoft JhengHei" w:hAnsi="GHEA Grapalat" w:cs="Microsoft JhengHei"/>
          <w:sz w:val="24"/>
          <w:szCs w:val="24"/>
          <w:lang w:val="hy-AM" w:eastAsia="en-GB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https://unstats.un.org/unsd/envstats/fdes/EGES11/5FAO_SDG642.pdf։</w:t>
      </w:r>
    </w:p>
    <w:p w14:paraId="1F643B7A" w14:textId="77777777" w:rsidR="004C708D" w:rsidRDefault="004C708D" w:rsidP="004C708D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Միջազգայնորեն ընդունված մեթոդաբանությունը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տեղայնացվել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է և ջրային ռեսուրսների վրա ծանրաբեռնվածության աստիճանի որոշման արժեքների դասակարգումը սահմանվել է հիմք ընդունելով Ջրային օրենսգրքի 30.1-ին հոդվածի 1-ին մասը՝ համաձայն որի ջրօգտագործման թույլտվության հայտերը մերժվում են, եթե ջրային ռեսուրսի ծանրաբեռնվածությունը գերազանցում է միջին ծանրաբեռնվածության աստիճանը՝ համաձայն նախագծի հավելվածով սահմանված մեթոդաբանության։</w:t>
      </w:r>
    </w:p>
    <w:p w14:paraId="634A7A3B" w14:textId="77777777" w:rsidR="004C708D" w:rsidRDefault="004C708D" w:rsidP="004C708D">
      <w:pPr>
        <w:spacing w:after="0" w:line="360" w:lineRule="auto"/>
        <w:ind w:firstLine="54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Այս մեթոդաբանության առկայությունը հնարավորություն կտա միջազգային փորձին համահունչ հաշվարկել ջրային ռեսուրսի վրա ծանրաբեռնվածության աստիճանի ցուցանիշը, գնահատել ջրային ռեսուրսների և պաշարների վիճակը, դրանց օգտագործման մակարդակը։ Այն ցույց է տալիս, թե որքանով են ջրային ռեսուրսներն օգտագործվում երկրի ջրային կարիքները բավարարելու համար և չափում է ջրօգտագործման ճնշումը ջրային ռեսուրսների վրա՝ լուծելով ջրի կայուն օգտագործման խնդիրը: Ծանրաբեռնվածության աստիճանի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ցուցանիշով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կարելի է վերլուծել և գնահատել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ջրառը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՝ ըստ ոլորտների:</w:t>
      </w:r>
    </w:p>
    <w:p w14:paraId="3B400B24" w14:textId="77777777" w:rsidR="004C708D" w:rsidRDefault="004C708D" w:rsidP="004C708D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eastAsiaTheme="minorEastAsia" w:hAnsi="GHEA Grapalat" w:cs="Arial AMU"/>
          <w:b/>
          <w:color w:val="000000" w:themeColor="text1"/>
          <w:u w:val="single"/>
          <w:lang w:val="hy-AM"/>
        </w:rPr>
      </w:pPr>
      <w:r>
        <w:rPr>
          <w:rFonts w:ascii="GHEA Grapalat" w:eastAsiaTheme="minorEastAsia" w:hAnsi="GHEA Grapalat" w:cs="Arial AMU"/>
          <w:b/>
          <w:color w:val="000000" w:themeColor="text1"/>
          <w:u w:val="single"/>
          <w:lang w:val="hy-AM"/>
        </w:rPr>
        <w:t>2. Առաջարկվող կարգավորման բնույթը</w:t>
      </w:r>
    </w:p>
    <w:p w14:paraId="22F83886" w14:textId="77777777" w:rsidR="004C708D" w:rsidRDefault="004C708D" w:rsidP="004C708D">
      <w:pPr>
        <w:spacing w:after="0" w:line="360" w:lineRule="auto"/>
        <w:ind w:firstLine="540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</w:pP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Ն</w:t>
      </w:r>
      <w:r>
        <w:rPr>
          <w:rFonts w:ascii="GHEA Grapalat" w:eastAsiaTheme="minorEastAsia" w:hAnsi="GHEA Grapalat" w:cs="Arial AMU"/>
          <w:sz w:val="24"/>
          <w:szCs w:val="24"/>
          <w:lang w:val="hy-AM"/>
        </w:rPr>
        <w:t>ախագծով</w:t>
      </w:r>
      <w:r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 xml:space="preserve"> սահմանվել է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ջ</w:t>
      </w:r>
      <w:r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shd w:val="clear" w:color="auto" w:fill="FFFFFF"/>
          <w:lang w:val="hy-AM"/>
        </w:rPr>
        <w:t>րային ռեսուրսների վրա ծանրաբեռնվածության աստիճանի որոշման</w:t>
      </w:r>
      <w:r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մեթոդաբանությունը։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Մեթոդաբանության հիման վրա հաշվարկված ծանրաբեռնվածության աստիճանը արտացոլում է ջրօգտագործման ճնշումը վերականգնվող ջրային ռեսուրսների վրա և ընդգծում՝ առաջարկի և պահանջարկի հավասարակշռված կառավարման </w:t>
      </w:r>
      <w:proofErr w:type="spellStart"/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կարևորությունը</w:t>
      </w:r>
      <w:proofErr w:type="spellEnd"/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։ Այն թույլ կտա գնահատել երկրում ջրային ռեսուրսների և պաշարների վիճակը, ինչպես նաև դրանց օգտագործման մակարդակը՝ ըստ ջրի պահանջարկի։ </w:t>
      </w:r>
    </w:p>
    <w:p w14:paraId="279D3B5B" w14:textId="77777777" w:rsidR="004C708D" w:rsidRDefault="004C708D" w:rsidP="004C708D">
      <w:pPr>
        <w:spacing w:after="0" w:line="360" w:lineRule="auto"/>
        <w:ind w:firstLine="54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Միաժամանակ,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ջ</w:t>
      </w:r>
      <w:r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shd w:val="clear" w:color="auto" w:fill="FFFFFF"/>
          <w:lang w:val="hy-AM"/>
        </w:rPr>
        <w:t xml:space="preserve">րային ռեսուրսների վրա ծանրաբեռնվածության աստիճանը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հանդիսանում է ջրային ռեսուրսների կայուն և արդյունավետ կառավարման գործիք՝ հնարավորություն տալով վերլուծել և գնահատել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ջրառը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ըստ ոլորտների։</w:t>
      </w:r>
    </w:p>
    <w:p w14:paraId="55FAE142" w14:textId="77777777" w:rsidR="004C708D" w:rsidRDefault="004C708D" w:rsidP="004C708D">
      <w:pPr>
        <w:pStyle w:val="ListParagraph"/>
        <w:tabs>
          <w:tab w:val="left" w:pos="630"/>
        </w:tabs>
        <w:spacing w:after="0" w:line="360" w:lineRule="auto"/>
        <w:ind w:left="0" w:firstLine="360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</w:pPr>
      <w:r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  <w:t>3. Նախագծերի մշակման գործընթացում ներգրավված ինստիտուտները, անձինք և նրանց դիրքորոշումը</w:t>
      </w:r>
    </w:p>
    <w:p w14:paraId="14A07A98" w14:textId="77777777" w:rsidR="004C708D" w:rsidRDefault="004C708D" w:rsidP="004C708D">
      <w:pPr>
        <w:widowControl w:val="0"/>
        <w:tabs>
          <w:tab w:val="left" w:pos="9900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Նախագիծը մշակվել է շրջակա միջավայրի նախարարության կողմից։</w:t>
      </w:r>
    </w:p>
    <w:p w14:paraId="6B8BD5FC" w14:textId="77777777" w:rsidR="004C708D" w:rsidRDefault="004C708D" w:rsidP="004C708D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GHEA Grapalat"/>
          <w:b/>
          <w:bCs/>
          <w:color w:val="000000" w:themeColor="text1"/>
          <w:u w:val="single"/>
          <w:lang w:val="hy-AM"/>
        </w:rPr>
      </w:pPr>
      <w:r>
        <w:rPr>
          <w:rFonts w:ascii="GHEA Grapalat" w:hAnsi="GHEA Grapalat" w:cs="GHEA Grapalat"/>
          <w:b/>
          <w:bCs/>
          <w:color w:val="000000" w:themeColor="text1"/>
          <w:u w:val="single"/>
          <w:lang w:val="hy-AM"/>
        </w:rPr>
        <w:t>4. Ակնկալվող արդյունքը</w:t>
      </w:r>
    </w:p>
    <w:p w14:paraId="6E9D0A4C" w14:textId="77777777" w:rsidR="004C708D" w:rsidRDefault="004C708D" w:rsidP="004C708D">
      <w:pPr>
        <w:spacing w:after="0" w:line="360" w:lineRule="auto"/>
        <w:ind w:firstLine="54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Նախագծի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ընդունումը կնպաստի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ջրային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էկոհամակարգերի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պահպանությանը,  ջրային ռեսուրսների օգտագործման արդյունավետության բարձրացմանը, դրանց ծանրաբեռնվածության նվազեցմանը, ջրի կորուստների կրճատմանը և ջրային ռեսուրսների որակի բարելավմանը։</w:t>
      </w:r>
    </w:p>
    <w:p w14:paraId="19A0F93A" w14:textId="77777777" w:rsidR="004C708D" w:rsidRDefault="004C708D" w:rsidP="004C708D">
      <w:pPr>
        <w:widowControl w:val="0"/>
        <w:tabs>
          <w:tab w:val="left" w:pos="9900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</w:pPr>
      <w:r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  <w:t xml:space="preserve">5. </w:t>
      </w:r>
      <w:r>
        <w:rPr>
          <w:rFonts w:ascii="GHEA Grapalat" w:hAnsi="GHEA Grapalat"/>
          <w:b/>
          <w:color w:val="000000" w:themeColor="text1"/>
          <w:sz w:val="24"/>
          <w:szCs w:val="24"/>
          <w:u w:val="single"/>
          <w:shd w:val="clear" w:color="auto" w:fill="FFFFFF"/>
          <w:lang w:val="hy-AM"/>
        </w:rPr>
        <w:t xml:space="preserve">Տեղեկատվություն լրացուցիչ ֆինանսական միջոցների անհրաժեշտության և պետական բյուջեի </w:t>
      </w:r>
      <w:proofErr w:type="spellStart"/>
      <w:r>
        <w:rPr>
          <w:rFonts w:ascii="GHEA Grapalat" w:hAnsi="GHEA Grapalat"/>
          <w:b/>
          <w:color w:val="000000" w:themeColor="text1"/>
          <w:sz w:val="24"/>
          <w:szCs w:val="24"/>
          <w:u w:val="single"/>
          <w:shd w:val="clear" w:color="auto" w:fill="FFFFFF"/>
          <w:lang w:val="hy-AM"/>
        </w:rPr>
        <w:t>եկամուտներում</w:t>
      </w:r>
      <w:proofErr w:type="spellEnd"/>
      <w:r>
        <w:rPr>
          <w:rFonts w:ascii="GHEA Grapalat" w:hAnsi="GHEA Grapalat"/>
          <w:b/>
          <w:color w:val="000000" w:themeColor="text1"/>
          <w:sz w:val="24"/>
          <w:szCs w:val="24"/>
          <w:u w:val="single"/>
          <w:shd w:val="clear" w:color="auto" w:fill="FFFFFF"/>
          <w:lang w:val="hy-AM"/>
        </w:rPr>
        <w:t xml:space="preserve"> և ծախսերում սպասվելիք փոփոխությունների մասին</w:t>
      </w:r>
    </w:p>
    <w:p w14:paraId="4F85E409" w14:textId="77777777" w:rsidR="004C708D" w:rsidRDefault="004C708D" w:rsidP="004C708D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>«Ջ</w:t>
      </w:r>
      <w:r>
        <w:rPr>
          <w:rStyle w:val="Strong"/>
          <w:rFonts w:ascii="GHEA Grapalat" w:hAnsi="GHEA Grapalat"/>
          <w:b w:val="0"/>
          <w:bCs w:val="0"/>
          <w:color w:val="000000" w:themeColor="text1"/>
          <w:shd w:val="clear" w:color="auto" w:fill="FFFFFF"/>
          <w:lang w:val="hy-AM"/>
        </w:rPr>
        <w:t>րային ռեսուրսների վրա ծանրաբեռնվածության աստիճանի որոշման</w:t>
      </w:r>
      <w:r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մեթոդաբանությունը </w:t>
      </w:r>
      <w:proofErr w:type="spellStart"/>
      <w:r>
        <w:rPr>
          <w:rFonts w:ascii="GHEA Grapalat" w:hAnsi="GHEA Grapalat"/>
          <w:color w:val="000000" w:themeColor="text1"/>
          <w:shd w:val="clear" w:color="auto" w:fill="FFFFFF"/>
          <w:lang w:val="af-ZA"/>
        </w:rPr>
        <w:t>սահմանե</w:t>
      </w:r>
      <w:proofErr w:type="spellEnd"/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լու մասին» </w:t>
      </w:r>
      <w:r>
        <w:rPr>
          <w:rFonts w:ascii="GHEA Grapalat" w:hAnsi="GHEA Grapalat" w:cs="GHEA Grapalat"/>
          <w:color w:val="000000" w:themeColor="text1"/>
          <w:lang w:val="hy-AM"/>
        </w:rPr>
        <w:t>Կառավարության որոշման</w:t>
      </w:r>
      <w:r>
        <w:rPr>
          <w:rFonts w:ascii="GHEA Grapalat" w:hAnsi="GHEA Grapalat" w:cs="GHEA Grapalat"/>
          <w:b/>
          <w:color w:val="000000" w:themeColor="text1"/>
          <w:lang w:val="hy-AM"/>
        </w:rPr>
        <w:t xml:space="preserve"> </w:t>
      </w:r>
      <w:r>
        <w:rPr>
          <w:rFonts w:ascii="GHEA Grapalat" w:hAnsi="GHEA Grapalat" w:cs="GHEA Grapalat"/>
          <w:color w:val="000000" w:themeColor="text1"/>
          <w:lang w:val="hy-AM"/>
        </w:rPr>
        <w:t>նախագծի</w:t>
      </w:r>
      <w:r>
        <w:rPr>
          <w:rFonts w:ascii="GHEA Grapalat" w:hAnsi="GHEA Grapalat" w:cs="GHEA Grapalat"/>
          <w:color w:val="000000" w:themeColor="text1"/>
          <w:spacing w:val="-6"/>
          <w:lang w:val="hy-AM"/>
        </w:rPr>
        <w:t xml:space="preserve"> </w:t>
      </w:r>
      <w:r>
        <w:rPr>
          <w:rFonts w:ascii="GHEA Grapalat" w:hAnsi="GHEA Grapalat" w:cs="GHEA Grapalat"/>
          <w:color w:val="000000" w:themeColor="text1"/>
          <w:lang w:val="hy-AM"/>
        </w:rPr>
        <w:t xml:space="preserve">ընդունման կապակցությամբ </w:t>
      </w:r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լրացուցիչ ֆինանսական միջոցների անհրաժեշտություն, պետական բյուջեի </w:t>
      </w:r>
      <w:proofErr w:type="spellStart"/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>եկամուտներում</w:t>
      </w:r>
      <w:proofErr w:type="spellEnd"/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և ծախսերում փոփոխություններ </w:t>
      </w:r>
      <w:r>
        <w:rPr>
          <w:rFonts w:ascii="GHEA Grapalat" w:hAnsi="GHEA Grapalat" w:cs="GHEA Grapalat"/>
          <w:color w:val="000000" w:themeColor="text1"/>
          <w:lang w:val="hy-AM"/>
        </w:rPr>
        <w:t xml:space="preserve">չի նախատեսվում։ </w:t>
      </w:r>
    </w:p>
    <w:p w14:paraId="5E8A0F6D" w14:textId="77777777" w:rsidR="004C708D" w:rsidRDefault="004C708D" w:rsidP="004C708D">
      <w:pPr>
        <w:spacing w:after="0" w:line="360" w:lineRule="auto"/>
        <w:ind w:firstLine="720"/>
        <w:jc w:val="both"/>
        <w:rPr>
          <w:rFonts w:ascii="GHEA Grapalat" w:eastAsia="Calibri" w:hAnsi="GHEA Grapalat"/>
          <w:b/>
          <w:color w:val="000000" w:themeColor="text1"/>
          <w:sz w:val="24"/>
          <w:szCs w:val="24"/>
          <w:u w:val="single"/>
          <w:lang w:val="hy-AM"/>
        </w:rPr>
      </w:pPr>
      <w:r>
        <w:rPr>
          <w:rFonts w:ascii="GHEA Grapalat" w:eastAsia="Calibri" w:hAnsi="GHEA Grapalat"/>
          <w:b/>
          <w:color w:val="000000" w:themeColor="text1"/>
          <w:sz w:val="24"/>
          <w:szCs w:val="24"/>
          <w:u w:val="single"/>
          <w:lang w:val="hy-AM"/>
        </w:rPr>
        <w:t xml:space="preserve">6. </w:t>
      </w:r>
      <w:r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 xml:space="preserve">Կապը ռազմավարական փաստաթղթերի հետ. </w:t>
      </w:r>
    </w:p>
    <w:p w14:paraId="717EA07C" w14:textId="77777777" w:rsidR="004C708D" w:rsidRDefault="004C708D" w:rsidP="004C708D">
      <w:pPr>
        <w:tabs>
          <w:tab w:val="left" w:pos="90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«Ջ</w:t>
      </w:r>
      <w:r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shd w:val="clear" w:color="auto" w:fill="FFFFFF"/>
          <w:lang w:val="hy-AM"/>
        </w:rPr>
        <w:t>րային ռեսուրսների վրա ծանրաբեռնվածության աստիճանի որոշման</w:t>
      </w:r>
      <w:r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մեթոդաբանությունը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af-ZA"/>
        </w:rPr>
        <w:t>սահմանե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լու մասին» 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Կառավարության որոշման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նախագծի 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մշակումը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բխում է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Կառավարության 2021 թվականի օգոստոսի 18-ի N 1363-Ա որոշման հավելվածի «4.10 Շրջակա միջավայրի պահպանություն» բաժնի առաջնահերթ ուղղությունից՝ «ջրային ռեսուրսների արդյունավետ օգտագործման և որակի բարձրացման նպատակով կառավարման </w:t>
      </w:r>
      <w:proofErr w:type="spellStart"/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գերարդյունավետ</w:t>
      </w:r>
      <w:proofErr w:type="spellEnd"/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համակարգերի ներդրումը, ջրային ռեսուրսների պահպանման, այդ թվում` ջրահեռացման ու կեղտաջրերի մաքրման գործընթացի կանոնակարգումը, Արարատյան արտեզյան ավազանի և գետային </w:t>
      </w:r>
      <w:proofErr w:type="spellStart"/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էկոհամակարգերի</w:t>
      </w:r>
      <w:proofErr w:type="spellEnd"/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պահպանությունն ու կառավարումը»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։ </w:t>
      </w:r>
    </w:p>
    <w:p w14:paraId="21DFB7B9" w14:textId="77777777" w:rsidR="004C708D" w:rsidRDefault="004C708D" w:rsidP="004C708D">
      <w:pPr>
        <w:spacing w:after="0" w:line="360" w:lineRule="auto"/>
        <w:ind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Նախագծի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ընդունումը կնպաստի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ջրային ռեսուրսների արդյունավետ օգտագործմանը, դրանց ծանրաբեռնվածության նվազեցմանը և</w:t>
      </w:r>
      <w:r>
        <w:rPr>
          <w:rFonts w:ascii="GHEA Grapalat" w:hAnsi="GHEA Grapalat"/>
          <w:sz w:val="24"/>
          <w:szCs w:val="24"/>
          <w:lang w:val="hy-AM"/>
        </w:rPr>
        <w:t xml:space="preserve"> ջրային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էկոհամակարգերի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պահպանությանը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</w:p>
    <w:p w14:paraId="4C1C632D" w14:textId="171032BF" w:rsidR="00C848BE" w:rsidRPr="004C708D" w:rsidRDefault="00C848BE" w:rsidP="004C708D">
      <w:pPr>
        <w:rPr>
          <w:lang w:val="hy-AM"/>
        </w:rPr>
      </w:pPr>
      <w:bookmarkStart w:id="0" w:name="_GoBack"/>
      <w:bookmarkEnd w:id="0"/>
    </w:p>
    <w:sectPr w:rsidR="00C848BE" w:rsidRPr="004C708D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amian">
    <w:panose1 w:val="02027200000000000000"/>
    <w:charset w:val="00"/>
    <w:family w:val="decorative"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AMU">
    <w:altName w:val="Arial"/>
    <w:panose1 w:val="020B0604020202020204"/>
    <w:charset w:val="00"/>
    <w:family w:val="swiss"/>
    <w:pitch w:val="variable"/>
    <w:sig w:usb0="800006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D22833"/>
    <w:multiLevelType w:val="hybridMultilevel"/>
    <w:tmpl w:val="DCD6B18E"/>
    <w:lvl w:ilvl="0" w:tplc="C59A416A">
      <w:start w:val="1"/>
      <w:numFmt w:val="decimal"/>
      <w:lvlText w:val="%1."/>
      <w:lvlJc w:val="left"/>
      <w:pPr>
        <w:ind w:left="1605" w:hanging="10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7E2B1DD4"/>
    <w:multiLevelType w:val="hybridMultilevel"/>
    <w:tmpl w:val="912A75EE"/>
    <w:lvl w:ilvl="0" w:tplc="C24678B0">
      <w:start w:val="5"/>
      <w:numFmt w:val="bullet"/>
      <w:lvlText w:val="-"/>
      <w:lvlJc w:val="left"/>
      <w:pPr>
        <w:ind w:left="900" w:hanging="360"/>
      </w:pPr>
      <w:rPr>
        <w:rFonts w:ascii="GHEA Grapalat" w:eastAsiaTheme="minorHAnsi" w:hAnsi="GHEA Grapalat" w:cs="Sylfaen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814"/>
    <w:rsid w:val="00023344"/>
    <w:rsid w:val="00026B0F"/>
    <w:rsid w:val="00034E7F"/>
    <w:rsid w:val="000539E2"/>
    <w:rsid w:val="00066AE6"/>
    <w:rsid w:val="000721E0"/>
    <w:rsid w:val="000A1A43"/>
    <w:rsid w:val="000B732C"/>
    <w:rsid w:val="00155FBF"/>
    <w:rsid w:val="0016631F"/>
    <w:rsid w:val="00170810"/>
    <w:rsid w:val="001857D9"/>
    <w:rsid w:val="001D5ECE"/>
    <w:rsid w:val="001F7AD6"/>
    <w:rsid w:val="00220F53"/>
    <w:rsid w:val="002223E8"/>
    <w:rsid w:val="00242297"/>
    <w:rsid w:val="00294985"/>
    <w:rsid w:val="00296BE0"/>
    <w:rsid w:val="002C34A3"/>
    <w:rsid w:val="002D1C2B"/>
    <w:rsid w:val="003529E2"/>
    <w:rsid w:val="00393051"/>
    <w:rsid w:val="003C02B5"/>
    <w:rsid w:val="003C39A0"/>
    <w:rsid w:val="00432731"/>
    <w:rsid w:val="00434AD6"/>
    <w:rsid w:val="00446A2E"/>
    <w:rsid w:val="004523DE"/>
    <w:rsid w:val="0045664C"/>
    <w:rsid w:val="004964B3"/>
    <w:rsid w:val="004C708D"/>
    <w:rsid w:val="004E51D6"/>
    <w:rsid w:val="005276DF"/>
    <w:rsid w:val="00535689"/>
    <w:rsid w:val="0056013C"/>
    <w:rsid w:val="005B1505"/>
    <w:rsid w:val="005C27AE"/>
    <w:rsid w:val="005C4312"/>
    <w:rsid w:val="005D1E96"/>
    <w:rsid w:val="005D34FE"/>
    <w:rsid w:val="00671401"/>
    <w:rsid w:val="006904A1"/>
    <w:rsid w:val="00695252"/>
    <w:rsid w:val="006C0B77"/>
    <w:rsid w:val="00700487"/>
    <w:rsid w:val="00714F4D"/>
    <w:rsid w:val="00767B6C"/>
    <w:rsid w:val="007B4F4D"/>
    <w:rsid w:val="007E1FDF"/>
    <w:rsid w:val="008242FF"/>
    <w:rsid w:val="00870751"/>
    <w:rsid w:val="00894F2C"/>
    <w:rsid w:val="008B5483"/>
    <w:rsid w:val="00922C48"/>
    <w:rsid w:val="00935AC5"/>
    <w:rsid w:val="00962294"/>
    <w:rsid w:val="00A71EED"/>
    <w:rsid w:val="00A84938"/>
    <w:rsid w:val="00A95607"/>
    <w:rsid w:val="00A96B8C"/>
    <w:rsid w:val="00AB30CE"/>
    <w:rsid w:val="00AE0814"/>
    <w:rsid w:val="00AE4423"/>
    <w:rsid w:val="00B37CF0"/>
    <w:rsid w:val="00B54722"/>
    <w:rsid w:val="00B630B7"/>
    <w:rsid w:val="00B71C7F"/>
    <w:rsid w:val="00B80382"/>
    <w:rsid w:val="00B915B7"/>
    <w:rsid w:val="00B93CDD"/>
    <w:rsid w:val="00BB4167"/>
    <w:rsid w:val="00BF7185"/>
    <w:rsid w:val="00C07C90"/>
    <w:rsid w:val="00C835FA"/>
    <w:rsid w:val="00C848BE"/>
    <w:rsid w:val="00C84EBF"/>
    <w:rsid w:val="00CB4055"/>
    <w:rsid w:val="00CD4BC3"/>
    <w:rsid w:val="00D05879"/>
    <w:rsid w:val="00D05B35"/>
    <w:rsid w:val="00D11BEB"/>
    <w:rsid w:val="00D231EC"/>
    <w:rsid w:val="00D7234A"/>
    <w:rsid w:val="00D842D1"/>
    <w:rsid w:val="00D87C22"/>
    <w:rsid w:val="00DB440D"/>
    <w:rsid w:val="00DE189C"/>
    <w:rsid w:val="00EA1ADE"/>
    <w:rsid w:val="00EA59DF"/>
    <w:rsid w:val="00EC363C"/>
    <w:rsid w:val="00ED3EB9"/>
    <w:rsid w:val="00EE4070"/>
    <w:rsid w:val="00F12C76"/>
    <w:rsid w:val="00F2727D"/>
    <w:rsid w:val="00F41C10"/>
    <w:rsid w:val="00F47D0E"/>
    <w:rsid w:val="00F570FA"/>
    <w:rsid w:val="00F6406D"/>
    <w:rsid w:val="00F71637"/>
    <w:rsid w:val="00FF7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DA948"/>
  <w15:chartTrackingRefBased/>
  <w15:docId w15:val="{4C351058-13E0-4236-9A8C-375C0A386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B630B7"/>
    <w:pPr>
      <w:spacing w:before="100" w:beforeAutospacing="1" w:after="100" w:afterAutospacing="1"/>
    </w:pPr>
    <w:rPr>
      <w:rFonts w:eastAsia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B630B7"/>
    <w:rPr>
      <w:b/>
      <w:bCs/>
    </w:rPr>
  </w:style>
  <w:style w:type="character" w:styleId="Emphasis">
    <w:name w:val="Emphasis"/>
    <w:basedOn w:val="DefaultParagraphFont"/>
    <w:uiPriority w:val="20"/>
    <w:qFormat/>
    <w:rsid w:val="00B630B7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B630B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lp1"/>
    <w:basedOn w:val="Normal"/>
    <w:link w:val="ListParagraphChar"/>
    <w:uiPriority w:val="34"/>
    <w:qFormat/>
    <w:rsid w:val="00B630B7"/>
    <w:pPr>
      <w:spacing w:line="256" w:lineRule="auto"/>
      <w:ind w:left="720"/>
      <w:contextualSpacing/>
    </w:pPr>
    <w:rPr>
      <w:rFonts w:asciiTheme="minorHAnsi" w:hAnsiTheme="minorHAnsi"/>
      <w:sz w:val="22"/>
      <w:lang w:val="en-US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,lp1 Char"/>
    <w:link w:val="ListParagraph"/>
    <w:uiPriority w:val="34"/>
    <w:qFormat/>
    <w:locked/>
    <w:rsid w:val="000539E2"/>
    <w:rPr>
      <w:lang w:val="en-US"/>
    </w:rPr>
  </w:style>
  <w:style w:type="character" w:styleId="Hyperlink">
    <w:name w:val="Hyperlink"/>
    <w:basedOn w:val="DefaultParagraphFont"/>
    <w:uiPriority w:val="99"/>
    <w:unhideWhenUsed/>
    <w:rsid w:val="00393051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930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197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unwater.org/our-work/sdg-6-integrated-monitoring-initiative/indicator-642-level-water-stress-freshwater" TargetMode="External"/><Relationship Id="rId5" Type="http://schemas.openxmlformats.org/officeDocument/2006/relationships/hyperlink" Target="https://doi.org/10.4060/cd2179e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4</Pages>
  <Words>634</Words>
  <Characters>5318</Characters>
  <Application>Microsoft Office Word</Application>
  <DocSecurity>0</DocSecurity>
  <Lines>102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Alikhanyan</dc:creator>
  <cp:keywords>https://mul2.gov.am/tasks/1312247/oneclick?token=c44d73f4e2773af1e5db4c9e823ee362</cp:keywords>
  <dc:description/>
  <cp:lastModifiedBy>Marina Vardanyan</cp:lastModifiedBy>
  <cp:revision>159</cp:revision>
  <cp:lastPrinted>2024-07-19T13:05:00Z</cp:lastPrinted>
  <dcterms:created xsi:type="dcterms:W3CDTF">2024-07-19T11:58:00Z</dcterms:created>
  <dcterms:modified xsi:type="dcterms:W3CDTF">2026-04-29T05:56:00Z</dcterms:modified>
</cp:coreProperties>
</file>