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87E8" w14:textId="77777777" w:rsidR="00FF14E3" w:rsidRPr="00FF14E3" w:rsidRDefault="00FF14E3" w:rsidP="00FF14E3">
      <w:pPr>
        <w:spacing w:after="0" w:line="276" w:lineRule="auto"/>
        <w:ind w:firstLine="720"/>
        <w:jc w:val="right"/>
        <w:rPr>
          <w:rFonts w:ascii="GHEA Grapalat" w:eastAsia="Calibri" w:hAnsi="GHEA Grapalat" w:cs="Times New Roman"/>
          <w:b/>
          <w:sz w:val="24"/>
          <w:szCs w:val="24"/>
          <w:lang w:val="hy-AM"/>
        </w:rPr>
      </w:pPr>
      <w:r w:rsidRPr="00FF14E3">
        <w:rPr>
          <w:rFonts w:ascii="GHEA Grapalat" w:eastAsia="Calibri" w:hAnsi="GHEA Grapalat" w:cs="Times New Roman"/>
          <w:b/>
          <w:sz w:val="24"/>
          <w:szCs w:val="24"/>
          <w:lang w:val="hy-AM"/>
        </w:rPr>
        <w:t>ՆԱԽԱԳԻԾ</w:t>
      </w:r>
    </w:p>
    <w:p w14:paraId="32C4CEE3" w14:textId="77777777" w:rsidR="00FF14E3" w:rsidRPr="00FF14E3" w:rsidRDefault="00FF14E3" w:rsidP="00FF14E3">
      <w:pPr>
        <w:spacing w:after="0" w:line="276" w:lineRule="auto"/>
        <w:ind w:firstLine="720"/>
        <w:jc w:val="right"/>
        <w:rPr>
          <w:rFonts w:ascii="GHEA Grapalat" w:eastAsia="Calibri" w:hAnsi="GHEA Grapalat" w:cs="Times New Roman"/>
          <w:b/>
          <w:sz w:val="24"/>
          <w:szCs w:val="24"/>
          <w:lang w:val="hy-AM"/>
        </w:rPr>
      </w:pPr>
    </w:p>
    <w:p w14:paraId="43419AC1" w14:textId="77777777" w:rsidR="00FF14E3" w:rsidRPr="00FF14E3" w:rsidRDefault="00FF14E3" w:rsidP="00FF14E3">
      <w:pPr>
        <w:spacing w:after="0" w:line="276" w:lineRule="auto"/>
        <w:ind w:firstLine="720"/>
        <w:jc w:val="center"/>
        <w:rPr>
          <w:rFonts w:ascii="GHEA Grapalat" w:eastAsia="Calibri" w:hAnsi="GHEA Grapalat" w:cs="Times New Roman"/>
          <w:b/>
          <w:sz w:val="24"/>
          <w:szCs w:val="24"/>
          <w:lang w:val="hy-AM"/>
        </w:rPr>
      </w:pPr>
      <w:r w:rsidRPr="00FF14E3">
        <w:rPr>
          <w:rFonts w:ascii="GHEA Grapalat" w:eastAsia="Calibri" w:hAnsi="GHEA Grapalat" w:cs="Times New Roman"/>
          <w:b/>
          <w:sz w:val="24"/>
          <w:szCs w:val="24"/>
          <w:lang w:val="hy-AM"/>
        </w:rPr>
        <w:t>ՀԱՅԱՍՏԱՆԻ ՀԱՆՐԱՊԵՏՈՒԹՅԱՆ</w:t>
      </w:r>
    </w:p>
    <w:p w14:paraId="46DAB21C" w14:textId="77777777" w:rsidR="00FF14E3" w:rsidRPr="00FF14E3" w:rsidRDefault="00FF14E3" w:rsidP="00FF14E3">
      <w:pPr>
        <w:spacing w:after="0" w:line="276" w:lineRule="auto"/>
        <w:ind w:firstLine="720"/>
        <w:contextualSpacing/>
        <w:jc w:val="center"/>
        <w:rPr>
          <w:rFonts w:ascii="GHEA Grapalat" w:eastAsia="Calibri" w:hAnsi="GHEA Grapalat" w:cs="Times New Roman"/>
          <w:b/>
          <w:sz w:val="24"/>
          <w:szCs w:val="24"/>
          <w:lang w:val="hy-AM"/>
        </w:rPr>
      </w:pPr>
      <w:r w:rsidRPr="00FF14E3">
        <w:rPr>
          <w:rFonts w:ascii="GHEA Grapalat" w:eastAsia="Calibri" w:hAnsi="GHEA Grapalat" w:cs="Times New Roman"/>
          <w:b/>
          <w:sz w:val="24"/>
          <w:szCs w:val="24"/>
          <w:lang w:val="hy-AM"/>
        </w:rPr>
        <w:t>ՕՐԵՆՔԸ</w:t>
      </w:r>
    </w:p>
    <w:p w14:paraId="4EEFA766" w14:textId="77777777" w:rsidR="00FF14E3" w:rsidRPr="00FF14E3" w:rsidRDefault="00FF14E3" w:rsidP="00FF14E3">
      <w:pPr>
        <w:spacing w:after="0" w:line="276" w:lineRule="auto"/>
        <w:ind w:firstLine="720"/>
        <w:jc w:val="center"/>
        <w:rPr>
          <w:rFonts w:ascii="GHEA Grapalat" w:eastAsia="Calibri" w:hAnsi="GHEA Grapalat" w:cs="Times New Roman"/>
          <w:b/>
          <w:sz w:val="24"/>
          <w:szCs w:val="24"/>
          <w:lang w:val="hy-AM"/>
        </w:rPr>
      </w:pPr>
      <w:r w:rsidRPr="00FF14E3">
        <w:rPr>
          <w:rFonts w:ascii="GHEA Grapalat" w:eastAsia="Calibri" w:hAnsi="GHEA Grapalat" w:cs="Times New Roman"/>
          <w:b/>
          <w:sz w:val="24"/>
          <w:szCs w:val="24"/>
          <w:lang w:val="hy-AM"/>
        </w:rPr>
        <w:t>«ՃԱՆԱՊԱՐՀԱՅԻՆ ԵՐԹԵՎԵԿՈՒԹՅԱՆ ԱՆՎՏԱՆԳՈՒԹՅԱՆ ԱՊԱՀՈՎՄԱՆ ՄԱՍԻՆ» ՕՐԵՆՔՈՒՄ ԼՐԱՑՈՒՄՆԵՐ ԵՎ ՓՈՓՈԽՈՒԹՅՈՒՆՆԵՐ ԿԱՏԱՐԵԼՈՒ ՄԱՍԻՆ</w:t>
      </w:r>
    </w:p>
    <w:p w14:paraId="5AF5DBFB" w14:textId="77777777" w:rsidR="00FF14E3" w:rsidRPr="00FF14E3" w:rsidRDefault="00FF14E3" w:rsidP="00FF14E3">
      <w:pPr>
        <w:spacing w:after="0" w:line="276" w:lineRule="auto"/>
        <w:ind w:firstLine="720"/>
        <w:jc w:val="center"/>
        <w:rPr>
          <w:rFonts w:ascii="GHEA Grapalat" w:eastAsia="Calibri" w:hAnsi="GHEA Grapalat" w:cs="Times New Roman"/>
          <w:color w:val="000000"/>
          <w:sz w:val="24"/>
          <w:szCs w:val="24"/>
          <w:shd w:val="clear" w:color="auto" w:fill="FFFFFF"/>
          <w:lang w:val="hy-AM"/>
        </w:rPr>
      </w:pPr>
    </w:p>
    <w:p w14:paraId="2505038D"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b/>
          <w:color w:val="000000"/>
          <w:sz w:val="24"/>
          <w:szCs w:val="24"/>
          <w:shd w:val="clear" w:color="auto" w:fill="FFFFFF"/>
          <w:lang w:val="hy-AM"/>
        </w:rPr>
        <w:t>Հոդված 1.</w:t>
      </w:r>
      <w:r w:rsidRPr="00FF14E3">
        <w:rPr>
          <w:rFonts w:ascii="GHEA Grapalat" w:eastAsia="Calibri" w:hAnsi="GHEA Grapalat" w:cs="Times New Roman"/>
          <w:color w:val="000000"/>
          <w:sz w:val="24"/>
          <w:szCs w:val="24"/>
          <w:shd w:val="clear" w:color="auto" w:fill="FFFFFF"/>
          <w:lang w:val="hy-AM"/>
        </w:rPr>
        <w:t xml:space="preserve"> «Ճանապարհային երթևեկության անվտանգության ապահովման մասին» 2005 թվականի հուլիսի 8-ի ՀՕ-166-Ն օրենքի 24-րդ հոդվածի՝</w:t>
      </w:r>
    </w:p>
    <w:p w14:paraId="4C660A1E"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ա. 4.1-ին մասը շարադրել նոր խմբագրությամբ՝ հետևյալ բովանդակությամբ.</w:t>
      </w:r>
    </w:p>
    <w:p w14:paraId="019F0F32"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«4.1. Եթե ճանապարհատրանսպորտային պատահարի հետևանքով պատճառվել է գույքային վնաս և եթե ճանապարհատրանսպորտային պատահարի հետևանքով գույքի վնասման հետ կապված վնասվածքներ հասցնելու հանգամանքները, տրանսպորտային միջոցների տեսանելի վնասների բնույթը և ցանկը ճանապարհատրանսպորտային պատահարի մասնակիցների միջև՝</w:t>
      </w:r>
    </w:p>
    <w:p w14:paraId="4E16B307"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 xml:space="preserve">1) առաջացնում են տարաձայնություններ կամ չեն առաջացնում տարաձայնություններ, սակայն ճանապարհատրանսպորտային պատահարի հատկանիշները (պատահարին մասնակից տրանսպորտային միջոցների քանակը և (կամ) ակնկալվող հատուցման չափը) չեն համապատասխանում «Ավտոտրանսպորտային միջոցների օգտագործումից բխող պատասխանատվության պարտադիր ապահովագրության մասին» օրենքով նախատեսված` համաձայնեցված հայտարարագրի լրացման միջոցով տուժողների վնասների հատուցման գործընթացին ներկայացված պայմաններին, ապա ճանապարհատրանսպորտային պատահարին առնչություն ունեցող վարորդը պարտավոր է տեղի ունեցածի մասին հայտնել ոստիկանություն, և մինչև ոստիկանության կամ այլ իրավասու մարմնի ծառայողների ներկայանալը լուսանկարահանման և տեսանկարահանման միջոցով ամրագրել ճանապարհատրանսպորտային պատահարին առնչություն ունեցող տրանսպորտային միջոցների` միմյանց և ճանապարհային ենթակառուցվածքների օբյեկտների նկատմամբ դիրքը, հետքերը, առարկաները, տրանսպորտային միջոցների կամ այլ գույքի վնասվածքները,  ապահովել ճանապարհատրանսպորտային պատահարին առնչություն ունեցող տրանսպորտային միջոցների՝ պատահարի պահից ոչ ուշ, քան 15 րոպեի ընթացքում </w:t>
      </w:r>
      <w:r w:rsidRPr="00FF14E3">
        <w:rPr>
          <w:rFonts w:ascii="GHEA Grapalat" w:eastAsia="Calibri" w:hAnsi="GHEA Grapalat" w:cs="Times New Roman"/>
          <w:b/>
          <w:bCs/>
          <w:color w:val="000000"/>
          <w:sz w:val="24"/>
          <w:szCs w:val="24"/>
          <w:shd w:val="clear" w:color="auto" w:fill="FFFFFF"/>
          <w:lang w:val="hy-AM"/>
        </w:rPr>
        <w:t xml:space="preserve"> </w:t>
      </w:r>
      <w:r w:rsidRPr="00FF14E3">
        <w:rPr>
          <w:rFonts w:ascii="GHEA Grapalat" w:eastAsia="Calibri" w:hAnsi="GHEA Grapalat" w:cs="Times New Roman"/>
          <w:color w:val="000000"/>
          <w:sz w:val="24"/>
          <w:szCs w:val="24"/>
          <w:shd w:val="clear" w:color="auto" w:fill="FFFFFF"/>
          <w:lang w:val="hy-AM"/>
        </w:rPr>
        <w:t>պատահարի վայրից տեղափոխումը</w:t>
      </w:r>
      <w:r w:rsidRPr="00FF14E3">
        <w:rPr>
          <w:rFonts w:ascii="GHEA Grapalat" w:eastAsia="Calibri" w:hAnsi="GHEA Grapalat" w:cs="Times New Roman"/>
          <w:b/>
          <w:bCs/>
          <w:color w:val="000000"/>
          <w:sz w:val="24"/>
          <w:szCs w:val="24"/>
          <w:shd w:val="clear" w:color="auto" w:fill="FFFFFF"/>
          <w:lang w:val="hy-AM"/>
        </w:rPr>
        <w:t xml:space="preserve"> </w:t>
      </w:r>
      <w:r w:rsidRPr="00FF14E3">
        <w:rPr>
          <w:rFonts w:ascii="GHEA Grapalat" w:eastAsia="Calibri" w:hAnsi="GHEA Grapalat" w:cs="Times New Roman"/>
          <w:color w:val="000000"/>
          <w:sz w:val="24"/>
          <w:szCs w:val="24"/>
          <w:shd w:val="clear" w:color="auto" w:fill="FFFFFF"/>
          <w:lang w:val="hy-AM"/>
        </w:rPr>
        <w:t xml:space="preserve">երթևեկության մասնակիցների համար խոչընդոտ չստեղծող տեղ (բացառությամբ այն դեպքերի, երբ առկա է </w:t>
      </w:r>
      <w:r w:rsidRPr="00FF14E3">
        <w:rPr>
          <w:rFonts w:ascii="GHEA Grapalat" w:eastAsia="Calibri" w:hAnsi="GHEA Grapalat" w:cs="Times New Roman"/>
          <w:color w:val="000000"/>
          <w:sz w:val="24"/>
          <w:szCs w:val="24"/>
          <w:shd w:val="clear" w:color="auto" w:fill="FFFFFF"/>
          <w:lang w:val="hy-AM"/>
        </w:rPr>
        <w:lastRenderedPageBreak/>
        <w:t>տրանսպորտային միջոցը  տեղափոխելու օբյեկտիվ անհնարինություն (ավտոտրանսպորտային միջոցը պատահարի հետևանքով ունի այնպիսի տեխնիկական անսարքություն, որի առկայության դեպքում արգելվում է կամ անհնարին է դրա շահագործումը) կամ պատահարը տեղի է ունեցել երթևեկության մասնակիցների համար խոչընդոտ չստեղծող հատվածում) և սպասել ոստիկանության կամ այլ իրավասու մարմնի անձանց ներկայանալուն:</w:t>
      </w:r>
    </w:p>
    <w:p w14:paraId="57DEE06B"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2) չեն առաջացնում տարաձայնություններ, ապա ճանապարհատրանսպորտային պատահարին առնչություն ունեցող վարորդները պարտավոր չեն տեղի ունեցածի մասին հայտնել ոստիկանություն և կարող են՝</w:t>
      </w:r>
    </w:p>
    <w:p w14:paraId="1C545C1D"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ա. ինքնուրույն ձևակերպել ճանապարհատրանսպորտային պատահարի վերաբերյալ փաստաթղթեր` «Ավտոտրանսպորտային միջոցների օգտագործումից բխող պատասխանատվության պարտադիր ապահովագրության մասին» օրենքով նախատեսված` համաձայնեցված հայտարարագրի լրացման միջոցով տուժողների վնասների հատուցման գործընթացին ներկայացված պայմաններին համապատասխան, և պատահարի պահից ոչ ուշ, քան 15 րոպեի ընթացքում տրանսպորտային միջոցները հանել պատահարի վայրից, եթե ճանապարհատրանսպորտային պատահարի հատկանիշները (պատահարին մասնակից տրանսպորտային միջոցների քանակը և (կամ) ակնկալվող հատուցման չափը) համապատասխանում են «Ավտոտրանսպորտային միջոցների օգտագործումից բխող պատասխանատվության պարտադիր ապահովագրության մասին» օրենքով նախատեսված` համաձայնեցված հայտարարագրի լրացման միջոցով տուժողների վնասների հատուցման գործընթացին ներկայացված պայմաններին,</w:t>
      </w:r>
    </w:p>
    <w:p w14:paraId="6B5E85F2"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բ. չձևակերպել ճանապարհատրանսպորտային պատահարի վերաբերյալ փաստաթղթեր, եթե ճանապարհատրանսպորտային պատահարի հետևանքով վնասվել են միայն դրա մասնակիցների տրանսպորտային միջոցները կամ այլ գույքը, և ոչ մի մասնակից չունի նշված փաստաթղթերը ձևակերպելու և (կամ) միմյանց նկատմամբ (այդ թվում` ապահովագրական ընկերությունների միջոցով) պահանջներ ներկայացնելու ցանկություն:».</w:t>
      </w:r>
    </w:p>
    <w:p w14:paraId="244584B6"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բ. 4.3-րդ մասը շարադրել նոր խմբագրությամբ՝ հետևյալ բովանդակությամբ.</w:t>
      </w:r>
    </w:p>
    <w:p w14:paraId="1A00EDE5"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 xml:space="preserve">«4.3. Սույն հոդվածի 4.1-ին մասի 1-ին կետով նախատեսված դեպքերում ոստիկանությունը ապահովելով ճանապարհային երթևեկության անվտանգությունը, հավաքում է ճանապարհատրանսպորտային պատահարի մասնակիցների, նրանց տրանսպորտային միջոցների և պատահարի հանգամանքների վերաբերյալ տվյալներ` կազմելով պատահարի մասին և պատահարի հանգամանքների </w:t>
      </w:r>
      <w:r w:rsidRPr="00FF14E3">
        <w:rPr>
          <w:rFonts w:ascii="GHEA Grapalat" w:eastAsia="Calibri" w:hAnsi="GHEA Grapalat" w:cs="Times New Roman"/>
          <w:color w:val="000000"/>
          <w:sz w:val="24"/>
          <w:szCs w:val="24"/>
          <w:shd w:val="clear" w:color="auto" w:fill="FFFFFF"/>
          <w:lang w:val="hy-AM"/>
        </w:rPr>
        <w:lastRenderedPageBreak/>
        <w:t>տեխնիկական ելակետային տվյալների մասին արձանագրություններ: Պատահարի հանգամանքների տեխնիկական ելակետային տվյալների մասին արձանագրությունը կարող է չկազմվել, եթե ճանապարհատրանսպորտային պատահարը տեղի է ունեցել ցերեկը` օրվա լուսավոր ժամի, բավարար տեսանելիության պայմաններում, և առկա է դրա տեղի ունենալու պահի և դրան անմիջապես հաջորդող` պատահարի մասնակիցների գործողությունների տեսագրություն: Պատահարի մասին և պատահարի հանգամանքների տեխնիկական ելակետային տվյալների մասին արձանագրությունները, ինչպես նաև տվյալ ճանապարհատրանսպորտային պատահարի հետ կապված յուրաքանչյուր փաստաթուղթ, տեղեկություն, տեսանյութ, լուսանկար կամ այլ նյութ կարող է ցանկացած եղանակով տրամադրվել (հասանելի դարձվել) Հայաստանի ավտոապահովագրողների բյուրոյին և (կամ) դրա անդամ ապահովագրական ընկերություններին և (կամ) երրորդ անձանց՝ ճանապարհատրանսպորտային պատահարի գծով իրականացվող հատուցման գործընթացի կարգավորման, ներառյալ՝ փորձաքննությունների իրականացման և ԱՊՊԱ ոլորտում անհրաժեշտ այլ գործողությունների իրականացման համար: Պատահարի մասին արձանագրության ձևը և դրանում պարունակվող տեղեկատվությունը, ինչպես նաև պատահարի հանգամանքների տեխնիկական ելակետային տվյալների կազմի ու կառուցվածքի նկատմամբ պահանջները հաստատում է ոստիկանության պետը` համաձայնեցնելով Հայաստանի Հանրապետության կենտրոնական բանկի հետ:».</w:t>
      </w:r>
    </w:p>
    <w:p w14:paraId="30B33160"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գ. 4.4-րդ մասը ուժը կորցրած ճանաչել.</w:t>
      </w:r>
    </w:p>
    <w:p w14:paraId="6579F8C7"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3) 24.2-րդ հոդվածը լրացնել նոր 14-րդ մասով՝ հետևյալ բովանդակությամբ.</w:t>
      </w:r>
    </w:p>
    <w:p w14:paraId="1349E062"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 xml:space="preserve">«14. Սույն հոդվածով նախատեսված կարգավորումներից բացի, համայնքում հեծանիվով և մոպեդով երթևեկության արգելված վայրերը, լրացուցիչ </w:t>
      </w:r>
      <w:r w:rsidRPr="00FF14E3">
        <w:rPr>
          <w:rFonts w:ascii="GHEA Grapalat" w:eastAsia="Times New Roman" w:hAnsi="GHEA Grapalat" w:cs="Times New Roman"/>
          <w:color w:val="000000"/>
          <w:sz w:val="24"/>
          <w:szCs w:val="24"/>
          <w:lang w:val="hy-AM"/>
        </w:rPr>
        <w:t>պայմանները, պահանջները և սահմանափակումները</w:t>
      </w:r>
      <w:r w:rsidRPr="00FF14E3">
        <w:rPr>
          <w:rFonts w:ascii="GHEA Grapalat" w:eastAsia="Calibri" w:hAnsi="GHEA Grapalat" w:cs="Times New Roman"/>
          <w:color w:val="000000"/>
          <w:sz w:val="24"/>
          <w:szCs w:val="24"/>
          <w:shd w:val="clear" w:color="auto" w:fill="FFFFFF"/>
          <w:lang w:val="hy-AM"/>
        </w:rPr>
        <w:t xml:space="preserve"> սահմանում է համայնքի ավագանին։».</w:t>
      </w:r>
    </w:p>
    <w:p w14:paraId="1431CD45"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4) 24.4-րդ հոդվածի 10-րդ մասը շարադրել նոր խմբագրությամբ՝ հետևյալ բովանդակությամբ.</w:t>
      </w:r>
    </w:p>
    <w:p w14:paraId="559C9659"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color w:val="000000"/>
          <w:sz w:val="24"/>
          <w:szCs w:val="24"/>
          <w:shd w:val="clear" w:color="auto" w:fill="FFFFFF"/>
          <w:lang w:val="hy-AM"/>
        </w:rPr>
        <w:t xml:space="preserve">«10. Սույն հոդվածով նախատեսված կարգավորումներից բացի, համայնքում անհատական շարժունակության (տեղաշարժման) միջոցների երթևեկության արգելված վայրերը, լրացուցիչ </w:t>
      </w:r>
      <w:r w:rsidRPr="00FF14E3">
        <w:rPr>
          <w:rFonts w:ascii="GHEA Grapalat" w:eastAsia="Times New Roman" w:hAnsi="GHEA Grapalat" w:cs="Times New Roman"/>
          <w:color w:val="000000"/>
          <w:sz w:val="24"/>
          <w:szCs w:val="24"/>
          <w:lang w:val="hy-AM"/>
        </w:rPr>
        <w:t>պայմանները, պահանջները և սահմանափակումները</w:t>
      </w:r>
      <w:r w:rsidRPr="00FF14E3">
        <w:rPr>
          <w:rFonts w:ascii="GHEA Grapalat" w:eastAsia="Calibri" w:hAnsi="GHEA Grapalat" w:cs="Times New Roman"/>
          <w:color w:val="000000"/>
          <w:sz w:val="24"/>
          <w:szCs w:val="24"/>
          <w:shd w:val="clear" w:color="auto" w:fill="FFFFFF"/>
          <w:lang w:val="hy-AM"/>
        </w:rPr>
        <w:t xml:space="preserve"> սահմանում է համայնքի ավագանին։»:</w:t>
      </w:r>
    </w:p>
    <w:p w14:paraId="7340BCB4" w14:textId="77777777" w:rsidR="00FF14E3" w:rsidRPr="00FF14E3" w:rsidRDefault="00FF14E3" w:rsidP="00FF14E3">
      <w:pPr>
        <w:spacing w:after="0" w:line="276" w:lineRule="auto"/>
        <w:ind w:firstLine="720"/>
        <w:jc w:val="both"/>
        <w:rPr>
          <w:rFonts w:ascii="GHEA Grapalat" w:eastAsia="Calibri" w:hAnsi="GHEA Grapalat" w:cs="Times New Roman"/>
          <w:color w:val="000000"/>
          <w:sz w:val="24"/>
          <w:szCs w:val="24"/>
          <w:shd w:val="clear" w:color="auto" w:fill="FFFFFF"/>
          <w:lang w:val="hy-AM"/>
        </w:rPr>
      </w:pPr>
      <w:r w:rsidRPr="00FF14E3">
        <w:rPr>
          <w:rFonts w:ascii="GHEA Grapalat" w:eastAsia="Calibri" w:hAnsi="GHEA Grapalat" w:cs="Times New Roman"/>
          <w:b/>
          <w:bCs/>
          <w:color w:val="000000"/>
          <w:sz w:val="24"/>
          <w:szCs w:val="24"/>
          <w:shd w:val="clear" w:color="auto" w:fill="FFFFFF"/>
          <w:lang w:val="hy-AM"/>
        </w:rPr>
        <w:t xml:space="preserve">Հոդված 2. </w:t>
      </w:r>
      <w:r w:rsidRPr="00FF14E3">
        <w:rPr>
          <w:rFonts w:ascii="GHEA Grapalat" w:eastAsia="Calibri" w:hAnsi="GHEA Grapalat" w:cs="Times New Roman"/>
          <w:color w:val="000000"/>
          <w:sz w:val="24"/>
          <w:szCs w:val="24"/>
          <w:shd w:val="clear" w:color="auto" w:fill="FFFFFF"/>
          <w:lang w:val="hy-AM"/>
        </w:rPr>
        <w:t xml:space="preserve">Սույն օրենքն ուժի մեջ է մտնում պաշտոնական հրապարակման օրվանից մեկ ամիս հետո: </w:t>
      </w:r>
      <w:r w:rsidRPr="00FF14E3">
        <w:rPr>
          <w:rFonts w:ascii="GHEA Grapalat" w:eastAsia="Calibri" w:hAnsi="GHEA Grapalat" w:cs="Times New Roman"/>
          <w:bCs/>
          <w:color w:val="000000"/>
          <w:sz w:val="24"/>
          <w:szCs w:val="24"/>
          <w:shd w:val="clear" w:color="auto" w:fill="FFFFFF"/>
          <w:lang w:val="hy-AM"/>
        </w:rPr>
        <w:t xml:space="preserve">Ենթաօրենսդրական նորմատիվ իրավական ակտերում սույն օրենքի ընդունումից բխող փոփոխությունները կատարվում են սույն օրենքի ընդունումից հետո  </w:t>
      </w:r>
      <w:r w:rsidRPr="00FF14E3">
        <w:rPr>
          <w:rFonts w:ascii="GHEA Grapalat" w:eastAsia="Calibri" w:hAnsi="GHEA Grapalat" w:cs="Times New Roman"/>
          <w:bCs/>
          <w:sz w:val="24"/>
          <w:szCs w:val="24"/>
          <w:lang w:val="hy-AM"/>
        </w:rPr>
        <w:t xml:space="preserve">վեց </w:t>
      </w:r>
      <w:r w:rsidRPr="00FF14E3">
        <w:rPr>
          <w:rFonts w:ascii="GHEA Grapalat" w:eastAsia="Calibri" w:hAnsi="GHEA Grapalat" w:cs="Times New Roman"/>
          <w:bCs/>
          <w:color w:val="000000"/>
          <w:sz w:val="24"/>
          <w:szCs w:val="24"/>
          <w:shd w:val="clear" w:color="auto" w:fill="FFFFFF"/>
          <w:lang w:val="hy-AM"/>
        </w:rPr>
        <w:t xml:space="preserve"> ամսվա ընթացքում:</w:t>
      </w:r>
    </w:p>
    <w:p w14:paraId="6638700E"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sectPr w:rsidR="00F91456" w:rsidRPr="00F91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332A9"/>
    <w:rsid w:val="005B06A2"/>
    <w:rsid w:val="00884889"/>
    <w:rsid w:val="00894D19"/>
    <w:rsid w:val="00AA2781"/>
    <w:rsid w:val="00CC1A63"/>
    <w:rsid w:val="00DB645D"/>
    <w:rsid w:val="00E2517B"/>
    <w:rsid w:val="00F91456"/>
    <w:rsid w:val="00FF1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5134</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2026-04-16T09:18:00Z</dcterms:created>
  <dcterms:modified xsi:type="dcterms:W3CDTF">2026-04-16T09:18:00Z</dcterms:modified>
</cp:coreProperties>
</file>