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559D1" w14:textId="4D0227E6" w:rsidR="003E24B6" w:rsidRDefault="003E24B6" w:rsidP="003E24B6">
      <w:pPr>
        <w:tabs>
          <w:tab w:val="left" w:pos="567"/>
        </w:tabs>
        <w:spacing w:line="360" w:lineRule="auto"/>
        <w:jc w:val="center"/>
        <w:rPr>
          <w:rFonts w:ascii="GHEA Grapalat" w:hAnsi="GHEA Grapalat"/>
          <w:b/>
          <w:bCs/>
          <w:sz w:val="24"/>
          <w:szCs w:val="24"/>
          <w:lang w:val="hy-AM"/>
        </w:rPr>
      </w:pPr>
      <w:r>
        <w:rPr>
          <w:rFonts w:ascii="GHEA Grapalat" w:hAnsi="GHEA Grapalat"/>
          <w:b/>
          <w:bCs/>
          <w:sz w:val="24"/>
          <w:szCs w:val="24"/>
          <w:lang w:val="hy-AM"/>
        </w:rPr>
        <w:t>ՏԵՂԵԿԱՆՔ</w:t>
      </w:r>
    </w:p>
    <w:p w14:paraId="29579FB4" w14:textId="52298824" w:rsidR="00455769" w:rsidRPr="003D3314" w:rsidRDefault="00A92050" w:rsidP="003D3314">
      <w:pPr>
        <w:spacing w:after="0" w:line="360" w:lineRule="auto"/>
        <w:jc w:val="center"/>
        <w:rPr>
          <w:rFonts w:ascii="GHEA Grapalat" w:eastAsia="Calibri" w:hAnsi="GHEA Grapalat" w:cs="Times New Roman"/>
          <w:b/>
          <w:kern w:val="0"/>
          <w:sz w:val="24"/>
          <w:szCs w:val="24"/>
          <w:lang w:val="hy-AM"/>
          <w14:ligatures w14:val="none"/>
        </w:rPr>
      </w:pPr>
      <w:r>
        <w:rPr>
          <w:rFonts w:ascii="GHEA Grapalat" w:hAnsi="GHEA Grapalat"/>
          <w:b/>
          <w:bCs/>
          <w:sz w:val="24"/>
          <w:szCs w:val="24"/>
          <w:lang w:val="hy-AM"/>
        </w:rPr>
        <w:t>«</w:t>
      </w:r>
      <w:r w:rsidR="003D3314" w:rsidRPr="003D3314">
        <w:rPr>
          <w:rFonts w:ascii="GHEA Grapalat" w:eastAsia="Calibri" w:hAnsi="GHEA Grapalat" w:cs="Times New Roman"/>
          <w:b/>
          <w:kern w:val="0"/>
          <w:sz w:val="24"/>
          <w:szCs w:val="24"/>
          <w:lang w:val="hy-AM"/>
          <w14:ligatures w14:val="none"/>
        </w:rPr>
        <w:t>ՀԱՅԱՍՏԱՆԻ ՀԱՆՐԱՊԵՏՈՒԹՅԱՆ ՔՐԵԱԿԱ</w:t>
      </w:r>
      <w:r w:rsidR="000935D2">
        <w:rPr>
          <w:rFonts w:ascii="GHEA Grapalat" w:eastAsia="Calibri" w:hAnsi="GHEA Grapalat" w:cs="Times New Roman"/>
          <w:b/>
          <w:kern w:val="0"/>
          <w:sz w:val="24"/>
          <w:szCs w:val="24"/>
          <w:lang w:val="hy-AM"/>
          <w14:ligatures w14:val="none"/>
        </w:rPr>
        <w:t>ՏԱՐՈՂԱԿԱՆ</w:t>
      </w:r>
      <w:r w:rsidR="003D3314" w:rsidRPr="003D3314">
        <w:rPr>
          <w:rFonts w:ascii="GHEA Grapalat" w:eastAsia="Calibri" w:hAnsi="GHEA Grapalat" w:cs="Times New Roman"/>
          <w:b/>
          <w:kern w:val="0"/>
          <w:sz w:val="24"/>
          <w:szCs w:val="24"/>
          <w:lang w:val="hy-AM"/>
          <w14:ligatures w14:val="none"/>
        </w:rPr>
        <w:t xml:space="preserve"> ՕՐԵՆՍԳՐՔՈՒՄ ԼՐԱՑՈՒՄՆԵՐ ԿԱՏԱՐԵԼՈՒ ՄԱՍԻՆ</w:t>
      </w:r>
      <w:r>
        <w:rPr>
          <w:rFonts w:ascii="GHEA Grapalat" w:hAnsi="GHEA Grapalat"/>
          <w:b/>
          <w:bCs/>
          <w:sz w:val="24"/>
          <w:szCs w:val="24"/>
          <w:lang w:val="hy-AM"/>
        </w:rPr>
        <w:t>» ՕՐԵՆՔԻ ՆԱԽԱԳԾՈՎ</w:t>
      </w:r>
      <w:r w:rsidR="00477E8C">
        <w:rPr>
          <w:rFonts w:ascii="GHEA Grapalat" w:hAnsi="GHEA Grapalat"/>
          <w:b/>
          <w:bCs/>
          <w:sz w:val="24"/>
          <w:szCs w:val="24"/>
          <w:lang w:val="hy-AM"/>
        </w:rPr>
        <w:t xml:space="preserve"> </w:t>
      </w:r>
      <w:r w:rsidR="00C15A00">
        <w:rPr>
          <w:rFonts w:ascii="GHEA Grapalat" w:hAnsi="GHEA Grapalat"/>
          <w:b/>
          <w:bCs/>
          <w:sz w:val="24"/>
          <w:szCs w:val="24"/>
          <w:lang w:val="hy-AM"/>
        </w:rPr>
        <w:t>ԼՐԱՑՎ</w:t>
      </w:r>
      <w:r w:rsidR="00477E8C">
        <w:rPr>
          <w:rFonts w:ascii="GHEA Grapalat" w:hAnsi="GHEA Grapalat"/>
          <w:b/>
          <w:bCs/>
          <w:sz w:val="24"/>
          <w:szCs w:val="24"/>
          <w:lang w:val="hy-AM"/>
        </w:rPr>
        <w:t>ՈՂ</w:t>
      </w:r>
      <w:r>
        <w:rPr>
          <w:rFonts w:ascii="GHEA Grapalat" w:hAnsi="GHEA Grapalat"/>
          <w:b/>
          <w:bCs/>
          <w:sz w:val="24"/>
          <w:szCs w:val="24"/>
          <w:lang w:val="hy-AM"/>
        </w:rPr>
        <w:t xml:space="preserve"> ՀՈԴՎԱԾԻ</w:t>
      </w:r>
    </w:p>
    <w:p w14:paraId="0DA059CF" w14:textId="77777777" w:rsidR="00F31614" w:rsidRDefault="00F31614" w:rsidP="004976BC">
      <w:pPr>
        <w:tabs>
          <w:tab w:val="left" w:pos="567"/>
        </w:tabs>
        <w:spacing w:after="0" w:line="360" w:lineRule="auto"/>
        <w:ind w:firstLine="567"/>
        <w:jc w:val="both"/>
        <w:rPr>
          <w:rFonts w:ascii="GHEA Grapalat" w:hAnsi="GHEA Grapalat"/>
          <w:b/>
          <w:bCs/>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138"/>
      </w:tblGrid>
      <w:tr w:rsidR="000935D2" w:rsidRPr="000935D2" w14:paraId="21FABCB8" w14:textId="77777777" w:rsidTr="000935D2">
        <w:trPr>
          <w:tblCellSpacing w:w="7" w:type="dxa"/>
        </w:trPr>
        <w:tc>
          <w:tcPr>
            <w:tcW w:w="2025" w:type="dxa"/>
            <w:shd w:val="clear" w:color="auto" w:fill="FFFFFF"/>
            <w:hideMark/>
          </w:tcPr>
          <w:p w14:paraId="265F07EC" w14:textId="77777777" w:rsidR="000935D2" w:rsidRPr="000935D2" w:rsidRDefault="000935D2" w:rsidP="000935D2">
            <w:pPr>
              <w:spacing w:after="0" w:line="360" w:lineRule="auto"/>
              <w:jc w:val="both"/>
              <w:rPr>
                <w:rFonts w:ascii="GHEA Grapalat" w:eastAsia="Times New Roman" w:hAnsi="GHEA Grapalat" w:cs="Arial"/>
                <w:color w:val="333333"/>
                <w:kern w:val="0"/>
                <w:sz w:val="24"/>
                <w:szCs w:val="24"/>
                <w:lang w:val="en-GB" w:eastAsia="en-GB"/>
                <w14:ligatures w14:val="none"/>
              </w:rPr>
            </w:pPr>
            <w:r w:rsidRPr="000935D2">
              <w:rPr>
                <w:rFonts w:ascii="GHEA Grapalat" w:eastAsia="Times New Roman" w:hAnsi="GHEA Grapalat" w:cs="Arial"/>
                <w:b/>
                <w:bCs/>
                <w:color w:val="333333"/>
                <w:kern w:val="0"/>
                <w:sz w:val="24"/>
                <w:szCs w:val="24"/>
                <w:lang w:val="en-GB" w:eastAsia="en-GB"/>
                <w14:ligatures w14:val="none"/>
              </w:rPr>
              <w:t>Հոդված 151.</w:t>
            </w:r>
          </w:p>
        </w:tc>
        <w:tc>
          <w:tcPr>
            <w:tcW w:w="0" w:type="auto"/>
            <w:shd w:val="clear" w:color="auto" w:fill="FFFFFF"/>
            <w:hideMark/>
          </w:tcPr>
          <w:p w14:paraId="26BFAA73" w14:textId="77777777" w:rsidR="000935D2" w:rsidRPr="000935D2" w:rsidRDefault="000935D2" w:rsidP="000935D2">
            <w:pPr>
              <w:spacing w:after="0" w:line="360" w:lineRule="auto"/>
              <w:jc w:val="both"/>
              <w:rPr>
                <w:rFonts w:ascii="GHEA Grapalat" w:eastAsia="Times New Roman" w:hAnsi="GHEA Grapalat" w:cs="Arial"/>
                <w:color w:val="333333"/>
                <w:kern w:val="0"/>
                <w:sz w:val="24"/>
                <w:szCs w:val="24"/>
                <w:lang w:val="en-GB" w:eastAsia="en-GB"/>
                <w14:ligatures w14:val="none"/>
              </w:rPr>
            </w:pPr>
            <w:r w:rsidRPr="000935D2">
              <w:rPr>
                <w:rFonts w:ascii="GHEA Grapalat" w:eastAsia="Times New Roman" w:hAnsi="GHEA Grapalat" w:cs="Arial"/>
                <w:b/>
                <w:bCs/>
                <w:color w:val="333333"/>
                <w:kern w:val="0"/>
                <w:sz w:val="24"/>
                <w:szCs w:val="24"/>
                <w:lang w:val="en-GB" w:eastAsia="en-GB"/>
                <w14:ligatures w14:val="none"/>
              </w:rPr>
              <w:t>Դատական ակտերի կատարման փուլում դատապարտյալի իրավունքների դատական պաշտպանությունը</w:t>
            </w:r>
          </w:p>
        </w:tc>
      </w:tr>
    </w:tbl>
    <w:p w14:paraId="2B26A880" w14:textId="77777777" w:rsidR="000935D2" w:rsidRPr="000935D2" w:rsidRDefault="000935D2" w:rsidP="000935D2">
      <w:pPr>
        <w:shd w:val="clear" w:color="auto" w:fill="FFFFFF"/>
        <w:spacing w:after="0" w:line="360" w:lineRule="auto"/>
        <w:ind w:firstLine="375"/>
        <w:jc w:val="both"/>
        <w:rPr>
          <w:rFonts w:ascii="GHEA Grapalat" w:eastAsia="Times New Roman" w:hAnsi="GHEA Grapalat" w:cs="Arial"/>
          <w:color w:val="333333"/>
          <w:kern w:val="0"/>
          <w:sz w:val="24"/>
          <w:szCs w:val="24"/>
          <w:lang w:val="en-GB" w:eastAsia="en-GB"/>
          <w14:ligatures w14:val="none"/>
        </w:rPr>
      </w:pPr>
      <w:r w:rsidRPr="000935D2">
        <w:rPr>
          <w:rFonts w:ascii="Calibri" w:eastAsia="Times New Roman" w:hAnsi="Calibri" w:cs="Calibri"/>
          <w:color w:val="333333"/>
          <w:kern w:val="0"/>
          <w:sz w:val="24"/>
          <w:szCs w:val="24"/>
          <w:lang w:val="en-GB" w:eastAsia="en-GB"/>
          <w14:ligatures w14:val="none"/>
        </w:rPr>
        <w:t> </w:t>
      </w:r>
    </w:p>
    <w:p w14:paraId="051AFF2F" w14:textId="4AC999CE" w:rsidR="000935D2" w:rsidRPr="000935D2" w:rsidRDefault="000935D2" w:rsidP="00301DC4">
      <w:pPr>
        <w:shd w:val="clear" w:color="auto" w:fill="FFFFFF"/>
        <w:spacing w:after="0" w:line="360" w:lineRule="auto"/>
        <w:ind w:left="-540" w:firstLine="375"/>
        <w:jc w:val="both"/>
        <w:rPr>
          <w:rFonts w:ascii="GHEA Grapalat" w:eastAsia="Times New Roman" w:hAnsi="GHEA Grapalat" w:cs="Arial"/>
          <w:color w:val="333333"/>
          <w:kern w:val="0"/>
          <w:sz w:val="24"/>
          <w:szCs w:val="24"/>
          <w:lang w:val="en-GB" w:eastAsia="en-GB"/>
          <w14:ligatures w14:val="none"/>
        </w:rPr>
      </w:pPr>
      <w:r w:rsidRPr="000935D2">
        <w:rPr>
          <w:rFonts w:ascii="GHEA Grapalat" w:eastAsia="Times New Roman" w:hAnsi="GHEA Grapalat" w:cs="Arial"/>
          <w:color w:val="333333"/>
          <w:kern w:val="0"/>
          <w:sz w:val="24"/>
          <w:szCs w:val="24"/>
          <w:lang w:val="en-GB" w:eastAsia="en-GB"/>
          <w14:ligatures w14:val="none"/>
        </w:rPr>
        <w:t xml:space="preserve">1. </w:t>
      </w:r>
      <w:r w:rsidRPr="000935D2">
        <w:rPr>
          <w:rFonts w:ascii="GHEA Grapalat" w:eastAsia="Times New Roman" w:hAnsi="GHEA Grapalat" w:cs="GHEA Grapalat"/>
          <w:color w:val="333333"/>
          <w:kern w:val="0"/>
          <w:sz w:val="24"/>
          <w:szCs w:val="24"/>
          <w:lang w:val="en-GB" w:eastAsia="en-GB"/>
          <w14:ligatures w14:val="none"/>
        </w:rPr>
        <w:t>Դատական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ակտի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կատարման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փուլում</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ապահովվում</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է</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դատապարտյալի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իրավունքների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դատական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պաշտպանությունը</w:t>
      </w:r>
      <w:r w:rsidRPr="000935D2">
        <w:rPr>
          <w:rFonts w:ascii="GHEA Grapalat" w:eastAsia="Times New Roman" w:hAnsi="GHEA Grapalat" w:cs="Arial"/>
          <w:color w:val="333333"/>
          <w:kern w:val="0"/>
          <w:sz w:val="24"/>
          <w:szCs w:val="24"/>
          <w:lang w:val="en-GB" w:eastAsia="en-GB"/>
          <w14:ligatures w14:val="none"/>
        </w:rPr>
        <w:t>:</w:t>
      </w:r>
    </w:p>
    <w:p w14:paraId="77BC68E4" w14:textId="1B81E34C" w:rsidR="000935D2" w:rsidRPr="000935D2" w:rsidRDefault="000935D2" w:rsidP="00301DC4">
      <w:pPr>
        <w:shd w:val="clear" w:color="auto" w:fill="FFFFFF"/>
        <w:spacing w:after="0" w:line="360" w:lineRule="auto"/>
        <w:ind w:left="-540" w:firstLine="375"/>
        <w:jc w:val="both"/>
        <w:rPr>
          <w:rFonts w:ascii="GHEA Grapalat" w:eastAsia="Times New Roman" w:hAnsi="GHEA Grapalat" w:cs="Arial"/>
          <w:color w:val="333333"/>
          <w:kern w:val="0"/>
          <w:sz w:val="24"/>
          <w:szCs w:val="24"/>
          <w:lang w:val="en-GB" w:eastAsia="en-GB"/>
          <w14:ligatures w14:val="none"/>
        </w:rPr>
      </w:pPr>
      <w:r w:rsidRPr="000935D2">
        <w:rPr>
          <w:rFonts w:ascii="GHEA Grapalat" w:eastAsia="Times New Roman" w:hAnsi="GHEA Grapalat" w:cs="Arial"/>
          <w:color w:val="333333"/>
          <w:kern w:val="0"/>
          <w:sz w:val="24"/>
          <w:szCs w:val="24"/>
          <w:lang w:val="en-GB" w:eastAsia="en-GB"/>
          <w14:ligatures w14:val="none"/>
        </w:rPr>
        <w:t xml:space="preserve">2. </w:t>
      </w:r>
      <w:r w:rsidRPr="000935D2">
        <w:rPr>
          <w:rFonts w:ascii="GHEA Grapalat" w:eastAsia="Times New Roman" w:hAnsi="GHEA Grapalat" w:cs="GHEA Grapalat"/>
          <w:color w:val="333333"/>
          <w:kern w:val="0"/>
          <w:sz w:val="24"/>
          <w:szCs w:val="24"/>
          <w:lang w:val="en-GB" w:eastAsia="en-GB"/>
          <w14:ligatures w14:val="none"/>
        </w:rPr>
        <w:t>Դատապարտյալն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իրավունք</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ունի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դիմելու</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դատական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ակտ</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կայացրած</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դատարան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դատական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ակտի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կատարումը</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հետաձգելու</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հիվանդության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կամ</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հետաձգման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ժամկետը</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լրանալու</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հետևանքով</w:t>
      </w:r>
      <w:r w:rsidRPr="000935D2">
        <w:rPr>
          <w:rFonts w:ascii="GHEA Grapalat" w:eastAsia="Times New Roman" w:hAnsi="GHEA Grapalat" w:cs="Arial"/>
          <w:color w:val="333333"/>
          <w:kern w:val="0"/>
          <w:sz w:val="24"/>
          <w:szCs w:val="24"/>
          <w:lang w:val="en-GB" w:eastAsia="en-GB"/>
          <w14:ligatures w14:val="none"/>
        </w:rPr>
        <w:t xml:space="preserve"> պատժից ազատելու, ինչպես նաև Հայաստանի Հանրապետության օրենսդրությամբ նախատեսված այլ հարցերի մասին միջնորդություններով:</w:t>
      </w:r>
    </w:p>
    <w:p w14:paraId="077326B0" w14:textId="60F98864" w:rsidR="000935D2" w:rsidRDefault="000935D2" w:rsidP="00301DC4">
      <w:pPr>
        <w:shd w:val="clear" w:color="auto" w:fill="FFFFFF"/>
        <w:spacing w:after="0" w:line="360" w:lineRule="auto"/>
        <w:ind w:left="-540" w:firstLine="375"/>
        <w:jc w:val="both"/>
        <w:rPr>
          <w:rFonts w:ascii="GHEA Grapalat" w:eastAsia="Times New Roman" w:hAnsi="GHEA Grapalat" w:cs="Arial"/>
          <w:color w:val="333333"/>
          <w:kern w:val="0"/>
          <w:sz w:val="24"/>
          <w:szCs w:val="24"/>
          <w:lang w:val="en-GB" w:eastAsia="en-GB"/>
          <w14:ligatures w14:val="none"/>
        </w:rPr>
      </w:pPr>
      <w:r w:rsidRPr="000935D2">
        <w:rPr>
          <w:rFonts w:ascii="GHEA Grapalat" w:eastAsia="Times New Roman" w:hAnsi="GHEA Grapalat" w:cs="Arial"/>
          <w:color w:val="333333"/>
          <w:kern w:val="0"/>
          <w:sz w:val="24"/>
          <w:szCs w:val="24"/>
          <w:lang w:val="en-GB" w:eastAsia="en-GB"/>
          <w14:ligatures w14:val="none"/>
        </w:rPr>
        <w:t xml:space="preserve">3. </w:t>
      </w:r>
      <w:r w:rsidRPr="000935D2">
        <w:rPr>
          <w:rFonts w:ascii="GHEA Grapalat" w:eastAsia="Times New Roman" w:hAnsi="GHEA Grapalat" w:cs="GHEA Grapalat"/>
          <w:color w:val="333333"/>
          <w:kern w:val="0"/>
          <w:sz w:val="24"/>
          <w:szCs w:val="24"/>
          <w:lang w:val="en-GB" w:eastAsia="en-GB"/>
          <w14:ligatures w14:val="none"/>
        </w:rPr>
        <w:t>Դատական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ակտերն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կատար</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ածելու</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հետ</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կապված</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հարցերը</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դատարանի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կողմից</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քննելիս</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դատապարտյալն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իրավունք</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ունի</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մասնակցելու</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դատական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նիստին</w:t>
      </w:r>
      <w:r w:rsidRPr="000935D2">
        <w:rPr>
          <w:rFonts w:ascii="GHEA Grapalat" w:eastAsia="Times New Roman" w:hAnsi="GHEA Grapalat" w:cs="Arial"/>
          <w:color w:val="333333"/>
          <w:kern w:val="0"/>
          <w:sz w:val="24"/>
          <w:szCs w:val="24"/>
          <w:lang w:val="en-GB" w:eastAsia="en-GB"/>
          <w14:ligatures w14:val="none"/>
        </w:rPr>
        <w:t xml:space="preserve">, </w:t>
      </w:r>
      <w:r w:rsidRPr="000935D2">
        <w:rPr>
          <w:rFonts w:ascii="GHEA Grapalat" w:eastAsia="Times New Roman" w:hAnsi="GHEA Grapalat" w:cs="GHEA Grapalat"/>
          <w:color w:val="333333"/>
          <w:kern w:val="0"/>
          <w:sz w:val="24"/>
          <w:szCs w:val="24"/>
          <w:lang w:val="en-GB" w:eastAsia="en-GB"/>
          <w14:ligatures w14:val="none"/>
        </w:rPr>
        <w:t>տալու</w:t>
      </w:r>
      <w:r w:rsidRPr="000935D2">
        <w:rPr>
          <w:rFonts w:ascii="GHEA Grapalat" w:eastAsia="Times New Roman" w:hAnsi="GHEA Grapalat" w:cs="Arial"/>
          <w:color w:val="333333"/>
          <w:kern w:val="0"/>
          <w:sz w:val="24"/>
          <w:szCs w:val="24"/>
          <w:lang w:val="en-GB" w:eastAsia="en-GB"/>
          <w14:ligatures w14:val="none"/>
        </w:rPr>
        <w:t xml:space="preserve"> բացատրություններ, ներկայացնելու ապացույցներ, հարուցելու միջնորդություններ, հայտնելու բացարկներ, ծանոթանալու գործի նյութերին, բողոքարկելու դատարանի գործողությունները և որոշումները:</w:t>
      </w:r>
    </w:p>
    <w:p w14:paraId="5BA41899" w14:textId="77777777" w:rsidR="00CA4177" w:rsidRPr="00CA4177" w:rsidRDefault="000935D2"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0935D2">
        <w:rPr>
          <w:rFonts w:ascii="GHEA Grapalat" w:eastAsia="Times New Roman" w:hAnsi="GHEA Grapalat" w:cs="Times New Roman"/>
          <w:color w:val="FF0000"/>
          <w:kern w:val="0"/>
          <w:sz w:val="24"/>
          <w:szCs w:val="24"/>
          <w:lang w:val="hy-AM" w:eastAsia="ru-RU"/>
          <w14:ligatures w14:val="none"/>
        </w:rPr>
        <w:t xml:space="preserve">3.1. </w:t>
      </w:r>
      <w:r w:rsidR="00CA4177" w:rsidRPr="00CA4177">
        <w:rPr>
          <w:rFonts w:ascii="GHEA Grapalat" w:eastAsia="Times New Roman" w:hAnsi="GHEA Grapalat" w:cs="Times New Roman"/>
          <w:color w:val="FF0000"/>
          <w:kern w:val="0"/>
          <w:sz w:val="24"/>
          <w:szCs w:val="24"/>
          <w:lang w:val="hy-AM" w:eastAsia="ru-RU"/>
          <w14:ligatures w14:val="none"/>
        </w:rPr>
        <w:t>Սույն գլխով և սույն օրենսգրքի 30-րդ գլխով նախատեսված բանավոր ընթացակարգով վարույթի դեպքում դատական նիստին ազատությունից զրկելու հետ կապված պատիժ կրող դատապարտյալի մասնակցությունը կարող է ապահովվել տեսահաղորդակցության տեխնիկական միջոցների օգտագործմամբ (տեսակապի միջոցով)՝ դատապարտյալի միջնորդությամբ կամ դատարանի նախաձեռնությամբ՝ հասարակական կարգի կամ առողջության կամ դատապարտյալի անվտանգության ապահովման կամ հանցագործությունների կանխման կամ սույն օրենսգրքով նախատեսված ժամկետում դատական վարույթի իրականացումն ապահովելու նպատակով։</w:t>
      </w:r>
    </w:p>
    <w:p w14:paraId="415095C0"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3.2. Տեսակապի միջոցով դատական նիստին ազատությունից զրկելու հետ կապված պատիժ կրող դատապարտյալի մասնակցության դեպքում պետք է երաշխավորվի, որ՝</w:t>
      </w:r>
    </w:p>
    <w:p w14:paraId="4B8DBD5E"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lastRenderedPageBreak/>
        <w:t>1) դատական նիստին ներկայացած անձինք և դատապարտյալը հստակորեն տեսնեն ու լսեն միմյանց.</w:t>
      </w:r>
    </w:p>
    <w:p w14:paraId="17A69817"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2) դատապարտյալը և նրա փաստաբանը դատական նիստի ընթացքում խորհրդապահական կարգով հաղորդակցվելու հնարավորություն ունենան.</w:t>
      </w:r>
    </w:p>
    <w:p w14:paraId="6D257522"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3) դատապարտյալը հնարավորություն ունենա դատական նիստի ընթացքում տեսակապի միջոցով ծանոթանալու գործի նյութերին։</w:t>
      </w:r>
    </w:p>
    <w:p w14:paraId="510B7DD4"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3.3. Ազատությունից զրկելու հետ կապված պատիժ կրող դատապարտյալի մասնակցությունը դատական նիստին տեսակապով չի կարող ապահովվել, եթե՝</w:t>
      </w:r>
    </w:p>
    <w:p w14:paraId="40E71E2F"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1) տեսակապով մասնակցության դեպքում հնարավոր չէ ապահովել սույն հոդվածի 3.2-րդ մասով նախատեսված պայմաններից մեկը.</w:t>
      </w:r>
    </w:p>
    <w:p w14:paraId="7D7DC7B0"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2) տեսակապով մասնակցության դեմ փաստարկված առարկում է պատիժ կատարող հիմնարկի կամ մարմնի ներկայացուցիչը կամ դատախազը.</w:t>
      </w:r>
    </w:p>
    <w:p w14:paraId="5D62AA3D"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 xml:space="preserve">3) դատարանի նախաձեռնությամբ տեսակապով մասնակցության ապահովման դեմ փաստարկված առարկում է դատապարտյալը։ </w:t>
      </w:r>
    </w:p>
    <w:p w14:paraId="2D29D761" w14:textId="77777777" w:rsidR="00CA4177" w:rsidRPr="00CA4177" w:rsidRDefault="00CA4177" w:rsidP="00CA4177">
      <w:pPr>
        <w:shd w:val="clear" w:color="auto" w:fill="FFFFFF"/>
        <w:spacing w:after="0" w:line="360" w:lineRule="auto"/>
        <w:ind w:left="-540" w:firstLine="375"/>
        <w:jc w:val="both"/>
        <w:rPr>
          <w:rFonts w:ascii="GHEA Grapalat" w:eastAsia="Times New Roman" w:hAnsi="GHEA Grapalat" w:cs="Times New Roman"/>
          <w:color w:val="FF0000"/>
          <w:kern w:val="0"/>
          <w:sz w:val="24"/>
          <w:szCs w:val="24"/>
          <w:lang w:val="hy-AM" w:eastAsia="ru-RU"/>
          <w14:ligatures w14:val="none"/>
        </w:rPr>
      </w:pPr>
      <w:r w:rsidRPr="00CA4177">
        <w:rPr>
          <w:rFonts w:ascii="GHEA Grapalat" w:eastAsia="Times New Roman" w:hAnsi="GHEA Grapalat" w:cs="Times New Roman"/>
          <w:color w:val="FF0000"/>
          <w:kern w:val="0"/>
          <w:sz w:val="24"/>
          <w:szCs w:val="24"/>
          <w:lang w:val="hy-AM" w:eastAsia="ru-RU"/>
          <w14:ligatures w14:val="none"/>
        </w:rPr>
        <w:t xml:space="preserve">3.4. Եթե սույն հոդվածի 3.3-րդ մասով նախատեսված հանգամանքները ծագում են դատական նիստին դատապարտյալի մասնակցությունը տեսակապով ապահովելու մասին որոշման կայացումից հետո, ապա դատարանը կայացնում է դատապարտյալի մասնակցությունն ընդհանուր կարգով իրականացնելու մասին որոշում։ </w:t>
      </w:r>
    </w:p>
    <w:p w14:paraId="32B80714" w14:textId="39386953" w:rsidR="000935D2" w:rsidRPr="000935D2" w:rsidRDefault="00CA4177" w:rsidP="00CA4177">
      <w:pPr>
        <w:shd w:val="clear" w:color="auto" w:fill="FFFFFF"/>
        <w:spacing w:after="0" w:line="360" w:lineRule="auto"/>
        <w:ind w:left="-540" w:firstLine="375"/>
        <w:jc w:val="both"/>
        <w:rPr>
          <w:rFonts w:ascii="GHEA Grapalat" w:eastAsia="Times New Roman" w:hAnsi="GHEA Grapalat" w:cs="Arial"/>
          <w:color w:val="FF0000"/>
          <w:kern w:val="0"/>
          <w:sz w:val="24"/>
          <w:szCs w:val="24"/>
          <w:lang w:val="hy-AM" w:eastAsia="en-GB"/>
          <w14:ligatures w14:val="none"/>
        </w:rPr>
      </w:pPr>
      <w:r w:rsidRPr="00CA4177">
        <w:rPr>
          <w:rFonts w:ascii="GHEA Grapalat" w:eastAsia="Times New Roman" w:hAnsi="GHEA Grapalat" w:cs="Times New Roman"/>
          <w:color w:val="FF0000"/>
          <w:kern w:val="0"/>
          <w:sz w:val="24"/>
          <w:szCs w:val="24"/>
          <w:lang w:val="hy-AM" w:eastAsia="ru-RU"/>
          <w14:ligatures w14:val="none"/>
        </w:rPr>
        <w:t>3.5. Դատական նիստին տեսակապի միջոցով ազատությունից զրկելու հետ կապված պատիժ կրող դատապարտյալի մասնակացությունը և դատական նիստի ընթացքում դատապարտյալի ու նրա փաստաբանի՝ խորհրդապահական կարգով հաղորդակցվելու հնարավորությունն ապահովելու համար դատական նիստերի դահլիճում և քրեակատարողական հիմնարկներում կիրառվող տեխնիկական միջոցների բնութագիրը, չափանիշները և օգտագործման կարգը սահմանում է Կառավարությունը</w:t>
      </w:r>
      <w:r w:rsidR="000935D2" w:rsidRPr="000935D2">
        <w:rPr>
          <w:rFonts w:ascii="GHEA Grapalat" w:eastAsia="Times New Roman" w:hAnsi="GHEA Grapalat" w:cs="Times New Roman"/>
          <w:color w:val="FF0000"/>
          <w:kern w:val="0"/>
          <w:sz w:val="24"/>
          <w:szCs w:val="24"/>
          <w:lang w:val="hy-AM" w:eastAsia="ru-RU"/>
          <w14:ligatures w14:val="none"/>
        </w:rPr>
        <w:t>։</w:t>
      </w:r>
    </w:p>
    <w:p w14:paraId="2CE9C6DE" w14:textId="0EFBC5A9" w:rsidR="000935D2" w:rsidRPr="00301DC4" w:rsidRDefault="000935D2" w:rsidP="00301DC4">
      <w:pPr>
        <w:shd w:val="clear" w:color="auto" w:fill="FFFFFF"/>
        <w:spacing w:after="0" w:line="360" w:lineRule="auto"/>
        <w:ind w:left="-540" w:firstLine="375"/>
        <w:jc w:val="both"/>
        <w:rPr>
          <w:rFonts w:ascii="GHEA Grapalat" w:eastAsia="Times New Roman" w:hAnsi="GHEA Grapalat" w:cs="Arial"/>
          <w:color w:val="333333"/>
          <w:kern w:val="0"/>
          <w:sz w:val="24"/>
          <w:szCs w:val="24"/>
          <w:lang w:val="hy-AM" w:eastAsia="en-GB"/>
          <w14:ligatures w14:val="none"/>
        </w:rPr>
      </w:pPr>
      <w:r w:rsidRPr="00301DC4">
        <w:rPr>
          <w:rFonts w:ascii="GHEA Grapalat" w:eastAsia="Times New Roman" w:hAnsi="GHEA Grapalat" w:cs="Arial"/>
          <w:color w:val="333333"/>
          <w:kern w:val="0"/>
          <w:sz w:val="24"/>
          <w:szCs w:val="24"/>
          <w:lang w:val="hy-AM" w:eastAsia="en-GB"/>
          <w14:ligatures w14:val="none"/>
        </w:rPr>
        <w:t xml:space="preserve">4. </w:t>
      </w:r>
      <w:r w:rsidRPr="00301DC4">
        <w:rPr>
          <w:rFonts w:ascii="GHEA Grapalat" w:eastAsia="Times New Roman" w:hAnsi="GHEA Grapalat" w:cs="GHEA Grapalat"/>
          <w:color w:val="333333"/>
          <w:kern w:val="0"/>
          <w:sz w:val="24"/>
          <w:szCs w:val="24"/>
          <w:lang w:val="hy-AM" w:eastAsia="en-GB"/>
          <w14:ligatures w14:val="none"/>
        </w:rPr>
        <w:t>Եթե</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դատապարտյալն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օտարերկրյա</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այնպիսի</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պետության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քաղաքացի</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է</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որն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ունի</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Հայաս</w:t>
      </w:r>
      <w:r w:rsidRPr="00301DC4">
        <w:rPr>
          <w:rFonts w:ascii="GHEA Grapalat" w:eastAsia="Times New Roman" w:hAnsi="GHEA Grapalat" w:cs="Arial"/>
          <w:color w:val="333333"/>
          <w:kern w:val="0"/>
          <w:sz w:val="24"/>
          <w:szCs w:val="24"/>
          <w:lang w:val="hy-AM" w:eastAsia="en-GB"/>
          <w14:ligatures w14:val="none"/>
        </w:rPr>
        <w:t xml:space="preserve">տանի Հանրապետության հետ դատապարտյալների փոխանցման մասին միջազգային պայմանագիր, կամ փոխանցման հնարավորությունը նախատեսված է փոխադարձության շուրջ </w:t>
      </w:r>
      <w:r w:rsidRPr="00301DC4">
        <w:rPr>
          <w:rFonts w:ascii="GHEA Grapalat" w:eastAsia="Times New Roman" w:hAnsi="GHEA Grapalat" w:cs="Arial"/>
          <w:color w:val="333333"/>
          <w:kern w:val="0"/>
          <w:sz w:val="24"/>
          <w:szCs w:val="24"/>
          <w:lang w:val="hy-AM" w:eastAsia="en-GB"/>
          <w14:ligatures w14:val="none"/>
        </w:rPr>
        <w:lastRenderedPageBreak/>
        <w:t>պայմանավորվածությամբ, ապա նա իրավունք ունի դիմելու որոշում կայացրած դատարան՝ որոշումն իր քաղաքացիության պետության տարածքում ի կատար ածելու հարցումով։</w:t>
      </w:r>
    </w:p>
    <w:p w14:paraId="1F7EFF3A" w14:textId="2FE04C77" w:rsidR="000935D2" w:rsidRPr="000935D2" w:rsidRDefault="000935D2" w:rsidP="00301DC4">
      <w:pPr>
        <w:shd w:val="clear" w:color="auto" w:fill="FFFFFF"/>
        <w:spacing w:after="0" w:line="360" w:lineRule="auto"/>
        <w:ind w:left="-540" w:firstLine="375"/>
        <w:jc w:val="both"/>
        <w:rPr>
          <w:rFonts w:ascii="GHEA Grapalat" w:eastAsia="Times New Roman" w:hAnsi="GHEA Grapalat" w:cs="Arial"/>
          <w:color w:val="FF0000"/>
          <w:kern w:val="0"/>
          <w:sz w:val="24"/>
          <w:szCs w:val="24"/>
          <w:lang w:val="hy-AM" w:eastAsia="en-GB"/>
          <w14:ligatures w14:val="none"/>
        </w:rPr>
      </w:pPr>
      <w:r w:rsidRPr="00301DC4">
        <w:rPr>
          <w:rFonts w:ascii="GHEA Grapalat" w:eastAsia="Times New Roman" w:hAnsi="GHEA Grapalat" w:cs="Arial"/>
          <w:color w:val="333333"/>
          <w:kern w:val="0"/>
          <w:sz w:val="24"/>
          <w:szCs w:val="24"/>
          <w:lang w:val="hy-AM" w:eastAsia="en-GB"/>
          <w14:ligatures w14:val="none"/>
        </w:rPr>
        <w:t xml:space="preserve">5. </w:t>
      </w:r>
      <w:r w:rsidRPr="00301DC4">
        <w:rPr>
          <w:rFonts w:ascii="GHEA Grapalat" w:eastAsia="Times New Roman" w:hAnsi="GHEA Grapalat" w:cs="GHEA Grapalat"/>
          <w:color w:val="333333"/>
          <w:kern w:val="0"/>
          <w:sz w:val="24"/>
          <w:szCs w:val="24"/>
          <w:lang w:val="hy-AM" w:eastAsia="en-GB"/>
          <w14:ligatures w14:val="none"/>
        </w:rPr>
        <w:t>Դատապարտյալն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իր</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իրավունքները</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կարող</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է</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իրականացնել</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անձամբ</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կամ</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փաստաբանի</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միջոցով</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Անչափահաս</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անգործունակ</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կամ</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հոգեկան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առողջության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խնդիր</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ունեցող</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դատապարտյալի</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նկատմամբ</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դատական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ակտերն</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ի</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կատար</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ածելու</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հետ</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կապված</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հարցերը</w:t>
      </w:r>
      <w:r w:rsidRPr="00301DC4">
        <w:rPr>
          <w:rFonts w:ascii="GHEA Grapalat" w:eastAsia="Times New Roman" w:hAnsi="GHEA Grapalat" w:cs="Arial"/>
          <w:color w:val="333333"/>
          <w:kern w:val="0"/>
          <w:sz w:val="24"/>
          <w:szCs w:val="24"/>
          <w:lang w:val="hy-AM" w:eastAsia="en-GB"/>
          <w14:ligatures w14:val="none"/>
        </w:rPr>
        <w:t xml:space="preserve"> </w:t>
      </w:r>
      <w:r w:rsidRPr="00301DC4">
        <w:rPr>
          <w:rFonts w:ascii="GHEA Grapalat" w:eastAsia="Times New Roman" w:hAnsi="GHEA Grapalat" w:cs="GHEA Grapalat"/>
          <w:color w:val="333333"/>
          <w:kern w:val="0"/>
          <w:sz w:val="24"/>
          <w:szCs w:val="24"/>
          <w:lang w:val="hy-AM" w:eastAsia="en-GB"/>
          <w14:ligatures w14:val="none"/>
        </w:rPr>
        <w:t>դատ</w:t>
      </w:r>
      <w:r w:rsidRPr="00301DC4">
        <w:rPr>
          <w:rFonts w:ascii="GHEA Grapalat" w:eastAsia="Times New Roman" w:hAnsi="GHEA Grapalat" w:cs="Arial"/>
          <w:color w:val="333333"/>
          <w:kern w:val="0"/>
          <w:sz w:val="24"/>
          <w:szCs w:val="24"/>
          <w:lang w:val="hy-AM" w:eastAsia="en-GB"/>
          <w14:ligatures w14:val="none"/>
        </w:rPr>
        <w:t>արանի կողմից քննելիս պաշտպանի մասնակցությունը պարտադիր է:</w:t>
      </w:r>
      <w:r w:rsidRPr="000935D2">
        <w:rPr>
          <w:rFonts w:ascii="GHEA Grapalat" w:eastAsia="Times New Roman" w:hAnsi="GHEA Grapalat" w:cs="Times New Roman"/>
          <w:color w:val="000000"/>
          <w:kern w:val="0"/>
          <w:sz w:val="24"/>
          <w:szCs w:val="24"/>
          <w:lang w:val="hy-AM" w:eastAsia="ru-RU"/>
          <w14:ligatures w14:val="none"/>
        </w:rPr>
        <w:t xml:space="preserve"> </w:t>
      </w:r>
      <w:r w:rsidR="00CA4177" w:rsidRPr="00CA4177">
        <w:rPr>
          <w:rFonts w:ascii="GHEA Grapalat" w:eastAsia="Times New Roman" w:hAnsi="GHEA Grapalat" w:cs="Times New Roman"/>
          <w:color w:val="FF0000"/>
          <w:kern w:val="0"/>
          <w:sz w:val="24"/>
          <w:szCs w:val="24"/>
          <w:lang w:val="hy-AM" w:eastAsia="ru-RU"/>
          <w14:ligatures w14:val="none"/>
        </w:rPr>
        <w:t xml:space="preserve">Տեսակապի միջոցով դատական նիստին ազատությունից զրկելու հետ կապված պատիժ կրող դատապարտյալի մասնակցության դեպքում փաստաբանի մասնակցությունը պարտադիր է։ Փաստաբանը կարող է դատական նիստին մասնակցել դատական նիստերի դահլիճում կամ տեսակապի միջոցով՝ դատապարտյալի գտնվելու </w:t>
      </w:r>
      <w:r w:rsidRPr="000935D2">
        <w:rPr>
          <w:rFonts w:ascii="GHEA Grapalat" w:eastAsia="Times New Roman" w:hAnsi="GHEA Grapalat" w:cs="Times New Roman"/>
          <w:color w:val="FF0000"/>
          <w:kern w:val="0"/>
          <w:sz w:val="24"/>
          <w:szCs w:val="24"/>
          <w:lang w:val="hy-AM" w:eastAsia="ru-RU"/>
          <w14:ligatures w14:val="none"/>
        </w:rPr>
        <w:t>վայրից։</w:t>
      </w:r>
    </w:p>
    <w:p w14:paraId="66121FF8" w14:textId="77777777" w:rsidR="000935D2" w:rsidRPr="000935D2" w:rsidRDefault="000935D2" w:rsidP="000935D2">
      <w:pPr>
        <w:shd w:val="clear" w:color="auto" w:fill="FFFFFF"/>
        <w:spacing w:after="0" w:line="360" w:lineRule="auto"/>
        <w:ind w:firstLine="375"/>
        <w:jc w:val="both"/>
        <w:rPr>
          <w:rFonts w:ascii="GHEA Grapalat" w:eastAsia="Times New Roman" w:hAnsi="GHEA Grapalat" w:cs="Arial"/>
          <w:color w:val="333333"/>
          <w:kern w:val="0"/>
          <w:sz w:val="24"/>
          <w:szCs w:val="24"/>
          <w:lang w:val="hy-AM" w:eastAsia="en-GB"/>
          <w14:ligatures w14:val="none"/>
        </w:rPr>
      </w:pPr>
      <w:r w:rsidRPr="000935D2">
        <w:rPr>
          <w:rFonts w:ascii="Calibri" w:eastAsia="Times New Roman" w:hAnsi="Calibri" w:cs="Calibri"/>
          <w:color w:val="333333"/>
          <w:kern w:val="0"/>
          <w:sz w:val="24"/>
          <w:szCs w:val="24"/>
          <w:lang w:val="hy-AM" w:eastAsia="en-GB"/>
          <w14:ligatures w14:val="none"/>
        </w:rPr>
        <w:t> </w:t>
      </w:r>
    </w:p>
    <w:sectPr w:rsidR="000935D2" w:rsidRPr="000935D2" w:rsidSect="00787744">
      <w:pgSz w:w="12240" w:h="15840"/>
      <w:pgMar w:top="540" w:right="616"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B21CE6"/>
    <w:multiLevelType w:val="hybridMultilevel"/>
    <w:tmpl w:val="55E47F98"/>
    <w:lvl w:ilvl="0" w:tplc="6B1A3E52">
      <w:start w:val="1"/>
      <w:numFmt w:val="decimal"/>
      <w:lvlText w:val="%1)"/>
      <w:lvlJc w:val="left"/>
      <w:pPr>
        <w:ind w:left="927" w:hanging="360"/>
      </w:pPr>
      <w:rPr>
        <w:rFonts w:eastAsiaTheme="minorHAnsi" w:cstheme="minorBid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7BD44D9A"/>
    <w:multiLevelType w:val="hybridMultilevel"/>
    <w:tmpl w:val="0C00D6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74816406">
    <w:abstractNumId w:val="1"/>
  </w:num>
  <w:num w:numId="2" w16cid:durableId="276714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F1"/>
    <w:rsid w:val="00000D29"/>
    <w:rsid w:val="00002F0B"/>
    <w:rsid w:val="00005ABF"/>
    <w:rsid w:val="000115F1"/>
    <w:rsid w:val="00015960"/>
    <w:rsid w:val="00030025"/>
    <w:rsid w:val="000406D5"/>
    <w:rsid w:val="000445DE"/>
    <w:rsid w:val="0004790C"/>
    <w:rsid w:val="00051B25"/>
    <w:rsid w:val="000662D5"/>
    <w:rsid w:val="00072737"/>
    <w:rsid w:val="00074EB5"/>
    <w:rsid w:val="0008602B"/>
    <w:rsid w:val="000935D2"/>
    <w:rsid w:val="000A71BB"/>
    <w:rsid w:val="000E18DB"/>
    <w:rsid w:val="000E3561"/>
    <w:rsid w:val="000F0BA1"/>
    <w:rsid w:val="001028FE"/>
    <w:rsid w:val="00131369"/>
    <w:rsid w:val="001653A1"/>
    <w:rsid w:val="00167455"/>
    <w:rsid w:val="00180B43"/>
    <w:rsid w:val="0019011B"/>
    <w:rsid w:val="00190422"/>
    <w:rsid w:val="00190BD3"/>
    <w:rsid w:val="00196E40"/>
    <w:rsid w:val="001B2199"/>
    <w:rsid w:val="001D38CB"/>
    <w:rsid w:val="001E0140"/>
    <w:rsid w:val="00206836"/>
    <w:rsid w:val="0023415C"/>
    <w:rsid w:val="00255E04"/>
    <w:rsid w:val="0027210C"/>
    <w:rsid w:val="002D5758"/>
    <w:rsid w:val="002E3F06"/>
    <w:rsid w:val="00301DC4"/>
    <w:rsid w:val="003124CC"/>
    <w:rsid w:val="003158BE"/>
    <w:rsid w:val="00315CB3"/>
    <w:rsid w:val="003166A2"/>
    <w:rsid w:val="00323A3F"/>
    <w:rsid w:val="003443B6"/>
    <w:rsid w:val="00375252"/>
    <w:rsid w:val="003759FB"/>
    <w:rsid w:val="00386F76"/>
    <w:rsid w:val="00394BC1"/>
    <w:rsid w:val="003953B1"/>
    <w:rsid w:val="003D3314"/>
    <w:rsid w:val="003E24B6"/>
    <w:rsid w:val="00404A23"/>
    <w:rsid w:val="004120C4"/>
    <w:rsid w:val="004205BC"/>
    <w:rsid w:val="0042093E"/>
    <w:rsid w:val="0042443A"/>
    <w:rsid w:val="00443520"/>
    <w:rsid w:val="004532F8"/>
    <w:rsid w:val="00455769"/>
    <w:rsid w:val="00477E8C"/>
    <w:rsid w:val="00487668"/>
    <w:rsid w:val="004902CF"/>
    <w:rsid w:val="004976BC"/>
    <w:rsid w:val="004B1A13"/>
    <w:rsid w:val="004C1DE1"/>
    <w:rsid w:val="004C4D04"/>
    <w:rsid w:val="004E39D3"/>
    <w:rsid w:val="004F4A8A"/>
    <w:rsid w:val="00504569"/>
    <w:rsid w:val="005156F0"/>
    <w:rsid w:val="00521530"/>
    <w:rsid w:val="005254D3"/>
    <w:rsid w:val="00527770"/>
    <w:rsid w:val="005354CE"/>
    <w:rsid w:val="00536B7B"/>
    <w:rsid w:val="005614CE"/>
    <w:rsid w:val="005670A4"/>
    <w:rsid w:val="00577808"/>
    <w:rsid w:val="00577A7D"/>
    <w:rsid w:val="00580475"/>
    <w:rsid w:val="005C488B"/>
    <w:rsid w:val="005D7FF1"/>
    <w:rsid w:val="00605368"/>
    <w:rsid w:val="00605564"/>
    <w:rsid w:val="00610192"/>
    <w:rsid w:val="00621A1F"/>
    <w:rsid w:val="00645DF3"/>
    <w:rsid w:val="00651E96"/>
    <w:rsid w:val="00666292"/>
    <w:rsid w:val="006666F0"/>
    <w:rsid w:val="006959E7"/>
    <w:rsid w:val="006A0463"/>
    <w:rsid w:val="006A7E5A"/>
    <w:rsid w:val="006B010C"/>
    <w:rsid w:val="006B0D44"/>
    <w:rsid w:val="006C2AFF"/>
    <w:rsid w:val="006D587A"/>
    <w:rsid w:val="006E38C8"/>
    <w:rsid w:val="006F3E16"/>
    <w:rsid w:val="006F530B"/>
    <w:rsid w:val="006F615F"/>
    <w:rsid w:val="00710EDC"/>
    <w:rsid w:val="00711178"/>
    <w:rsid w:val="00734470"/>
    <w:rsid w:val="0074098B"/>
    <w:rsid w:val="0074131F"/>
    <w:rsid w:val="00757906"/>
    <w:rsid w:val="007616ED"/>
    <w:rsid w:val="00771503"/>
    <w:rsid w:val="00787744"/>
    <w:rsid w:val="00793F38"/>
    <w:rsid w:val="007B54F2"/>
    <w:rsid w:val="007C1ED5"/>
    <w:rsid w:val="007C2FD5"/>
    <w:rsid w:val="007C45CD"/>
    <w:rsid w:val="007C6A4E"/>
    <w:rsid w:val="007C754C"/>
    <w:rsid w:val="0084064E"/>
    <w:rsid w:val="0084208B"/>
    <w:rsid w:val="00864447"/>
    <w:rsid w:val="00876EDF"/>
    <w:rsid w:val="00890D20"/>
    <w:rsid w:val="008A6AA7"/>
    <w:rsid w:val="008B41ED"/>
    <w:rsid w:val="008D0A74"/>
    <w:rsid w:val="008F3D70"/>
    <w:rsid w:val="008F695D"/>
    <w:rsid w:val="009151D4"/>
    <w:rsid w:val="0092162E"/>
    <w:rsid w:val="00922837"/>
    <w:rsid w:val="009813C9"/>
    <w:rsid w:val="00992754"/>
    <w:rsid w:val="009A3DAE"/>
    <w:rsid w:val="009A4DEE"/>
    <w:rsid w:val="009A5ED4"/>
    <w:rsid w:val="009B2078"/>
    <w:rsid w:val="009B3405"/>
    <w:rsid w:val="009B657D"/>
    <w:rsid w:val="009E5F97"/>
    <w:rsid w:val="009E677F"/>
    <w:rsid w:val="00A012CF"/>
    <w:rsid w:val="00A159EE"/>
    <w:rsid w:val="00A42AEB"/>
    <w:rsid w:val="00A613BD"/>
    <w:rsid w:val="00A63CCA"/>
    <w:rsid w:val="00A72207"/>
    <w:rsid w:val="00A76AD8"/>
    <w:rsid w:val="00A87DB1"/>
    <w:rsid w:val="00A92050"/>
    <w:rsid w:val="00A97FCF"/>
    <w:rsid w:val="00AA2A84"/>
    <w:rsid w:val="00AD0F33"/>
    <w:rsid w:val="00AF0008"/>
    <w:rsid w:val="00AF2CE3"/>
    <w:rsid w:val="00B05EEE"/>
    <w:rsid w:val="00B13ED7"/>
    <w:rsid w:val="00B1621B"/>
    <w:rsid w:val="00B370A0"/>
    <w:rsid w:val="00B417C0"/>
    <w:rsid w:val="00B60220"/>
    <w:rsid w:val="00B70022"/>
    <w:rsid w:val="00B737FC"/>
    <w:rsid w:val="00BA76A3"/>
    <w:rsid w:val="00BA79D3"/>
    <w:rsid w:val="00BB0BE7"/>
    <w:rsid w:val="00BC12D6"/>
    <w:rsid w:val="00BE497E"/>
    <w:rsid w:val="00BF0F3A"/>
    <w:rsid w:val="00BF6CE6"/>
    <w:rsid w:val="00C07076"/>
    <w:rsid w:val="00C15A00"/>
    <w:rsid w:val="00C232FB"/>
    <w:rsid w:val="00C23D31"/>
    <w:rsid w:val="00C23DA1"/>
    <w:rsid w:val="00C33F62"/>
    <w:rsid w:val="00C4697A"/>
    <w:rsid w:val="00C546A0"/>
    <w:rsid w:val="00CA101B"/>
    <w:rsid w:val="00CA4177"/>
    <w:rsid w:val="00CA7EC0"/>
    <w:rsid w:val="00CC1210"/>
    <w:rsid w:val="00CC1B04"/>
    <w:rsid w:val="00CC7AE2"/>
    <w:rsid w:val="00CD127F"/>
    <w:rsid w:val="00D03AC9"/>
    <w:rsid w:val="00D12E5D"/>
    <w:rsid w:val="00D149BA"/>
    <w:rsid w:val="00D24EE3"/>
    <w:rsid w:val="00D25D05"/>
    <w:rsid w:val="00D27700"/>
    <w:rsid w:val="00D32DC7"/>
    <w:rsid w:val="00D349ED"/>
    <w:rsid w:val="00D47031"/>
    <w:rsid w:val="00D52922"/>
    <w:rsid w:val="00D533A4"/>
    <w:rsid w:val="00D67F24"/>
    <w:rsid w:val="00D85695"/>
    <w:rsid w:val="00D96394"/>
    <w:rsid w:val="00DC6228"/>
    <w:rsid w:val="00DC64C3"/>
    <w:rsid w:val="00DD0477"/>
    <w:rsid w:val="00DF3848"/>
    <w:rsid w:val="00E10E9B"/>
    <w:rsid w:val="00E31B6F"/>
    <w:rsid w:val="00E5209B"/>
    <w:rsid w:val="00E52D2A"/>
    <w:rsid w:val="00E601C1"/>
    <w:rsid w:val="00E60A82"/>
    <w:rsid w:val="00E64E50"/>
    <w:rsid w:val="00E71486"/>
    <w:rsid w:val="00E8781F"/>
    <w:rsid w:val="00E91A9E"/>
    <w:rsid w:val="00EA1641"/>
    <w:rsid w:val="00EA31FF"/>
    <w:rsid w:val="00EB5714"/>
    <w:rsid w:val="00EC2994"/>
    <w:rsid w:val="00EC5632"/>
    <w:rsid w:val="00EE38F2"/>
    <w:rsid w:val="00EF3B8C"/>
    <w:rsid w:val="00EF54C6"/>
    <w:rsid w:val="00F00F4A"/>
    <w:rsid w:val="00F03E49"/>
    <w:rsid w:val="00F070E8"/>
    <w:rsid w:val="00F31614"/>
    <w:rsid w:val="00F503CE"/>
    <w:rsid w:val="00F63657"/>
    <w:rsid w:val="00F97C72"/>
    <w:rsid w:val="00FA0202"/>
    <w:rsid w:val="00FC52F1"/>
    <w:rsid w:val="00FC5D3E"/>
    <w:rsid w:val="00FD230F"/>
    <w:rsid w:val="00FD2F90"/>
    <w:rsid w:val="00FD524B"/>
    <w:rsid w:val="00FE585C"/>
    <w:rsid w:val="00FF6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5A586"/>
  <w15:chartTrackingRefBased/>
  <w15:docId w15:val="{4796F4F0-3517-4300-9B52-4B05679D1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533A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D533A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33A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D533A4"/>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D533A4"/>
    <w:rPr>
      <w:b/>
      <w:bCs/>
    </w:rPr>
  </w:style>
  <w:style w:type="paragraph" w:styleId="NormalWeb">
    <w:name w:val="Normal (Web)"/>
    <w:basedOn w:val="Normal"/>
    <w:uiPriority w:val="99"/>
    <w:semiHidden/>
    <w:unhideWhenUsed/>
    <w:rsid w:val="00D533A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B70022"/>
    <w:rPr>
      <w:i/>
      <w:iCs/>
    </w:rPr>
  </w:style>
  <w:style w:type="paragraph" w:styleId="ListParagraph">
    <w:name w:val="List Paragraph"/>
    <w:basedOn w:val="Normal"/>
    <w:uiPriority w:val="34"/>
    <w:qFormat/>
    <w:rsid w:val="00EB5714"/>
    <w:pPr>
      <w:ind w:left="720"/>
      <w:contextualSpacing/>
    </w:pPr>
  </w:style>
  <w:style w:type="character" w:styleId="Hyperlink">
    <w:name w:val="Hyperlink"/>
    <w:basedOn w:val="DefaultParagraphFont"/>
    <w:uiPriority w:val="99"/>
    <w:unhideWhenUsed/>
    <w:rsid w:val="003D3314"/>
    <w:rPr>
      <w:color w:val="0563C1" w:themeColor="hyperlink"/>
      <w:u w:val="single"/>
    </w:rPr>
  </w:style>
  <w:style w:type="character" w:styleId="UnresolvedMention">
    <w:name w:val="Unresolved Mention"/>
    <w:basedOn w:val="DefaultParagraphFont"/>
    <w:uiPriority w:val="99"/>
    <w:semiHidden/>
    <w:unhideWhenUsed/>
    <w:rsid w:val="003D33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58846">
      <w:bodyDiv w:val="1"/>
      <w:marLeft w:val="0"/>
      <w:marRight w:val="0"/>
      <w:marTop w:val="0"/>
      <w:marBottom w:val="0"/>
      <w:divBdr>
        <w:top w:val="none" w:sz="0" w:space="0" w:color="auto"/>
        <w:left w:val="none" w:sz="0" w:space="0" w:color="auto"/>
        <w:bottom w:val="none" w:sz="0" w:space="0" w:color="auto"/>
        <w:right w:val="none" w:sz="0" w:space="0" w:color="auto"/>
      </w:divBdr>
    </w:div>
    <w:div w:id="176698148">
      <w:bodyDiv w:val="1"/>
      <w:marLeft w:val="0"/>
      <w:marRight w:val="0"/>
      <w:marTop w:val="0"/>
      <w:marBottom w:val="0"/>
      <w:divBdr>
        <w:top w:val="none" w:sz="0" w:space="0" w:color="auto"/>
        <w:left w:val="none" w:sz="0" w:space="0" w:color="auto"/>
        <w:bottom w:val="none" w:sz="0" w:space="0" w:color="auto"/>
        <w:right w:val="none" w:sz="0" w:space="0" w:color="auto"/>
      </w:divBdr>
    </w:div>
    <w:div w:id="342057066">
      <w:bodyDiv w:val="1"/>
      <w:marLeft w:val="0"/>
      <w:marRight w:val="0"/>
      <w:marTop w:val="0"/>
      <w:marBottom w:val="0"/>
      <w:divBdr>
        <w:top w:val="none" w:sz="0" w:space="0" w:color="auto"/>
        <w:left w:val="none" w:sz="0" w:space="0" w:color="auto"/>
        <w:bottom w:val="none" w:sz="0" w:space="0" w:color="auto"/>
        <w:right w:val="none" w:sz="0" w:space="0" w:color="auto"/>
      </w:divBdr>
    </w:div>
    <w:div w:id="375933555">
      <w:bodyDiv w:val="1"/>
      <w:marLeft w:val="0"/>
      <w:marRight w:val="0"/>
      <w:marTop w:val="0"/>
      <w:marBottom w:val="0"/>
      <w:divBdr>
        <w:top w:val="none" w:sz="0" w:space="0" w:color="auto"/>
        <w:left w:val="none" w:sz="0" w:space="0" w:color="auto"/>
        <w:bottom w:val="none" w:sz="0" w:space="0" w:color="auto"/>
        <w:right w:val="none" w:sz="0" w:space="0" w:color="auto"/>
      </w:divBdr>
    </w:div>
    <w:div w:id="452748483">
      <w:bodyDiv w:val="1"/>
      <w:marLeft w:val="0"/>
      <w:marRight w:val="0"/>
      <w:marTop w:val="0"/>
      <w:marBottom w:val="0"/>
      <w:divBdr>
        <w:top w:val="none" w:sz="0" w:space="0" w:color="auto"/>
        <w:left w:val="none" w:sz="0" w:space="0" w:color="auto"/>
        <w:bottom w:val="none" w:sz="0" w:space="0" w:color="auto"/>
        <w:right w:val="none" w:sz="0" w:space="0" w:color="auto"/>
      </w:divBdr>
    </w:div>
    <w:div w:id="524908302">
      <w:bodyDiv w:val="1"/>
      <w:marLeft w:val="0"/>
      <w:marRight w:val="0"/>
      <w:marTop w:val="0"/>
      <w:marBottom w:val="0"/>
      <w:divBdr>
        <w:top w:val="none" w:sz="0" w:space="0" w:color="auto"/>
        <w:left w:val="none" w:sz="0" w:space="0" w:color="auto"/>
        <w:bottom w:val="none" w:sz="0" w:space="0" w:color="auto"/>
        <w:right w:val="none" w:sz="0" w:space="0" w:color="auto"/>
      </w:divBdr>
    </w:div>
    <w:div w:id="565074763">
      <w:bodyDiv w:val="1"/>
      <w:marLeft w:val="0"/>
      <w:marRight w:val="0"/>
      <w:marTop w:val="0"/>
      <w:marBottom w:val="0"/>
      <w:divBdr>
        <w:top w:val="none" w:sz="0" w:space="0" w:color="auto"/>
        <w:left w:val="none" w:sz="0" w:space="0" w:color="auto"/>
        <w:bottom w:val="none" w:sz="0" w:space="0" w:color="auto"/>
        <w:right w:val="none" w:sz="0" w:space="0" w:color="auto"/>
      </w:divBdr>
    </w:div>
    <w:div w:id="624503396">
      <w:bodyDiv w:val="1"/>
      <w:marLeft w:val="0"/>
      <w:marRight w:val="0"/>
      <w:marTop w:val="0"/>
      <w:marBottom w:val="0"/>
      <w:divBdr>
        <w:top w:val="none" w:sz="0" w:space="0" w:color="auto"/>
        <w:left w:val="none" w:sz="0" w:space="0" w:color="auto"/>
        <w:bottom w:val="none" w:sz="0" w:space="0" w:color="auto"/>
        <w:right w:val="none" w:sz="0" w:space="0" w:color="auto"/>
      </w:divBdr>
    </w:div>
    <w:div w:id="808980634">
      <w:bodyDiv w:val="1"/>
      <w:marLeft w:val="0"/>
      <w:marRight w:val="0"/>
      <w:marTop w:val="0"/>
      <w:marBottom w:val="0"/>
      <w:divBdr>
        <w:top w:val="none" w:sz="0" w:space="0" w:color="auto"/>
        <w:left w:val="none" w:sz="0" w:space="0" w:color="auto"/>
        <w:bottom w:val="none" w:sz="0" w:space="0" w:color="auto"/>
        <w:right w:val="none" w:sz="0" w:space="0" w:color="auto"/>
      </w:divBdr>
    </w:div>
    <w:div w:id="812678175">
      <w:bodyDiv w:val="1"/>
      <w:marLeft w:val="0"/>
      <w:marRight w:val="0"/>
      <w:marTop w:val="0"/>
      <w:marBottom w:val="0"/>
      <w:divBdr>
        <w:top w:val="none" w:sz="0" w:space="0" w:color="auto"/>
        <w:left w:val="none" w:sz="0" w:space="0" w:color="auto"/>
        <w:bottom w:val="none" w:sz="0" w:space="0" w:color="auto"/>
        <w:right w:val="none" w:sz="0" w:space="0" w:color="auto"/>
      </w:divBdr>
    </w:div>
    <w:div w:id="882719150">
      <w:bodyDiv w:val="1"/>
      <w:marLeft w:val="0"/>
      <w:marRight w:val="0"/>
      <w:marTop w:val="0"/>
      <w:marBottom w:val="0"/>
      <w:divBdr>
        <w:top w:val="none" w:sz="0" w:space="0" w:color="auto"/>
        <w:left w:val="none" w:sz="0" w:space="0" w:color="auto"/>
        <w:bottom w:val="none" w:sz="0" w:space="0" w:color="auto"/>
        <w:right w:val="none" w:sz="0" w:space="0" w:color="auto"/>
      </w:divBdr>
    </w:div>
    <w:div w:id="883712070">
      <w:bodyDiv w:val="1"/>
      <w:marLeft w:val="0"/>
      <w:marRight w:val="0"/>
      <w:marTop w:val="0"/>
      <w:marBottom w:val="0"/>
      <w:divBdr>
        <w:top w:val="none" w:sz="0" w:space="0" w:color="auto"/>
        <w:left w:val="none" w:sz="0" w:space="0" w:color="auto"/>
        <w:bottom w:val="none" w:sz="0" w:space="0" w:color="auto"/>
        <w:right w:val="none" w:sz="0" w:space="0" w:color="auto"/>
      </w:divBdr>
    </w:div>
    <w:div w:id="1034884447">
      <w:bodyDiv w:val="1"/>
      <w:marLeft w:val="0"/>
      <w:marRight w:val="0"/>
      <w:marTop w:val="0"/>
      <w:marBottom w:val="0"/>
      <w:divBdr>
        <w:top w:val="none" w:sz="0" w:space="0" w:color="auto"/>
        <w:left w:val="none" w:sz="0" w:space="0" w:color="auto"/>
        <w:bottom w:val="none" w:sz="0" w:space="0" w:color="auto"/>
        <w:right w:val="none" w:sz="0" w:space="0" w:color="auto"/>
      </w:divBdr>
    </w:div>
    <w:div w:id="1044646413">
      <w:bodyDiv w:val="1"/>
      <w:marLeft w:val="0"/>
      <w:marRight w:val="0"/>
      <w:marTop w:val="0"/>
      <w:marBottom w:val="0"/>
      <w:divBdr>
        <w:top w:val="none" w:sz="0" w:space="0" w:color="auto"/>
        <w:left w:val="none" w:sz="0" w:space="0" w:color="auto"/>
        <w:bottom w:val="none" w:sz="0" w:space="0" w:color="auto"/>
        <w:right w:val="none" w:sz="0" w:space="0" w:color="auto"/>
      </w:divBdr>
    </w:div>
    <w:div w:id="1137648872">
      <w:bodyDiv w:val="1"/>
      <w:marLeft w:val="0"/>
      <w:marRight w:val="0"/>
      <w:marTop w:val="0"/>
      <w:marBottom w:val="0"/>
      <w:divBdr>
        <w:top w:val="none" w:sz="0" w:space="0" w:color="auto"/>
        <w:left w:val="none" w:sz="0" w:space="0" w:color="auto"/>
        <w:bottom w:val="none" w:sz="0" w:space="0" w:color="auto"/>
        <w:right w:val="none" w:sz="0" w:space="0" w:color="auto"/>
      </w:divBdr>
    </w:div>
    <w:div w:id="1267157642">
      <w:bodyDiv w:val="1"/>
      <w:marLeft w:val="0"/>
      <w:marRight w:val="0"/>
      <w:marTop w:val="0"/>
      <w:marBottom w:val="0"/>
      <w:divBdr>
        <w:top w:val="none" w:sz="0" w:space="0" w:color="auto"/>
        <w:left w:val="none" w:sz="0" w:space="0" w:color="auto"/>
        <w:bottom w:val="none" w:sz="0" w:space="0" w:color="auto"/>
        <w:right w:val="none" w:sz="0" w:space="0" w:color="auto"/>
      </w:divBdr>
    </w:div>
    <w:div w:id="1326779837">
      <w:bodyDiv w:val="1"/>
      <w:marLeft w:val="0"/>
      <w:marRight w:val="0"/>
      <w:marTop w:val="0"/>
      <w:marBottom w:val="0"/>
      <w:divBdr>
        <w:top w:val="none" w:sz="0" w:space="0" w:color="auto"/>
        <w:left w:val="none" w:sz="0" w:space="0" w:color="auto"/>
        <w:bottom w:val="none" w:sz="0" w:space="0" w:color="auto"/>
        <w:right w:val="none" w:sz="0" w:space="0" w:color="auto"/>
      </w:divBdr>
    </w:div>
    <w:div w:id="1366978994">
      <w:bodyDiv w:val="1"/>
      <w:marLeft w:val="0"/>
      <w:marRight w:val="0"/>
      <w:marTop w:val="0"/>
      <w:marBottom w:val="0"/>
      <w:divBdr>
        <w:top w:val="none" w:sz="0" w:space="0" w:color="auto"/>
        <w:left w:val="none" w:sz="0" w:space="0" w:color="auto"/>
        <w:bottom w:val="none" w:sz="0" w:space="0" w:color="auto"/>
        <w:right w:val="none" w:sz="0" w:space="0" w:color="auto"/>
      </w:divBdr>
    </w:div>
    <w:div w:id="1403483754">
      <w:bodyDiv w:val="1"/>
      <w:marLeft w:val="0"/>
      <w:marRight w:val="0"/>
      <w:marTop w:val="0"/>
      <w:marBottom w:val="0"/>
      <w:divBdr>
        <w:top w:val="none" w:sz="0" w:space="0" w:color="auto"/>
        <w:left w:val="none" w:sz="0" w:space="0" w:color="auto"/>
        <w:bottom w:val="none" w:sz="0" w:space="0" w:color="auto"/>
        <w:right w:val="none" w:sz="0" w:space="0" w:color="auto"/>
      </w:divBdr>
    </w:div>
    <w:div w:id="1466698799">
      <w:bodyDiv w:val="1"/>
      <w:marLeft w:val="0"/>
      <w:marRight w:val="0"/>
      <w:marTop w:val="0"/>
      <w:marBottom w:val="0"/>
      <w:divBdr>
        <w:top w:val="none" w:sz="0" w:space="0" w:color="auto"/>
        <w:left w:val="none" w:sz="0" w:space="0" w:color="auto"/>
        <w:bottom w:val="none" w:sz="0" w:space="0" w:color="auto"/>
        <w:right w:val="none" w:sz="0" w:space="0" w:color="auto"/>
      </w:divBdr>
      <w:divsChild>
        <w:div w:id="2090617657">
          <w:marLeft w:val="0"/>
          <w:marRight w:val="0"/>
          <w:marTop w:val="0"/>
          <w:marBottom w:val="0"/>
          <w:divBdr>
            <w:top w:val="none" w:sz="0" w:space="0" w:color="auto"/>
            <w:left w:val="none" w:sz="0" w:space="0" w:color="auto"/>
            <w:bottom w:val="none" w:sz="0" w:space="0" w:color="auto"/>
            <w:right w:val="none" w:sz="0" w:space="0" w:color="auto"/>
          </w:divBdr>
        </w:div>
      </w:divsChild>
    </w:div>
    <w:div w:id="1574974327">
      <w:bodyDiv w:val="1"/>
      <w:marLeft w:val="0"/>
      <w:marRight w:val="0"/>
      <w:marTop w:val="0"/>
      <w:marBottom w:val="0"/>
      <w:divBdr>
        <w:top w:val="none" w:sz="0" w:space="0" w:color="auto"/>
        <w:left w:val="none" w:sz="0" w:space="0" w:color="auto"/>
        <w:bottom w:val="none" w:sz="0" w:space="0" w:color="auto"/>
        <w:right w:val="none" w:sz="0" w:space="0" w:color="auto"/>
      </w:divBdr>
    </w:div>
    <w:div w:id="1701666593">
      <w:bodyDiv w:val="1"/>
      <w:marLeft w:val="0"/>
      <w:marRight w:val="0"/>
      <w:marTop w:val="0"/>
      <w:marBottom w:val="0"/>
      <w:divBdr>
        <w:top w:val="none" w:sz="0" w:space="0" w:color="auto"/>
        <w:left w:val="none" w:sz="0" w:space="0" w:color="auto"/>
        <w:bottom w:val="none" w:sz="0" w:space="0" w:color="auto"/>
        <w:right w:val="none" w:sz="0" w:space="0" w:color="auto"/>
      </w:divBdr>
    </w:div>
    <w:div w:id="1833526069">
      <w:bodyDiv w:val="1"/>
      <w:marLeft w:val="0"/>
      <w:marRight w:val="0"/>
      <w:marTop w:val="0"/>
      <w:marBottom w:val="0"/>
      <w:divBdr>
        <w:top w:val="none" w:sz="0" w:space="0" w:color="auto"/>
        <w:left w:val="none" w:sz="0" w:space="0" w:color="auto"/>
        <w:bottom w:val="none" w:sz="0" w:space="0" w:color="auto"/>
        <w:right w:val="none" w:sz="0" w:space="0" w:color="auto"/>
      </w:divBdr>
    </w:div>
    <w:div w:id="1856460564">
      <w:bodyDiv w:val="1"/>
      <w:marLeft w:val="0"/>
      <w:marRight w:val="0"/>
      <w:marTop w:val="0"/>
      <w:marBottom w:val="0"/>
      <w:divBdr>
        <w:top w:val="none" w:sz="0" w:space="0" w:color="auto"/>
        <w:left w:val="none" w:sz="0" w:space="0" w:color="auto"/>
        <w:bottom w:val="none" w:sz="0" w:space="0" w:color="auto"/>
        <w:right w:val="none" w:sz="0" w:space="0" w:color="auto"/>
      </w:divBdr>
    </w:div>
    <w:div w:id="2109538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3</Pages>
  <Words>452</Words>
  <Characters>3480</Characters>
  <Application>Microsoft Office Word</Application>
  <DocSecurity>0</DocSecurity>
  <Lines>66</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https://mul2.gov.am/tasks/1305555/oneclick?token=e7842eda3b4c8288f133f6b82336234e</cp:keywords>
  <dc:description/>
  <cp:lastModifiedBy>Admin</cp:lastModifiedBy>
  <cp:revision>425</cp:revision>
  <cp:lastPrinted>2024-12-02T13:53:00Z</cp:lastPrinted>
  <dcterms:created xsi:type="dcterms:W3CDTF">2024-06-13T11:35:00Z</dcterms:created>
  <dcterms:modified xsi:type="dcterms:W3CDTF">2026-03-10T13:37:00Z</dcterms:modified>
</cp:coreProperties>
</file>