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6234D2" w:rsidRDefault="003D2087">
      <w:pPr>
        <w:spacing w:after="0" w:line="360" w:lineRule="auto"/>
        <w:jc w:val="center"/>
        <w:rPr>
          <w:b/>
          <w:bCs/>
        </w:rPr>
      </w:pPr>
      <w:r>
        <w:rPr>
          <w:b/>
          <w:bCs/>
        </w:rPr>
        <w:t>ԱՄՓՈՓԱԹԵՐԹ</w:t>
      </w:r>
    </w:p>
    <w:p w14:paraId="00000002" w14:textId="20540B85" w:rsidR="006234D2" w:rsidRDefault="003D2087">
      <w:pPr>
        <w:spacing w:line="360" w:lineRule="auto"/>
        <w:jc w:val="center"/>
        <w:rPr>
          <w:b/>
          <w:bCs/>
          <w:color w:val="000000"/>
        </w:rPr>
      </w:pPr>
      <w:bookmarkStart w:id="0" w:name="_heading=h.tybv7yx68rf1" w:colFirst="0" w:colLast="0"/>
      <w:bookmarkEnd w:id="0"/>
      <w:r>
        <w:rPr>
          <w:b/>
          <w:bCs/>
        </w:rPr>
        <w:t xml:space="preserve">«ՄԵԿ ԱՆՁԻՑ ԳՆՄԱՆ ԸՆԹԱՑԱԿԱՐԳՈՎ ԳՆՄԱՆ ԳՈՐԾԸՆԹԱՑ ԿԱԶՄԱԿԵՐՊԵԼՈՒ ԵՎ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ԵՎ ԼՐԱՑՈՒՄՆԵՐ ԿԱՏԱՐԵԼՈՒ ՄԱՍԻՆ» ԿԱՌԱՎԱՐՈՒԹՅԱՆ ՈՐՈՇՄԱՆ </w:t>
      </w:r>
      <w:r>
        <w:rPr>
          <w:b/>
          <w:bCs/>
          <w:color w:val="000000"/>
        </w:rPr>
        <w:t>ՆԱԽԱԳԾԻ</w:t>
      </w:r>
    </w:p>
    <w:p w14:paraId="00000003" w14:textId="77777777" w:rsidR="006234D2" w:rsidRDefault="003D2087">
      <w:pPr>
        <w:spacing w:after="0" w:line="360" w:lineRule="auto"/>
        <w:jc w:val="center"/>
        <w:rPr>
          <w:b/>
          <w:bCs/>
          <w:color w:val="FF0000"/>
        </w:rPr>
      </w:pPr>
      <w:bookmarkStart w:id="1" w:name="_heading=h.3beqs4atc1kz" w:colFirst="0" w:colLast="0"/>
      <w:bookmarkEnd w:id="1"/>
      <w:r>
        <w:rPr>
          <w:b/>
          <w:bCs/>
        </w:rPr>
        <w:tab/>
      </w:r>
    </w:p>
    <w:tbl>
      <w:tblPr>
        <w:tblStyle w:val="aff"/>
        <w:tblpPr w:leftFromText="180" w:rightFromText="180" w:vertAnchor="text" w:tblpX="-466" w:tblpY="1"/>
        <w:tblW w:w="1547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65"/>
        <w:gridCol w:w="7207"/>
      </w:tblGrid>
      <w:tr w:rsidR="006234D2" w14:paraId="1A16FA62" w14:textId="77777777">
        <w:tc>
          <w:tcPr>
            <w:tcW w:w="8265"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4" w14:textId="77777777" w:rsidR="006234D2" w:rsidRDefault="003D2087">
            <w:pPr>
              <w:tabs>
                <w:tab w:val="left" w:pos="5253"/>
              </w:tabs>
              <w:spacing w:after="0"/>
              <w:jc w:val="center"/>
              <w:rPr>
                <w:b/>
                <w:bCs/>
              </w:rPr>
            </w:pPr>
            <w:r>
              <w:rPr>
                <w:b/>
                <w:bCs/>
              </w:rPr>
              <w:t>1. Ֆինանսների նախարարություն</w:t>
            </w: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05" w14:textId="77777777" w:rsidR="006234D2" w:rsidRDefault="003D2087">
            <w:pPr>
              <w:tabs>
                <w:tab w:val="left" w:pos="5253"/>
              </w:tabs>
              <w:spacing w:after="0"/>
              <w:ind w:firstLine="226"/>
              <w:rPr>
                <w:b/>
                <w:bCs/>
              </w:rPr>
            </w:pPr>
            <w:r>
              <w:rPr>
                <w:b/>
                <w:bCs/>
              </w:rPr>
              <w:t>12.02.2026թ.</w:t>
            </w:r>
          </w:p>
        </w:tc>
      </w:tr>
      <w:tr w:rsidR="006234D2" w14:paraId="7E90524C" w14:textId="77777777">
        <w:tc>
          <w:tcPr>
            <w:tcW w:w="8265" w:type="dxa"/>
            <w:vMerge/>
            <w:tcBorders>
              <w:top w:val="single" w:sz="6" w:space="0" w:color="000000"/>
              <w:left w:val="single" w:sz="6" w:space="0" w:color="000000"/>
              <w:bottom w:val="single" w:sz="6" w:space="0" w:color="000000"/>
              <w:right w:val="single" w:sz="6" w:space="0" w:color="000000"/>
            </w:tcBorders>
            <w:shd w:val="clear" w:color="auto" w:fill="D0D0D0"/>
          </w:tcPr>
          <w:p w14:paraId="00000006" w14:textId="77777777" w:rsidR="006234D2" w:rsidRDefault="006234D2">
            <w:pPr>
              <w:widowControl w:val="0"/>
              <w:pBdr>
                <w:top w:val="nil"/>
                <w:left w:val="nil"/>
                <w:bottom w:val="nil"/>
                <w:right w:val="nil"/>
                <w:between w:val="nil"/>
              </w:pBdr>
              <w:spacing w:after="0"/>
              <w:rPr>
                <w:b/>
                <w:bCs/>
              </w:rPr>
            </w:pP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07" w14:textId="77777777" w:rsidR="006234D2" w:rsidRDefault="003D2087">
            <w:pPr>
              <w:spacing w:after="0"/>
              <w:ind w:firstLine="226"/>
            </w:pPr>
            <w:r>
              <w:rPr>
                <w:b/>
                <w:bCs/>
              </w:rPr>
              <w:t>N 01/8/2242-2026</w:t>
            </w:r>
          </w:p>
        </w:tc>
      </w:tr>
      <w:tr w:rsidR="006234D2" w14:paraId="01B21F81" w14:textId="77777777">
        <w:tc>
          <w:tcPr>
            <w:tcW w:w="8265" w:type="dxa"/>
            <w:tcBorders>
              <w:top w:val="single" w:sz="6" w:space="0" w:color="000000"/>
              <w:left w:val="single" w:sz="6" w:space="0" w:color="000000"/>
              <w:bottom w:val="single" w:sz="6" w:space="0" w:color="000000"/>
              <w:right w:val="single" w:sz="6" w:space="0" w:color="000000"/>
            </w:tcBorders>
            <w:shd w:val="clear" w:color="auto" w:fill="FFFFFF"/>
          </w:tcPr>
          <w:p w14:paraId="00000008" w14:textId="77777777" w:rsidR="006234D2" w:rsidRDefault="003D2087">
            <w:pPr>
              <w:spacing w:after="0" w:line="360" w:lineRule="auto"/>
              <w:ind w:right="165"/>
              <w:jc w:val="both"/>
            </w:pPr>
            <w:r>
              <w:t xml:space="preserve"> 1</w:t>
            </w:r>
            <w:r>
              <w:rPr>
                <w:rFonts w:ascii="Cambria Math" w:eastAsia="Cambria Math" w:hAnsi="Cambria Math" w:cs="Cambria Math"/>
              </w:rPr>
              <w:t xml:space="preserve">․ </w:t>
            </w:r>
            <w:r>
              <w:t>ՀՀ ֆինանսների նախարարությունը քննարկել է ՀՀ արդարադատության նախարարության 21.01.2026թ. N //2035-2026 գրությամբ ներկայացված` «Մեկ անձից գնման ընթացակարգով գնման գործընթաց կազմակերպելու մասին» (այսուհետ՝ Նախագիծ 1) և «Հայաստանի Հանրապետության 2025 թվականի պետական բյուջեի մասին» օրենքում վերաբաշխում, փոփոխություն, լրացում, Հայաստանի Հանրապետության կառավարության 2025 թվականի դեկտեմբերի 25-ի N 1910-Ն որոշման մեջ փոփոխություններ և լրացումներ կատարելու մասին» (այսուհետ՝ Նախագիծ 2) ՀՀ կառավարության որոշումների նախագծերը և հայտնում է հետևյալը.</w:t>
            </w:r>
          </w:p>
          <w:p w14:paraId="00000009" w14:textId="77777777" w:rsidR="006234D2" w:rsidRDefault="003D2087">
            <w:pPr>
              <w:spacing w:after="0" w:line="360" w:lineRule="auto"/>
              <w:ind w:right="165"/>
              <w:jc w:val="both"/>
            </w:pPr>
            <w:r>
              <w:t xml:space="preserve"> Նախագիծ 1-ով առաջարկվում է թույլատրել Կոռուպցիայի կանխարգելման հանձնաժողովին (այսուհետ՝ Հանձնաժողով) </w:t>
            </w:r>
            <w:r>
              <w:lastRenderedPageBreak/>
              <w:t>բարեվարքության հարցաթերթիկների թվայնացման, հայտարարագրերի հրապարակային ռեեստրի կառուցվածքի փոփոխության, 2011-2021 թվականների հայտարարագրերի միգրացիայի և հայտարարագրման համակարգի 1 տարվա սպասարկման ծառայությունների ձեռքբերումն իրականացնել մեկ անձից՝ Հայաստանի Հանրապետությունում «Սիներջի ինթերնեշնըլ սիսթըմզ» բաժնետիրական ընկերության մասնաճյուղից՝ «Գնումների մասին» ՀՀ օրենքի 23-րդ հոդվածի 1-ին մասի 1-ին կետի հիման վրա:</w:t>
            </w:r>
          </w:p>
          <w:p w14:paraId="0000000A" w14:textId="77777777" w:rsidR="006234D2" w:rsidRDefault="003D2087">
            <w:pPr>
              <w:spacing w:after="0" w:line="360" w:lineRule="auto"/>
              <w:ind w:right="165"/>
              <w:jc w:val="both"/>
            </w:pPr>
            <w:r>
              <w:t xml:space="preserve"> Նախագիծ 2-ով առաջարկվում է ՀՀ 2026թ. պետական բյուջեով նախատեսված ՀՀ բարձր տեխնոլոգիական արդյունաբերության նախարարության 1235 ծրագրի «31001. Միասնական թվային միջավայրի ձևավորում» միջոցառումից հատկացնել 33.4 մլն դրամ (ներառյալ ԱԱՀ) Հանձնաժողովի 1181 ծրագրի «11001. Կոռուպցիայի կանխարգելում և բարեվարքության համակարգի զարգացում» միջոցառմանը՝ հայտարարագրման էլեկտրոնային գործող համակարգի մեկ տարվա սպասարկման համար:</w:t>
            </w:r>
          </w:p>
          <w:p w14:paraId="0000000B" w14:textId="77777777" w:rsidR="006234D2" w:rsidRDefault="003D2087">
            <w:pPr>
              <w:spacing w:after="0" w:line="360" w:lineRule="auto"/>
              <w:ind w:right="165"/>
              <w:jc w:val="both"/>
            </w:pPr>
            <w:r>
              <w:t xml:space="preserve"> Հարկ ենք համարում նշել, որ ՀՀ 2026թ. պետական բյուջեով ՀՀ բարձր տեխնոլոգիական արդյունաբերության նախարարության 1235 ծրագրի «31001. Միասնական թվային միջավայրի ձևավորում» միջոցառմանը հատկացված գումարները նախատեսված են պետական մարմինների </w:t>
            </w:r>
            <w:r>
              <w:lastRenderedPageBreak/>
              <w:t>կողմից իրականացվող թվային փոխակերպման միջոցառումների իրականացման, այդ թվում՝ թվայնացման համակարգերի, կայքերի ներդրման և արդիականացման (կապիտալ բնույթի ծախսեր) համար:</w:t>
            </w:r>
          </w:p>
          <w:p w14:paraId="0000000C" w14:textId="77777777" w:rsidR="006234D2" w:rsidRDefault="003D2087">
            <w:pPr>
              <w:spacing w:after="0" w:line="360" w:lineRule="auto"/>
              <w:ind w:right="165"/>
              <w:jc w:val="both"/>
            </w:pPr>
            <w:r>
              <w:t xml:space="preserve"> Հետևաբար արդեն իսկ ներդրված համակարգերի սպասարկումը չի բխում վերոնշյալ միջոցառման նպատակներից:</w:t>
            </w:r>
          </w:p>
          <w:p w14:paraId="0000000D" w14:textId="77777777" w:rsidR="006234D2" w:rsidRDefault="006234D2">
            <w:pPr>
              <w:spacing w:after="0" w:line="360" w:lineRule="auto"/>
              <w:ind w:right="165" w:firstLine="127"/>
              <w:jc w:val="both"/>
            </w:pPr>
          </w:p>
          <w:p w14:paraId="0000000E" w14:textId="77777777" w:rsidR="006234D2" w:rsidRDefault="006234D2">
            <w:pPr>
              <w:tabs>
                <w:tab w:val="left" w:pos="5253"/>
              </w:tabs>
              <w:spacing w:after="0" w:line="360" w:lineRule="auto"/>
              <w:ind w:right="165" w:firstLine="127"/>
              <w:jc w:val="both"/>
            </w:pPr>
          </w:p>
        </w:tc>
        <w:tc>
          <w:tcPr>
            <w:tcW w:w="7207" w:type="dxa"/>
            <w:tcBorders>
              <w:top w:val="single" w:sz="6" w:space="0" w:color="000000"/>
              <w:left w:val="single" w:sz="6" w:space="0" w:color="000000"/>
              <w:bottom w:val="single" w:sz="6" w:space="0" w:color="000000"/>
              <w:right w:val="single" w:sz="6" w:space="0" w:color="000000"/>
            </w:tcBorders>
            <w:shd w:val="clear" w:color="auto" w:fill="FFFFFF"/>
          </w:tcPr>
          <w:p w14:paraId="0000000F" w14:textId="77777777" w:rsidR="006234D2" w:rsidRDefault="003D2087">
            <w:pPr>
              <w:tabs>
                <w:tab w:val="left" w:pos="5253"/>
              </w:tabs>
              <w:spacing w:after="0" w:line="360" w:lineRule="auto"/>
              <w:ind w:right="91"/>
              <w:jc w:val="center"/>
              <w:rPr>
                <w:b/>
                <w:bCs/>
              </w:rPr>
            </w:pPr>
            <w:r>
              <w:rPr>
                <w:b/>
                <w:bCs/>
              </w:rPr>
              <w:lastRenderedPageBreak/>
              <w:t>Մասամբ է ընդունվել։</w:t>
            </w:r>
          </w:p>
          <w:p w14:paraId="00000010" w14:textId="77777777" w:rsidR="006234D2" w:rsidRDefault="003D2087">
            <w:pPr>
              <w:pBdr>
                <w:top w:val="nil"/>
                <w:left w:val="nil"/>
                <w:bottom w:val="nil"/>
                <w:right w:val="nil"/>
                <w:between w:val="nil"/>
              </w:pBdr>
              <w:spacing w:after="0" w:line="360" w:lineRule="auto"/>
              <w:ind w:right="91"/>
              <w:jc w:val="both"/>
              <w:rPr>
                <w:color w:val="000000"/>
              </w:rPr>
            </w:pPr>
            <w:r>
              <w:rPr>
                <w:color w:val="000000"/>
              </w:rPr>
              <w:t xml:space="preserve"> Դիտարկումը հաշվի է առնվել։ Միևնույն ժամանակ, հստակության ապահովման նպատակով նախագծին կից հիմնավորման մեջ կատարվել է համապատասխան լրացում՝ սպասարկման ծառայությունների շրջանակը և բովանդակությունը պարզաբանելու նպատակով։</w:t>
            </w:r>
          </w:p>
          <w:p w14:paraId="00000011" w14:textId="77777777" w:rsidR="006234D2" w:rsidRDefault="003D2087">
            <w:pPr>
              <w:pBdr>
                <w:top w:val="nil"/>
                <w:left w:val="nil"/>
                <w:bottom w:val="nil"/>
                <w:right w:val="nil"/>
                <w:between w:val="nil"/>
              </w:pBdr>
              <w:spacing w:after="0" w:line="360" w:lineRule="auto"/>
              <w:ind w:right="91"/>
              <w:jc w:val="both"/>
              <w:rPr>
                <w:color w:val="000000"/>
              </w:rPr>
            </w:pPr>
            <w:r>
              <w:rPr>
                <w:color w:val="000000"/>
              </w:rPr>
              <w:t xml:space="preserve"> Մասնավորապես, Նախագծի հիմնավորման մեջ նշվել է, որ սպասարկման ծառայությունների շրջանակը չի սահմանափակվում բացառապես համակարգի անխափան և տեխնիկական աշխատանքի ապահովմամբ։ Այն ընդգրկում է նաև</w:t>
            </w:r>
            <w:r>
              <w:rPr>
                <w:b/>
                <w:bCs/>
                <w:color w:val="000000"/>
              </w:rPr>
              <w:t xml:space="preserve"> համակարգի ֆունկցիոնալ զարգացմանն ու արդիականացմանը միտված աշխատանքներ,</w:t>
            </w:r>
            <w:r>
              <w:rPr>
                <w:color w:val="000000"/>
              </w:rPr>
              <w:t xml:space="preserve"> այդ թվում՝ </w:t>
            </w:r>
            <w:r>
              <w:rPr>
                <w:color w:val="000000"/>
              </w:rPr>
              <w:lastRenderedPageBreak/>
              <w:t>համակարգի և պետական մարմինների տեղեկատվական շտեմարանների (օրինակ՝ Կադաստրի կոմիտե, Աշխատանքի և սոցիալական հարցերի նախարարություն, Պետական եկամուտների կոմիտե) միջև</w:t>
            </w:r>
            <w:r>
              <w:t xml:space="preserve"> շարունակական</w:t>
            </w:r>
            <w:r>
              <w:rPr>
                <w:color w:val="000000"/>
              </w:rPr>
              <w:t xml:space="preserve"> փոխգործելիության ապահովում, «Ես եմ» էլեկտրոնային ազգային նույնականացման հարթակի (էլեկտրոնային ստորագրության ապահովման նպատակով) ինտեգրում, 2011–2021 թվականների հայտարարագրերի միգրացիայից հետո դրանցում ուղղումներ կատարելու տեխնիկական հնարավորության ապահովում, բարեվարքության հարցաթերթիկների և հայտարարագրերի միջև փոխգործելիության ապահովում, ինչպես նաև ֆունկցիոնալ այլ բարելավումներ։ Ընդ որում, փոխգործելիության ապահովման գործընթացում առաջանում են մի շարք բարդ խնդիրներ, որոնք հիմնականում պահանջում են տեխնիկական խելացի լուծումներ: Նշված աշխատանքներն իրենց բնույթով և ծավալով ներառվում են սպասարկման ծառայությունների շրջանակում։ </w:t>
            </w:r>
          </w:p>
          <w:p w14:paraId="00000012" w14:textId="77777777" w:rsidR="006234D2" w:rsidRDefault="003D2087">
            <w:pPr>
              <w:pBdr>
                <w:top w:val="nil"/>
                <w:left w:val="nil"/>
                <w:bottom w:val="nil"/>
                <w:right w:val="nil"/>
                <w:between w:val="nil"/>
              </w:pBdr>
              <w:spacing w:after="0" w:line="360" w:lineRule="auto"/>
              <w:ind w:right="91"/>
              <w:jc w:val="both"/>
            </w:pPr>
            <w:r>
              <w:t xml:space="preserve"> Միաժամանակ, հարկ է ընդգծել, որ Նախագծով նախատեսվող նոր մոդուլները կառուցվելու են գործող հայտարարագրման համակարգի ծրագրային հենքի և տվյալների բազայի վրա՝ </w:t>
            </w:r>
            <w:r>
              <w:lastRenderedPageBreak/>
              <w:t>օգտագործելով նույն թվային ճարտարապետությունը և ինտեգրված լուծումները։ Այս պայմաններում նույն ծրագրային միջավայրում մոդուլների կառուցման և հետագա սպասարկման աշխատանքների իրականացումը տարբեր ընկերությունների կողմից կարող է բացասաբար անդրադառնալ համակարգի անխափան գործունեության վրա։ Նշվածը հաշվի առնելով՝ Նախագծով առաջարկվել է նոր մոդուլների կառուցման և սպասարկման աշխատանքները իրականացնել նույն ընկերության կողմից:</w:t>
            </w:r>
          </w:p>
          <w:p w14:paraId="00000013" w14:textId="77777777" w:rsidR="006234D2" w:rsidRDefault="003D2087">
            <w:pPr>
              <w:pBdr>
                <w:top w:val="nil"/>
                <w:left w:val="nil"/>
                <w:bottom w:val="nil"/>
                <w:right w:val="nil"/>
                <w:between w:val="nil"/>
              </w:pBdr>
              <w:spacing w:after="0" w:line="360" w:lineRule="auto"/>
              <w:ind w:right="91"/>
              <w:jc w:val="both"/>
              <w:rPr>
                <w:color w:val="000000"/>
              </w:rPr>
            </w:pPr>
            <w:r>
              <w:rPr>
                <w:color w:val="000000"/>
              </w:rPr>
              <w:t xml:space="preserve"> Համակարգի սպասարկման ծառայությունների շրջանակի վերաբերյալ նշում է արված նաև Տեղեկատվական համակարգերի կառավարման խորհրդի 2025 թվականի սեպտեմբերի 20-ի նիստի արձանագրության մեջ, որի համաձայն՝ սպասարկման նոր պայմանագրի շրջանակներում նախատեսվում է ապահովել մի քանի այլ գործառույթի թվայնացում, կատարելագործել գործող համակարգը, ինչպես նաև նախապատրաստել համակարգը հաջորդիվ բաց մրցույթների միջոցով սպասարկման իրականացմանը:</w:t>
            </w:r>
          </w:p>
          <w:p w14:paraId="00000014" w14:textId="77777777" w:rsidR="006234D2" w:rsidRDefault="003D2087">
            <w:pPr>
              <w:spacing w:after="0" w:line="360" w:lineRule="auto"/>
              <w:ind w:right="91"/>
              <w:jc w:val="both"/>
            </w:pPr>
            <w:r>
              <w:t xml:space="preserve"> Հետևաբար, համակարգի սպասարկումը բխում է «31001. Միասնական թվային միջավայրի ձևավորում» միջոցառման </w:t>
            </w:r>
            <w:r>
              <w:lastRenderedPageBreak/>
              <w:t>նպատակներից:</w:t>
            </w:r>
          </w:p>
        </w:tc>
      </w:tr>
      <w:tr w:rsidR="006234D2" w14:paraId="296F4EF0" w14:textId="77777777">
        <w:tc>
          <w:tcPr>
            <w:tcW w:w="8265" w:type="dxa"/>
            <w:tcBorders>
              <w:top w:val="single" w:sz="6" w:space="0" w:color="000000"/>
              <w:left w:val="single" w:sz="6" w:space="0" w:color="000000"/>
              <w:bottom w:val="single" w:sz="6" w:space="0" w:color="000000"/>
              <w:right w:val="single" w:sz="6" w:space="0" w:color="000000"/>
            </w:tcBorders>
            <w:shd w:val="clear" w:color="auto" w:fill="FFFFFF"/>
          </w:tcPr>
          <w:p w14:paraId="00000015" w14:textId="77777777" w:rsidR="006234D2" w:rsidRDefault="003D2087">
            <w:pPr>
              <w:spacing w:after="0" w:line="360" w:lineRule="auto"/>
              <w:ind w:right="165"/>
              <w:jc w:val="both"/>
            </w:pPr>
            <w:r>
              <w:lastRenderedPageBreak/>
              <w:t xml:space="preserve"> 2․ Նախագծի հիմնավորման համաձայն, վերաբաշխման համար հիմք է հանդիսացել Տեղեկատվական համակարգերի կառավարման խորհրդի 20.09.2025թ. կայացած նիստում հարցի քննարկումը, ըստ որի գործող պայմանագրով մատակարար ընկերությունը պարտավորվել է Համակարգի սպասարկումն իրականացնել մինչև 2025 թվականի նոյեմբեր ամիսը, և դրանից հետո նախատեսվում է նոր սպասարկման պայմանագրի կնքում, ինչպես նաև նիստի արձանագրությունը, համաձայն որի՝ համակարգի լավարկման, սպասարկման, տվյալների միգրացիայի և վերլուծական գործիքի ներդրման համար 2025 թվականի թվայնացման բյուջեից նախատեսել կողմնորոշիչ 200 մլն դրամ գումար:</w:t>
            </w:r>
          </w:p>
          <w:p w14:paraId="00000016" w14:textId="77777777" w:rsidR="006234D2" w:rsidRDefault="003D2087">
            <w:pPr>
              <w:spacing w:after="0" w:line="360" w:lineRule="auto"/>
              <w:ind w:right="165"/>
              <w:jc w:val="both"/>
            </w:pPr>
            <w:r>
              <w:t xml:space="preserve"> Հետևաբար հայտարարագրման էլեկտրոնային գործող համակարգի 2026 թվականի սպասարկման ծախսերը 2026 թվականի թվայնացման բյուջեից, կամ 1235 ծրագրի «31001. Միասնական թվային միջավայրի ձևավորում» միջոցառման համար հատկացված գումարների հաշվին իրականացնելու կապակցությամբ վերոնշյալ արձանագրությունում անդրադարձ չկա: Այս առումով կարևորում ենք ՀՀ բարձր տեխնոլոգիական արդյունաբերության նախարարության դիրքորոշումը:</w:t>
            </w:r>
          </w:p>
          <w:p w14:paraId="00000017" w14:textId="77777777" w:rsidR="006234D2" w:rsidRDefault="006234D2">
            <w:pPr>
              <w:tabs>
                <w:tab w:val="left" w:pos="5253"/>
              </w:tabs>
              <w:spacing w:after="0" w:line="360" w:lineRule="auto"/>
              <w:ind w:right="165" w:firstLine="127"/>
              <w:jc w:val="both"/>
            </w:pPr>
          </w:p>
        </w:tc>
        <w:tc>
          <w:tcPr>
            <w:tcW w:w="7207" w:type="dxa"/>
            <w:tcBorders>
              <w:top w:val="single" w:sz="6" w:space="0" w:color="000000"/>
              <w:left w:val="single" w:sz="6" w:space="0" w:color="000000"/>
              <w:bottom w:val="single" w:sz="6" w:space="0" w:color="000000"/>
              <w:right w:val="single" w:sz="6" w:space="0" w:color="000000"/>
            </w:tcBorders>
            <w:shd w:val="clear" w:color="auto" w:fill="FFFFFF"/>
          </w:tcPr>
          <w:p w14:paraId="00000018" w14:textId="72A4B19E" w:rsidR="006234D2" w:rsidRDefault="00154A00">
            <w:pPr>
              <w:tabs>
                <w:tab w:val="left" w:pos="5253"/>
              </w:tabs>
              <w:spacing w:after="0" w:line="360" w:lineRule="auto"/>
              <w:ind w:left="181" w:right="91"/>
              <w:jc w:val="center"/>
              <w:rPr>
                <w:b/>
                <w:bCs/>
              </w:rPr>
            </w:pPr>
            <w:r>
              <w:rPr>
                <w:b/>
                <w:bCs/>
                <w:lang w:val="hy-AM"/>
              </w:rPr>
              <w:t>Ը</w:t>
            </w:r>
            <w:r w:rsidR="003D2087">
              <w:rPr>
                <w:b/>
                <w:bCs/>
              </w:rPr>
              <w:t>նդունվել</w:t>
            </w:r>
            <w:r>
              <w:rPr>
                <w:b/>
                <w:bCs/>
              </w:rPr>
              <w:t xml:space="preserve"> է</w:t>
            </w:r>
          </w:p>
          <w:p w14:paraId="00000019" w14:textId="77777777" w:rsidR="006234D2" w:rsidRDefault="003D2087">
            <w:pPr>
              <w:pBdr>
                <w:top w:val="nil"/>
                <w:left w:val="nil"/>
                <w:bottom w:val="nil"/>
                <w:right w:val="nil"/>
                <w:between w:val="nil"/>
              </w:pBdr>
              <w:spacing w:after="0" w:line="360" w:lineRule="auto"/>
              <w:ind w:right="91"/>
              <w:jc w:val="both"/>
              <w:rPr>
                <w:color w:val="000000"/>
              </w:rPr>
            </w:pPr>
            <w:r>
              <w:rPr>
                <w:color w:val="000000"/>
              </w:rPr>
              <w:t xml:space="preserve"> 2025 թվականի սեպտեմբերի 20-ին Հանձնաժողովը Տեղեկատվական համակարգերի կառավարման խորհրդի նիստում ներկայացրել է թվայնացման օրակարգը՝ ընդհանուր 201,818,000 ՀՀ դրամ արժեքով (առանց ավելացված արժեքի հարկի), ներառյալ՝ պասարկման պայմանագրի արժեքը (27,857,000 դրամ (առանց հարկերի)): Նշվածը հստակ արտահայտված է ինչպես խորհրդի նիստում ներկայացված սահիկաշարում, այնպես էլ նիստի արձանագրության մեջ, որի համաձայն՝ սպասարկման նոր պայմանագրի շրջանակներում նախատեսվում է ապահովել մի քանի այլ գործառույթի թվայնացում, կատարելագործել գործող համակարգը, ինչպես նաև նախապատրաստել համակարգը հաջորդիվ բաց մրցույթների միջոցով սպասարկման իրականացմանը: Այդուհանդերձ, տարընկալումից խուսափելու նպատակով նախագծի հիմնավորման մեջ կատարվել է համապատասխան լրացում:</w:t>
            </w:r>
          </w:p>
          <w:p w14:paraId="0000001A" w14:textId="77777777" w:rsidR="006234D2" w:rsidRDefault="003D2087">
            <w:pPr>
              <w:pBdr>
                <w:top w:val="nil"/>
                <w:left w:val="nil"/>
                <w:bottom w:val="nil"/>
                <w:right w:val="nil"/>
                <w:between w:val="nil"/>
              </w:pBdr>
              <w:spacing w:after="0" w:line="360" w:lineRule="auto"/>
              <w:ind w:right="91"/>
              <w:jc w:val="both"/>
              <w:rPr>
                <w:color w:val="000000"/>
              </w:rPr>
            </w:pPr>
            <w:r>
              <w:rPr>
                <w:color w:val="000000"/>
              </w:rPr>
              <w:t xml:space="preserve">Միևնույն ժամանակ, հարկ է նշել, որ ՀՀ բարձր տեխնոլոգիական արդյունաբերության նախարարության </w:t>
            </w:r>
            <w:r>
              <w:rPr>
                <w:color w:val="000000"/>
              </w:rPr>
              <w:lastRenderedPageBreak/>
              <w:t>կողմից ներկայացված կարծիքի համաձայն՝ նախագծի վերաբերյալ դիտարկումներ և առաջարկություններ առկա չեն:</w:t>
            </w:r>
          </w:p>
        </w:tc>
      </w:tr>
      <w:tr w:rsidR="006234D2" w14:paraId="2E341413" w14:textId="77777777">
        <w:tc>
          <w:tcPr>
            <w:tcW w:w="8265" w:type="dxa"/>
            <w:tcBorders>
              <w:top w:val="single" w:sz="6" w:space="0" w:color="000000"/>
              <w:left w:val="single" w:sz="6" w:space="0" w:color="000000"/>
              <w:bottom w:val="single" w:sz="6" w:space="0" w:color="000000"/>
              <w:right w:val="single" w:sz="6" w:space="0" w:color="000000"/>
            </w:tcBorders>
            <w:shd w:val="clear" w:color="auto" w:fill="FFFFFF"/>
          </w:tcPr>
          <w:p w14:paraId="0000001B" w14:textId="77777777" w:rsidR="006234D2" w:rsidRDefault="003D2087">
            <w:pPr>
              <w:spacing w:after="0" w:line="360" w:lineRule="auto"/>
              <w:ind w:right="165"/>
              <w:jc w:val="both"/>
            </w:pPr>
            <w:r>
              <w:lastRenderedPageBreak/>
              <w:t xml:space="preserve"> 3․ Միաժամանակ հարկ ենք համարում նշել, որ Նախագիծ 2-ի հավելված N 7-ի համաձայն՝ նախատեսվում է Հանձնաժողովի կողմից հայտարարագրման էլեկտրոնային համակարգի սպասարկման ծառայությունները ձեռք բերել մեկ անձից գնման ձևով՝ հրատապության հիմքով, այնինչ՝ Նախագիծ 1-ով առաջարկվում է թույլատրել վերոնշյալ ծառայությունները ձեռք բերել «Գնումների մասին» օրենքի 23-րդ հոդվածի 1-ին մասի 1-ին կետի հիման վրա:</w:t>
            </w:r>
          </w:p>
          <w:p w14:paraId="0000001C" w14:textId="77777777" w:rsidR="006234D2" w:rsidRDefault="003D2087">
            <w:pPr>
              <w:spacing w:after="0" w:line="360" w:lineRule="auto"/>
              <w:ind w:right="165"/>
              <w:jc w:val="both"/>
            </w:pPr>
            <w:r>
              <w:t xml:space="preserve"> Ելնելով վերոգրյալից և նկատի ունենալով, որ Նախագիծ 2-ով հատկացվող ֆինանսական միջոցները վերաբերում են Նախագիծ 1-ի 1-ին կետում նշված ծառայություններին, ուստի առաջարկում ենք միավորել երկու նախագծերը և շրջանառել որպես մեկ Նախագիծ, հաշվի առնելով, որ՝</w:t>
            </w:r>
          </w:p>
          <w:p w14:paraId="0000001D" w14:textId="77777777" w:rsidR="006234D2" w:rsidRDefault="003D2087">
            <w:pPr>
              <w:spacing w:after="0" w:line="360" w:lineRule="auto"/>
              <w:ind w:right="165" w:firstLine="127"/>
              <w:jc w:val="both"/>
            </w:pPr>
            <w:r>
              <w:t>- անհրաժեշտ է հայտարարագրման էլեկտրոնային համակարգի սպասարկման ծառայությունների գնման ձևը նշել «ՄԱ»,</w:t>
            </w:r>
          </w:p>
          <w:p w14:paraId="0000001E" w14:textId="77777777" w:rsidR="006234D2" w:rsidRDefault="003D2087">
            <w:pPr>
              <w:spacing w:after="0" w:line="360" w:lineRule="auto"/>
              <w:ind w:right="165" w:firstLine="127"/>
              <w:jc w:val="both"/>
            </w:pPr>
            <w:r>
              <w:t>- նախագծի նախաբանում որպես լիազորող նորմ ՀՀ կառավարության 04.05.2017թ. թիվ 526-Ն որոշմամբ հաստատված կարգի 23-րդ կետի 4-րդ ենթակետին հղում կատարելու անհրաժեշտությունը բացակայում է,</w:t>
            </w:r>
          </w:p>
          <w:p w14:paraId="0000001F" w14:textId="77777777" w:rsidR="006234D2" w:rsidRDefault="003D2087">
            <w:pPr>
              <w:spacing w:after="0" w:line="360" w:lineRule="auto"/>
              <w:ind w:right="165" w:firstLine="127"/>
              <w:jc w:val="both"/>
            </w:pPr>
            <w:r>
              <w:t xml:space="preserve">- որպես ավելորդ դրույթ անհրաժեշտ է հանել Նախագիծ 1-ի 2-րդ </w:t>
            </w:r>
            <w:r>
              <w:lastRenderedPageBreak/>
              <w:t>կետը:</w:t>
            </w:r>
          </w:p>
        </w:tc>
        <w:tc>
          <w:tcPr>
            <w:tcW w:w="7207" w:type="dxa"/>
            <w:tcBorders>
              <w:top w:val="single" w:sz="6" w:space="0" w:color="000000"/>
              <w:left w:val="single" w:sz="6" w:space="0" w:color="000000"/>
              <w:bottom w:val="single" w:sz="6" w:space="0" w:color="000000"/>
              <w:right w:val="single" w:sz="6" w:space="0" w:color="000000"/>
            </w:tcBorders>
            <w:shd w:val="clear" w:color="auto" w:fill="FFFFFF"/>
          </w:tcPr>
          <w:p w14:paraId="00000020" w14:textId="77777777" w:rsidR="006234D2" w:rsidRDefault="003D2087">
            <w:pPr>
              <w:spacing w:after="0" w:line="360" w:lineRule="auto"/>
              <w:ind w:left="181" w:right="91" w:hanging="1"/>
              <w:jc w:val="center"/>
              <w:rPr>
                <w:b/>
                <w:bCs/>
              </w:rPr>
            </w:pPr>
            <w:r>
              <w:rPr>
                <w:b/>
                <w:bCs/>
              </w:rPr>
              <w:lastRenderedPageBreak/>
              <w:t>Ընդունվել է։</w:t>
            </w:r>
          </w:p>
          <w:p w14:paraId="00000021" w14:textId="77777777" w:rsidR="006234D2" w:rsidRDefault="003D2087">
            <w:pPr>
              <w:spacing w:after="0" w:line="360" w:lineRule="auto"/>
              <w:ind w:right="91" w:hanging="1"/>
              <w:jc w:val="both"/>
            </w:pPr>
            <w:r>
              <w:t xml:space="preserve"> Նախագծերում և կից հավելվածում կատարվել են համապատասխան փոփոխություններ և լրացումներ։</w:t>
            </w:r>
          </w:p>
        </w:tc>
      </w:tr>
      <w:tr w:rsidR="006234D2" w14:paraId="1EF2E0F1" w14:textId="77777777">
        <w:tc>
          <w:tcPr>
            <w:tcW w:w="8265"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22" w14:textId="77777777" w:rsidR="006234D2" w:rsidRDefault="003D2087">
            <w:pPr>
              <w:tabs>
                <w:tab w:val="center" w:pos="5269"/>
                <w:tab w:val="left" w:pos="8550"/>
              </w:tabs>
              <w:spacing w:after="0"/>
              <w:ind w:firstLine="127"/>
              <w:jc w:val="center"/>
              <w:rPr>
                <w:b/>
                <w:bCs/>
              </w:rPr>
            </w:pPr>
            <w:bookmarkStart w:id="2" w:name="_GoBack" w:colFirst="1" w:colLast="1"/>
            <w:r>
              <w:rPr>
                <w:b/>
                <w:bCs/>
              </w:rPr>
              <w:lastRenderedPageBreak/>
              <w:t>2.  Բարձր տեխնոլոգիական արդյունաբերության նախարարություն</w:t>
            </w: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23" w14:textId="77777777" w:rsidR="006234D2" w:rsidRDefault="003D2087" w:rsidP="00E140E4">
            <w:pPr>
              <w:tabs>
                <w:tab w:val="left" w:pos="5253"/>
              </w:tabs>
              <w:spacing w:after="0"/>
              <w:ind w:firstLine="226"/>
              <w:jc w:val="center"/>
              <w:rPr>
                <w:b/>
                <w:bCs/>
              </w:rPr>
            </w:pPr>
            <w:r>
              <w:rPr>
                <w:b/>
                <w:bCs/>
              </w:rPr>
              <w:t>12.02.2026թ</w:t>
            </w:r>
            <w:r>
              <w:rPr>
                <w:rFonts w:ascii="Cambria Math" w:eastAsia="Cambria Math" w:hAnsi="Cambria Math" w:cs="Cambria Math"/>
                <w:b/>
                <w:bCs/>
              </w:rPr>
              <w:t>․</w:t>
            </w:r>
          </w:p>
        </w:tc>
      </w:tr>
      <w:tr w:rsidR="006234D2" w14:paraId="66AC2E54" w14:textId="77777777">
        <w:tc>
          <w:tcPr>
            <w:tcW w:w="8265" w:type="dxa"/>
            <w:vMerge/>
            <w:tcBorders>
              <w:top w:val="single" w:sz="6" w:space="0" w:color="000000"/>
              <w:left w:val="single" w:sz="6" w:space="0" w:color="000000"/>
              <w:bottom w:val="single" w:sz="6" w:space="0" w:color="000000"/>
              <w:right w:val="single" w:sz="6" w:space="0" w:color="000000"/>
            </w:tcBorders>
            <w:shd w:val="clear" w:color="auto" w:fill="D0D0D0"/>
          </w:tcPr>
          <w:p w14:paraId="00000024" w14:textId="77777777" w:rsidR="006234D2" w:rsidRDefault="006234D2">
            <w:pPr>
              <w:widowControl w:val="0"/>
              <w:pBdr>
                <w:top w:val="nil"/>
                <w:left w:val="nil"/>
                <w:bottom w:val="nil"/>
                <w:right w:val="nil"/>
                <w:between w:val="nil"/>
              </w:pBdr>
              <w:spacing w:after="0"/>
              <w:rPr>
                <w:b/>
                <w:bCs/>
              </w:rPr>
            </w:pP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25" w14:textId="77777777" w:rsidR="006234D2" w:rsidRDefault="003D2087" w:rsidP="00E140E4">
            <w:pPr>
              <w:spacing w:after="0"/>
              <w:ind w:firstLine="226"/>
              <w:jc w:val="center"/>
              <w:rPr>
                <w:b/>
                <w:bCs/>
              </w:rPr>
            </w:pPr>
            <w:r>
              <w:rPr>
                <w:b/>
                <w:bCs/>
              </w:rPr>
              <w:t>N 01/20/838-2026</w:t>
            </w:r>
          </w:p>
        </w:tc>
      </w:tr>
      <w:bookmarkEnd w:id="2"/>
      <w:tr w:rsidR="006234D2" w14:paraId="767A2FDE" w14:textId="77777777" w:rsidTr="00E140E4">
        <w:trPr>
          <w:trHeight w:val="1274"/>
        </w:trPr>
        <w:tc>
          <w:tcPr>
            <w:tcW w:w="8265" w:type="dxa"/>
            <w:tcBorders>
              <w:top w:val="single" w:sz="6" w:space="0" w:color="000000"/>
              <w:left w:val="single" w:sz="6" w:space="0" w:color="000000"/>
              <w:bottom w:val="single" w:sz="6" w:space="0" w:color="000000"/>
              <w:right w:val="single" w:sz="6" w:space="0" w:color="000000"/>
            </w:tcBorders>
            <w:shd w:val="clear" w:color="auto" w:fill="FFFFFF"/>
          </w:tcPr>
          <w:p w14:paraId="00000026" w14:textId="77777777" w:rsidR="006234D2" w:rsidRDefault="003D2087">
            <w:pPr>
              <w:spacing w:after="0" w:line="360" w:lineRule="auto"/>
              <w:ind w:right="165"/>
              <w:jc w:val="both"/>
              <w:rPr>
                <w:color w:val="000000"/>
              </w:rPr>
            </w:pPr>
            <w:r>
              <w:rPr>
                <w:color w:val="000000"/>
              </w:rPr>
              <w:t xml:space="preserve"> </w:t>
            </w:r>
            <w:r>
              <w:t xml:space="preserve"> Առաջարկություններ և դիտողություններ առկա չեն։</w:t>
            </w:r>
          </w:p>
        </w:tc>
        <w:tc>
          <w:tcPr>
            <w:tcW w:w="7207" w:type="dxa"/>
            <w:tcBorders>
              <w:top w:val="single" w:sz="6" w:space="0" w:color="000000"/>
              <w:left w:val="single" w:sz="6" w:space="0" w:color="000000"/>
              <w:bottom w:val="single" w:sz="6" w:space="0" w:color="000000"/>
              <w:right w:val="single" w:sz="6" w:space="0" w:color="000000"/>
            </w:tcBorders>
            <w:shd w:val="clear" w:color="auto" w:fill="FFFFFF"/>
          </w:tcPr>
          <w:p w14:paraId="00000027" w14:textId="77777777" w:rsidR="006234D2" w:rsidRDefault="006234D2">
            <w:pPr>
              <w:spacing w:before="280" w:after="280" w:line="240" w:lineRule="auto"/>
              <w:ind w:right="91"/>
              <w:jc w:val="both"/>
              <w:rPr>
                <w:highlight w:val="yellow"/>
              </w:rPr>
            </w:pPr>
          </w:p>
        </w:tc>
      </w:tr>
      <w:tr w:rsidR="00E140E4" w14:paraId="488B524E" w14:textId="77777777">
        <w:tc>
          <w:tcPr>
            <w:tcW w:w="8265"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28" w14:textId="77777777" w:rsidR="00E140E4" w:rsidRDefault="00E140E4">
            <w:pPr>
              <w:tabs>
                <w:tab w:val="center" w:pos="5269"/>
                <w:tab w:val="left" w:pos="8550"/>
              </w:tabs>
              <w:spacing w:after="0"/>
              <w:ind w:firstLine="127"/>
              <w:jc w:val="center"/>
              <w:rPr>
                <w:b/>
                <w:bCs/>
              </w:rPr>
            </w:pPr>
            <w:r>
              <w:rPr>
                <w:b/>
                <w:bCs/>
              </w:rPr>
              <w:t>3. Վարչապետի աշխատակազմի ֆինանսատնտեսագիտական վարչություն</w:t>
            </w: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29" w14:textId="15CD42EB" w:rsidR="00E140E4" w:rsidRPr="00E140E4" w:rsidRDefault="00E140E4" w:rsidP="00E140E4">
            <w:pPr>
              <w:tabs>
                <w:tab w:val="left" w:pos="5253"/>
              </w:tabs>
              <w:spacing w:after="0"/>
              <w:ind w:firstLine="226"/>
              <w:jc w:val="center"/>
              <w:rPr>
                <w:b/>
                <w:bCs/>
              </w:rPr>
            </w:pPr>
            <w:r w:rsidRPr="00E140E4">
              <w:rPr>
                <w:b/>
              </w:rPr>
              <w:t>20.03.2026</w:t>
            </w:r>
          </w:p>
        </w:tc>
      </w:tr>
      <w:tr w:rsidR="00E140E4" w14:paraId="23E16184" w14:textId="77777777">
        <w:tc>
          <w:tcPr>
            <w:tcW w:w="8265" w:type="dxa"/>
            <w:vMerge/>
            <w:tcBorders>
              <w:top w:val="single" w:sz="6" w:space="0" w:color="000000"/>
              <w:left w:val="single" w:sz="6" w:space="0" w:color="000000"/>
              <w:bottom w:val="single" w:sz="6" w:space="0" w:color="000000"/>
              <w:right w:val="single" w:sz="6" w:space="0" w:color="000000"/>
            </w:tcBorders>
            <w:shd w:val="clear" w:color="auto" w:fill="D0D0D0"/>
          </w:tcPr>
          <w:p w14:paraId="0000002A" w14:textId="77777777" w:rsidR="00E140E4" w:rsidRDefault="00E140E4">
            <w:pPr>
              <w:widowControl w:val="0"/>
              <w:pBdr>
                <w:top w:val="nil"/>
                <w:left w:val="nil"/>
                <w:bottom w:val="nil"/>
                <w:right w:val="nil"/>
                <w:between w:val="nil"/>
              </w:pBdr>
              <w:spacing w:after="0"/>
              <w:rPr>
                <w:b/>
                <w:bCs/>
              </w:rPr>
            </w:pP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2B" w14:textId="7E8CFE65" w:rsidR="00E140E4" w:rsidRPr="00E140E4" w:rsidRDefault="00E140E4" w:rsidP="00E140E4">
            <w:pPr>
              <w:spacing w:after="0"/>
              <w:ind w:firstLine="226"/>
              <w:jc w:val="center"/>
              <w:rPr>
                <w:b/>
                <w:bCs/>
              </w:rPr>
            </w:pPr>
            <w:r w:rsidRPr="00E140E4">
              <w:rPr>
                <w:b/>
              </w:rPr>
              <w:t>N 02/16.5/8993-2026</w:t>
            </w:r>
          </w:p>
        </w:tc>
      </w:tr>
      <w:tr w:rsidR="006234D2" w14:paraId="1866BD01" w14:textId="77777777">
        <w:trPr>
          <w:trHeight w:val="1920"/>
        </w:trPr>
        <w:tc>
          <w:tcPr>
            <w:tcW w:w="8265" w:type="dxa"/>
            <w:tcBorders>
              <w:top w:val="single" w:sz="6" w:space="0" w:color="000000"/>
              <w:left w:val="single" w:sz="6" w:space="0" w:color="000000"/>
              <w:bottom w:val="single" w:sz="6" w:space="0" w:color="000000"/>
              <w:right w:val="single" w:sz="6" w:space="0" w:color="000000"/>
            </w:tcBorders>
          </w:tcPr>
          <w:p w14:paraId="0000002C" w14:textId="77777777" w:rsidR="006234D2" w:rsidRDefault="003D2087">
            <w:pPr>
              <w:numPr>
                <w:ilvl w:val="0"/>
                <w:numId w:val="1"/>
              </w:numPr>
              <w:pBdr>
                <w:top w:val="nil"/>
                <w:left w:val="nil"/>
                <w:bottom w:val="nil"/>
                <w:right w:val="nil"/>
                <w:between w:val="nil"/>
              </w:pBdr>
              <w:tabs>
                <w:tab w:val="left" w:pos="284"/>
              </w:tabs>
              <w:spacing w:after="0" w:line="360" w:lineRule="auto"/>
              <w:ind w:left="75" w:right="75" w:firstLine="284"/>
              <w:jc w:val="both"/>
              <w:rPr>
                <w:color w:val="000000"/>
              </w:rPr>
            </w:pPr>
            <w:r>
              <w:rPr>
                <w:color w:val="000000"/>
              </w:rPr>
              <w:t>Առաջարկում ենք Նախագծի նախաբանից հանել Տեղեկատվական համակարգերի կառավարման խորհրդի 2025 թվականի սեպտեմբերի 20-ի նիստի որոշմանը հղումը, հաշվի առնելով այն, որ վերջինս իրավական ակտ չի հանդիսանում:</w:t>
            </w:r>
          </w:p>
        </w:tc>
        <w:tc>
          <w:tcPr>
            <w:tcW w:w="7207" w:type="dxa"/>
            <w:tcBorders>
              <w:top w:val="single" w:sz="6" w:space="0" w:color="000000"/>
              <w:left w:val="single" w:sz="6" w:space="0" w:color="000000"/>
              <w:bottom w:val="single" w:sz="6" w:space="0" w:color="000000"/>
              <w:right w:val="single" w:sz="6" w:space="0" w:color="000000"/>
            </w:tcBorders>
          </w:tcPr>
          <w:p w14:paraId="0000002D" w14:textId="16399878" w:rsidR="006234D2" w:rsidRDefault="003D2087">
            <w:pPr>
              <w:spacing w:after="0" w:line="360" w:lineRule="auto"/>
              <w:ind w:firstLine="226"/>
              <w:jc w:val="center"/>
              <w:rPr>
                <w:b/>
                <w:bCs/>
              </w:rPr>
            </w:pPr>
            <w:r>
              <w:rPr>
                <w:b/>
                <w:bCs/>
              </w:rPr>
              <w:t>Ընդունվել է:</w:t>
            </w:r>
          </w:p>
          <w:p w14:paraId="0000002E" w14:textId="6CC04EB2" w:rsidR="006234D2" w:rsidRDefault="003D2087">
            <w:pPr>
              <w:spacing w:after="0" w:line="360" w:lineRule="auto"/>
              <w:ind w:firstLine="226"/>
              <w:jc w:val="center"/>
            </w:pPr>
            <w:r>
              <w:t>Նախագծում կատարվել է համապատասխան փոփոխություն:</w:t>
            </w:r>
          </w:p>
        </w:tc>
      </w:tr>
      <w:tr w:rsidR="006234D2" w14:paraId="386D7DBF" w14:textId="77777777">
        <w:trPr>
          <w:trHeight w:val="1920"/>
        </w:trPr>
        <w:tc>
          <w:tcPr>
            <w:tcW w:w="8265" w:type="dxa"/>
            <w:tcBorders>
              <w:top w:val="single" w:sz="6" w:space="0" w:color="000000"/>
              <w:left w:val="single" w:sz="6" w:space="0" w:color="000000"/>
              <w:bottom w:val="single" w:sz="6" w:space="0" w:color="000000"/>
              <w:right w:val="single" w:sz="6" w:space="0" w:color="000000"/>
            </w:tcBorders>
          </w:tcPr>
          <w:p w14:paraId="0000002F" w14:textId="77777777" w:rsidR="006234D2" w:rsidRDefault="003D2087">
            <w:pPr>
              <w:numPr>
                <w:ilvl w:val="0"/>
                <w:numId w:val="1"/>
              </w:numPr>
              <w:pBdr>
                <w:top w:val="nil"/>
                <w:left w:val="nil"/>
                <w:bottom w:val="nil"/>
                <w:right w:val="nil"/>
                <w:between w:val="nil"/>
              </w:pBdr>
              <w:tabs>
                <w:tab w:val="left" w:pos="284"/>
              </w:tabs>
              <w:spacing w:after="0" w:line="360" w:lineRule="auto"/>
              <w:ind w:left="75" w:right="75" w:firstLine="284"/>
              <w:jc w:val="both"/>
              <w:rPr>
                <w:b/>
                <w:bCs/>
                <w:color w:val="000000"/>
              </w:rPr>
            </w:pPr>
            <w:r>
              <w:rPr>
                <w:color w:val="000000"/>
              </w:rPr>
              <w:t xml:space="preserve">Նախագծի ընդունման հիմնավորմամբ նշվում է, որ Կոռուպցիայի կանխարգելման հանձնաժողովի (այսուհետ՝ Հանձնաժողով) </w:t>
            </w:r>
            <w:r>
              <w:rPr>
                <w:b/>
                <w:bCs/>
                <w:color w:val="000000"/>
              </w:rPr>
              <w:t xml:space="preserve">Հայտարարագրման էլեկտրոնային գործող համակարգում բարեվարքության հարցաթերթիկների թվայնացման, հայտարարագրերի հրապարակային ռեեստրի կառուցվածքի փոփոխության, 2011-2021 թվականների հայտարարագրերի միգրացիայի ծառայությունների ձեռքբերման համար պահանջվող 50,173.0 հազ. դրամ (առանց ԱԱՀ) գումարը ԲՏԱՆ 2025թ. պետական բյուջեով թվայնացման համար նախատեսված 1235 ծրագրի 31001 </w:t>
            </w:r>
            <w:r>
              <w:rPr>
                <w:b/>
                <w:bCs/>
                <w:color w:val="000000"/>
              </w:rPr>
              <w:lastRenderedPageBreak/>
              <w:t>միջոցառման շրջանակներում, որպես բյուջետային հատկացումների ստորադաս կարգադրիչ (ԲՍԿ) առաջարկվում է հատկացնել Հանձնաժողովին:</w:t>
            </w:r>
            <w:r>
              <w:rPr>
                <w:color w:val="000000"/>
              </w:rPr>
              <w:t xml:space="preserve"> Մինչդեռ նախագծով վերոնշյալ ծառայությունների ձեռքբերման համար Հանձնաժողովին 50,173.0 հազ. դրամ չի հատկացվում, այդ թվում՝ որպես ԲՍԿ</w:t>
            </w:r>
            <w:r>
              <w:rPr>
                <w:b/>
                <w:bCs/>
                <w:color w:val="000000"/>
              </w:rPr>
              <w:t xml:space="preserve">: </w:t>
            </w:r>
          </w:p>
        </w:tc>
        <w:tc>
          <w:tcPr>
            <w:tcW w:w="7207" w:type="dxa"/>
            <w:tcBorders>
              <w:top w:val="single" w:sz="6" w:space="0" w:color="000000"/>
              <w:left w:val="single" w:sz="6" w:space="0" w:color="000000"/>
              <w:bottom w:val="single" w:sz="6" w:space="0" w:color="000000"/>
              <w:right w:val="single" w:sz="6" w:space="0" w:color="000000"/>
            </w:tcBorders>
          </w:tcPr>
          <w:p w14:paraId="00000030" w14:textId="2E33A98F" w:rsidR="006234D2" w:rsidRDefault="003D2087">
            <w:pPr>
              <w:spacing w:after="0" w:line="360" w:lineRule="auto"/>
              <w:ind w:firstLine="226"/>
              <w:jc w:val="center"/>
              <w:rPr>
                <w:b/>
                <w:bCs/>
              </w:rPr>
            </w:pPr>
            <w:r>
              <w:rPr>
                <w:b/>
                <w:bCs/>
              </w:rPr>
              <w:lastRenderedPageBreak/>
              <w:t>Ընդունվել է:</w:t>
            </w:r>
          </w:p>
          <w:p w14:paraId="00000031" w14:textId="7F0FBBDE" w:rsidR="006234D2" w:rsidRDefault="003D2087">
            <w:pPr>
              <w:spacing w:after="0" w:line="360" w:lineRule="auto"/>
              <w:ind w:left="91" w:right="181"/>
              <w:jc w:val="both"/>
              <w:rPr>
                <w:b/>
                <w:bCs/>
              </w:rPr>
            </w:pPr>
            <w:r>
              <w:t>Նախագծին կից հիմնավորման մեջ կատարվել է համապատասխան փոփոխություն:</w:t>
            </w:r>
          </w:p>
        </w:tc>
      </w:tr>
      <w:tr w:rsidR="006234D2" w14:paraId="5B7DCC92" w14:textId="77777777">
        <w:trPr>
          <w:trHeight w:val="3296"/>
        </w:trPr>
        <w:tc>
          <w:tcPr>
            <w:tcW w:w="8265" w:type="dxa"/>
            <w:tcBorders>
              <w:top w:val="single" w:sz="6" w:space="0" w:color="000000"/>
              <w:left w:val="single" w:sz="6" w:space="0" w:color="000000"/>
              <w:bottom w:val="single" w:sz="6" w:space="0" w:color="000000"/>
              <w:right w:val="single" w:sz="6" w:space="0" w:color="000000"/>
            </w:tcBorders>
          </w:tcPr>
          <w:p w14:paraId="00000032" w14:textId="77777777" w:rsidR="006234D2" w:rsidRDefault="003D2087">
            <w:pPr>
              <w:numPr>
                <w:ilvl w:val="0"/>
                <w:numId w:val="1"/>
              </w:numPr>
              <w:pBdr>
                <w:top w:val="nil"/>
                <w:left w:val="nil"/>
                <w:bottom w:val="nil"/>
                <w:right w:val="nil"/>
                <w:between w:val="nil"/>
              </w:pBdr>
              <w:tabs>
                <w:tab w:val="left" w:pos="284"/>
              </w:tabs>
              <w:spacing w:after="0" w:line="360" w:lineRule="auto"/>
              <w:ind w:left="75" w:right="75" w:firstLine="284"/>
              <w:jc w:val="both"/>
              <w:rPr>
                <w:color w:val="000000"/>
              </w:rPr>
            </w:pPr>
            <w:r>
              <w:rPr>
                <w:color w:val="000000"/>
              </w:rPr>
              <w:lastRenderedPageBreak/>
              <w:t xml:space="preserve">Նախագծի 3-րդ հավելվածով առաջարկվում է փոփոխություններ կատարել «ՀՀ 2026 թվականի պետական բյուջեի մաuին» oրենքի N 1 հավելվածի N 3 աղյուսակում, մինչդեռ նախագծի 2-րդ կետում վերջինս նշվում է որպես փոփոխություն, իսկ նախագծի, հիմնավորման և ամփոփաթերթի վերնագրերում՝ «փոփոխություն և լրացում», հաշվի առնելով վերոգրյալը՝ առաջարկում են՝ վերջիններիս համապատասխանեցնել նախագծի N 3 հավելվածին: </w:t>
            </w:r>
          </w:p>
          <w:p w14:paraId="00000033" w14:textId="77777777" w:rsidR="006234D2" w:rsidRDefault="006234D2">
            <w:pPr>
              <w:pBdr>
                <w:top w:val="nil"/>
                <w:left w:val="nil"/>
                <w:bottom w:val="nil"/>
                <w:right w:val="nil"/>
                <w:between w:val="nil"/>
              </w:pBdr>
              <w:tabs>
                <w:tab w:val="left" w:pos="284"/>
              </w:tabs>
              <w:spacing w:after="0" w:line="360" w:lineRule="auto"/>
              <w:ind w:left="75" w:right="75"/>
              <w:jc w:val="both"/>
              <w:rPr>
                <w:color w:val="000000"/>
              </w:rPr>
            </w:pPr>
          </w:p>
        </w:tc>
        <w:tc>
          <w:tcPr>
            <w:tcW w:w="7207" w:type="dxa"/>
            <w:tcBorders>
              <w:top w:val="single" w:sz="6" w:space="0" w:color="000000"/>
              <w:left w:val="single" w:sz="6" w:space="0" w:color="000000"/>
              <w:bottom w:val="single" w:sz="6" w:space="0" w:color="000000"/>
              <w:right w:val="single" w:sz="6" w:space="0" w:color="000000"/>
            </w:tcBorders>
          </w:tcPr>
          <w:p w14:paraId="00000034" w14:textId="4456DAAF" w:rsidR="006234D2" w:rsidRDefault="003D2087">
            <w:pPr>
              <w:spacing w:after="0" w:line="360" w:lineRule="auto"/>
              <w:ind w:firstLine="226"/>
              <w:jc w:val="center"/>
              <w:rPr>
                <w:b/>
                <w:bCs/>
              </w:rPr>
            </w:pPr>
            <w:r>
              <w:rPr>
                <w:b/>
                <w:bCs/>
              </w:rPr>
              <w:t>Ընդունվել է:</w:t>
            </w:r>
          </w:p>
          <w:p w14:paraId="00000035" w14:textId="200850DC" w:rsidR="006234D2" w:rsidRDefault="003D2087">
            <w:pPr>
              <w:spacing w:after="0" w:line="360" w:lineRule="auto"/>
              <w:ind w:left="91" w:right="91"/>
              <w:jc w:val="both"/>
              <w:rPr>
                <w:b/>
                <w:bCs/>
              </w:rPr>
            </w:pPr>
            <w:r>
              <w:t>Նախագծի,  հիմնավորման և ամփոփաթերթի վերնագրերում, ինչպես նաև նախագծի 2-րդ կետում կատարվել են համապատասխան փոփոխություններ:</w:t>
            </w:r>
          </w:p>
        </w:tc>
      </w:tr>
      <w:tr w:rsidR="006234D2" w14:paraId="6D076C22" w14:textId="77777777">
        <w:trPr>
          <w:trHeight w:val="1920"/>
        </w:trPr>
        <w:tc>
          <w:tcPr>
            <w:tcW w:w="8265" w:type="dxa"/>
            <w:tcBorders>
              <w:top w:val="single" w:sz="6" w:space="0" w:color="000000"/>
              <w:left w:val="single" w:sz="6" w:space="0" w:color="000000"/>
              <w:bottom w:val="single" w:sz="6" w:space="0" w:color="000000"/>
              <w:right w:val="single" w:sz="6" w:space="0" w:color="000000"/>
            </w:tcBorders>
          </w:tcPr>
          <w:p w14:paraId="00000036" w14:textId="2B96863F" w:rsidR="006234D2" w:rsidRDefault="003D2087">
            <w:pPr>
              <w:numPr>
                <w:ilvl w:val="0"/>
                <w:numId w:val="1"/>
              </w:numPr>
              <w:pBdr>
                <w:top w:val="nil"/>
                <w:left w:val="nil"/>
                <w:bottom w:val="nil"/>
                <w:right w:val="nil"/>
                <w:between w:val="nil"/>
              </w:pBdr>
              <w:tabs>
                <w:tab w:val="left" w:pos="284"/>
              </w:tabs>
              <w:spacing w:after="0" w:line="360" w:lineRule="auto"/>
              <w:ind w:left="75" w:right="75" w:firstLine="284"/>
              <w:jc w:val="both"/>
              <w:rPr>
                <w:color w:val="000000"/>
              </w:rPr>
            </w:pPr>
            <w:r>
              <w:rPr>
                <w:color w:val="000000"/>
              </w:rPr>
              <w:t xml:space="preserve">Առաջարկում ենք շտկել տեխնիկական բնույթի սխալները, մասնավորապես, առանձին հավելվածներում ուղղել ցուցանիշների փոփոխությունները, գումարը նշել  հազ. դրամներով, 7-րդ հավելվածի բաժին, խումբ, դասը համապատասխանեցնել ՀՀ կառավարության 2025 թվականի դեկտեմբերի 25-ի N 1910-Ն որոշման 10-րդ հավելվածի ձևաչափին՝ ավելացնելով նաև վերջինիս ֆինանսական ցուցանիշը: </w:t>
            </w:r>
          </w:p>
          <w:p w14:paraId="00000037" w14:textId="77777777" w:rsidR="006234D2" w:rsidRDefault="006234D2">
            <w:pPr>
              <w:pBdr>
                <w:top w:val="nil"/>
                <w:left w:val="nil"/>
                <w:bottom w:val="nil"/>
                <w:right w:val="nil"/>
                <w:between w:val="nil"/>
              </w:pBdr>
              <w:tabs>
                <w:tab w:val="left" w:pos="284"/>
              </w:tabs>
              <w:spacing w:after="0" w:line="360" w:lineRule="auto"/>
              <w:ind w:left="75" w:right="75"/>
              <w:jc w:val="both"/>
              <w:rPr>
                <w:color w:val="000000"/>
              </w:rPr>
            </w:pPr>
          </w:p>
        </w:tc>
        <w:tc>
          <w:tcPr>
            <w:tcW w:w="7207" w:type="dxa"/>
            <w:tcBorders>
              <w:top w:val="single" w:sz="6" w:space="0" w:color="000000"/>
              <w:left w:val="single" w:sz="6" w:space="0" w:color="000000"/>
              <w:bottom w:val="single" w:sz="6" w:space="0" w:color="000000"/>
              <w:right w:val="single" w:sz="6" w:space="0" w:color="000000"/>
            </w:tcBorders>
          </w:tcPr>
          <w:p w14:paraId="00000038" w14:textId="2E9A1665" w:rsidR="006234D2" w:rsidRDefault="003D2087">
            <w:pPr>
              <w:spacing w:after="0" w:line="360" w:lineRule="auto"/>
              <w:ind w:firstLine="226"/>
              <w:jc w:val="center"/>
              <w:rPr>
                <w:b/>
                <w:bCs/>
              </w:rPr>
            </w:pPr>
            <w:r>
              <w:rPr>
                <w:b/>
                <w:bCs/>
              </w:rPr>
              <w:t>Ընդունվել է:</w:t>
            </w:r>
          </w:p>
          <w:p w14:paraId="00000039" w14:textId="182F5974" w:rsidR="006234D2" w:rsidRDefault="003D2087">
            <w:pPr>
              <w:spacing w:after="0" w:line="360" w:lineRule="auto"/>
              <w:ind w:left="91" w:right="91"/>
              <w:jc w:val="both"/>
              <w:rPr>
                <w:b/>
                <w:bCs/>
              </w:rPr>
            </w:pPr>
            <w:r>
              <w:t>Նախագծի  N 1 հավելվածի աղյուսակներում կատարվել են համապատասխան փոփոխություններ և լրացումներ:</w:t>
            </w:r>
          </w:p>
        </w:tc>
      </w:tr>
      <w:tr w:rsidR="00E140E4" w14:paraId="50CC3469" w14:textId="77777777">
        <w:tc>
          <w:tcPr>
            <w:tcW w:w="8265"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3A" w14:textId="77777777" w:rsidR="00E140E4" w:rsidRDefault="00E140E4">
            <w:pPr>
              <w:tabs>
                <w:tab w:val="center" w:pos="5269"/>
                <w:tab w:val="left" w:pos="8550"/>
              </w:tabs>
              <w:spacing w:after="0" w:line="360" w:lineRule="auto"/>
              <w:ind w:left="75" w:right="75" w:firstLine="127"/>
              <w:jc w:val="center"/>
              <w:rPr>
                <w:b/>
                <w:bCs/>
              </w:rPr>
            </w:pPr>
            <w:r>
              <w:rPr>
                <w:b/>
                <w:bCs/>
              </w:rPr>
              <w:lastRenderedPageBreak/>
              <w:t>4. Վարչապետի աշխատակազմի իրավաբանական վարչություն</w:t>
            </w: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3B" w14:textId="2AA3D7C4" w:rsidR="00E140E4" w:rsidRPr="00E140E4" w:rsidRDefault="00E140E4" w:rsidP="00E140E4">
            <w:pPr>
              <w:tabs>
                <w:tab w:val="left" w:pos="5253"/>
              </w:tabs>
              <w:spacing w:after="0"/>
              <w:ind w:firstLine="226"/>
              <w:jc w:val="center"/>
              <w:rPr>
                <w:b/>
                <w:bCs/>
              </w:rPr>
            </w:pPr>
            <w:r w:rsidRPr="00E140E4">
              <w:rPr>
                <w:b/>
              </w:rPr>
              <w:t>20.03.2026</w:t>
            </w:r>
          </w:p>
        </w:tc>
      </w:tr>
      <w:tr w:rsidR="00E140E4" w14:paraId="450374E3" w14:textId="77777777">
        <w:tc>
          <w:tcPr>
            <w:tcW w:w="8265" w:type="dxa"/>
            <w:vMerge/>
            <w:tcBorders>
              <w:top w:val="single" w:sz="6" w:space="0" w:color="000000"/>
              <w:left w:val="single" w:sz="6" w:space="0" w:color="000000"/>
              <w:bottom w:val="single" w:sz="6" w:space="0" w:color="000000"/>
              <w:right w:val="single" w:sz="6" w:space="0" w:color="000000"/>
            </w:tcBorders>
            <w:shd w:val="clear" w:color="auto" w:fill="D0D0D0"/>
          </w:tcPr>
          <w:p w14:paraId="0000003C" w14:textId="77777777" w:rsidR="00E140E4" w:rsidRDefault="00E140E4">
            <w:pPr>
              <w:widowControl w:val="0"/>
              <w:pBdr>
                <w:top w:val="nil"/>
                <w:left w:val="nil"/>
                <w:bottom w:val="nil"/>
                <w:right w:val="nil"/>
                <w:between w:val="nil"/>
              </w:pBdr>
              <w:spacing w:after="0"/>
              <w:rPr>
                <w:b/>
                <w:bCs/>
              </w:rPr>
            </w:pPr>
          </w:p>
        </w:tc>
        <w:tc>
          <w:tcPr>
            <w:tcW w:w="7207" w:type="dxa"/>
            <w:tcBorders>
              <w:top w:val="single" w:sz="6" w:space="0" w:color="000000"/>
              <w:left w:val="single" w:sz="6" w:space="0" w:color="000000"/>
              <w:bottom w:val="single" w:sz="6" w:space="0" w:color="000000"/>
              <w:right w:val="single" w:sz="6" w:space="0" w:color="000000"/>
            </w:tcBorders>
            <w:shd w:val="clear" w:color="auto" w:fill="D0D0D0"/>
          </w:tcPr>
          <w:p w14:paraId="0000003D" w14:textId="6A994A00" w:rsidR="00E140E4" w:rsidRPr="00E140E4" w:rsidRDefault="00E140E4" w:rsidP="00E140E4">
            <w:pPr>
              <w:spacing w:after="0"/>
              <w:ind w:firstLine="226"/>
              <w:jc w:val="center"/>
              <w:rPr>
                <w:b/>
                <w:bCs/>
              </w:rPr>
            </w:pPr>
            <w:r w:rsidRPr="00E140E4">
              <w:rPr>
                <w:b/>
              </w:rPr>
              <w:t>N 02/16.5/8993-2026</w:t>
            </w:r>
          </w:p>
        </w:tc>
      </w:tr>
      <w:tr w:rsidR="006234D2" w14:paraId="60FA2FBB" w14:textId="77777777">
        <w:tc>
          <w:tcPr>
            <w:tcW w:w="8265" w:type="dxa"/>
            <w:tcBorders>
              <w:top w:val="single" w:sz="6" w:space="0" w:color="000000"/>
              <w:left w:val="single" w:sz="6" w:space="0" w:color="000000"/>
              <w:bottom w:val="single" w:sz="6" w:space="0" w:color="000000"/>
              <w:right w:val="single" w:sz="6" w:space="0" w:color="000000"/>
            </w:tcBorders>
          </w:tcPr>
          <w:p w14:paraId="0000003E" w14:textId="77777777" w:rsidR="006234D2" w:rsidRDefault="003D2087">
            <w:pPr>
              <w:tabs>
                <w:tab w:val="left" w:pos="0"/>
              </w:tabs>
              <w:spacing w:line="360" w:lineRule="auto"/>
              <w:ind w:left="75" w:right="75"/>
              <w:jc w:val="both"/>
            </w:pPr>
            <w:r>
              <w:rPr>
                <w:color w:val="000000"/>
              </w:rPr>
              <w:t>1. Ն</w:t>
            </w:r>
            <w:r>
              <w:rPr>
                <w:color w:val="000000"/>
                <w:highlight w:val="white"/>
              </w:rPr>
              <w:t>ախագծի նախաբանում նշված չէ նորմատիվ իրավական ակտի համապատասխան դրույթը, որը կառավարությանը լիազորում է ընդունել սույն որոշման նախագիծը:</w:t>
            </w:r>
            <w:r>
              <w:t xml:space="preserve"> </w:t>
            </w:r>
            <w:r>
              <w:rPr>
                <w:color w:val="000000"/>
                <w:highlight w:val="white"/>
              </w:rPr>
              <w:t xml:space="preserve">Իսկ նախագծի նախաբանում որպես լիազորող նորմ նշված՝ </w:t>
            </w:r>
            <w:r>
              <w:rPr>
                <w:color w:val="000000"/>
              </w:rPr>
              <w:t xml:space="preserve">Տեղեկատվական համակարգերի կառավարման խորհրդի 2025 թվականի սեպտեմբերի 20-ի նիստի որոշումը, ՀՀ կառավարության 2017 թվականի մայիսի 4-ի N 526-Ն որոշման 1-ին կետով հաստատված գնումների գործընթացի կազմակերպման կարգի 3-րդ կետը </w:t>
            </w:r>
            <w:r>
              <w:rPr>
                <w:color w:val="000000"/>
                <w:highlight w:val="white"/>
              </w:rPr>
              <w:t>լիազորող նորմեր չեն պարունակում</w:t>
            </w:r>
            <w:r>
              <w:t xml:space="preserve"> սույն որոշման ընդունման համար:</w:t>
            </w:r>
          </w:p>
          <w:p w14:paraId="0000003F" w14:textId="77777777" w:rsidR="006234D2" w:rsidRDefault="006234D2">
            <w:pPr>
              <w:widowControl w:val="0"/>
              <w:pBdr>
                <w:top w:val="nil"/>
                <w:left w:val="nil"/>
                <w:bottom w:val="nil"/>
                <w:right w:val="nil"/>
                <w:between w:val="nil"/>
              </w:pBdr>
              <w:spacing w:after="0" w:line="360" w:lineRule="auto"/>
              <w:ind w:left="75" w:right="75"/>
              <w:rPr>
                <w:b/>
                <w:bCs/>
              </w:rPr>
            </w:pPr>
          </w:p>
        </w:tc>
        <w:tc>
          <w:tcPr>
            <w:tcW w:w="7207" w:type="dxa"/>
            <w:tcBorders>
              <w:top w:val="single" w:sz="6" w:space="0" w:color="000000"/>
              <w:left w:val="single" w:sz="6" w:space="0" w:color="000000"/>
              <w:bottom w:val="single" w:sz="6" w:space="0" w:color="000000"/>
              <w:right w:val="single" w:sz="6" w:space="0" w:color="000000"/>
            </w:tcBorders>
          </w:tcPr>
          <w:p w14:paraId="00000040" w14:textId="48AF2A4D" w:rsidR="006234D2" w:rsidRDefault="003D2087">
            <w:pPr>
              <w:spacing w:after="0" w:line="360" w:lineRule="auto"/>
              <w:ind w:firstLine="226"/>
              <w:jc w:val="center"/>
              <w:rPr>
                <w:b/>
                <w:bCs/>
              </w:rPr>
            </w:pPr>
            <w:r>
              <w:rPr>
                <w:b/>
                <w:bCs/>
              </w:rPr>
              <w:t>Ընդունվել է:</w:t>
            </w:r>
          </w:p>
          <w:p w14:paraId="00000041" w14:textId="780E1ED8" w:rsidR="006234D2" w:rsidRDefault="003D2087">
            <w:pPr>
              <w:spacing w:after="0" w:line="360" w:lineRule="auto"/>
              <w:ind w:left="91" w:right="91"/>
              <w:jc w:val="both"/>
            </w:pPr>
            <w:r>
              <w:t>Նախագծում կատարվել է համապատասխան փոփոխություն, մասնավորապես, որպես լիազորող նորմ, հղում է կատարվել նաև «Հայաստանի Հանրապետության բյուջետային համակարգի մասին» օրենքի 23-րդ հոդվածի 3-րդ մասին:</w:t>
            </w:r>
          </w:p>
        </w:tc>
      </w:tr>
    </w:tbl>
    <w:p w14:paraId="00000042" w14:textId="77777777" w:rsidR="006234D2" w:rsidRDefault="006234D2">
      <w:pPr>
        <w:tabs>
          <w:tab w:val="left" w:pos="3765"/>
        </w:tabs>
        <w:spacing w:after="0"/>
      </w:pPr>
    </w:p>
    <w:p w14:paraId="00000043" w14:textId="77777777" w:rsidR="006234D2" w:rsidRDefault="006234D2">
      <w:pPr>
        <w:tabs>
          <w:tab w:val="left" w:pos="3765"/>
        </w:tabs>
        <w:spacing w:after="0"/>
      </w:pPr>
    </w:p>
    <w:p w14:paraId="00000044" w14:textId="77777777" w:rsidR="006234D2" w:rsidRDefault="006234D2">
      <w:pPr>
        <w:tabs>
          <w:tab w:val="left" w:pos="3765"/>
        </w:tabs>
        <w:spacing w:after="0"/>
      </w:pPr>
    </w:p>
    <w:p w14:paraId="00000045" w14:textId="77777777" w:rsidR="006234D2" w:rsidRDefault="006234D2">
      <w:pPr>
        <w:tabs>
          <w:tab w:val="left" w:pos="3765"/>
        </w:tabs>
        <w:spacing w:after="0"/>
      </w:pPr>
    </w:p>
    <w:sectPr w:rsidR="006234D2">
      <w:footerReference w:type="default" r:id="rId9"/>
      <w:pgSz w:w="16838" w:h="11906" w:orient="landscape"/>
      <w:pgMar w:top="851" w:right="567" w:bottom="567" w:left="1134" w:header="709"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332EC5" w14:textId="77777777" w:rsidR="004E09F8" w:rsidRDefault="004E09F8">
      <w:pPr>
        <w:spacing w:after="0" w:line="240" w:lineRule="auto"/>
      </w:pPr>
      <w:r>
        <w:separator/>
      </w:r>
    </w:p>
  </w:endnote>
  <w:endnote w:type="continuationSeparator" w:id="0">
    <w:p w14:paraId="68583616" w14:textId="77777777" w:rsidR="004E09F8" w:rsidRDefault="004E0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embedRegular r:id="rId1" w:fontKey="{DC69DBC4-CA2D-48F7-A366-35041FF935D0}"/>
    <w:embedBold r:id="rId2" w:fontKey="{26E21409-25B9-4CEC-BF8F-43B90D7EB736}"/>
    <w:embedBoldItalic r:id="rId3" w:fontKey="{D52B33F8-A0FC-400D-BC7E-ED4A0BB37C0D}"/>
  </w:font>
  <w:font w:name="Latha">
    <w:panose1 w:val="020B0604020202020204"/>
    <w:charset w:val="00"/>
    <w:family w:val="swiss"/>
    <w:pitch w:val="variable"/>
    <w:sig w:usb0="00100003" w:usb1="00000000" w:usb2="00000000" w:usb3="00000000" w:csb0="00000001" w:csb1="00000000"/>
    <w:embedRegular r:id="rId4" w:fontKey="{335D07BF-D533-493B-9487-AD81479DE99B}"/>
  </w:font>
  <w:font w:name="Tahoma">
    <w:panose1 w:val="020B0604030504040204"/>
    <w:charset w:val="CC"/>
    <w:family w:val="swiss"/>
    <w:pitch w:val="variable"/>
    <w:sig w:usb0="E1002EFF" w:usb1="C000605B" w:usb2="00000029" w:usb3="00000000" w:csb0="000101FF" w:csb1="00000000"/>
    <w:embedRegular r:id="rId5" w:fontKey="{8C5CD306-4B24-4E87-BBB2-C447F4D1A8A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embedRegular r:id="rId6" w:fontKey="{3DC70C8D-E169-47ED-9160-755AEB1B7B83}"/>
  </w:font>
  <w:font w:name="Georgia">
    <w:panose1 w:val="02040502050405020303"/>
    <w:charset w:val="CC"/>
    <w:family w:val="roman"/>
    <w:pitch w:val="variable"/>
    <w:sig w:usb0="00000287" w:usb1="00000000" w:usb2="00000000" w:usb3="00000000" w:csb0="0000009F" w:csb1="00000000"/>
    <w:embedItalic r:id="rId7" w:fontKey="{0A2FF935-5C22-4971-AF18-93A2FF72E83E}"/>
  </w:font>
  <w:font w:name="Cambria Math">
    <w:panose1 w:val="02040503050406030204"/>
    <w:charset w:val="CC"/>
    <w:family w:val="roman"/>
    <w:pitch w:val="variable"/>
    <w:sig w:usb0="E00002FF" w:usb1="420024FF" w:usb2="00000000" w:usb3="00000000" w:csb0="0000019F" w:csb1="00000000"/>
    <w:embedRegular r:id="rId8" w:fontKey="{D903449B-2427-4318-A70F-4A03DBC1EA7E}"/>
    <w:embedBold r:id="rId9" w:fontKey="{731560A2-92F6-40BE-8AAF-7839EF15D99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6" w14:textId="6BF8E85D" w:rsidR="006234D2" w:rsidRDefault="003D208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140E4">
      <w:rPr>
        <w:noProof/>
        <w:color w:val="000000"/>
      </w:rPr>
      <w:t>2</w:t>
    </w:r>
    <w:r>
      <w:rPr>
        <w:color w:val="000000"/>
      </w:rPr>
      <w:fldChar w:fldCharType="end"/>
    </w:r>
  </w:p>
  <w:p w14:paraId="00000047" w14:textId="77777777" w:rsidR="006234D2" w:rsidRDefault="006234D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69B225" w14:textId="77777777" w:rsidR="004E09F8" w:rsidRDefault="004E09F8">
      <w:pPr>
        <w:spacing w:after="0" w:line="240" w:lineRule="auto"/>
      </w:pPr>
      <w:r>
        <w:separator/>
      </w:r>
    </w:p>
  </w:footnote>
  <w:footnote w:type="continuationSeparator" w:id="0">
    <w:p w14:paraId="4B5731F3" w14:textId="77777777" w:rsidR="004E09F8" w:rsidRDefault="004E09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A4D37"/>
    <w:multiLevelType w:val="multilevel"/>
    <w:tmpl w:val="DB12FA80"/>
    <w:lvl w:ilvl="0">
      <w:start w:val="1"/>
      <w:numFmt w:val="decimal"/>
      <w:lvlText w:val="%1."/>
      <w:lvlJc w:val="left"/>
      <w:pPr>
        <w:ind w:left="1004" w:hanging="360"/>
      </w:pPr>
      <w:rPr>
        <w:b w:val="0"/>
        <w:bCs w:val="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D2"/>
    <w:rsid w:val="00154A00"/>
    <w:rsid w:val="003D2087"/>
    <w:rsid w:val="004E09F8"/>
    <w:rsid w:val="006234D2"/>
    <w:rsid w:val="00BD1BB9"/>
    <w:rsid w:val="00D24262"/>
    <w:rsid w:val="00E05BF7"/>
    <w:rsid w:val="00E14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0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GHEA Grapalat" w:hAnsi="GHEA Grapalat" w:cs="GHEA Grapalat"/>
        <w:sz w:val="24"/>
        <w:szCs w:val="24"/>
        <w:lang w:val="h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link w:val="20"/>
    <w:uiPriority w:val="9"/>
    <w:semiHidden/>
    <w:unhideWhenUsed/>
    <w:qFormat/>
    <w:pPr>
      <w:keepNext/>
      <w:keepLines/>
      <w:spacing w:before="40" w:line="259" w:lineRule="auto"/>
      <w:ind w:left="720" w:right="720"/>
      <w:jc w:val="both"/>
      <w:outlineLvl w:val="1"/>
    </w:pPr>
    <w:rPr>
      <w:rFonts w:ascii="Calibri" w:eastAsia="Calibri" w:hAnsi="Calibri" w:cs="Calibri"/>
      <w:b/>
      <w:bCs/>
      <w:i/>
      <w:iCs/>
      <w:color w:val="2E74B5"/>
    </w:rPr>
  </w:style>
  <w:style w:type="paragraph" w:styleId="3">
    <w:name w:val="heading 3"/>
    <w:basedOn w:val="a"/>
    <w:next w:val="a"/>
    <w:link w:val="30"/>
    <w:uiPriority w:val="9"/>
    <w:semiHidden/>
    <w:unhideWhenUsed/>
    <w:qFormat/>
    <w:pPr>
      <w:keepNext/>
      <w:keepLines/>
      <w:spacing w:before="40" w:after="0"/>
      <w:outlineLvl w:val="2"/>
    </w:pPr>
    <w:rPr>
      <w:rFonts w:ascii="Calibri" w:eastAsia="Calibri" w:hAnsi="Calibri" w:cs="Calibri"/>
      <w:color w:val="1F3863"/>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a4">
    <w:name w:val="header"/>
    <w:basedOn w:val="a"/>
    <w:link w:val="a5"/>
    <w:uiPriority w:val="99"/>
    <w:unhideWhenUsed/>
    <w:rsid w:val="00AD450C"/>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AD450C"/>
  </w:style>
  <w:style w:type="paragraph" w:styleId="a6">
    <w:name w:val="footer"/>
    <w:basedOn w:val="a"/>
    <w:link w:val="a7"/>
    <w:uiPriority w:val="99"/>
    <w:unhideWhenUsed/>
    <w:rsid w:val="00AD450C"/>
    <w:pPr>
      <w:tabs>
        <w:tab w:val="center" w:pos="4680"/>
        <w:tab w:val="right" w:pos="9360"/>
      </w:tabs>
      <w:spacing w:after="0" w:line="240" w:lineRule="auto"/>
    </w:pPr>
  </w:style>
  <w:style w:type="character" w:customStyle="1" w:styleId="a7">
    <w:name w:val="Нижний колонтитул Знак"/>
    <w:basedOn w:val="a0"/>
    <w:link w:val="a6"/>
    <w:uiPriority w:val="99"/>
    <w:rsid w:val="00AD450C"/>
  </w:style>
  <w:style w:type="paragraph" w:styleId="a8">
    <w:name w:val="footnote text"/>
    <w:basedOn w:val="a"/>
    <w:link w:val="a9"/>
    <w:uiPriority w:val="99"/>
    <w:semiHidden/>
    <w:unhideWhenUsed/>
    <w:rsid w:val="005D5E73"/>
    <w:pPr>
      <w:spacing w:after="0" w:line="240" w:lineRule="auto"/>
    </w:pPr>
    <w:rPr>
      <w:rFonts w:ascii="Calibri" w:hAnsi="Calibri"/>
      <w:sz w:val="20"/>
      <w:szCs w:val="20"/>
    </w:rPr>
  </w:style>
  <w:style w:type="character" w:customStyle="1" w:styleId="a9">
    <w:name w:val="Текст сноски Знак"/>
    <w:link w:val="a8"/>
    <w:uiPriority w:val="99"/>
    <w:semiHidden/>
    <w:rsid w:val="005D5E73"/>
    <w:rPr>
      <w:rFonts w:ascii="Calibri" w:hAnsi="Calibri"/>
      <w:sz w:val="20"/>
      <w:szCs w:val="20"/>
    </w:rPr>
  </w:style>
  <w:style w:type="character" w:styleId="aa">
    <w:name w:val="footnote reference"/>
    <w:uiPriority w:val="99"/>
    <w:semiHidden/>
    <w:unhideWhenUsed/>
    <w:rsid w:val="005D5E73"/>
    <w:rPr>
      <w:vertAlign w:val="superscript"/>
    </w:rPr>
  </w:style>
  <w:style w:type="paragraph" w:styleId="ab">
    <w:name w:val="List Paragraph"/>
    <w:basedOn w:val="a"/>
    <w:uiPriority w:val="34"/>
    <w:qFormat/>
    <w:rsid w:val="009C1AEC"/>
    <w:pPr>
      <w:ind w:left="720"/>
      <w:contextualSpacing/>
    </w:pPr>
  </w:style>
  <w:style w:type="paragraph" w:styleId="ac">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d"/>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20">
    <w:name w:val="Заголовок 2 Знак"/>
    <w:link w:val="2"/>
    <w:uiPriority w:val="9"/>
    <w:rsid w:val="005E5A61"/>
    <w:rPr>
      <w:rFonts w:ascii="Calibri" w:eastAsia="Times New Roman" w:hAnsi="Calibri" w:cs="Latha"/>
      <w:b/>
      <w:i/>
      <w:color w:val="2E74B5"/>
      <w:szCs w:val="26"/>
    </w:rPr>
  </w:style>
  <w:style w:type="character" w:styleId="ae">
    <w:name w:val="Hyperlink"/>
    <w:uiPriority w:val="99"/>
    <w:unhideWhenUsed/>
    <w:rsid w:val="009A7A8C"/>
    <w:rPr>
      <w:color w:val="0000FF"/>
      <w:u w:val="single"/>
    </w:rPr>
  </w:style>
  <w:style w:type="table" w:styleId="af">
    <w:name w:val="Table Grid"/>
    <w:basedOn w:val="a1"/>
    <w:uiPriority w:val="59"/>
    <w:rsid w:val="009B1A9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9C0493"/>
    <w:pPr>
      <w:spacing w:after="0" w:line="240" w:lineRule="auto"/>
    </w:pPr>
    <w:rPr>
      <w:rFonts w:ascii="Tahoma" w:eastAsia="Arial" w:hAnsi="Tahoma" w:cs="Tahoma"/>
      <w:sz w:val="16"/>
      <w:szCs w:val="16"/>
      <w:lang w:val="hy-AM"/>
    </w:rPr>
  </w:style>
  <w:style w:type="character" w:customStyle="1" w:styleId="af1">
    <w:name w:val="Текст выноски Знак"/>
    <w:link w:val="af0"/>
    <w:uiPriority w:val="99"/>
    <w:semiHidden/>
    <w:rsid w:val="009C0493"/>
    <w:rPr>
      <w:rFonts w:ascii="Tahoma" w:eastAsia="Arial" w:hAnsi="Tahoma" w:cs="Tahoma"/>
      <w:sz w:val="16"/>
      <w:szCs w:val="16"/>
      <w:lang w:val="hy-AM"/>
    </w:rPr>
  </w:style>
  <w:style w:type="character" w:styleId="af2">
    <w:name w:val="annotation reference"/>
    <w:rsid w:val="00E84433"/>
    <w:rPr>
      <w:sz w:val="16"/>
      <w:szCs w:val="16"/>
    </w:rPr>
  </w:style>
  <w:style w:type="paragraph" w:styleId="af3">
    <w:name w:val="annotation text"/>
    <w:basedOn w:val="a"/>
    <w:link w:val="af4"/>
    <w:uiPriority w:val="99"/>
    <w:rsid w:val="00E84433"/>
    <w:pPr>
      <w:spacing w:after="0" w:line="240" w:lineRule="auto"/>
    </w:pPr>
    <w:rPr>
      <w:rFonts w:ascii="Times New Roman" w:eastAsia="Times New Roman" w:hAnsi="Times New Roman"/>
      <w:sz w:val="20"/>
      <w:szCs w:val="20"/>
    </w:rPr>
  </w:style>
  <w:style w:type="character" w:customStyle="1" w:styleId="af4">
    <w:name w:val="Текст примечания Знак"/>
    <w:link w:val="af3"/>
    <w:uiPriority w:val="99"/>
    <w:rsid w:val="00E84433"/>
    <w:rPr>
      <w:rFonts w:ascii="Times New Roman" w:eastAsia="Times New Roman" w:hAnsi="Times New Roman" w:cs="Times New Roman"/>
      <w:sz w:val="20"/>
      <w:szCs w:val="20"/>
    </w:rPr>
  </w:style>
  <w:style w:type="paragraph" w:styleId="af5">
    <w:name w:val="annotation subject"/>
    <w:basedOn w:val="af3"/>
    <w:next w:val="af3"/>
    <w:link w:val="af6"/>
    <w:uiPriority w:val="99"/>
    <w:semiHidden/>
    <w:unhideWhenUsed/>
    <w:rsid w:val="008A3F62"/>
    <w:pPr>
      <w:spacing w:after="200"/>
    </w:pPr>
    <w:rPr>
      <w:rFonts w:ascii="GHEA Grapalat" w:eastAsia="Calibri" w:hAnsi="GHEA Grapalat"/>
      <w:b/>
      <w:bCs/>
    </w:rPr>
  </w:style>
  <w:style w:type="character" w:customStyle="1" w:styleId="af6">
    <w:name w:val="Тема примечания Знак"/>
    <w:link w:val="af5"/>
    <w:uiPriority w:val="99"/>
    <w:semiHidden/>
    <w:rsid w:val="008A3F62"/>
    <w:rPr>
      <w:rFonts w:ascii="Times New Roman" w:eastAsia="Times New Roman" w:hAnsi="Times New Roman" w:cs="Times New Roman"/>
      <w:b/>
      <w:bCs/>
      <w:sz w:val="20"/>
      <w:szCs w:val="20"/>
    </w:rPr>
  </w:style>
  <w:style w:type="character" w:styleId="af7">
    <w:name w:val="Strong"/>
    <w:uiPriority w:val="22"/>
    <w:qFormat/>
    <w:rsid w:val="00957D76"/>
    <w:rPr>
      <w:b/>
      <w:bCs/>
    </w:rPr>
  </w:style>
  <w:style w:type="character" w:styleId="af8">
    <w:name w:val="Emphasis"/>
    <w:basedOn w:val="a0"/>
    <w:uiPriority w:val="20"/>
    <w:qFormat/>
    <w:rsid w:val="00A1059D"/>
    <w:rPr>
      <w:i/>
      <w:iCs/>
    </w:rPr>
  </w:style>
  <w:style w:type="paragraph" w:styleId="af9">
    <w:name w:val="Revision"/>
    <w:hidden/>
    <w:uiPriority w:val="99"/>
    <w:semiHidden/>
    <w:rsid w:val="005E4BF0"/>
    <w:rPr>
      <w:lang w:val="en-US"/>
    </w:rPr>
  </w:style>
  <w:style w:type="character" w:customStyle="1" w:styleId="ad">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c"/>
    <w:uiPriority w:val="99"/>
    <w:locked/>
    <w:rsid w:val="0009728D"/>
    <w:rPr>
      <w:rFonts w:ascii="Times New Roman" w:eastAsia="Times New Roman" w:hAnsi="Times New Roman"/>
      <w:sz w:val="24"/>
      <w:szCs w:val="24"/>
      <w:lang w:val="en-GB" w:eastAsia="en-GB"/>
    </w:rPr>
  </w:style>
  <w:style w:type="character" w:customStyle="1" w:styleId="30">
    <w:name w:val="Заголовок 3 Знак"/>
    <w:basedOn w:val="a0"/>
    <w:link w:val="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table" w:customStyle="1" w:styleId="afa">
    <w:basedOn w:val="a1"/>
    <w:tblPr>
      <w:tblStyleRowBandSize w:val="1"/>
      <w:tblStyleColBandSize w:val="1"/>
      <w:tblInd w:w="0" w:type="dxa"/>
      <w:tblCellMar>
        <w:top w:w="0" w:type="dxa"/>
        <w:left w:w="0" w:type="dxa"/>
        <w:bottom w:w="0" w:type="dxa"/>
        <w:right w:w="0" w:type="dxa"/>
      </w:tblCellMar>
    </w:tblPr>
  </w:style>
  <w:style w:type="table" w:customStyle="1" w:styleId="afb">
    <w:basedOn w:val="a1"/>
    <w:tblPr>
      <w:tblStyleRowBandSize w:val="1"/>
      <w:tblStyleColBandSize w:val="1"/>
      <w:tblInd w:w="0" w:type="dxa"/>
      <w:tblCellMar>
        <w:top w:w="0" w:type="dxa"/>
        <w:left w:w="0" w:type="dxa"/>
        <w:bottom w:w="0" w:type="dxa"/>
        <w:right w:w="0" w:type="dxa"/>
      </w:tblCellMar>
    </w:tblPr>
  </w:style>
  <w:style w:type="table" w:customStyle="1" w:styleId="afc">
    <w:basedOn w:val="a1"/>
    <w:tblPr>
      <w:tblStyleRowBandSize w:val="1"/>
      <w:tblStyleColBandSize w:val="1"/>
      <w:tblInd w:w="0" w:type="dxa"/>
      <w:tblCellMar>
        <w:top w:w="0" w:type="dxa"/>
        <w:left w:w="0" w:type="dxa"/>
        <w:bottom w:w="0" w:type="dxa"/>
        <w:right w:w="0" w:type="dxa"/>
      </w:tblCellMar>
    </w:tblPr>
  </w:style>
  <w:style w:type="character" w:customStyle="1" w:styleId="whitespace-normal">
    <w:name w:val="whitespace-normal"/>
    <w:basedOn w:val="a0"/>
    <w:rsid w:val="003E0F45"/>
  </w:style>
  <w:style w:type="table" w:customStyle="1" w:styleId="afd">
    <w:basedOn w:val="a1"/>
    <w:tblPr>
      <w:tblStyleRowBandSize w:val="1"/>
      <w:tblStyleColBandSize w:val="1"/>
      <w:tblInd w:w="0" w:type="dxa"/>
      <w:tblCellMar>
        <w:top w:w="0" w:type="dxa"/>
        <w:left w:w="0" w:type="dxa"/>
        <w:bottom w:w="0" w:type="dxa"/>
        <w:right w:w="0" w:type="dxa"/>
      </w:tblCellMar>
    </w:tblPr>
  </w:style>
  <w:style w:type="paragraph" w:styleId="af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f">
    <w:basedOn w:val="a1"/>
    <w:tblPr>
      <w:tblStyleRowBandSize w:val="1"/>
      <w:tblStyleColBandSize w:val="1"/>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GHEA Grapalat" w:hAnsi="GHEA Grapalat" w:cs="GHEA Grapalat"/>
        <w:sz w:val="24"/>
        <w:szCs w:val="24"/>
        <w:lang w:val="h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link w:val="20"/>
    <w:uiPriority w:val="9"/>
    <w:semiHidden/>
    <w:unhideWhenUsed/>
    <w:qFormat/>
    <w:pPr>
      <w:keepNext/>
      <w:keepLines/>
      <w:spacing w:before="40" w:line="259" w:lineRule="auto"/>
      <w:ind w:left="720" w:right="720"/>
      <w:jc w:val="both"/>
      <w:outlineLvl w:val="1"/>
    </w:pPr>
    <w:rPr>
      <w:rFonts w:ascii="Calibri" w:eastAsia="Calibri" w:hAnsi="Calibri" w:cs="Calibri"/>
      <w:b/>
      <w:bCs/>
      <w:i/>
      <w:iCs/>
      <w:color w:val="2E74B5"/>
    </w:rPr>
  </w:style>
  <w:style w:type="paragraph" w:styleId="3">
    <w:name w:val="heading 3"/>
    <w:basedOn w:val="a"/>
    <w:next w:val="a"/>
    <w:link w:val="30"/>
    <w:uiPriority w:val="9"/>
    <w:semiHidden/>
    <w:unhideWhenUsed/>
    <w:qFormat/>
    <w:pPr>
      <w:keepNext/>
      <w:keepLines/>
      <w:spacing w:before="40" w:after="0"/>
      <w:outlineLvl w:val="2"/>
    </w:pPr>
    <w:rPr>
      <w:rFonts w:ascii="Calibri" w:eastAsia="Calibri" w:hAnsi="Calibri" w:cs="Calibri"/>
      <w:color w:val="1F3863"/>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a4">
    <w:name w:val="header"/>
    <w:basedOn w:val="a"/>
    <w:link w:val="a5"/>
    <w:uiPriority w:val="99"/>
    <w:unhideWhenUsed/>
    <w:rsid w:val="00AD450C"/>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AD450C"/>
  </w:style>
  <w:style w:type="paragraph" w:styleId="a6">
    <w:name w:val="footer"/>
    <w:basedOn w:val="a"/>
    <w:link w:val="a7"/>
    <w:uiPriority w:val="99"/>
    <w:unhideWhenUsed/>
    <w:rsid w:val="00AD450C"/>
    <w:pPr>
      <w:tabs>
        <w:tab w:val="center" w:pos="4680"/>
        <w:tab w:val="right" w:pos="9360"/>
      </w:tabs>
      <w:spacing w:after="0" w:line="240" w:lineRule="auto"/>
    </w:pPr>
  </w:style>
  <w:style w:type="character" w:customStyle="1" w:styleId="a7">
    <w:name w:val="Нижний колонтитул Знак"/>
    <w:basedOn w:val="a0"/>
    <w:link w:val="a6"/>
    <w:uiPriority w:val="99"/>
    <w:rsid w:val="00AD450C"/>
  </w:style>
  <w:style w:type="paragraph" w:styleId="a8">
    <w:name w:val="footnote text"/>
    <w:basedOn w:val="a"/>
    <w:link w:val="a9"/>
    <w:uiPriority w:val="99"/>
    <w:semiHidden/>
    <w:unhideWhenUsed/>
    <w:rsid w:val="005D5E73"/>
    <w:pPr>
      <w:spacing w:after="0" w:line="240" w:lineRule="auto"/>
    </w:pPr>
    <w:rPr>
      <w:rFonts w:ascii="Calibri" w:hAnsi="Calibri"/>
      <w:sz w:val="20"/>
      <w:szCs w:val="20"/>
    </w:rPr>
  </w:style>
  <w:style w:type="character" w:customStyle="1" w:styleId="a9">
    <w:name w:val="Текст сноски Знак"/>
    <w:link w:val="a8"/>
    <w:uiPriority w:val="99"/>
    <w:semiHidden/>
    <w:rsid w:val="005D5E73"/>
    <w:rPr>
      <w:rFonts w:ascii="Calibri" w:hAnsi="Calibri"/>
      <w:sz w:val="20"/>
      <w:szCs w:val="20"/>
    </w:rPr>
  </w:style>
  <w:style w:type="character" w:styleId="aa">
    <w:name w:val="footnote reference"/>
    <w:uiPriority w:val="99"/>
    <w:semiHidden/>
    <w:unhideWhenUsed/>
    <w:rsid w:val="005D5E73"/>
    <w:rPr>
      <w:vertAlign w:val="superscript"/>
    </w:rPr>
  </w:style>
  <w:style w:type="paragraph" w:styleId="ab">
    <w:name w:val="List Paragraph"/>
    <w:basedOn w:val="a"/>
    <w:uiPriority w:val="34"/>
    <w:qFormat/>
    <w:rsid w:val="009C1AEC"/>
    <w:pPr>
      <w:ind w:left="720"/>
      <w:contextualSpacing/>
    </w:pPr>
  </w:style>
  <w:style w:type="paragraph" w:styleId="ac">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d"/>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20">
    <w:name w:val="Заголовок 2 Знак"/>
    <w:link w:val="2"/>
    <w:uiPriority w:val="9"/>
    <w:rsid w:val="005E5A61"/>
    <w:rPr>
      <w:rFonts w:ascii="Calibri" w:eastAsia="Times New Roman" w:hAnsi="Calibri" w:cs="Latha"/>
      <w:b/>
      <w:i/>
      <w:color w:val="2E74B5"/>
      <w:szCs w:val="26"/>
    </w:rPr>
  </w:style>
  <w:style w:type="character" w:styleId="ae">
    <w:name w:val="Hyperlink"/>
    <w:uiPriority w:val="99"/>
    <w:unhideWhenUsed/>
    <w:rsid w:val="009A7A8C"/>
    <w:rPr>
      <w:color w:val="0000FF"/>
      <w:u w:val="single"/>
    </w:rPr>
  </w:style>
  <w:style w:type="table" w:styleId="af">
    <w:name w:val="Table Grid"/>
    <w:basedOn w:val="a1"/>
    <w:uiPriority w:val="59"/>
    <w:rsid w:val="009B1A90"/>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9C0493"/>
    <w:pPr>
      <w:spacing w:after="0" w:line="240" w:lineRule="auto"/>
    </w:pPr>
    <w:rPr>
      <w:rFonts w:ascii="Tahoma" w:eastAsia="Arial" w:hAnsi="Tahoma" w:cs="Tahoma"/>
      <w:sz w:val="16"/>
      <w:szCs w:val="16"/>
      <w:lang w:val="hy-AM"/>
    </w:rPr>
  </w:style>
  <w:style w:type="character" w:customStyle="1" w:styleId="af1">
    <w:name w:val="Текст выноски Знак"/>
    <w:link w:val="af0"/>
    <w:uiPriority w:val="99"/>
    <w:semiHidden/>
    <w:rsid w:val="009C0493"/>
    <w:rPr>
      <w:rFonts w:ascii="Tahoma" w:eastAsia="Arial" w:hAnsi="Tahoma" w:cs="Tahoma"/>
      <w:sz w:val="16"/>
      <w:szCs w:val="16"/>
      <w:lang w:val="hy-AM"/>
    </w:rPr>
  </w:style>
  <w:style w:type="character" w:styleId="af2">
    <w:name w:val="annotation reference"/>
    <w:rsid w:val="00E84433"/>
    <w:rPr>
      <w:sz w:val="16"/>
      <w:szCs w:val="16"/>
    </w:rPr>
  </w:style>
  <w:style w:type="paragraph" w:styleId="af3">
    <w:name w:val="annotation text"/>
    <w:basedOn w:val="a"/>
    <w:link w:val="af4"/>
    <w:uiPriority w:val="99"/>
    <w:rsid w:val="00E84433"/>
    <w:pPr>
      <w:spacing w:after="0" w:line="240" w:lineRule="auto"/>
    </w:pPr>
    <w:rPr>
      <w:rFonts w:ascii="Times New Roman" w:eastAsia="Times New Roman" w:hAnsi="Times New Roman"/>
      <w:sz w:val="20"/>
      <w:szCs w:val="20"/>
    </w:rPr>
  </w:style>
  <w:style w:type="character" w:customStyle="1" w:styleId="af4">
    <w:name w:val="Текст примечания Знак"/>
    <w:link w:val="af3"/>
    <w:uiPriority w:val="99"/>
    <w:rsid w:val="00E84433"/>
    <w:rPr>
      <w:rFonts w:ascii="Times New Roman" w:eastAsia="Times New Roman" w:hAnsi="Times New Roman" w:cs="Times New Roman"/>
      <w:sz w:val="20"/>
      <w:szCs w:val="20"/>
    </w:rPr>
  </w:style>
  <w:style w:type="paragraph" w:styleId="af5">
    <w:name w:val="annotation subject"/>
    <w:basedOn w:val="af3"/>
    <w:next w:val="af3"/>
    <w:link w:val="af6"/>
    <w:uiPriority w:val="99"/>
    <w:semiHidden/>
    <w:unhideWhenUsed/>
    <w:rsid w:val="008A3F62"/>
    <w:pPr>
      <w:spacing w:after="200"/>
    </w:pPr>
    <w:rPr>
      <w:rFonts w:ascii="GHEA Grapalat" w:eastAsia="Calibri" w:hAnsi="GHEA Grapalat"/>
      <w:b/>
      <w:bCs/>
    </w:rPr>
  </w:style>
  <w:style w:type="character" w:customStyle="1" w:styleId="af6">
    <w:name w:val="Тема примечания Знак"/>
    <w:link w:val="af5"/>
    <w:uiPriority w:val="99"/>
    <w:semiHidden/>
    <w:rsid w:val="008A3F62"/>
    <w:rPr>
      <w:rFonts w:ascii="Times New Roman" w:eastAsia="Times New Roman" w:hAnsi="Times New Roman" w:cs="Times New Roman"/>
      <w:b/>
      <w:bCs/>
      <w:sz w:val="20"/>
      <w:szCs w:val="20"/>
    </w:rPr>
  </w:style>
  <w:style w:type="character" w:styleId="af7">
    <w:name w:val="Strong"/>
    <w:uiPriority w:val="22"/>
    <w:qFormat/>
    <w:rsid w:val="00957D76"/>
    <w:rPr>
      <w:b/>
      <w:bCs/>
    </w:rPr>
  </w:style>
  <w:style w:type="character" w:styleId="af8">
    <w:name w:val="Emphasis"/>
    <w:basedOn w:val="a0"/>
    <w:uiPriority w:val="20"/>
    <w:qFormat/>
    <w:rsid w:val="00A1059D"/>
    <w:rPr>
      <w:i/>
      <w:iCs/>
    </w:rPr>
  </w:style>
  <w:style w:type="paragraph" w:styleId="af9">
    <w:name w:val="Revision"/>
    <w:hidden/>
    <w:uiPriority w:val="99"/>
    <w:semiHidden/>
    <w:rsid w:val="005E4BF0"/>
    <w:rPr>
      <w:lang w:val="en-US"/>
    </w:rPr>
  </w:style>
  <w:style w:type="character" w:customStyle="1" w:styleId="ad">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c"/>
    <w:uiPriority w:val="99"/>
    <w:locked/>
    <w:rsid w:val="0009728D"/>
    <w:rPr>
      <w:rFonts w:ascii="Times New Roman" w:eastAsia="Times New Roman" w:hAnsi="Times New Roman"/>
      <w:sz w:val="24"/>
      <w:szCs w:val="24"/>
      <w:lang w:val="en-GB" w:eastAsia="en-GB"/>
    </w:rPr>
  </w:style>
  <w:style w:type="character" w:customStyle="1" w:styleId="30">
    <w:name w:val="Заголовок 3 Знак"/>
    <w:basedOn w:val="a0"/>
    <w:link w:val="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table" w:customStyle="1" w:styleId="afa">
    <w:basedOn w:val="a1"/>
    <w:tblPr>
      <w:tblStyleRowBandSize w:val="1"/>
      <w:tblStyleColBandSize w:val="1"/>
      <w:tblInd w:w="0" w:type="dxa"/>
      <w:tblCellMar>
        <w:top w:w="0" w:type="dxa"/>
        <w:left w:w="0" w:type="dxa"/>
        <w:bottom w:w="0" w:type="dxa"/>
        <w:right w:w="0" w:type="dxa"/>
      </w:tblCellMar>
    </w:tblPr>
  </w:style>
  <w:style w:type="table" w:customStyle="1" w:styleId="afb">
    <w:basedOn w:val="a1"/>
    <w:tblPr>
      <w:tblStyleRowBandSize w:val="1"/>
      <w:tblStyleColBandSize w:val="1"/>
      <w:tblInd w:w="0" w:type="dxa"/>
      <w:tblCellMar>
        <w:top w:w="0" w:type="dxa"/>
        <w:left w:w="0" w:type="dxa"/>
        <w:bottom w:w="0" w:type="dxa"/>
        <w:right w:w="0" w:type="dxa"/>
      </w:tblCellMar>
    </w:tblPr>
  </w:style>
  <w:style w:type="table" w:customStyle="1" w:styleId="afc">
    <w:basedOn w:val="a1"/>
    <w:tblPr>
      <w:tblStyleRowBandSize w:val="1"/>
      <w:tblStyleColBandSize w:val="1"/>
      <w:tblInd w:w="0" w:type="dxa"/>
      <w:tblCellMar>
        <w:top w:w="0" w:type="dxa"/>
        <w:left w:w="0" w:type="dxa"/>
        <w:bottom w:w="0" w:type="dxa"/>
        <w:right w:w="0" w:type="dxa"/>
      </w:tblCellMar>
    </w:tblPr>
  </w:style>
  <w:style w:type="character" w:customStyle="1" w:styleId="whitespace-normal">
    <w:name w:val="whitespace-normal"/>
    <w:basedOn w:val="a0"/>
    <w:rsid w:val="003E0F45"/>
  </w:style>
  <w:style w:type="table" w:customStyle="1" w:styleId="afd">
    <w:basedOn w:val="a1"/>
    <w:tblPr>
      <w:tblStyleRowBandSize w:val="1"/>
      <w:tblStyleColBandSize w:val="1"/>
      <w:tblInd w:w="0" w:type="dxa"/>
      <w:tblCellMar>
        <w:top w:w="0" w:type="dxa"/>
        <w:left w:w="0" w:type="dxa"/>
        <w:bottom w:w="0" w:type="dxa"/>
        <w:right w:w="0" w:type="dxa"/>
      </w:tblCellMar>
    </w:tblPr>
  </w:style>
  <w:style w:type="paragraph" w:styleId="af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f">
    <w:basedOn w:val="a1"/>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UnWsbSCGfFOhNCj4zTCQE8hXhA==">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1610</Words>
  <Characters>9179</Characters>
  <Application>Microsoft Office Word</Application>
  <DocSecurity>0</DocSecurity>
  <Lines>76</Lines>
  <Paragraphs>21</Paragraphs>
  <ScaleCrop>false</ScaleCrop>
  <Company/>
  <LinksUpToDate>false</LinksUpToDate>
  <CharactersWithSpaces>10768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lastModifiedBy>USER</cp:lastModifiedBy>
  <cp:revision>4</cp:revision>
  <dcterms:created xsi:type="dcterms:W3CDTF">2024-11-28T13:25:00Z</dcterms:created>
  <dcterms:modified xsi:type="dcterms:W3CDTF">2026-04-01T18:39:00Z</dcterms:modified>
</cp:coreProperties>
</file>