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9C481A" w:rsidRDefault="005E7CF8">
      <w:pPr>
        <w:spacing w:after="0" w:line="360" w:lineRule="auto"/>
        <w:jc w:val="center"/>
        <w:rPr>
          <w:b/>
          <w:bCs/>
        </w:rPr>
      </w:pPr>
      <w:r>
        <w:rPr>
          <w:b/>
          <w:bCs/>
        </w:rPr>
        <w:t>ԱՄՓՈՓԱԹԵՐԹ</w:t>
      </w:r>
    </w:p>
    <w:p w14:paraId="00000002" w14:textId="77777777" w:rsidR="009C481A" w:rsidRDefault="005E7CF8">
      <w:pPr>
        <w:spacing w:line="360" w:lineRule="auto"/>
        <w:jc w:val="center"/>
        <w:rPr>
          <w:b/>
          <w:bCs/>
        </w:rPr>
      </w:pPr>
      <w:bookmarkStart w:id="0" w:name="_heading=h.3beqs4atc1kz" w:colFirst="0" w:colLast="0"/>
      <w:bookmarkEnd w:id="0"/>
      <w:r>
        <w:rPr>
          <w:b/>
          <w:bCs/>
          <w:color w:val="000000"/>
        </w:rPr>
        <w:t xml:space="preserve">«ՀԱՅԱՍՏԱՆԻ ՀԱՆՐԱՊԵՏՈՒԹՅԱՆ ԿԱՌԱՎԱՐՈՒԹՅԱՆ 2025 ԹՎԱԿԱՆԻ ԴԵԿՏԵՄԲԵՐԻ 25-Ի N 1910-Ն ՈՐՈՇՄԱՆ ՄԵՋ ՓՈՓՈԽՈՒԹՅՈՒՆՆԵՐ ԵՎ ԼՐԱՑՈՒՄՆԵՐ ԿԱՏԱՐԵԼՈՒ </w:t>
      </w:r>
      <w:r>
        <w:rPr>
          <w:b/>
          <w:bCs/>
        </w:rPr>
        <w:t xml:space="preserve">ՄԱՍԻՆ» ԿԱՌԱՎԱՐՈՒԹՅԱՆ ՈՐՈՇՄԱՆ ՆԱԽԱԳԾԻ </w:t>
      </w:r>
    </w:p>
    <w:p w14:paraId="00000003" w14:textId="77777777" w:rsidR="009C481A" w:rsidRDefault="005E7CF8">
      <w:pPr>
        <w:spacing w:after="0" w:line="360" w:lineRule="auto"/>
        <w:jc w:val="center"/>
        <w:rPr>
          <w:b/>
          <w:bCs/>
          <w:color w:val="FF0000"/>
        </w:rPr>
      </w:pPr>
      <w:r>
        <w:rPr>
          <w:b/>
          <w:bCs/>
        </w:rPr>
        <w:tab/>
      </w:r>
    </w:p>
    <w:tbl>
      <w:tblPr>
        <w:tblStyle w:val="a4"/>
        <w:tblpPr w:leftFromText="180" w:rightFromText="180" w:vertAnchor="text" w:tblpX="-474" w:tblpY="1"/>
        <w:tblW w:w="15309"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273"/>
        <w:gridCol w:w="7036"/>
      </w:tblGrid>
      <w:tr w:rsidR="009C481A" w14:paraId="5FB415BA" w14:textId="77777777">
        <w:tc>
          <w:tcPr>
            <w:tcW w:w="8273" w:type="dxa"/>
            <w:vMerge w:val="restart"/>
            <w:tcBorders>
              <w:top w:val="single" w:sz="6" w:space="0" w:color="000000"/>
              <w:left w:val="single" w:sz="6" w:space="0" w:color="000000"/>
              <w:bottom w:val="single" w:sz="6" w:space="0" w:color="000000"/>
              <w:right w:val="single" w:sz="6" w:space="0" w:color="000000"/>
            </w:tcBorders>
            <w:shd w:val="clear" w:color="auto" w:fill="D0D0D0"/>
          </w:tcPr>
          <w:p w14:paraId="00000004" w14:textId="77777777" w:rsidR="009C481A" w:rsidRDefault="005E7CF8">
            <w:pPr>
              <w:tabs>
                <w:tab w:val="left" w:pos="5253"/>
              </w:tabs>
              <w:spacing w:after="0" w:line="360" w:lineRule="auto"/>
              <w:jc w:val="center"/>
              <w:rPr>
                <w:b/>
                <w:bCs/>
              </w:rPr>
            </w:pPr>
            <w:r>
              <w:rPr>
                <w:b/>
                <w:bCs/>
              </w:rPr>
              <w:t>1. Ֆինանսների նախարարություն</w:t>
            </w:r>
          </w:p>
        </w:tc>
        <w:tc>
          <w:tcPr>
            <w:tcW w:w="7036" w:type="dxa"/>
            <w:tcBorders>
              <w:top w:val="single" w:sz="6" w:space="0" w:color="000000"/>
              <w:left w:val="single" w:sz="6" w:space="0" w:color="000000"/>
              <w:bottom w:val="single" w:sz="6" w:space="0" w:color="000000"/>
              <w:right w:val="single" w:sz="6" w:space="0" w:color="000000"/>
            </w:tcBorders>
            <w:shd w:val="clear" w:color="auto" w:fill="D0D0D0"/>
          </w:tcPr>
          <w:p w14:paraId="00000005" w14:textId="77777777" w:rsidR="009C481A" w:rsidRDefault="005E7CF8">
            <w:pPr>
              <w:tabs>
                <w:tab w:val="left" w:pos="5253"/>
              </w:tabs>
              <w:spacing w:after="0" w:line="360" w:lineRule="auto"/>
              <w:ind w:firstLine="226"/>
              <w:rPr>
                <w:b/>
                <w:bCs/>
              </w:rPr>
            </w:pPr>
            <w:r>
              <w:rPr>
                <w:b/>
                <w:bCs/>
              </w:rPr>
              <w:t>03.02.2026թ.</w:t>
            </w:r>
          </w:p>
        </w:tc>
      </w:tr>
      <w:tr w:rsidR="009C481A" w14:paraId="1AB27982" w14:textId="77777777">
        <w:tc>
          <w:tcPr>
            <w:tcW w:w="8273" w:type="dxa"/>
            <w:vMerge/>
            <w:tcBorders>
              <w:top w:val="single" w:sz="6" w:space="0" w:color="000000"/>
              <w:left w:val="single" w:sz="6" w:space="0" w:color="000000"/>
              <w:bottom w:val="single" w:sz="6" w:space="0" w:color="000000"/>
              <w:right w:val="single" w:sz="6" w:space="0" w:color="000000"/>
            </w:tcBorders>
            <w:shd w:val="clear" w:color="auto" w:fill="D0D0D0"/>
          </w:tcPr>
          <w:p w14:paraId="00000006" w14:textId="77777777" w:rsidR="009C481A" w:rsidRDefault="009C481A">
            <w:pPr>
              <w:widowControl w:val="0"/>
              <w:pBdr>
                <w:top w:val="nil"/>
                <w:left w:val="nil"/>
                <w:bottom w:val="nil"/>
                <w:right w:val="nil"/>
                <w:between w:val="nil"/>
              </w:pBdr>
              <w:spacing w:after="0"/>
              <w:rPr>
                <w:b/>
                <w:bCs/>
              </w:rPr>
            </w:pPr>
          </w:p>
        </w:tc>
        <w:tc>
          <w:tcPr>
            <w:tcW w:w="7036" w:type="dxa"/>
            <w:tcBorders>
              <w:top w:val="single" w:sz="6" w:space="0" w:color="000000"/>
              <w:left w:val="single" w:sz="6" w:space="0" w:color="000000"/>
              <w:bottom w:val="single" w:sz="6" w:space="0" w:color="000000"/>
              <w:right w:val="single" w:sz="6" w:space="0" w:color="000000"/>
            </w:tcBorders>
            <w:shd w:val="clear" w:color="auto" w:fill="D0D0D0"/>
          </w:tcPr>
          <w:p w14:paraId="00000007" w14:textId="77777777" w:rsidR="009C481A" w:rsidRDefault="005E7CF8">
            <w:pPr>
              <w:spacing w:after="0"/>
              <w:ind w:firstLine="226"/>
            </w:pPr>
            <w:r>
              <w:rPr>
                <w:b/>
                <w:bCs/>
              </w:rPr>
              <w:t>N 01/8/4896-2026</w:t>
            </w:r>
          </w:p>
        </w:tc>
      </w:tr>
      <w:tr w:rsidR="009C481A" w14:paraId="4BEC2A25" w14:textId="77777777">
        <w:tc>
          <w:tcPr>
            <w:tcW w:w="8273" w:type="dxa"/>
            <w:tcBorders>
              <w:top w:val="single" w:sz="6" w:space="0" w:color="000000"/>
              <w:left w:val="single" w:sz="6" w:space="0" w:color="000000"/>
              <w:bottom w:val="single" w:sz="6" w:space="0" w:color="000000"/>
              <w:right w:val="single" w:sz="6" w:space="0" w:color="000000"/>
            </w:tcBorders>
            <w:shd w:val="clear" w:color="auto" w:fill="FFFFFF"/>
          </w:tcPr>
          <w:p w14:paraId="00000008" w14:textId="77777777" w:rsidR="009C481A" w:rsidRDefault="005E7CF8">
            <w:pPr>
              <w:spacing w:after="0" w:line="360" w:lineRule="auto"/>
              <w:ind w:right="75"/>
              <w:jc w:val="both"/>
            </w:pPr>
            <w:r>
              <w:t xml:space="preserve"> 1․ ՀՀ 2026թ. պետական բյուջեով ՀՀ բարձր տեխնոլոգիական արդյունաբերության նախարարության կողմից իրականացվող 1235 ծրագրի «31001. Միասնական թվային միջավայրի ձևավորում» միջոցառմամբ Կոռուպցիայի կանխարգելման հանձնաժողովին (այսուհետ՝ Հանձնաժողով) որպես կատարող հատկացվել է 164.9 մլն դրամ Հանձնաժողովի թվայնացման գործընթացների իրականացումն ապահովելու համար:</w:t>
            </w:r>
          </w:p>
          <w:p w14:paraId="00000009" w14:textId="77777777" w:rsidR="009C481A" w:rsidRDefault="005E7CF8">
            <w:pPr>
              <w:spacing w:after="0" w:line="360" w:lineRule="auto"/>
              <w:ind w:right="75"/>
              <w:jc w:val="both"/>
            </w:pPr>
            <w:r>
              <w:t xml:space="preserve"> Նախագծով առաջարկվում է Հանձնաժողովին հատկացնել լրացուցիչ </w:t>
            </w:r>
            <w:r>
              <w:rPr>
                <w:b/>
                <w:bCs/>
              </w:rPr>
              <w:t xml:space="preserve">32.9 մլն դրամ </w:t>
            </w:r>
            <w:r>
              <w:t xml:space="preserve">նշված գումարի </w:t>
            </w:r>
            <w:r>
              <w:rPr>
                <w:b/>
                <w:bCs/>
              </w:rPr>
              <w:t xml:space="preserve">ավելացված արժեքի հարկի </w:t>
            </w:r>
            <w:r>
              <w:t>վճարումների գծով պարտավորությունները կատարելու նպատակով։</w:t>
            </w:r>
          </w:p>
          <w:p w14:paraId="0000000A" w14:textId="77777777" w:rsidR="009C481A" w:rsidRDefault="005E7CF8">
            <w:pPr>
              <w:spacing w:after="0" w:line="360" w:lineRule="auto"/>
              <w:ind w:right="75"/>
              <w:jc w:val="both"/>
            </w:pPr>
            <w:r>
              <w:t xml:space="preserve"> Առաջնորդվելով ՀՀ կառավարության 2025 թվականի դեկտեմբերի 4-ի N 1761-Ն որոշմամբ հաստատված կարգի 8-րդ կետի դրույթներով, համաձայն որի արտաքին վերաբաշխման վերաբերյալ որոշումն </w:t>
            </w:r>
            <w:r>
              <w:lastRenderedPageBreak/>
              <w:t>ընդունվում է Կառավարության կողմից՝ գլխավոր կարգադրիչների ներկայացրած առաջարկի հիման վրա, առաջարկում ենք Նախագիծը սահմանված կարգով շրջանառել ՀՀ բարձր տեխնոլոգիական արդյունաբերության նախարարության կողմից։</w:t>
            </w:r>
          </w:p>
          <w:p w14:paraId="0000000B" w14:textId="77777777" w:rsidR="009C481A" w:rsidRDefault="009C481A">
            <w:pPr>
              <w:spacing w:after="0" w:line="360" w:lineRule="auto"/>
              <w:ind w:left="167" w:right="165" w:firstLine="372"/>
              <w:jc w:val="both"/>
            </w:pPr>
          </w:p>
          <w:p w14:paraId="0000000C" w14:textId="77777777" w:rsidR="009C481A" w:rsidRDefault="009C481A">
            <w:pPr>
              <w:tabs>
                <w:tab w:val="left" w:pos="5253"/>
              </w:tabs>
              <w:spacing w:after="0" w:line="360" w:lineRule="auto"/>
              <w:ind w:left="167" w:right="165" w:firstLine="372"/>
              <w:jc w:val="both"/>
            </w:pPr>
          </w:p>
        </w:tc>
        <w:tc>
          <w:tcPr>
            <w:tcW w:w="7036" w:type="dxa"/>
            <w:tcBorders>
              <w:top w:val="single" w:sz="6" w:space="0" w:color="000000"/>
              <w:left w:val="single" w:sz="6" w:space="0" w:color="000000"/>
              <w:bottom w:val="single" w:sz="6" w:space="0" w:color="000000"/>
              <w:right w:val="single" w:sz="6" w:space="0" w:color="000000"/>
            </w:tcBorders>
            <w:shd w:val="clear" w:color="auto" w:fill="FFFFFF"/>
          </w:tcPr>
          <w:p w14:paraId="50053A59" w14:textId="454993E4" w:rsidR="005F4630" w:rsidRDefault="005F4630" w:rsidP="005F4630">
            <w:pPr>
              <w:tabs>
                <w:tab w:val="left" w:pos="5253"/>
              </w:tabs>
              <w:spacing w:after="0" w:line="360" w:lineRule="auto"/>
              <w:ind w:right="91" w:firstLine="271"/>
              <w:jc w:val="center"/>
              <w:rPr>
                <w:b/>
                <w:bCs/>
              </w:rPr>
            </w:pPr>
            <w:r w:rsidRPr="009E66E7">
              <w:rPr>
                <w:b/>
                <w:bCs/>
                <w:lang w:val="hy-AM"/>
              </w:rPr>
              <w:lastRenderedPageBreak/>
              <w:t>Ը</w:t>
            </w:r>
            <w:r>
              <w:rPr>
                <w:b/>
                <w:bCs/>
              </w:rPr>
              <w:t>նդունվել</w:t>
            </w:r>
            <w:r>
              <w:rPr>
                <w:b/>
                <w:bCs/>
                <w:lang w:val="hy-AM"/>
              </w:rPr>
              <w:t xml:space="preserve"> է</w:t>
            </w:r>
            <w:r>
              <w:rPr>
                <w:b/>
                <w:bCs/>
              </w:rPr>
              <w:t>։</w:t>
            </w:r>
          </w:p>
          <w:p w14:paraId="739C507B" w14:textId="5B7A4CA7" w:rsidR="005F4630" w:rsidRDefault="005F4630" w:rsidP="005F4630">
            <w:pPr>
              <w:spacing w:after="0" w:line="360" w:lineRule="auto"/>
              <w:ind w:right="91"/>
              <w:jc w:val="both"/>
            </w:pPr>
            <w:r>
              <w:t xml:space="preserve"> </w:t>
            </w:r>
            <w:r>
              <w:rPr>
                <w:lang w:val="hy-AM"/>
              </w:rPr>
              <w:t xml:space="preserve">Նախագիծը ՀՀ վարչապետի աշխատակազմ ներկայացվել Է </w:t>
            </w:r>
            <w:r>
              <w:t xml:space="preserve"> ՀՀ բարձր տեխնոլոգիական արդյունաբերության նախարարության կողմից</w:t>
            </w:r>
            <w:r w:rsidR="009E66E7">
              <w:t>:</w:t>
            </w:r>
          </w:p>
          <w:p w14:paraId="2EDE40FE" w14:textId="77777777" w:rsidR="005F4630" w:rsidRDefault="005F4630">
            <w:pPr>
              <w:tabs>
                <w:tab w:val="left" w:pos="5253"/>
              </w:tabs>
              <w:spacing w:after="0" w:line="360" w:lineRule="auto"/>
              <w:ind w:right="91" w:firstLine="271"/>
              <w:jc w:val="center"/>
              <w:rPr>
                <w:b/>
                <w:bCs/>
              </w:rPr>
            </w:pPr>
          </w:p>
          <w:p w14:paraId="2A604AFD" w14:textId="77777777" w:rsidR="005F4630" w:rsidRDefault="005F4630">
            <w:pPr>
              <w:tabs>
                <w:tab w:val="left" w:pos="5253"/>
              </w:tabs>
              <w:spacing w:after="0" w:line="360" w:lineRule="auto"/>
              <w:ind w:right="91" w:firstLine="271"/>
              <w:jc w:val="center"/>
              <w:rPr>
                <w:b/>
                <w:bCs/>
              </w:rPr>
            </w:pPr>
          </w:p>
          <w:p w14:paraId="153925E9" w14:textId="77777777" w:rsidR="005F4630" w:rsidRDefault="005F4630">
            <w:pPr>
              <w:tabs>
                <w:tab w:val="left" w:pos="5253"/>
              </w:tabs>
              <w:spacing w:after="0" w:line="360" w:lineRule="auto"/>
              <w:ind w:right="91" w:firstLine="271"/>
              <w:jc w:val="center"/>
              <w:rPr>
                <w:b/>
                <w:bCs/>
              </w:rPr>
            </w:pPr>
          </w:p>
          <w:p w14:paraId="04C40A20" w14:textId="77777777" w:rsidR="005F4630" w:rsidRDefault="005F4630">
            <w:pPr>
              <w:tabs>
                <w:tab w:val="left" w:pos="5253"/>
              </w:tabs>
              <w:spacing w:after="0" w:line="360" w:lineRule="auto"/>
              <w:ind w:right="91" w:firstLine="271"/>
              <w:jc w:val="center"/>
              <w:rPr>
                <w:b/>
                <w:bCs/>
              </w:rPr>
            </w:pPr>
          </w:p>
          <w:p w14:paraId="00000014" w14:textId="77777777" w:rsidR="009C481A" w:rsidRDefault="009C481A" w:rsidP="005F4630">
            <w:pPr>
              <w:spacing w:after="0" w:line="360" w:lineRule="auto"/>
              <w:ind w:firstLine="271"/>
              <w:jc w:val="both"/>
              <w:rPr>
                <w:b/>
                <w:bCs/>
                <w:color w:val="000000"/>
              </w:rPr>
            </w:pPr>
          </w:p>
        </w:tc>
      </w:tr>
      <w:tr w:rsidR="009C481A" w14:paraId="3E19B6F1" w14:textId="77777777">
        <w:tc>
          <w:tcPr>
            <w:tcW w:w="8273" w:type="dxa"/>
            <w:tcBorders>
              <w:top w:val="single" w:sz="6" w:space="0" w:color="000000"/>
              <w:left w:val="single" w:sz="6" w:space="0" w:color="000000"/>
              <w:bottom w:val="single" w:sz="6" w:space="0" w:color="000000"/>
              <w:right w:val="single" w:sz="6" w:space="0" w:color="000000"/>
            </w:tcBorders>
            <w:shd w:val="clear" w:color="auto" w:fill="FFFFFF"/>
          </w:tcPr>
          <w:p w14:paraId="00000015" w14:textId="77777777" w:rsidR="009C481A" w:rsidRDefault="005E7CF8">
            <w:pPr>
              <w:spacing w:after="0" w:line="360" w:lineRule="auto"/>
              <w:jc w:val="both"/>
            </w:pPr>
            <w:r>
              <w:t xml:space="preserve"> 2․ Միաժամանակ հայտնում ենք, որ Նախագծի N 1 հավելվածի համաձայն՝ վերոնշյալ միջոցառման շրջանակում բյուջետային ծախսերի տնտեսագիտական դասակարգման «Ոչ նյութական հիմնական միջոցներ» հոդվածով նախատեսվում է հատկացնել 32.9 մլն դրամ, մինչդեռ Նախագծի N 4 հավելվածում նույն հոդվածով ներկայացված է 25.3 մլն դրամ։ Ուստի անհրաժեշտ է Նախագծին կից ներկայացված հիմնավորման մեջ բացահայտել վերոնշյալ հավելվածներով հատկացվող միջոցների անհամապատասխանության վերաբերյալ տեղեկատվությունը:</w:t>
            </w:r>
          </w:p>
          <w:p w14:paraId="00000016" w14:textId="77777777" w:rsidR="009C481A" w:rsidRDefault="009C481A">
            <w:pPr>
              <w:spacing w:after="0" w:line="360" w:lineRule="auto"/>
              <w:ind w:left="167" w:right="165" w:firstLine="372"/>
              <w:jc w:val="both"/>
            </w:pPr>
          </w:p>
        </w:tc>
        <w:tc>
          <w:tcPr>
            <w:tcW w:w="7036" w:type="dxa"/>
            <w:tcBorders>
              <w:top w:val="single" w:sz="6" w:space="0" w:color="000000"/>
              <w:left w:val="single" w:sz="6" w:space="0" w:color="000000"/>
              <w:bottom w:val="single" w:sz="6" w:space="0" w:color="000000"/>
              <w:right w:val="single" w:sz="6" w:space="0" w:color="000000"/>
            </w:tcBorders>
            <w:shd w:val="clear" w:color="auto" w:fill="FFFFFF"/>
          </w:tcPr>
          <w:p w14:paraId="00000017" w14:textId="77777777" w:rsidR="009C481A" w:rsidRDefault="005E7CF8">
            <w:pPr>
              <w:tabs>
                <w:tab w:val="left" w:pos="5253"/>
              </w:tabs>
              <w:spacing w:after="0" w:line="360" w:lineRule="auto"/>
              <w:ind w:left="181" w:right="91"/>
              <w:jc w:val="center"/>
              <w:rPr>
                <w:b/>
                <w:bCs/>
              </w:rPr>
            </w:pPr>
            <w:r>
              <w:rPr>
                <w:b/>
                <w:bCs/>
              </w:rPr>
              <w:t>Ընդունվել է։</w:t>
            </w:r>
          </w:p>
          <w:p w14:paraId="00000018" w14:textId="7DDB91A2" w:rsidR="009C481A" w:rsidRDefault="005E7CF8">
            <w:pPr>
              <w:tabs>
                <w:tab w:val="left" w:pos="5253"/>
              </w:tabs>
              <w:spacing w:after="0" w:line="360" w:lineRule="auto"/>
              <w:ind w:right="91"/>
              <w:jc w:val="both"/>
            </w:pPr>
            <w:r>
              <w:t xml:space="preserve"> Նախագծին կից ներկայացված հիմնավորման մեջ կատարվել է հա</w:t>
            </w:r>
            <w:r w:rsidR="009E66E7">
              <w:t>մ</w:t>
            </w:r>
            <w:r>
              <w:t>ապատասխան լրացում: Մասնավորապես՝ նշվել է, որ Նախագծի N 1 հավելվածի համաձայն՝ բյուջետային ծախսերի տնտեսագիտական դասակարգման «Ոչ նյութական հիմնական միջոցներ» հոդվածով նախատեսվում է հատկացնել 32.9 մլն դրամ, մինչդեռ Նախագծի N 4 հավելվածում նույն հոդվածով նախատեսված է 25.3 մլն դրամ։</w:t>
            </w:r>
            <w:r>
              <w:rPr>
                <w:sz w:val="22"/>
                <w:szCs w:val="22"/>
              </w:rPr>
              <w:t xml:space="preserve"> </w:t>
            </w:r>
            <w:r>
              <w:t xml:space="preserve">Տարբերությունը հիմնավորվում է այն հանգամանքով, որ նվերների ռեեստրի կառուցման նպատակով պայմանագիրն արդեն իսկ կնքված է մատակարար ընկերության հետ, և տվյալ ուղղությամբ գնում իրականացնելու անհրաժեշտություն առկա չէ։ Հետևաբար պայմանագրի կատարման ապահովման համար անհրաժեշտ </w:t>
            </w:r>
            <w:r>
              <w:lastRenderedPageBreak/>
              <w:t>գումարի ավելացված արժեքի հարկի չափը N 4 հավելվածում չի ներառվել։</w:t>
            </w:r>
          </w:p>
        </w:tc>
      </w:tr>
      <w:tr w:rsidR="009C481A" w14:paraId="7B8C0BCC" w14:textId="77777777">
        <w:tc>
          <w:tcPr>
            <w:tcW w:w="8273" w:type="dxa"/>
            <w:tcBorders>
              <w:top w:val="single" w:sz="6" w:space="0" w:color="000000"/>
              <w:left w:val="single" w:sz="6" w:space="0" w:color="000000"/>
              <w:bottom w:val="single" w:sz="6" w:space="0" w:color="000000"/>
              <w:right w:val="single" w:sz="6" w:space="0" w:color="000000"/>
            </w:tcBorders>
            <w:shd w:val="clear" w:color="auto" w:fill="FFFFFF"/>
          </w:tcPr>
          <w:p w14:paraId="00000019" w14:textId="77777777" w:rsidR="009C481A" w:rsidRDefault="005E7CF8">
            <w:pPr>
              <w:spacing w:after="0" w:line="360" w:lineRule="auto"/>
              <w:jc w:val="both"/>
            </w:pPr>
            <w:r>
              <w:lastRenderedPageBreak/>
              <w:t xml:space="preserve"> 3․ Ինչ վերաբերում է Նախագծում առկա խմբագրական բնույթի թերություններին, ապա առաջարկում ենք N 4 հավելվածի գնումների պլանում ներառված գնման առարկաների տողերի «Քանակը» սյունակում լրացնել «1» թիվը:</w:t>
            </w:r>
          </w:p>
        </w:tc>
        <w:tc>
          <w:tcPr>
            <w:tcW w:w="7036" w:type="dxa"/>
            <w:tcBorders>
              <w:top w:val="single" w:sz="6" w:space="0" w:color="000000"/>
              <w:left w:val="single" w:sz="6" w:space="0" w:color="000000"/>
              <w:bottom w:val="single" w:sz="6" w:space="0" w:color="000000"/>
              <w:right w:val="single" w:sz="6" w:space="0" w:color="000000"/>
            </w:tcBorders>
            <w:shd w:val="clear" w:color="auto" w:fill="FFFFFF"/>
          </w:tcPr>
          <w:p w14:paraId="0000001A" w14:textId="77777777" w:rsidR="009C481A" w:rsidRDefault="005E7CF8">
            <w:pPr>
              <w:tabs>
                <w:tab w:val="left" w:pos="5253"/>
              </w:tabs>
              <w:spacing w:after="0" w:line="360" w:lineRule="auto"/>
              <w:ind w:left="181" w:right="91"/>
              <w:jc w:val="center"/>
              <w:rPr>
                <w:b/>
                <w:bCs/>
              </w:rPr>
            </w:pPr>
            <w:r>
              <w:rPr>
                <w:b/>
                <w:bCs/>
              </w:rPr>
              <w:t>Ընդունվել է։</w:t>
            </w:r>
          </w:p>
          <w:p w14:paraId="0000001B" w14:textId="77777777" w:rsidR="009C481A" w:rsidRDefault="005E7CF8">
            <w:pPr>
              <w:tabs>
                <w:tab w:val="left" w:pos="5253"/>
              </w:tabs>
              <w:spacing w:after="0" w:line="360" w:lineRule="auto"/>
              <w:ind w:left="181" w:right="91" w:hanging="181"/>
              <w:jc w:val="both"/>
            </w:pPr>
            <w:r>
              <w:t xml:space="preserve"> Նախագծում կատարվել է համապատասխան փոփոխություն:</w:t>
            </w:r>
          </w:p>
          <w:p w14:paraId="0000001C" w14:textId="77777777" w:rsidR="009C481A" w:rsidRDefault="009C481A">
            <w:pPr>
              <w:spacing w:after="0" w:line="360" w:lineRule="auto"/>
              <w:ind w:left="181" w:right="91" w:hanging="1"/>
              <w:jc w:val="center"/>
            </w:pPr>
          </w:p>
        </w:tc>
      </w:tr>
      <w:tr w:rsidR="009C481A" w14:paraId="46AD7F8E" w14:textId="77777777">
        <w:tc>
          <w:tcPr>
            <w:tcW w:w="8273" w:type="dxa"/>
            <w:vMerge w:val="restart"/>
            <w:tcBorders>
              <w:top w:val="single" w:sz="6" w:space="0" w:color="000000"/>
              <w:left w:val="single" w:sz="6" w:space="0" w:color="000000"/>
              <w:bottom w:val="single" w:sz="6" w:space="0" w:color="000000"/>
              <w:right w:val="single" w:sz="6" w:space="0" w:color="000000"/>
            </w:tcBorders>
            <w:shd w:val="clear" w:color="auto" w:fill="D0D0D0"/>
          </w:tcPr>
          <w:p w14:paraId="0000001D" w14:textId="77777777" w:rsidR="009C481A" w:rsidRDefault="005E7CF8">
            <w:pPr>
              <w:tabs>
                <w:tab w:val="center" w:pos="5269"/>
                <w:tab w:val="left" w:pos="8550"/>
              </w:tabs>
              <w:spacing w:after="0" w:line="360" w:lineRule="auto"/>
              <w:ind w:right="165"/>
              <w:jc w:val="center"/>
              <w:rPr>
                <w:b/>
                <w:bCs/>
              </w:rPr>
            </w:pPr>
            <w:r>
              <w:rPr>
                <w:b/>
                <w:bCs/>
              </w:rPr>
              <w:t xml:space="preserve">2. ՀՀ բարձր տեխնոլոգիական </w:t>
            </w:r>
          </w:p>
          <w:p w14:paraId="0000001E" w14:textId="77777777" w:rsidR="009C481A" w:rsidRDefault="005E7CF8">
            <w:pPr>
              <w:tabs>
                <w:tab w:val="center" w:pos="5269"/>
                <w:tab w:val="left" w:pos="8550"/>
              </w:tabs>
              <w:spacing w:after="0" w:line="360" w:lineRule="auto"/>
              <w:ind w:right="165"/>
              <w:jc w:val="center"/>
              <w:rPr>
                <w:b/>
                <w:bCs/>
              </w:rPr>
            </w:pPr>
            <w:r>
              <w:rPr>
                <w:b/>
                <w:bCs/>
              </w:rPr>
              <w:t>արդյունաբերության նախարարություն</w:t>
            </w:r>
          </w:p>
        </w:tc>
        <w:tc>
          <w:tcPr>
            <w:tcW w:w="7036" w:type="dxa"/>
            <w:tcBorders>
              <w:top w:val="single" w:sz="6" w:space="0" w:color="000000"/>
              <w:left w:val="single" w:sz="6" w:space="0" w:color="000000"/>
              <w:bottom w:val="single" w:sz="6" w:space="0" w:color="000000"/>
              <w:right w:val="single" w:sz="6" w:space="0" w:color="000000"/>
            </w:tcBorders>
            <w:shd w:val="clear" w:color="auto" w:fill="D0D0D0"/>
          </w:tcPr>
          <w:p w14:paraId="0000001F" w14:textId="77777777" w:rsidR="009C481A" w:rsidRDefault="005E7CF8">
            <w:pPr>
              <w:tabs>
                <w:tab w:val="left" w:pos="5253"/>
              </w:tabs>
              <w:spacing w:after="0" w:line="360" w:lineRule="auto"/>
              <w:ind w:left="181" w:right="91"/>
              <w:rPr>
                <w:b/>
                <w:bCs/>
              </w:rPr>
            </w:pPr>
            <w:r>
              <w:rPr>
                <w:b/>
                <w:bCs/>
              </w:rPr>
              <w:t>18.02.2026թ</w:t>
            </w:r>
            <w:r>
              <w:rPr>
                <w:rFonts w:ascii="Cambria Math" w:eastAsia="Cambria Math" w:hAnsi="Cambria Math" w:cs="Cambria Math"/>
                <w:b/>
                <w:bCs/>
              </w:rPr>
              <w:t>․</w:t>
            </w:r>
          </w:p>
        </w:tc>
      </w:tr>
      <w:tr w:rsidR="009C481A" w14:paraId="09033A8A" w14:textId="77777777">
        <w:tc>
          <w:tcPr>
            <w:tcW w:w="8273" w:type="dxa"/>
            <w:vMerge/>
            <w:tcBorders>
              <w:top w:val="single" w:sz="6" w:space="0" w:color="000000"/>
              <w:left w:val="single" w:sz="6" w:space="0" w:color="000000"/>
              <w:bottom w:val="single" w:sz="6" w:space="0" w:color="000000"/>
              <w:right w:val="single" w:sz="6" w:space="0" w:color="000000"/>
            </w:tcBorders>
            <w:shd w:val="clear" w:color="auto" w:fill="D0D0D0"/>
          </w:tcPr>
          <w:p w14:paraId="00000020" w14:textId="77777777" w:rsidR="009C481A" w:rsidRDefault="009C481A">
            <w:pPr>
              <w:widowControl w:val="0"/>
              <w:pBdr>
                <w:top w:val="nil"/>
                <w:left w:val="nil"/>
                <w:bottom w:val="nil"/>
                <w:right w:val="nil"/>
                <w:between w:val="nil"/>
              </w:pBdr>
              <w:spacing w:after="0"/>
              <w:rPr>
                <w:b/>
                <w:bCs/>
              </w:rPr>
            </w:pPr>
          </w:p>
        </w:tc>
        <w:tc>
          <w:tcPr>
            <w:tcW w:w="7036" w:type="dxa"/>
            <w:tcBorders>
              <w:top w:val="single" w:sz="6" w:space="0" w:color="000000"/>
              <w:left w:val="single" w:sz="6" w:space="0" w:color="000000"/>
              <w:bottom w:val="single" w:sz="6" w:space="0" w:color="000000"/>
              <w:right w:val="single" w:sz="6" w:space="0" w:color="000000"/>
            </w:tcBorders>
            <w:shd w:val="clear" w:color="auto" w:fill="D0D0D0"/>
          </w:tcPr>
          <w:p w14:paraId="00000021" w14:textId="77777777" w:rsidR="009C481A" w:rsidRDefault="005E7CF8">
            <w:pPr>
              <w:spacing w:after="0" w:line="240" w:lineRule="auto"/>
              <w:ind w:firstLine="226"/>
              <w:rPr>
                <w:b/>
                <w:bCs/>
              </w:rPr>
            </w:pPr>
            <w:r>
              <w:rPr>
                <w:b/>
                <w:bCs/>
              </w:rPr>
              <w:t>N 01/20/1168-2026</w:t>
            </w:r>
          </w:p>
        </w:tc>
      </w:tr>
      <w:tr w:rsidR="009C481A" w14:paraId="5BE96C57" w14:textId="77777777">
        <w:tc>
          <w:tcPr>
            <w:tcW w:w="8273" w:type="dxa"/>
            <w:tcBorders>
              <w:top w:val="single" w:sz="6" w:space="0" w:color="000000"/>
              <w:left w:val="single" w:sz="6" w:space="0" w:color="000000"/>
              <w:bottom w:val="single" w:sz="6" w:space="0" w:color="000000"/>
              <w:right w:val="single" w:sz="6" w:space="0" w:color="000000"/>
            </w:tcBorders>
            <w:shd w:val="clear" w:color="auto" w:fill="FFFFFF"/>
          </w:tcPr>
          <w:p w14:paraId="00000022" w14:textId="77777777" w:rsidR="009C481A" w:rsidRDefault="005E7CF8">
            <w:pPr>
              <w:spacing w:after="0" w:line="360" w:lineRule="auto"/>
              <w:ind w:left="77" w:hanging="77"/>
              <w:rPr>
                <w:color w:val="000000"/>
              </w:rPr>
            </w:pPr>
            <w:r>
              <w:rPr>
                <w:color w:val="000000"/>
              </w:rPr>
              <w:t xml:space="preserve"> 1. Առաջարկում ենք գնումների ընթացիկ պլանում (Հավելված 4-ում) գնման առարկաների մասով քանակները լրացնել:</w:t>
            </w:r>
          </w:p>
          <w:p w14:paraId="00000023" w14:textId="77777777" w:rsidR="009C481A" w:rsidRDefault="009C481A">
            <w:pPr>
              <w:spacing w:after="0" w:line="360" w:lineRule="auto"/>
              <w:ind w:left="257" w:right="165"/>
              <w:jc w:val="both"/>
              <w:rPr>
                <w:color w:val="000000"/>
              </w:rPr>
            </w:pPr>
          </w:p>
        </w:tc>
        <w:tc>
          <w:tcPr>
            <w:tcW w:w="7036" w:type="dxa"/>
            <w:tcBorders>
              <w:top w:val="single" w:sz="6" w:space="0" w:color="000000"/>
              <w:left w:val="single" w:sz="6" w:space="0" w:color="000000"/>
              <w:bottom w:val="single" w:sz="6" w:space="0" w:color="000000"/>
              <w:right w:val="single" w:sz="6" w:space="0" w:color="000000"/>
            </w:tcBorders>
            <w:shd w:val="clear" w:color="auto" w:fill="FFFFFF"/>
          </w:tcPr>
          <w:p w14:paraId="00000024" w14:textId="77777777" w:rsidR="009C481A" w:rsidRDefault="005E7CF8">
            <w:pPr>
              <w:spacing w:line="240" w:lineRule="auto"/>
              <w:ind w:left="181" w:right="91"/>
              <w:jc w:val="center"/>
              <w:rPr>
                <w:b/>
                <w:bCs/>
              </w:rPr>
            </w:pPr>
            <w:r>
              <w:rPr>
                <w:b/>
                <w:bCs/>
              </w:rPr>
              <w:t>Ընդունվել է։</w:t>
            </w:r>
          </w:p>
          <w:p w14:paraId="00000025" w14:textId="77777777" w:rsidR="009C481A" w:rsidRDefault="005E7CF8">
            <w:pPr>
              <w:spacing w:line="360" w:lineRule="auto"/>
              <w:ind w:right="91"/>
              <w:jc w:val="both"/>
            </w:pPr>
            <w:r>
              <w:t xml:space="preserve"> Նախագծում կատարվել է համապատասխան փոփոխություն:</w:t>
            </w:r>
          </w:p>
        </w:tc>
      </w:tr>
      <w:tr w:rsidR="009C481A" w14:paraId="24EE25E4" w14:textId="77777777">
        <w:trPr>
          <w:trHeight w:val="588"/>
        </w:trPr>
        <w:tc>
          <w:tcPr>
            <w:tcW w:w="8273" w:type="dxa"/>
            <w:vMerge w:val="restart"/>
            <w:tcBorders>
              <w:top w:val="single" w:sz="6" w:space="0" w:color="000000"/>
              <w:left w:val="single" w:sz="6" w:space="0" w:color="000000"/>
              <w:right w:val="single" w:sz="6" w:space="0" w:color="000000"/>
            </w:tcBorders>
            <w:shd w:val="clear" w:color="auto" w:fill="D9D9D9"/>
          </w:tcPr>
          <w:p w14:paraId="00000026" w14:textId="77777777" w:rsidR="009C481A" w:rsidRDefault="005E7CF8">
            <w:pPr>
              <w:spacing w:after="0"/>
              <w:ind w:left="255" w:firstLine="425"/>
              <w:jc w:val="center"/>
              <w:rPr>
                <w:b/>
                <w:bCs/>
              </w:rPr>
            </w:pPr>
            <w:r>
              <w:rPr>
                <w:b/>
                <w:bCs/>
              </w:rPr>
              <w:t>3.  Վարչապետի աշխատակազմի ֆինանսատնտեսագիտական վարչություն</w:t>
            </w:r>
          </w:p>
          <w:p w14:paraId="00000027" w14:textId="77777777" w:rsidR="009C481A" w:rsidRDefault="009C481A">
            <w:pPr>
              <w:tabs>
                <w:tab w:val="left" w:pos="5253"/>
              </w:tabs>
              <w:spacing w:after="0" w:line="360" w:lineRule="auto"/>
              <w:jc w:val="center"/>
              <w:rPr>
                <w:b/>
                <w:bCs/>
              </w:rPr>
            </w:pPr>
          </w:p>
        </w:tc>
        <w:tc>
          <w:tcPr>
            <w:tcW w:w="7036" w:type="dxa"/>
            <w:tcBorders>
              <w:top w:val="single" w:sz="6" w:space="0" w:color="000000"/>
              <w:left w:val="single" w:sz="6" w:space="0" w:color="000000"/>
              <w:bottom w:val="single" w:sz="6" w:space="0" w:color="000000"/>
              <w:right w:val="single" w:sz="6" w:space="0" w:color="000000"/>
            </w:tcBorders>
            <w:shd w:val="clear" w:color="auto" w:fill="D9D9D9"/>
          </w:tcPr>
          <w:p w14:paraId="00000028" w14:textId="77777777" w:rsidR="009C481A" w:rsidRDefault="009C481A">
            <w:pPr>
              <w:tabs>
                <w:tab w:val="left" w:pos="5253"/>
              </w:tabs>
              <w:spacing w:after="0" w:line="360" w:lineRule="auto"/>
              <w:rPr>
                <w:b/>
                <w:bCs/>
              </w:rPr>
            </w:pPr>
          </w:p>
        </w:tc>
      </w:tr>
      <w:tr w:rsidR="009C481A" w14:paraId="5F305EF6" w14:textId="77777777">
        <w:tc>
          <w:tcPr>
            <w:tcW w:w="8273" w:type="dxa"/>
            <w:vMerge/>
            <w:tcBorders>
              <w:top w:val="single" w:sz="6" w:space="0" w:color="000000"/>
              <w:left w:val="single" w:sz="6" w:space="0" w:color="000000"/>
              <w:right w:val="single" w:sz="6" w:space="0" w:color="000000"/>
            </w:tcBorders>
            <w:shd w:val="clear" w:color="auto" w:fill="D9D9D9"/>
          </w:tcPr>
          <w:p w14:paraId="00000029" w14:textId="77777777" w:rsidR="009C481A" w:rsidRDefault="009C481A">
            <w:pPr>
              <w:widowControl w:val="0"/>
              <w:pBdr>
                <w:top w:val="nil"/>
                <w:left w:val="nil"/>
                <w:bottom w:val="nil"/>
                <w:right w:val="nil"/>
                <w:between w:val="nil"/>
              </w:pBdr>
              <w:spacing w:after="0"/>
              <w:rPr>
                <w:b/>
                <w:bCs/>
              </w:rPr>
            </w:pPr>
          </w:p>
        </w:tc>
        <w:tc>
          <w:tcPr>
            <w:tcW w:w="7036" w:type="dxa"/>
            <w:tcBorders>
              <w:top w:val="single" w:sz="6" w:space="0" w:color="000000"/>
              <w:left w:val="single" w:sz="6" w:space="0" w:color="000000"/>
              <w:bottom w:val="single" w:sz="6" w:space="0" w:color="000000"/>
              <w:right w:val="single" w:sz="6" w:space="0" w:color="000000"/>
            </w:tcBorders>
            <w:shd w:val="clear" w:color="auto" w:fill="D9D9D9"/>
          </w:tcPr>
          <w:p w14:paraId="0000002A" w14:textId="77777777" w:rsidR="009C481A" w:rsidRDefault="009C481A">
            <w:pPr>
              <w:spacing w:after="0"/>
            </w:pPr>
          </w:p>
        </w:tc>
      </w:tr>
      <w:tr w:rsidR="009C481A" w14:paraId="5DB7F9FA" w14:textId="77777777">
        <w:tc>
          <w:tcPr>
            <w:tcW w:w="8273" w:type="dxa"/>
            <w:tcBorders>
              <w:top w:val="single" w:sz="6" w:space="0" w:color="000000"/>
              <w:left w:val="single" w:sz="6" w:space="0" w:color="000000"/>
              <w:bottom w:val="single" w:sz="6" w:space="0" w:color="000000"/>
              <w:right w:val="single" w:sz="6" w:space="0" w:color="000000"/>
            </w:tcBorders>
            <w:shd w:val="clear" w:color="auto" w:fill="FFFFFF"/>
          </w:tcPr>
          <w:p w14:paraId="0000002B" w14:textId="77777777" w:rsidR="009C481A" w:rsidRDefault="005E7CF8">
            <w:pPr>
              <w:numPr>
                <w:ilvl w:val="0"/>
                <w:numId w:val="1"/>
              </w:numPr>
              <w:pBdr>
                <w:top w:val="nil"/>
                <w:left w:val="nil"/>
                <w:bottom w:val="nil"/>
                <w:right w:val="nil"/>
                <w:between w:val="nil"/>
              </w:pBdr>
              <w:tabs>
                <w:tab w:val="left" w:pos="284"/>
              </w:tabs>
              <w:spacing w:after="0" w:line="360" w:lineRule="auto"/>
              <w:ind w:left="0" w:firstLine="82"/>
              <w:jc w:val="both"/>
              <w:rPr>
                <w:color w:val="000000"/>
              </w:rPr>
            </w:pPr>
            <w:r>
              <w:rPr>
                <w:color w:val="000000"/>
              </w:rPr>
              <w:t>Առաջարկում ենք Նախագծի նախաբանից հանել Տեղեկատվական համակարգերի կառավարման խորհրդի 2025 թվականի սեպտեմբերի 20-ի նիստի որոշմանը հղումը, հաշվի առնելով այն, որ վերջինս իրավական ակտ չի հանդիսանում:</w:t>
            </w:r>
          </w:p>
          <w:p w14:paraId="0000002C" w14:textId="77777777" w:rsidR="009C481A" w:rsidRDefault="009C481A">
            <w:pPr>
              <w:spacing w:after="0" w:line="360" w:lineRule="auto"/>
              <w:ind w:firstLine="82"/>
              <w:rPr>
                <w:color w:val="000000"/>
              </w:rPr>
            </w:pPr>
          </w:p>
        </w:tc>
        <w:tc>
          <w:tcPr>
            <w:tcW w:w="7036" w:type="dxa"/>
            <w:tcBorders>
              <w:top w:val="single" w:sz="6" w:space="0" w:color="000000"/>
              <w:left w:val="single" w:sz="6" w:space="0" w:color="000000"/>
              <w:bottom w:val="single" w:sz="6" w:space="0" w:color="000000"/>
              <w:right w:val="single" w:sz="6" w:space="0" w:color="000000"/>
            </w:tcBorders>
            <w:shd w:val="clear" w:color="auto" w:fill="FFFFFF"/>
          </w:tcPr>
          <w:p w14:paraId="0000002D" w14:textId="7ACD0734" w:rsidR="009C481A" w:rsidRDefault="005E7CF8">
            <w:pPr>
              <w:spacing w:line="240" w:lineRule="auto"/>
              <w:ind w:left="181" w:right="91"/>
              <w:jc w:val="center"/>
              <w:rPr>
                <w:b/>
                <w:bCs/>
              </w:rPr>
            </w:pPr>
            <w:r>
              <w:rPr>
                <w:b/>
                <w:bCs/>
              </w:rPr>
              <w:t>Ընդունվել է։</w:t>
            </w:r>
          </w:p>
          <w:p w14:paraId="0000002E" w14:textId="6F4D88EF" w:rsidR="009C481A" w:rsidRDefault="005E7CF8">
            <w:pPr>
              <w:spacing w:line="360" w:lineRule="auto"/>
              <w:ind w:right="91"/>
              <w:jc w:val="both"/>
            </w:pPr>
            <w:r>
              <w:t xml:space="preserve"> Նախագծում կատարվել է համապատասխան փոփոխություն:</w:t>
            </w:r>
          </w:p>
        </w:tc>
      </w:tr>
      <w:tr w:rsidR="009C481A" w14:paraId="75FDDA43" w14:textId="77777777">
        <w:tc>
          <w:tcPr>
            <w:tcW w:w="8273" w:type="dxa"/>
            <w:tcBorders>
              <w:top w:val="single" w:sz="6" w:space="0" w:color="000000"/>
              <w:left w:val="single" w:sz="6" w:space="0" w:color="000000"/>
              <w:bottom w:val="single" w:sz="6" w:space="0" w:color="000000"/>
              <w:right w:val="single" w:sz="6" w:space="0" w:color="000000"/>
            </w:tcBorders>
            <w:shd w:val="clear" w:color="auto" w:fill="FFFFFF"/>
          </w:tcPr>
          <w:p w14:paraId="0000002F" w14:textId="77777777" w:rsidR="009C481A" w:rsidRDefault="005E7CF8">
            <w:pPr>
              <w:numPr>
                <w:ilvl w:val="0"/>
                <w:numId w:val="1"/>
              </w:numPr>
              <w:pBdr>
                <w:top w:val="nil"/>
                <w:left w:val="nil"/>
                <w:bottom w:val="nil"/>
                <w:right w:val="nil"/>
                <w:between w:val="nil"/>
              </w:pBdr>
              <w:tabs>
                <w:tab w:val="left" w:pos="284"/>
              </w:tabs>
              <w:spacing w:after="0" w:line="360" w:lineRule="auto"/>
              <w:ind w:left="0" w:firstLine="82"/>
              <w:jc w:val="both"/>
              <w:rPr>
                <w:color w:val="000000"/>
              </w:rPr>
            </w:pPr>
            <w:r>
              <w:rPr>
                <w:color w:val="000000"/>
              </w:rPr>
              <w:lastRenderedPageBreak/>
              <w:t>Համաձայն նախագծի ընդունման հիմնավորման՝ 20.09.2025թ. Հանձնաժողովը Տեղեկատվական համակարգերի կառավարման խորհրդի նիստում ներկայացրել է թվայնացման օրակարգը՝ ընդհանուր 201,818.0 հազ դրամ արժեքով (առանց ավելացված արժեքի հարկի), ներառյալ՝</w:t>
            </w:r>
          </w:p>
          <w:p w14:paraId="00000030" w14:textId="77777777" w:rsidR="009C481A" w:rsidRDefault="005E7CF8">
            <w:pPr>
              <w:numPr>
                <w:ilvl w:val="0"/>
                <w:numId w:val="2"/>
              </w:numPr>
              <w:pBdr>
                <w:top w:val="nil"/>
                <w:left w:val="nil"/>
                <w:bottom w:val="nil"/>
                <w:right w:val="nil"/>
                <w:between w:val="nil"/>
              </w:pBdr>
              <w:tabs>
                <w:tab w:val="left" w:pos="284"/>
              </w:tabs>
              <w:spacing w:after="0" w:line="360" w:lineRule="auto"/>
              <w:ind w:left="0" w:firstLine="82"/>
              <w:jc w:val="both"/>
              <w:rPr>
                <w:color w:val="000000"/>
              </w:rPr>
            </w:pPr>
            <w:r>
              <w:rPr>
                <w:color w:val="000000"/>
              </w:rPr>
              <w:t>Սպասարկման պայմանագիր՝ 27,857.0 հազ. դրամ (առանց հարկերի)</w:t>
            </w:r>
            <w:r>
              <w:rPr>
                <w:rFonts w:ascii="Cambria Math" w:eastAsia="Cambria Math" w:hAnsi="Cambria Math" w:cs="Cambria Math"/>
                <w:color w:val="000000"/>
              </w:rPr>
              <w:t>․</w:t>
            </w:r>
          </w:p>
          <w:p w14:paraId="00000031" w14:textId="77777777" w:rsidR="009C481A" w:rsidRDefault="005E7CF8">
            <w:pPr>
              <w:numPr>
                <w:ilvl w:val="0"/>
                <w:numId w:val="2"/>
              </w:numPr>
              <w:pBdr>
                <w:top w:val="nil"/>
                <w:left w:val="nil"/>
                <w:bottom w:val="nil"/>
                <w:right w:val="nil"/>
                <w:between w:val="nil"/>
              </w:pBdr>
              <w:tabs>
                <w:tab w:val="left" w:pos="284"/>
              </w:tabs>
              <w:spacing w:after="0" w:line="360" w:lineRule="auto"/>
              <w:ind w:left="0" w:firstLine="82"/>
              <w:jc w:val="both"/>
              <w:rPr>
                <w:color w:val="000000"/>
              </w:rPr>
            </w:pPr>
            <w:r>
              <w:rPr>
                <w:color w:val="000000"/>
              </w:rPr>
              <w:t>Բարեվարքության հարցաթերթիկի թվայնացում՝ 11,455.0 հազ. դրամ (առանց հարկերի)</w:t>
            </w:r>
            <w:r>
              <w:rPr>
                <w:rFonts w:ascii="Cambria Math" w:eastAsia="Cambria Math" w:hAnsi="Cambria Math" w:cs="Cambria Math"/>
                <w:color w:val="000000"/>
              </w:rPr>
              <w:t>․</w:t>
            </w:r>
          </w:p>
          <w:p w14:paraId="00000032" w14:textId="77777777" w:rsidR="009C481A" w:rsidRDefault="005E7CF8">
            <w:pPr>
              <w:numPr>
                <w:ilvl w:val="0"/>
                <w:numId w:val="2"/>
              </w:numPr>
              <w:pBdr>
                <w:top w:val="nil"/>
                <w:left w:val="nil"/>
                <w:bottom w:val="nil"/>
                <w:right w:val="nil"/>
                <w:between w:val="nil"/>
              </w:pBdr>
              <w:tabs>
                <w:tab w:val="left" w:pos="284"/>
              </w:tabs>
              <w:spacing w:after="0" w:line="360" w:lineRule="auto"/>
              <w:ind w:left="0" w:firstLine="82"/>
              <w:jc w:val="both"/>
              <w:rPr>
                <w:color w:val="000000"/>
              </w:rPr>
            </w:pPr>
            <w:r>
              <w:rPr>
                <w:color w:val="000000"/>
              </w:rPr>
              <w:t>Հայտարարագրերի հրապարակային ռեեստրում ընտանեկան կապերի արտացոլում՝ 10,571.0 հազ. դրամ (առանց հարկերի)</w:t>
            </w:r>
            <w:r>
              <w:rPr>
                <w:rFonts w:ascii="Cambria Math" w:eastAsia="Cambria Math" w:hAnsi="Cambria Math" w:cs="Cambria Math"/>
                <w:color w:val="000000"/>
              </w:rPr>
              <w:t>․</w:t>
            </w:r>
          </w:p>
          <w:p w14:paraId="00000033" w14:textId="77777777" w:rsidR="009C481A" w:rsidRDefault="005E7CF8">
            <w:pPr>
              <w:numPr>
                <w:ilvl w:val="0"/>
                <w:numId w:val="2"/>
              </w:numPr>
              <w:pBdr>
                <w:top w:val="nil"/>
                <w:left w:val="nil"/>
                <w:bottom w:val="nil"/>
                <w:right w:val="nil"/>
                <w:between w:val="nil"/>
              </w:pBdr>
              <w:tabs>
                <w:tab w:val="left" w:pos="284"/>
              </w:tabs>
              <w:spacing w:after="0" w:line="360" w:lineRule="auto"/>
              <w:ind w:left="0" w:firstLine="82"/>
              <w:jc w:val="both"/>
              <w:rPr>
                <w:color w:val="000000"/>
              </w:rPr>
            </w:pPr>
            <w:r>
              <w:rPr>
                <w:color w:val="000000"/>
              </w:rPr>
              <w:t>2011-2021 թվականների հայտարարագրերում ուղղումներ կատարելու հնարավորության ապահովում՝ 28,147.0 հազ. դրամ (առանց հարկերի)</w:t>
            </w:r>
            <w:r>
              <w:rPr>
                <w:rFonts w:ascii="Cambria Math" w:eastAsia="Cambria Math" w:hAnsi="Cambria Math" w:cs="Cambria Math"/>
                <w:color w:val="000000"/>
              </w:rPr>
              <w:t>․</w:t>
            </w:r>
          </w:p>
          <w:p w14:paraId="00000034" w14:textId="77777777" w:rsidR="009C481A" w:rsidRDefault="005E7CF8">
            <w:pPr>
              <w:numPr>
                <w:ilvl w:val="0"/>
                <w:numId w:val="2"/>
              </w:numPr>
              <w:pBdr>
                <w:top w:val="nil"/>
                <w:left w:val="nil"/>
                <w:bottom w:val="nil"/>
                <w:right w:val="nil"/>
                <w:between w:val="nil"/>
              </w:pBdr>
              <w:tabs>
                <w:tab w:val="left" w:pos="284"/>
              </w:tabs>
              <w:spacing w:after="0" w:line="360" w:lineRule="auto"/>
              <w:ind w:left="0" w:firstLine="82"/>
              <w:jc w:val="both"/>
              <w:rPr>
                <w:color w:val="000000"/>
              </w:rPr>
            </w:pPr>
            <w:r>
              <w:rPr>
                <w:color w:val="000000"/>
              </w:rPr>
              <w:t>Նվերների հաշվառման ռեեստր` 47,365.0 հազ. դրամ (առանց հարկերի), որից 9,000.0 հազ. դրամը վճարվել է դոնոր կազմակերպության կողմից:</w:t>
            </w:r>
          </w:p>
          <w:p w14:paraId="00000035" w14:textId="77777777" w:rsidR="009C481A" w:rsidRDefault="005E7CF8">
            <w:pPr>
              <w:numPr>
                <w:ilvl w:val="0"/>
                <w:numId w:val="2"/>
              </w:numPr>
              <w:pBdr>
                <w:top w:val="nil"/>
                <w:left w:val="nil"/>
                <w:bottom w:val="nil"/>
                <w:right w:val="nil"/>
                <w:between w:val="nil"/>
              </w:pBdr>
              <w:tabs>
                <w:tab w:val="left" w:pos="284"/>
              </w:tabs>
              <w:spacing w:after="0" w:line="360" w:lineRule="auto"/>
              <w:ind w:left="0" w:firstLine="82"/>
              <w:jc w:val="both"/>
              <w:rPr>
                <w:color w:val="000000"/>
              </w:rPr>
            </w:pPr>
            <w:r>
              <w:rPr>
                <w:color w:val="000000"/>
              </w:rPr>
              <w:t>Ռիսկերի ավտոմատացված վերլուծություն՝ 76,423.0 հազ. դրամ (առանց հարկերի):</w:t>
            </w:r>
          </w:p>
          <w:p w14:paraId="00000036" w14:textId="77777777" w:rsidR="009C481A" w:rsidRDefault="005E7CF8">
            <w:pPr>
              <w:pBdr>
                <w:top w:val="nil"/>
                <w:left w:val="nil"/>
                <w:bottom w:val="nil"/>
                <w:right w:val="nil"/>
                <w:between w:val="nil"/>
              </w:pBdr>
              <w:spacing w:after="280" w:line="360" w:lineRule="auto"/>
              <w:ind w:firstLine="82"/>
              <w:jc w:val="both"/>
              <w:rPr>
                <w:color w:val="000000"/>
              </w:rPr>
            </w:pPr>
            <w:r>
              <w:rPr>
                <w:color w:val="000000"/>
              </w:rPr>
              <w:t xml:space="preserve">Միաժամանակ նշվում է, որ Նախագծով նախատեսվում է Կոռուպցիայի կանխարգելման հանձնաժողովին (այսուհետ՝ Հանձնաժողով) տրամադրել 32.9 մլն դրամ, մինչդեռ Նախագծի N 4 հավելվածում նույն հոդվածով </w:t>
            </w:r>
            <w:r>
              <w:rPr>
                <w:color w:val="000000"/>
              </w:rPr>
              <w:lastRenderedPageBreak/>
              <w:t xml:space="preserve">նախատեսված է 25.3 մլն դրամ։ Տարբերությունը  (7.6 մլն դրամ) հիմնավորվում է այն հանգամանքով, որ նվերների ռեեստրի կառուցման նպատակով պայմանագիրն արդեն իսկ կնքված է մատակարար ընկերության հետ, և տվյալ ուղղությամբ գնում իրականացնելու անհրաժեշտություն առկա չէ։ </w:t>
            </w:r>
            <w:r>
              <w:rPr>
                <w:b/>
                <w:bCs/>
                <w:color w:val="000000"/>
              </w:rPr>
              <w:t>Հետևաբար պայմանագրի կատարման ապահովման համար անհրաժեշտ գումարի ավելացված արժեքի հարկի չափը N 4 հավելվածում չի ներառվել։</w:t>
            </w:r>
          </w:p>
          <w:p w14:paraId="00000037" w14:textId="77777777" w:rsidR="009C481A" w:rsidRDefault="005E7CF8">
            <w:pPr>
              <w:pBdr>
                <w:top w:val="nil"/>
                <w:left w:val="nil"/>
                <w:bottom w:val="nil"/>
                <w:right w:val="nil"/>
                <w:between w:val="nil"/>
              </w:pBdr>
              <w:spacing w:after="280" w:line="360" w:lineRule="auto"/>
              <w:ind w:firstLine="82"/>
              <w:jc w:val="both"/>
              <w:rPr>
                <w:color w:val="000000"/>
              </w:rPr>
            </w:pPr>
            <w:r>
              <w:rPr>
                <w:color w:val="000000"/>
              </w:rPr>
              <w:t>Այս առումով հայտնում ենք, որ չնայած այն հանգամանքին, որ միայն 7.6 մլն դրամի մասով է առկա նշում, որ վերջինս նվերների ռեեստրի կառուցման նպատակով պայմանագրի ավելացրած արժեքի հարկի գումարն է, սակայն, այնուամենայնիվ, Նախագծի հիմնավորմամբ հստակ և ուղիղ նշում առկա չէ ֆինանսական միջոցների ծախսման ուղղության վերաբերյալ: Այս առումով առաջարկում ենք խմբագրել նախագծի ընդունման հիմնավորումը:</w:t>
            </w:r>
          </w:p>
          <w:p w14:paraId="00000038" w14:textId="77777777" w:rsidR="009C481A" w:rsidRDefault="009C481A">
            <w:pPr>
              <w:tabs>
                <w:tab w:val="left" w:pos="284"/>
              </w:tabs>
              <w:spacing w:after="0" w:line="360" w:lineRule="auto"/>
              <w:ind w:firstLine="82"/>
              <w:jc w:val="both"/>
            </w:pPr>
          </w:p>
        </w:tc>
        <w:tc>
          <w:tcPr>
            <w:tcW w:w="7036" w:type="dxa"/>
            <w:tcBorders>
              <w:top w:val="single" w:sz="6" w:space="0" w:color="000000"/>
              <w:left w:val="single" w:sz="6" w:space="0" w:color="000000"/>
              <w:bottom w:val="single" w:sz="6" w:space="0" w:color="000000"/>
              <w:right w:val="single" w:sz="6" w:space="0" w:color="000000"/>
            </w:tcBorders>
            <w:shd w:val="clear" w:color="auto" w:fill="FFFFFF"/>
          </w:tcPr>
          <w:p w14:paraId="00000039" w14:textId="166BBE82" w:rsidR="009C481A" w:rsidRDefault="005E7CF8">
            <w:pPr>
              <w:spacing w:line="240" w:lineRule="auto"/>
              <w:ind w:left="181" w:right="91"/>
              <w:jc w:val="center"/>
              <w:rPr>
                <w:b/>
                <w:bCs/>
              </w:rPr>
            </w:pPr>
            <w:r>
              <w:rPr>
                <w:b/>
                <w:bCs/>
              </w:rPr>
              <w:lastRenderedPageBreak/>
              <w:t>Ընդունվել է։</w:t>
            </w:r>
          </w:p>
          <w:p w14:paraId="0000003A" w14:textId="5990654D" w:rsidR="009C481A" w:rsidRDefault="005E7CF8">
            <w:pPr>
              <w:spacing w:line="360" w:lineRule="auto"/>
              <w:ind w:left="181" w:right="91"/>
              <w:jc w:val="both"/>
              <w:rPr>
                <w:b/>
                <w:bCs/>
              </w:rPr>
            </w:pPr>
            <w:r>
              <w:t>Նախագծի հիմնավորման մեջ կատարվել է լրացում: Մասնավորապես, նշվել է, որ</w:t>
            </w:r>
            <w:r>
              <w:rPr>
                <w:b/>
                <w:bCs/>
              </w:rPr>
              <w:t xml:space="preserve"> </w:t>
            </w:r>
            <w:r>
              <w:t xml:space="preserve">ֆինանսական միջոցները նախատեսվում է ուղղել նվերների էլեկտրոնային ռեեստրի կառուցման աշխատանքների իրականացմանը, որի ուղղությամբ </w:t>
            </w:r>
            <w:r>
              <w:rPr>
                <w:color w:val="000000"/>
              </w:rPr>
              <w:t>աշխատանքները կասեցվել են ԱՄՆ ՄԶԳ-ի գործունեության դադարեցմամբ պայմանավորված։</w:t>
            </w:r>
          </w:p>
        </w:tc>
      </w:tr>
      <w:tr w:rsidR="009C481A" w14:paraId="26AB3281" w14:textId="77777777">
        <w:trPr>
          <w:trHeight w:val="2595"/>
        </w:trPr>
        <w:tc>
          <w:tcPr>
            <w:tcW w:w="8273" w:type="dxa"/>
            <w:tcBorders>
              <w:top w:val="single" w:sz="6" w:space="0" w:color="000000"/>
              <w:left w:val="single" w:sz="6" w:space="0" w:color="000000"/>
              <w:bottom w:val="single" w:sz="6" w:space="0" w:color="000000"/>
              <w:right w:val="single" w:sz="6" w:space="0" w:color="000000"/>
            </w:tcBorders>
            <w:shd w:val="clear" w:color="auto" w:fill="FFFFFF"/>
          </w:tcPr>
          <w:p w14:paraId="0000003B" w14:textId="77777777" w:rsidR="009C481A" w:rsidRDefault="005E7CF8">
            <w:pPr>
              <w:numPr>
                <w:ilvl w:val="0"/>
                <w:numId w:val="1"/>
              </w:numPr>
              <w:pBdr>
                <w:top w:val="nil"/>
                <w:left w:val="nil"/>
                <w:bottom w:val="nil"/>
                <w:right w:val="nil"/>
                <w:between w:val="nil"/>
              </w:pBdr>
              <w:tabs>
                <w:tab w:val="left" w:pos="284"/>
              </w:tabs>
              <w:spacing w:after="0" w:line="360" w:lineRule="auto"/>
              <w:ind w:left="0" w:firstLine="82"/>
              <w:jc w:val="both"/>
              <w:rPr>
                <w:color w:val="000000"/>
              </w:rPr>
            </w:pPr>
            <w:r>
              <w:rPr>
                <w:color w:val="000000"/>
              </w:rPr>
              <w:lastRenderedPageBreak/>
              <w:t>Միաժամանակ, եթե նախագծով պահանջվող՝ 32.9 մլն դրամն անհրաժեշտ է պայմանագրերի մասով ավելացված արժեքի հարկի գումարի վճարման համար, ապա հարկ է նկատել, որ սպասարկման պայմանագրի ԱԱՀ-ն կազմում է 5,571.4 հազ. դրամ, մինչդեռ նախագծի 4-րդ հավելվածում նշված  է 5,629.4 հազ. դրամ:</w:t>
            </w:r>
          </w:p>
          <w:p w14:paraId="0000003C" w14:textId="77777777" w:rsidR="009C481A" w:rsidRDefault="009C481A">
            <w:pPr>
              <w:tabs>
                <w:tab w:val="left" w:pos="284"/>
              </w:tabs>
              <w:spacing w:after="0" w:line="360" w:lineRule="auto"/>
              <w:ind w:firstLine="82"/>
              <w:jc w:val="both"/>
            </w:pPr>
          </w:p>
        </w:tc>
        <w:tc>
          <w:tcPr>
            <w:tcW w:w="7036" w:type="dxa"/>
            <w:tcBorders>
              <w:top w:val="single" w:sz="6" w:space="0" w:color="000000"/>
              <w:left w:val="single" w:sz="6" w:space="0" w:color="000000"/>
              <w:bottom w:val="single" w:sz="6" w:space="0" w:color="000000"/>
              <w:right w:val="single" w:sz="6" w:space="0" w:color="000000"/>
            </w:tcBorders>
            <w:shd w:val="clear" w:color="auto" w:fill="FFFFFF"/>
          </w:tcPr>
          <w:p w14:paraId="0000003D" w14:textId="31348F99" w:rsidR="009C481A" w:rsidRDefault="005E7CF8">
            <w:pPr>
              <w:spacing w:line="360" w:lineRule="auto"/>
              <w:ind w:left="181" w:right="91"/>
              <w:jc w:val="center"/>
              <w:rPr>
                <w:b/>
                <w:bCs/>
              </w:rPr>
            </w:pPr>
            <w:r>
              <w:rPr>
                <w:b/>
                <w:bCs/>
              </w:rPr>
              <w:t>Մասամբ է ընդունվել:</w:t>
            </w:r>
          </w:p>
          <w:p w14:paraId="0000003E" w14:textId="137C6C7C" w:rsidR="009C481A" w:rsidRDefault="005E7CF8">
            <w:pPr>
              <w:spacing w:after="0" w:line="360" w:lineRule="auto"/>
              <w:jc w:val="both"/>
            </w:pPr>
            <w:r>
              <w:t>Նախագծին կից հավելվածի 4-րդ աղյուսակում նշված 5,629.4 հազ. դրամը չի հանդիսանում սպասարկման ծառայությունների համար անհրաժեշտ 27,857,000 դրամի (առանց հարկերի) 20 տոկոս ավելացված արժեքի հարկը, այլ նախատեսված է 2011-2021 թվականների հայտարարագրերի միգրացիայի և դրանցում ուղղումներ կատարելու հնարավորության ապահովման համար, որի արժեքը կազմում է 28,147,000 ՀՀ դրամ (առանց հարկերի)</w:t>
            </w:r>
          </w:p>
        </w:tc>
      </w:tr>
      <w:tr w:rsidR="009C481A" w14:paraId="7DB77108" w14:textId="77777777">
        <w:trPr>
          <w:trHeight w:val="2883"/>
        </w:trPr>
        <w:tc>
          <w:tcPr>
            <w:tcW w:w="8273" w:type="dxa"/>
            <w:tcBorders>
              <w:top w:val="single" w:sz="6" w:space="0" w:color="000000"/>
              <w:left w:val="single" w:sz="6" w:space="0" w:color="000000"/>
              <w:bottom w:val="single" w:sz="6" w:space="0" w:color="000000"/>
              <w:right w:val="single" w:sz="6" w:space="0" w:color="000000"/>
            </w:tcBorders>
            <w:shd w:val="clear" w:color="auto" w:fill="FFFFFF"/>
          </w:tcPr>
          <w:p w14:paraId="0000003F" w14:textId="1292BED0" w:rsidR="009C481A" w:rsidRDefault="005E7CF8">
            <w:pPr>
              <w:numPr>
                <w:ilvl w:val="0"/>
                <w:numId w:val="1"/>
              </w:numPr>
              <w:pBdr>
                <w:top w:val="nil"/>
                <w:left w:val="nil"/>
                <w:bottom w:val="nil"/>
                <w:right w:val="nil"/>
                <w:between w:val="nil"/>
              </w:pBdr>
              <w:tabs>
                <w:tab w:val="left" w:pos="284"/>
              </w:tabs>
              <w:spacing w:after="0" w:line="360" w:lineRule="auto"/>
              <w:ind w:left="0" w:firstLine="82"/>
              <w:jc w:val="both"/>
              <w:rPr>
                <w:color w:val="000000"/>
              </w:rPr>
            </w:pPr>
            <w:r>
              <w:rPr>
                <w:color w:val="000000"/>
              </w:rPr>
              <w:t>ՀՀ կառավարության 2025 թվականի դեկտեմբերի 4-ի N 1761-Ն որոշմամբ հաստատված կարգի 8-րդ կետի համաձայն՝ արտաքին վերաբաշխման վերաբերյալ որոշումն ընդունվում է Կառավարության կողմից՝ գլխավոր կարգադրիչների ներկայացրած առաջարկի հիման վրա:</w:t>
            </w:r>
          </w:p>
          <w:p w14:paraId="00000040" w14:textId="77777777" w:rsidR="009C481A" w:rsidRDefault="005E7CF8">
            <w:pPr>
              <w:tabs>
                <w:tab w:val="left" w:pos="284"/>
              </w:tabs>
              <w:spacing w:after="0" w:line="360" w:lineRule="auto"/>
              <w:ind w:firstLine="82"/>
              <w:jc w:val="both"/>
            </w:pPr>
            <w:r>
              <w:t xml:space="preserve"> Այս առումով հայտնում ենք, որ Նախագիծը սահմանված կարգով պետք է շրջանառվի ՀՀ բարձր տեխնոլոգիական արդյունաբերության նախարարության կողմից։</w:t>
            </w:r>
          </w:p>
          <w:p w14:paraId="00000041" w14:textId="77777777" w:rsidR="009C481A" w:rsidRDefault="009C481A">
            <w:pPr>
              <w:tabs>
                <w:tab w:val="left" w:pos="284"/>
              </w:tabs>
              <w:spacing w:after="0" w:line="360" w:lineRule="auto"/>
              <w:ind w:firstLine="82"/>
              <w:jc w:val="both"/>
            </w:pPr>
          </w:p>
        </w:tc>
        <w:tc>
          <w:tcPr>
            <w:tcW w:w="7036" w:type="dxa"/>
            <w:tcBorders>
              <w:top w:val="single" w:sz="6" w:space="0" w:color="000000"/>
              <w:left w:val="single" w:sz="6" w:space="0" w:color="000000"/>
              <w:bottom w:val="single" w:sz="6" w:space="0" w:color="000000"/>
              <w:right w:val="single" w:sz="6" w:space="0" w:color="000000"/>
            </w:tcBorders>
            <w:shd w:val="clear" w:color="auto" w:fill="FFFFFF"/>
          </w:tcPr>
          <w:p w14:paraId="00000042" w14:textId="23EF8BDA" w:rsidR="009C481A" w:rsidRDefault="001D438E">
            <w:pPr>
              <w:tabs>
                <w:tab w:val="left" w:pos="5253"/>
              </w:tabs>
              <w:spacing w:after="0" w:line="360" w:lineRule="auto"/>
              <w:ind w:right="91" w:firstLine="271"/>
              <w:jc w:val="center"/>
              <w:rPr>
                <w:b/>
                <w:bCs/>
              </w:rPr>
            </w:pPr>
            <w:r w:rsidRPr="009E66E7">
              <w:rPr>
                <w:b/>
                <w:bCs/>
                <w:lang w:val="hy-AM"/>
              </w:rPr>
              <w:t>Ը</w:t>
            </w:r>
            <w:r w:rsidR="005E7CF8">
              <w:rPr>
                <w:b/>
                <w:bCs/>
              </w:rPr>
              <w:t>նդունվել</w:t>
            </w:r>
            <w:r w:rsidR="00CC18C6">
              <w:rPr>
                <w:b/>
                <w:bCs/>
                <w:lang w:val="hy-AM"/>
              </w:rPr>
              <w:t xml:space="preserve"> է</w:t>
            </w:r>
            <w:r w:rsidR="005E7CF8">
              <w:rPr>
                <w:b/>
                <w:bCs/>
              </w:rPr>
              <w:t>։</w:t>
            </w:r>
          </w:p>
          <w:p w14:paraId="00000043" w14:textId="1AA3EE1D" w:rsidR="009C481A" w:rsidRDefault="005E7CF8">
            <w:pPr>
              <w:spacing w:after="0" w:line="360" w:lineRule="auto"/>
              <w:ind w:right="91"/>
              <w:jc w:val="both"/>
            </w:pPr>
            <w:r>
              <w:t xml:space="preserve"> </w:t>
            </w:r>
            <w:r w:rsidR="00C37D7F">
              <w:rPr>
                <w:lang w:val="hy-AM"/>
              </w:rPr>
              <w:t xml:space="preserve">Նախագիծը ՀՀ վարչապետի աշխատակազմ ներկայացվել Է </w:t>
            </w:r>
            <w:r w:rsidR="00C37D7F">
              <w:t xml:space="preserve"> ՀՀ բարձր տեխնոլոգիական արդյունաբերության նախարարության կողմից</w:t>
            </w:r>
            <w:r w:rsidR="009E66E7">
              <w:t>:</w:t>
            </w:r>
          </w:p>
          <w:p w14:paraId="00000044" w14:textId="7C32D9ED" w:rsidR="009C481A" w:rsidRDefault="009C481A">
            <w:pPr>
              <w:spacing w:after="0" w:line="360" w:lineRule="auto"/>
              <w:jc w:val="both"/>
            </w:pPr>
          </w:p>
          <w:p w14:paraId="0000004B" w14:textId="6467F0F8" w:rsidR="009C481A" w:rsidRDefault="005E7CF8" w:rsidP="009C5B20">
            <w:pPr>
              <w:spacing w:after="0" w:line="360" w:lineRule="auto"/>
              <w:jc w:val="both"/>
            </w:pPr>
            <w:r>
              <w:t xml:space="preserve"> </w:t>
            </w:r>
          </w:p>
          <w:p w14:paraId="0000004C" w14:textId="2BA06E87" w:rsidR="009C481A" w:rsidRPr="00E83777" w:rsidRDefault="009C481A">
            <w:pPr>
              <w:spacing w:after="0" w:line="360" w:lineRule="auto"/>
              <w:jc w:val="both"/>
            </w:pPr>
            <w:bookmarkStart w:id="1" w:name="_heading=h.w1av7v79cw4" w:colFirst="0" w:colLast="0"/>
            <w:bookmarkEnd w:id="1"/>
          </w:p>
          <w:p w14:paraId="0000004D" w14:textId="77777777" w:rsidR="009C481A" w:rsidRDefault="009C481A">
            <w:pPr>
              <w:spacing w:after="0" w:line="360" w:lineRule="auto"/>
              <w:ind w:firstLine="271"/>
              <w:jc w:val="both"/>
              <w:rPr>
                <w:b/>
                <w:bCs/>
                <w:color w:val="000000"/>
              </w:rPr>
            </w:pPr>
          </w:p>
        </w:tc>
      </w:tr>
    </w:tbl>
    <w:p w14:paraId="0000004E" w14:textId="77777777" w:rsidR="009C481A" w:rsidRDefault="009C481A">
      <w:pPr>
        <w:tabs>
          <w:tab w:val="left" w:pos="3765"/>
        </w:tabs>
        <w:spacing w:after="0"/>
      </w:pPr>
    </w:p>
    <w:sectPr w:rsidR="009C481A">
      <w:footerReference w:type="default" r:id="rId8"/>
      <w:pgSz w:w="16838" w:h="11906" w:orient="landscape"/>
      <w:pgMar w:top="851" w:right="567" w:bottom="567" w:left="1134" w:header="709"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862BB" w14:textId="77777777" w:rsidR="00E2044C" w:rsidRDefault="00E2044C">
      <w:pPr>
        <w:spacing w:after="0" w:line="240" w:lineRule="auto"/>
      </w:pPr>
      <w:r>
        <w:separator/>
      </w:r>
    </w:p>
  </w:endnote>
  <w:endnote w:type="continuationSeparator" w:id="0">
    <w:p w14:paraId="3A7579CA" w14:textId="77777777" w:rsidR="00E2044C" w:rsidRDefault="00E20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embedRegular r:id="rId1" w:fontKey="{67591F25-7E94-464A-BA2A-06ABE2F8112A}"/>
    <w:embedBold r:id="rId2" w:fontKey="{53BB0534-EA7A-45A9-9ADA-12A5D7FCB71F}"/>
  </w:font>
  <w:font w:name="Calibri">
    <w:panose1 w:val="020F0502020204030204"/>
    <w:charset w:val="00"/>
    <w:family w:val="swiss"/>
    <w:pitch w:val="variable"/>
    <w:sig w:usb0="E4002EFF" w:usb1="C000247B" w:usb2="00000009" w:usb3="00000000" w:csb0="000001FF" w:csb1="00000000"/>
    <w:embedRegular r:id="rId3" w:fontKey="{5C99DA8A-4256-4E8F-8415-9D770259ACA2}"/>
    <w:embedBold r:id="rId4" w:fontKey="{EDE7FBE9-25B8-4D89-9E02-AA7297964F08}"/>
    <w:embedBoldItalic r:id="rId5" w:fontKey="{C3B996E2-EC26-472D-A3FF-13AEA64324E8}"/>
  </w:font>
  <w:font w:name="Latha">
    <w:panose1 w:val="02000400000000000000"/>
    <w:charset w:val="01"/>
    <w:family w:val="roman"/>
    <w:pitch w:val="variable"/>
    <w:sig w:usb0="00040000" w:usb1="00000000" w:usb2="00000000" w:usb3="00000000" w:csb0="00000000" w:csb1="00000000"/>
    <w:embedRegular r:id="rId6" w:fontKey="{B676F1F1-6D4C-4C57-B575-D0B1140F88B5}"/>
  </w:font>
  <w:font w:name="Tahoma">
    <w:panose1 w:val="020B0604030504040204"/>
    <w:charset w:val="00"/>
    <w:family w:val="swiss"/>
    <w:pitch w:val="variable"/>
    <w:sig w:usb0="E1002EFF" w:usb1="C000605B" w:usb2="00000029" w:usb3="00000000" w:csb0="000101FF" w:csb1="00000000"/>
    <w:embedRegular r:id="rId7" w:fontKey="{A4717CED-8529-417A-8AD2-BC976E89C6A9}"/>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8" w:fontKey="{926484EE-34DB-416A-A118-37C93B459C31}"/>
  </w:font>
  <w:font w:name="Georgia">
    <w:panose1 w:val="02040502050405020303"/>
    <w:charset w:val="00"/>
    <w:family w:val="roman"/>
    <w:pitch w:val="variable"/>
    <w:sig w:usb0="00000287" w:usb1="00000000" w:usb2="00000000" w:usb3="00000000" w:csb0="0000009F" w:csb1="00000000"/>
    <w:embedItalic r:id="rId9" w:fontKey="{FA396C39-A16B-41DF-9809-CD40154CA8EF}"/>
  </w:font>
  <w:font w:name="Cambria Math">
    <w:panose1 w:val="02040503050406030204"/>
    <w:charset w:val="00"/>
    <w:family w:val="roman"/>
    <w:pitch w:val="variable"/>
    <w:sig w:usb0="E00006FF" w:usb1="420024FF" w:usb2="02000000" w:usb3="00000000" w:csb0="0000019F" w:csb1="00000000"/>
    <w:embedRegular r:id="rId10" w:fontKey="{D078FA29-0EDD-4134-8B18-51C7EAF3970C}"/>
    <w:embedBold r:id="rId11" w:fontKey="{60554803-3876-45AC-90A1-620D502306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F" w14:textId="7C0D0A11" w:rsidR="009C481A" w:rsidRDefault="005E7CF8">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83777">
      <w:rPr>
        <w:noProof/>
        <w:color w:val="000000"/>
      </w:rPr>
      <w:t>1</w:t>
    </w:r>
    <w:r>
      <w:rPr>
        <w:color w:val="000000"/>
      </w:rPr>
      <w:fldChar w:fldCharType="end"/>
    </w:r>
  </w:p>
  <w:p w14:paraId="00000050" w14:textId="77777777" w:rsidR="009C481A" w:rsidRDefault="009C481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A99D1" w14:textId="77777777" w:rsidR="00E2044C" w:rsidRDefault="00E2044C">
      <w:pPr>
        <w:spacing w:after="0" w:line="240" w:lineRule="auto"/>
      </w:pPr>
      <w:r>
        <w:separator/>
      </w:r>
    </w:p>
  </w:footnote>
  <w:footnote w:type="continuationSeparator" w:id="0">
    <w:p w14:paraId="0D263029" w14:textId="77777777" w:rsidR="00E2044C" w:rsidRDefault="00E204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822F81"/>
    <w:multiLevelType w:val="multilevel"/>
    <w:tmpl w:val="3126C4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A333D44"/>
    <w:multiLevelType w:val="multilevel"/>
    <w:tmpl w:val="421482EA"/>
    <w:lvl w:ilvl="0">
      <w:start w:val="1"/>
      <w:numFmt w:val="decimal"/>
      <w:lvlText w:val="%1."/>
      <w:lvlJc w:val="left"/>
      <w:pPr>
        <w:ind w:left="1004" w:hanging="360"/>
      </w:pPr>
      <w:rPr>
        <w:b w:val="0"/>
        <w:bCs w:val="0"/>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num w:numId="1" w16cid:durableId="2138208934">
    <w:abstractNumId w:val="1"/>
  </w:num>
  <w:num w:numId="2" w16cid:durableId="504638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81A"/>
    <w:rsid w:val="00061BCD"/>
    <w:rsid w:val="001D438E"/>
    <w:rsid w:val="001D5020"/>
    <w:rsid w:val="00225332"/>
    <w:rsid w:val="00540E4F"/>
    <w:rsid w:val="005E0BD0"/>
    <w:rsid w:val="005E7CF8"/>
    <w:rsid w:val="005F4630"/>
    <w:rsid w:val="009C481A"/>
    <w:rsid w:val="009C5B20"/>
    <w:rsid w:val="009E66E7"/>
    <w:rsid w:val="00BE0A59"/>
    <w:rsid w:val="00BE5F47"/>
    <w:rsid w:val="00C37D7F"/>
    <w:rsid w:val="00CC18C6"/>
    <w:rsid w:val="00E2044C"/>
    <w:rsid w:val="00E83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F9D32"/>
  <w15:docId w15:val="{4963B641-977C-4193-A374-D1972958E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GHEA Grapalat" w:hAnsi="GHEA Grapalat" w:cs="GHEA Grapalat"/>
        <w:sz w:val="24"/>
        <w:szCs w:val="24"/>
        <w:lang w:val="hy"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link w:val="Heading2Char"/>
    <w:uiPriority w:val="9"/>
    <w:semiHidden/>
    <w:unhideWhenUsed/>
    <w:qFormat/>
    <w:pPr>
      <w:keepNext/>
      <w:keepLines/>
      <w:spacing w:before="40" w:line="259" w:lineRule="auto"/>
      <w:ind w:left="720" w:right="720"/>
      <w:jc w:val="both"/>
      <w:outlineLvl w:val="1"/>
    </w:pPr>
    <w:rPr>
      <w:rFonts w:ascii="Calibri" w:eastAsia="Calibri" w:hAnsi="Calibri" w:cs="Calibri"/>
      <w:b/>
      <w:bCs/>
      <w:i/>
      <w:iCs/>
      <w:color w:val="2E74B5"/>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w:eastAsia="Calibri" w:hAnsi="Calibri" w:cs="Calibri"/>
      <w:color w:val="1F3863"/>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50C"/>
  </w:style>
  <w:style w:type="paragraph" w:styleId="Footer">
    <w:name w:val="footer"/>
    <w:basedOn w:val="Normal"/>
    <w:link w:val="FooterChar"/>
    <w:uiPriority w:val="99"/>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50C"/>
  </w:style>
  <w:style w:type="paragraph" w:styleId="FootnoteText">
    <w:name w:val="footnote text"/>
    <w:basedOn w:val="Normal"/>
    <w:link w:val="FootnoteTextChar"/>
    <w:uiPriority w:val="99"/>
    <w:semiHidden/>
    <w:unhideWhenUsed/>
    <w:rsid w:val="005D5E73"/>
    <w:pPr>
      <w:spacing w:after="0" w:line="240" w:lineRule="auto"/>
    </w:pPr>
    <w:rPr>
      <w:rFonts w:ascii="Calibri" w:hAnsi="Calibri"/>
      <w:sz w:val="20"/>
      <w:szCs w:val="20"/>
    </w:rPr>
  </w:style>
  <w:style w:type="character" w:customStyle="1" w:styleId="FootnoteTextChar">
    <w:name w:val="Footnote Text Char"/>
    <w:link w:val="FootnoteText"/>
    <w:uiPriority w:val="99"/>
    <w:semiHidden/>
    <w:rsid w:val="005D5E73"/>
    <w:rPr>
      <w:rFonts w:ascii="Calibri" w:hAnsi="Calibri"/>
      <w:sz w:val="20"/>
      <w:szCs w:val="20"/>
    </w:rPr>
  </w:style>
  <w:style w:type="character" w:styleId="FootnoteReference">
    <w:name w:val="footnote reference"/>
    <w:uiPriority w:val="99"/>
    <w:semiHidden/>
    <w:unhideWhenUsed/>
    <w:rsid w:val="005D5E73"/>
    <w:rPr>
      <w:vertAlign w:val="superscript"/>
    </w:rPr>
  </w:style>
  <w:style w:type="paragraph" w:styleId="ListParagraph">
    <w:name w:val="List Paragraph"/>
    <w:basedOn w:val="Normal"/>
    <w:uiPriority w:val="34"/>
    <w:qFormat/>
    <w:rsid w:val="009C1AEC"/>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79690D"/>
    <w:pPr>
      <w:spacing w:before="100" w:beforeAutospacing="1" w:after="100" w:afterAutospacing="1" w:line="240" w:lineRule="auto"/>
    </w:pPr>
    <w:rPr>
      <w:rFonts w:ascii="Times New Roman" w:eastAsia="Times New Roman" w:hAnsi="Times New Roman"/>
      <w:lang w:val="en-GB"/>
    </w:rPr>
  </w:style>
  <w:style w:type="character" w:customStyle="1" w:styleId="Heading2Char">
    <w:name w:val="Heading 2 Char"/>
    <w:link w:val="Heading2"/>
    <w:uiPriority w:val="9"/>
    <w:rsid w:val="005E5A61"/>
    <w:rPr>
      <w:rFonts w:ascii="Calibri" w:eastAsia="Times New Roman" w:hAnsi="Calibri" w:cs="Latha"/>
      <w:b/>
      <w:i/>
      <w:color w:val="2E74B5"/>
      <w:szCs w:val="26"/>
    </w:rPr>
  </w:style>
  <w:style w:type="character" w:styleId="Hyperlink">
    <w:name w:val="Hyperlink"/>
    <w:uiPriority w:val="99"/>
    <w:unhideWhenUsed/>
    <w:rsid w:val="009A7A8C"/>
    <w:rPr>
      <w:color w:val="0000FF"/>
      <w:u w:val="single"/>
    </w:rPr>
  </w:style>
  <w:style w:type="table" w:styleId="TableGrid">
    <w:name w:val="Table Grid"/>
    <w:basedOn w:val="TableNormal"/>
    <w:uiPriority w:val="59"/>
    <w:rsid w:val="009B1A90"/>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uiPriority w:val="99"/>
    <w:rsid w:val="00E84433"/>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Calibri" w:hAnsi="GHEA Grapalat"/>
      <w:b/>
      <w:bCs/>
    </w:rPr>
  </w:style>
  <w:style w:type="character" w:customStyle="1" w:styleId="CommentSubjectChar">
    <w:name w:val="Comment Subject 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uiPriority w:val="22"/>
    <w:qFormat/>
    <w:rsid w:val="00957D76"/>
    <w:rPr>
      <w:b/>
      <w:bCs/>
    </w:rPr>
  </w:style>
  <w:style w:type="character" w:styleId="Emphasis">
    <w:name w:val="Emphasis"/>
    <w:basedOn w:val="DefaultParagraphFont"/>
    <w:uiPriority w:val="20"/>
    <w:qFormat/>
    <w:rsid w:val="00A1059D"/>
    <w:rPr>
      <w:i/>
      <w:iCs/>
    </w:rPr>
  </w:style>
  <w:style w:type="paragraph" w:styleId="Revision">
    <w:name w:val="Revision"/>
    <w:hidden/>
    <w:uiPriority w:val="99"/>
    <w:semiHidden/>
    <w:rsid w:val="005E4BF0"/>
    <w:rPr>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9728D"/>
    <w:rPr>
      <w:rFonts w:ascii="Times New Roman" w:eastAsia="Times New Roman" w:hAnsi="Times New Roman"/>
      <w:sz w:val="24"/>
      <w:szCs w:val="24"/>
      <w:lang w:val="en-GB" w:eastAsia="en-GB"/>
    </w:rPr>
  </w:style>
  <w:style w:type="character" w:customStyle="1" w:styleId="Heading3Char">
    <w:name w:val="Heading 3 Char"/>
    <w:basedOn w:val="DefaultParagraphFont"/>
    <w:link w:val="Heading3"/>
    <w:uiPriority w:val="9"/>
    <w:semiHidden/>
    <w:rsid w:val="00963F8E"/>
    <w:rPr>
      <w:rFonts w:asciiTheme="majorHAnsi" w:eastAsiaTheme="majorEastAsia" w:hAnsiTheme="majorHAnsi" w:cstheme="majorBidi"/>
      <w:color w:val="1F3763" w:themeColor="accent1" w:themeShade="7F"/>
      <w:sz w:val="24"/>
      <w:szCs w:val="24"/>
      <w:lang w:val="en-US" w:eastAsia="en-US"/>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character" w:customStyle="1" w:styleId="whitespace-normal">
    <w:name w:val="whitespace-normal"/>
    <w:basedOn w:val="DefaultParagraphFont"/>
    <w:rsid w:val="003E0F45"/>
  </w:style>
  <w:style w:type="table" w:customStyle="1" w:styleId="a2">
    <w:basedOn w:val="TableNormal"/>
    <w:tblPr>
      <w:tblStyleRowBandSize w:val="1"/>
      <w:tblStyleColBandSize w:val="1"/>
      <w:tblCellMar>
        <w:left w:w="0" w:type="dxa"/>
        <w:right w:w="0" w:type="dxa"/>
      </w:tblCellMar>
    </w:tblPr>
  </w:style>
  <w:style w:type="paragraph" w:styleId="BodyText">
    <w:name w:val="Body Text"/>
    <w:basedOn w:val="Normal"/>
    <w:link w:val="BodyTextChar"/>
    <w:rsid w:val="00B952BD"/>
    <w:pPr>
      <w:suppressAutoHyphens/>
      <w:spacing w:after="140"/>
      <w:ind w:firstLine="544"/>
      <w:jc w:val="both"/>
    </w:pPr>
    <w:rPr>
      <w:rFonts w:asciiTheme="minorHAnsi" w:eastAsiaTheme="minorHAnsi" w:hAnsiTheme="minorHAnsi" w:cs="Times New Roman"/>
      <w:sz w:val="22"/>
      <w:szCs w:val="22"/>
      <w:lang w:val="en-US"/>
    </w:rPr>
  </w:style>
  <w:style w:type="character" w:customStyle="1" w:styleId="BodyTextChar">
    <w:name w:val="Body Text Char"/>
    <w:basedOn w:val="DefaultParagraphFont"/>
    <w:link w:val="BodyText"/>
    <w:rsid w:val="00B952BD"/>
    <w:rPr>
      <w:rFonts w:asciiTheme="minorHAnsi" w:eastAsiaTheme="minorHAnsi" w:hAnsiTheme="minorHAnsi" w:cs="Times New Roman"/>
      <w:sz w:val="22"/>
      <w:szCs w:val="22"/>
      <w:lang w:val="en-US"/>
    </w:rPr>
  </w:style>
  <w:style w:type="table" w:customStyle="1" w:styleId="a3">
    <w:basedOn w:val="TableNormal"/>
    <w:tblPr>
      <w:tblStyleRowBandSize w:val="1"/>
      <w:tblStyleColBandSize w:val="1"/>
      <w:tblCellMar>
        <w:left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4">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kudMSqvQVUXH6zICiYgDI8mMLQ==">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958</Words>
  <Characters>5467</Characters>
  <Application>Microsoft Office Word</Application>
  <DocSecurity>0</DocSecurity>
  <Lines>45</Lines>
  <Paragraphs>12</Paragraphs>
  <ScaleCrop>false</ScaleCrop>
  <Company/>
  <LinksUpToDate>false</LinksUpToDate>
  <CharactersWithSpaces>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ep-karapetyan</dc:creator>
  <cp:lastModifiedBy>Mariam Galstyan</cp:lastModifiedBy>
  <cp:revision>15</cp:revision>
  <dcterms:created xsi:type="dcterms:W3CDTF">2026-03-12T12:10:00Z</dcterms:created>
  <dcterms:modified xsi:type="dcterms:W3CDTF">2026-03-31T05:53:00Z</dcterms:modified>
</cp:coreProperties>
</file>