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AD899" w14:textId="77777777" w:rsidR="006B16A4" w:rsidRPr="006B16A4" w:rsidRDefault="006B16A4" w:rsidP="006B16A4">
      <w:pPr>
        <w:spacing w:before="0" w:after="0"/>
        <w:jc w:val="center"/>
        <w:rPr>
          <w:rFonts w:ascii="GHEA Grapalat" w:hAnsi="GHEA Grapalat"/>
          <w:b/>
          <w:sz w:val="24"/>
          <w:szCs w:val="24"/>
        </w:rPr>
      </w:pPr>
      <w:r w:rsidRPr="006B16A4">
        <w:rPr>
          <w:rFonts w:ascii="GHEA Grapalat" w:hAnsi="GHEA Grapalat"/>
          <w:b/>
          <w:sz w:val="24"/>
          <w:szCs w:val="24"/>
        </w:rPr>
        <w:t>ՀԻՄՆԱՎՈՐՈՒՄ</w:t>
      </w:r>
    </w:p>
    <w:p w14:paraId="4DC468A2" w14:textId="77777777" w:rsidR="006B16A4" w:rsidRPr="006B16A4" w:rsidRDefault="006B16A4" w:rsidP="006B16A4">
      <w:pPr>
        <w:keepNext/>
        <w:keepLines/>
        <w:spacing w:before="0" w:after="80"/>
        <w:jc w:val="center"/>
        <w:outlineLvl w:val="0"/>
        <w:rPr>
          <w:rFonts w:ascii="GHEA Grapalat" w:hAnsi="GHEA Grapalat" w:cstheme="majorBidi"/>
          <w:b/>
          <w:sz w:val="24"/>
          <w:szCs w:val="24"/>
        </w:rPr>
      </w:pPr>
      <w:r w:rsidRPr="006B16A4">
        <w:rPr>
          <w:rFonts w:ascii="GHEA Grapalat" w:hAnsi="GHEA Grapalat" w:cstheme="majorBidi"/>
          <w:b/>
          <w:sz w:val="24"/>
          <w:szCs w:val="24"/>
        </w:rPr>
        <w:t xml:space="preserve">«ԷՆԵՐԳԵՏԻԿԱՅԻ ՄԱՍԻՆ» ՕՐԵՆՔՈՒՄ ԼՐԱՑՈՒՄՆԵՐ ԵՎ ՓՈՓՈԽՈՒԹՅՈՒՆՆԵՐ ԿԱՏԱՐԵԼՈՒ ՄԱՍԻՆ», </w:t>
      </w:r>
      <w:bookmarkStart w:id="0" w:name="_Toc197533102"/>
      <w:r w:rsidRPr="006B16A4">
        <w:rPr>
          <w:rFonts w:ascii="GHEA Grapalat" w:hAnsi="GHEA Grapalat" w:cstheme="majorBidi"/>
          <w:b/>
          <w:sz w:val="24"/>
          <w:szCs w:val="24"/>
        </w:rPr>
        <w:t>«ԼԻՑԵՆԶԱՎՈՐՄԱՆ ՄԱՍԻՆ» ՕՐԵՆՔՈՒՄ ԼՐԱՑՈՒՄ ԿԱՏԱՐԵԼՈՒ ՄԱՍԻՆ</w:t>
      </w:r>
      <w:bookmarkEnd w:id="0"/>
      <w:r w:rsidRPr="006B16A4">
        <w:rPr>
          <w:rFonts w:ascii="GHEA Grapalat" w:hAnsi="GHEA Grapalat" w:cstheme="majorBidi"/>
          <w:b/>
          <w:sz w:val="24"/>
          <w:szCs w:val="24"/>
        </w:rPr>
        <w:t xml:space="preserve">» ԵՎ </w:t>
      </w:r>
      <w:bookmarkStart w:id="1" w:name="_Toc197533103"/>
      <w:r w:rsidRPr="006B16A4">
        <w:rPr>
          <w:rFonts w:ascii="GHEA Grapalat" w:hAnsi="GHEA Grapalat" w:cstheme="majorBidi"/>
          <w:b/>
          <w:sz w:val="24"/>
          <w:szCs w:val="24"/>
        </w:rPr>
        <w:t>«ՊԵՏԱԿԱՆ ՏՈՒՐՔԻ ՄԱՍԻՆ» ՕՐԵՆՔՈՒՄ ԼՐԱՑՈՒՄ ԿԱՏԱՐԵԼՈՒ ՄԱՍԻՆ</w:t>
      </w:r>
      <w:bookmarkEnd w:id="1"/>
      <w:r w:rsidRPr="006B16A4">
        <w:rPr>
          <w:rFonts w:ascii="GHEA Grapalat" w:hAnsi="GHEA Grapalat" w:cstheme="majorBidi"/>
          <w:b/>
          <w:sz w:val="24"/>
          <w:szCs w:val="24"/>
        </w:rPr>
        <w:t>» ՕՐԵՆՔՆԵՐԻ ՆԱԽԱԳԾԵՐԻ ԸՆԴՈՒՆՄԱՆ ՎԵՐԱԲԵՐՅԱԼ</w:t>
      </w:r>
    </w:p>
    <w:tbl>
      <w:tblPr>
        <w:tblW w:w="10170" w:type="dxa"/>
        <w:tblInd w:w="-90" w:type="dxa"/>
        <w:tblLook w:val="0000" w:firstRow="0" w:lastRow="0" w:firstColumn="0" w:lastColumn="0" w:noHBand="0" w:noVBand="0"/>
      </w:tblPr>
      <w:tblGrid>
        <w:gridCol w:w="10170"/>
      </w:tblGrid>
      <w:tr w:rsidR="006B16A4" w:rsidRPr="006B16A4" w14:paraId="209B7469" w14:textId="77777777" w:rsidTr="00A43335">
        <w:trPr>
          <w:trHeight w:val="449"/>
        </w:trPr>
        <w:tc>
          <w:tcPr>
            <w:tcW w:w="10170" w:type="dxa"/>
            <w:vAlign w:val="center"/>
          </w:tcPr>
          <w:p w14:paraId="02EEDCDB" w14:textId="77777777" w:rsidR="006B16A4" w:rsidRPr="006B16A4" w:rsidRDefault="006B16A4" w:rsidP="006B16A4">
            <w:pPr>
              <w:spacing w:before="0" w:after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B16A4" w:rsidRPr="006B16A4" w14:paraId="17CD0A33" w14:textId="77777777" w:rsidTr="00A43335">
        <w:tc>
          <w:tcPr>
            <w:tcW w:w="10170" w:type="dxa"/>
          </w:tcPr>
          <w:p w14:paraId="06CD9221" w14:textId="77777777" w:rsidR="006B16A4" w:rsidRPr="006B16A4" w:rsidRDefault="006B16A4" w:rsidP="006B16A4">
            <w:pPr>
              <w:numPr>
                <w:ilvl w:val="0"/>
                <w:numId w:val="1"/>
              </w:numPr>
              <w:spacing w:before="0" w:after="0"/>
              <w:contextualSpacing/>
              <w:rPr>
                <w:rFonts w:ascii="GHEA Grapalat" w:hAnsi="GHEA Grapalat"/>
                <w:b/>
                <w:sz w:val="24"/>
                <w:szCs w:val="24"/>
              </w:rPr>
            </w:pPr>
            <w:r w:rsidRPr="006B16A4">
              <w:rPr>
                <w:rFonts w:ascii="GHEA Grapalat" w:hAnsi="GHEA Grapalat"/>
                <w:b/>
                <w:sz w:val="24"/>
                <w:szCs w:val="24"/>
              </w:rPr>
              <w:t>Կարգավորման ենթակա խնդրի սահմանումը և առկա իրավիճակը</w:t>
            </w:r>
          </w:p>
          <w:p w14:paraId="176BA607" w14:textId="77777777" w:rsidR="006B16A4" w:rsidRPr="006B16A4" w:rsidRDefault="006B16A4" w:rsidP="006B16A4">
            <w:pPr>
              <w:spacing w:after="0"/>
              <w:ind w:left="720"/>
              <w:contextualSpacing/>
              <w:rPr>
                <w:rFonts w:ascii="GHEA Grapalat" w:hAnsi="GHEA Grapalat"/>
                <w:b/>
                <w:sz w:val="12"/>
                <w:szCs w:val="12"/>
              </w:rPr>
            </w:pPr>
          </w:p>
        </w:tc>
      </w:tr>
      <w:tr w:rsidR="006B16A4" w:rsidRPr="006B16A4" w14:paraId="588B2165" w14:textId="77777777" w:rsidTr="00A43335">
        <w:tc>
          <w:tcPr>
            <w:tcW w:w="10170" w:type="dxa"/>
          </w:tcPr>
          <w:p w14:paraId="300D0E16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MS Mincho" w:hAnsi="GHEA Grapalat" w:cs="MS Mincho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Հայաստանի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էլեկտրաէներգետիկ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համակարգը վերջին տարիներին բնութագրվում է վերականգնվող էներգետիկայի՝ հատկապես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արևային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կայանների կտրուկ աճով, ինչի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հետևանքով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էլեկտրաէներգիայի արտադրության կառուցվածքում ավելացել է ոչ կայուն և ժամային տատանումներով բնութագրվող հզորությունների մասնաբաժինը։ Մասնավորապես.</w:t>
            </w:r>
          </w:p>
          <w:p w14:paraId="7FE2275F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Հայաստանի Հանրապետության էներգետիկայի բնագավառի զարգացման (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մինչև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eastAsia="Times New Roman" w:cs="Calibr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 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2040</w:t>
            </w:r>
            <w:r w:rsidRPr="006B16A4">
              <w:rPr>
                <w:rFonts w:eastAsia="Times New Roman" w:cs="Calibr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 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թվականը) ռազմավարական ծրագրով (հավանության արժանացած Կառավարության 2021 թվականի հունվարի 14-ի №48-Լ որոշմամբ) որպես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մինչև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2030 թվականի թիրախ՝ նախատեսվել է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արևային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էներգիայի արտադրության մասնաբաժնի բարձրացման նպատակով կառուցել շուրջ 1000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ՄՎտ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հզորությամբ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արևային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կայաններ՝ ներառյալ ինքնավար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էներգաարտադրության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տեղակայանքները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, իսկ 2030-2040</w:t>
            </w:r>
            <w:r w:rsidRPr="006B16A4">
              <w:rPr>
                <w:rFonts w:eastAsia="Times New Roman" w:cs="Calibr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 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թվականներին՝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ևս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500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ՄՎտ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հզորության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արևային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կայաններ՝ զուգահեռաբար ներդնելով նաև շուկայական մեխանիզմներ կուտակիչ (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) կայանների կառուցումը խթանելու համար։</w:t>
            </w:r>
          </w:p>
          <w:p w14:paraId="220D6F5C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Արևային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կայանների, այդ թվում՝ ինքնավար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էներգաարտադրության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տեղակայանքների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աճի ներկայիս տեմպերով հիշյալ ռազմավարական ծրագրով 2030 թվականի համար նախատեսված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թիրախը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(1000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ՄՎտ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հզորություն) արդեն իսկ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գերազանցվել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է 2025 թվականին, ինչը մի շարք հանգամանքներով պայմանավորված, առաջացնում է լուրջ համակարգային խնդիրներ։ Մասնավորապես, երկրում առկա չէ էլեկտրական էներգիայի նման պահանջարկ</w:t>
            </w:r>
            <w:r w:rsidRPr="006B16A4">
              <w:rPr>
                <w:rFonts w:ascii="MS Gothic" w:eastAsia="MS Gothic" w:hAnsi="MS Gothic" w:cs="MS Gothic" w:hint="eastAsia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․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նման մեծ ծավալով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արևային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կայանների աշխատանքի՝ ցերեկային ժամերին համակարգում առաջանում է էլեկտրական էներգիայի ավելցուկ, որը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կայանների բացակայությամբ պայմանավորված հնարավոր չէ կուտակել, իսկ Հայաստան - Վրաստան և Իրան – Հայաստան համապատասխան ենթակառուցվածքների՝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դեռևս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կառուցված չլինելու պատճառով հնարավոր չէ նաև արտահանել, ինչի արդյունքում համակարգում առաջանում են մի շարք խնդիրներ, այդ թվում՝ լարման տատանումներ, հաճախականության շեղումներ և այլն։ Առաջանում է վերականգնվող էներգետիկայի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ինտեգրման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կարգավորման անհրաժեշտություն, քանի որ գագաթային արտադրության ժամանակ համակարգը հաճախ չկարողանալով ընդունել հավելյալ ծավալներ՝ ստիպված է լինում սահմանափակել արտադրությունը։ Միաժամանակ, առաջանում է պահուստային հզորությունների մեծ պահանջարկ, ինչը բարձրացնում է համակարգի ընդհանուր ծախսերը և ազդում վերջնական սպառողի սակագնի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ձևավորման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վրա։</w:t>
            </w:r>
          </w:p>
          <w:p w14:paraId="7875DC08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Որպես նշված խնդիրների լուծման տարբերակ կարող է ծառայել հնարավորինս սեղմ ժամկետում էներգիա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կայանների ներդրումն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էլեկտրաէներգետիկական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համակարգում, ինչպես նաև բնագավառի լիազոր մարմնին 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ցանկացած տեսակի կայանում էլեկտրական էներգիայի արտադրության՝ հանձնաժողովի կողմից տրամադրվող լիցենզիաների, ինչպես նաև ինքնավար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էներգաարտադրողների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և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միկրոէներգաարտադրողների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արտադրող կայանների միացման շրջանակներում գումարային հզորությունների առավելագույն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չափաքանակներ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սահմանելու իրավասության վերապահումը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։</w:t>
            </w:r>
          </w:p>
          <w:p w14:paraId="5C872746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  <w:p w14:paraId="47FA98BF" w14:textId="77777777" w:rsidR="006B16A4" w:rsidRPr="006B16A4" w:rsidRDefault="006B16A4" w:rsidP="006B16A4">
            <w:pPr>
              <w:numPr>
                <w:ilvl w:val="0"/>
                <w:numId w:val="1"/>
              </w:numPr>
              <w:spacing w:before="0" w:after="0"/>
              <w:contextualSpacing/>
              <w:rPr>
                <w:rFonts w:ascii="GHEA Grapalat" w:eastAsia="Times New Roman" w:hAnsi="GHEA Grapalat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6B16A4">
              <w:rPr>
                <w:rFonts w:ascii="GHEA Grapalat" w:eastAsia="Times New Roman" w:hAnsi="GHEA Grapalat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>Կարգավորման նպատակը և ակնկալվող արդյունքը</w:t>
            </w:r>
          </w:p>
          <w:p w14:paraId="73C2BBF0" w14:textId="77777777" w:rsidR="006B16A4" w:rsidRPr="006B16A4" w:rsidRDefault="006B16A4" w:rsidP="006B16A4">
            <w:pPr>
              <w:spacing w:after="0"/>
              <w:ind w:left="720"/>
              <w:contextualSpacing/>
              <w:rPr>
                <w:rFonts w:ascii="GHEA Grapalat" w:eastAsia="Times New Roman" w:hAnsi="GHEA Grapalat"/>
                <w:b/>
                <w:bCs/>
                <w:color w:val="000000"/>
                <w:spacing w:val="-4"/>
                <w:sz w:val="10"/>
                <w:szCs w:val="10"/>
                <w:lang w:eastAsia="ru-RU"/>
              </w:rPr>
            </w:pPr>
          </w:p>
          <w:p w14:paraId="10B0DD40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Էներգետիկայի բնագավառի զարգացման ռազմավարական ծրագրին և միջազգային լավագույն փորձին համահունչ՝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էլեկտրաէներգետիկական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համակարգում էներգիա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կայանների ներդրման նպատակով նախագծերով առաջարկվում է՝</w:t>
            </w:r>
          </w:p>
          <w:p w14:paraId="6C24ABDA" w14:textId="77777777" w:rsidR="006B16A4" w:rsidRPr="006B16A4" w:rsidRDefault="006B16A4" w:rsidP="006B16A4">
            <w:pPr>
              <w:numPr>
                <w:ilvl w:val="0"/>
                <w:numId w:val="2"/>
              </w:numPr>
              <w:spacing w:before="0" w:after="0"/>
              <w:ind w:left="0"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որպես էներգետիկայի բնագավառում լիցենզավորման ենթակա գործունեության նոր տեսակ նախատեսել էներգիայի պահեստավորումը՝ կայանի կառուցման և էներգիայի պահեստավորման փուլերով (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ժամանակահատվածներով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)։ Նման լիցենզիա ունեցող 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անձին կտրվի լիցենզիայով սահմանված տարածքում էներգիա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 կառուցելու (վերակառուցելու), շուկայի կանոնների համաձայն մեծածախ շուկայում էլեկտրական էներգիա գնելու և վաճառելու, շուկայի մասնակիցներին պահեստավորման ծառայություն մատուցելու իրավունք։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Ընդ որում, լիցենզավորման ենթակա չի լինի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մինչև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1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ՄՎտ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հզորությամբ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կայանում էներգիայի պահեստավորման գործունեությունը՝ կառուցման և պահեստավորման ժամանակահատվածներում, ինչպես նաև 1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ՄՎտ-ից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ավելի հզորությամբ կայանում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բացառապես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սեփական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կարիքների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համար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էներգիայի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պահեստավորման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գործունեությունը՝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պահեստավորման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ժամանակահատվածում.</w:t>
            </w:r>
          </w:p>
          <w:p w14:paraId="55E1AE99" w14:textId="77777777" w:rsidR="006B16A4" w:rsidRPr="006B16A4" w:rsidRDefault="006B16A4" w:rsidP="006B16A4">
            <w:pPr>
              <w:numPr>
                <w:ilvl w:val="0"/>
                <w:numId w:val="2"/>
              </w:numPr>
              <w:spacing w:before="0" w:after="0"/>
              <w:ind w:left="0"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ստեղծել հնարավորություն էներգիայի պահեստավորման լիցենզիաները տրամադրել էներգիայի պահեստավորման երաշխիքով՝ սակագնային կարգավորմամբ (նաև ՊՄԳ գործարքների շրջանակում), կամ առանց այդ երաշխիքի՝ մրցակցային պայմաններով։ </w:t>
            </w:r>
          </w:p>
          <w:p w14:paraId="4DF40CB5" w14:textId="77777777" w:rsidR="006B16A4" w:rsidRPr="006B16A4" w:rsidRDefault="006B16A4" w:rsidP="006B16A4">
            <w:pPr>
              <w:spacing w:before="0" w:after="0"/>
              <w:ind w:firstLine="342"/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Էներգիայի պահեստավորման երաշխիքով լիցենզիա ունեցող անձը հանձնաժողովի սահմանած սակագնով պարտավորված կլինի էներգիայի պահեստավորման ծառայություն մատուցել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էլեկտրաէներգետիկական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համակարգի օպերատորի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կարգավարական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հրահանգներին համապատասխան՝ շուկայի կանոններով սահմանված դեպքերում և կարգով։</w:t>
            </w:r>
          </w:p>
          <w:p w14:paraId="26984F87" w14:textId="77777777" w:rsidR="006B16A4" w:rsidRPr="006B16A4" w:rsidRDefault="006B16A4" w:rsidP="006B16A4">
            <w:pPr>
              <w:spacing w:before="0" w:after="0"/>
              <w:ind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Բնագավառի լիազոր մարմնի առաջարկի հիման վրա 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ՀՀ հանրային ծառայությունները կարգավորող 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հանձնաժողովի կողմից այս լիցենզիաները կտրամադրվեն մրցութային եղանակով։ Մրցույթի անցկացման կարգն ու պայմանները կսահմանվեն հանձնաժողովի կողմից։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Միաժամանակ, հաշվի առնելով, որ պետություն-մասնավոր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գործընկերություն</w:t>
            </w:r>
            <w:proofErr w:type="spellEnd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ծրագրերի իրականացման շրջանակում արդեն իսկ առկա են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ձևավորված</w:t>
            </w:r>
            <w:proofErr w:type="spellEnd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համապատասխան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կարգավորումներ</w:t>
            </w:r>
            <w:proofErr w:type="spellEnd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, այդ թվում՝ մրցութային ընթացակարգերի վերաբերյալ (մասնավորապես «Պետություն-մասնավոր գործընկերության մասին» օրենքում), նախագծով ամրագրվել է, որ հանձնաժողովի կողմից թե վերոնշյալ մրցույթի անցկացումը, թե դրա կարգի ու պայմանների սահմանումը պետք է իրականացվի՝ հաշվի առնելով պետություն-մասնավոր գործընկերության մասին օրենսդրության կիրառելի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կարգավորումները</w:t>
            </w:r>
            <w:proofErr w:type="spellEnd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՝ բացառելու համար դրանց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միջև</w:t>
            </w:r>
            <w:proofErr w:type="spellEnd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հնարավոր հակասությունները կամ իրավական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բացերը</w:t>
            </w:r>
            <w:proofErr w:type="spellEnd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.  </w:t>
            </w:r>
          </w:p>
          <w:p w14:paraId="3C2FA45E" w14:textId="77777777" w:rsidR="006B16A4" w:rsidRPr="006B16A4" w:rsidRDefault="006B16A4" w:rsidP="006B16A4">
            <w:pPr>
              <w:numPr>
                <w:ilvl w:val="0"/>
                <w:numId w:val="2"/>
              </w:numPr>
              <w:spacing w:before="0" w:after="0"/>
              <w:ind w:left="0"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իրավասություն վերապահել բնագավառի լիազոր մարմնին՝ առաջարկություններ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ներկայացնել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հանձնաժողովին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մինչև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30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ՄՎտ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հզորությամբ </w:t>
            </w:r>
            <w:proofErr w:type="spellStart"/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պահեստավորող</w:t>
            </w:r>
            <w:proofErr w:type="spellEnd"/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կայաններում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էներգիայի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պահեստավորման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՝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հանձնաժողովի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կողմից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տրամադրվող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լիցենզիաների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շրջանակներում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գումարային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հզորությունների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առավելագույն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</w:t>
            </w:r>
            <w:r w:rsidRPr="006B16A4">
              <w:rPr>
                <w:rFonts w:ascii="GHEA Grapalat" w:eastAsia="Times New Roman" w:hAnsi="GHEA Grapalat" w:cs="Sylfaen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չափաքանակների վերաբերյալ.</w:t>
            </w:r>
          </w:p>
          <w:p w14:paraId="0AC17814" w14:textId="77777777" w:rsidR="006B16A4" w:rsidRPr="006B16A4" w:rsidRDefault="006B16A4" w:rsidP="006B16A4">
            <w:pPr>
              <w:numPr>
                <w:ilvl w:val="0"/>
                <w:numId w:val="2"/>
              </w:numPr>
              <w:spacing w:before="0" w:after="0"/>
              <w:ind w:left="0"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 նախատեսել էներգիայի պահեստավորման գործունեությամբ զբաղվելու սահմանափակումներ էլեկտրական էներգիայի հաղորդման և բաշխման լիցենզիա ունեցող անձանց համար, </w:t>
            </w: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shd w:val="clear" w:color="auto" w:fill="FFFFFF"/>
                <w:lang w:eastAsia="ru-RU"/>
                <w14:ligatures w14:val="standardContextual"/>
              </w:rPr>
              <w:t>ինչը միտված է բացառելու, որ այս անձինք՝ իրենց գերիշխող դիրքից և տեղեկատվական առավելությունից օգտվելով, խեղաթյուրեն շուկան կամ ստանան մրցակցային առավելություն այդ գործունեությամբ զբաղվող շուկայի այլ մասնակիցների նկատմամբ</w:t>
            </w: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։</w:t>
            </w:r>
          </w:p>
          <w:p w14:paraId="3B284725" w14:textId="77777777" w:rsidR="006B16A4" w:rsidRPr="006B16A4" w:rsidRDefault="006B16A4" w:rsidP="006B16A4">
            <w:pPr>
              <w:spacing w:before="0" w:after="0"/>
              <w:ind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10"/>
                <w:szCs w:val="10"/>
                <w:lang w:eastAsia="ru-RU"/>
                <w14:ligatures w14:val="standardContextual"/>
              </w:rPr>
            </w:pPr>
          </w:p>
          <w:p w14:paraId="133E32E8" w14:textId="77777777" w:rsidR="006B16A4" w:rsidRPr="006B16A4" w:rsidRDefault="006B16A4" w:rsidP="006B16A4">
            <w:pPr>
              <w:spacing w:before="0" w:after="0"/>
              <w:ind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Կազմակերպությունների կողմից իրական ներդրումների կատարման ապահովման և  համապատասխան լիցենզիաների սպեկուլյատիվ ձեռքբերումն ու հետագայում դրանց՝ բարձր գնով օտարման գործելակերպը կանխելու նպատակով՝ «Էներգետիկայի մասին» օրենքում լրացումներ և փոփոխություններ կատարելու մասին» օրենքի նախագծով առաջարկվում է նաև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լրամշակել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լիցենզավորված գործունեության իրականացման համար երաշխիքների ներկայացման և դրանցով սահմանված գումարները պետական բյուջե փոխանցման վերաբերյալ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կարգավորումները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։</w:t>
            </w:r>
          </w:p>
          <w:p w14:paraId="5433A74D" w14:textId="77777777" w:rsidR="006B16A4" w:rsidRPr="006B16A4" w:rsidRDefault="006B16A4" w:rsidP="006B16A4">
            <w:pPr>
              <w:spacing w:before="0" w:after="0"/>
              <w:ind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   Մասնավորապես, ներկայումս օրենքի համաձայն՝ նման երաշխիք ներկայացվում է կառուցման ժամանակահատված ներառող էլեկտրական կամ ջերմային էներգիայի արտադրության (ներառյալ՝ էլեկտրական և ջերմային էներգիայի համակցված արտադրության) լիցենզիա ստանալու, արտադրության լիցենզիայում վերակառուցման ժամանակահատված ամրագրելու, նշված ժամանակահատվածները երկարաձգելու նպատակով։ Երաշխիքային գումարը պետական բյուջե փոխանցելու դեպքերը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ևս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սահմանված են օրենքով, մինչդեռ ներկայացման և հետագայում բյուջե փոխանցման ենթակա երաշխիքային գումարի չափը, ինչպես նաև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չփոխանցման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դեպքը սահմանված է հանձնաժողովի իրավական ակտով։</w:t>
            </w:r>
          </w:p>
          <w:p w14:paraId="5CA61794" w14:textId="77777777" w:rsidR="006B16A4" w:rsidRPr="006B16A4" w:rsidRDefault="006B16A4" w:rsidP="006B16A4">
            <w:pPr>
              <w:spacing w:before="0" w:after="0"/>
              <w:ind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Նախագծով առաջարկվում է՝</w:t>
            </w:r>
          </w:p>
          <w:p w14:paraId="6AE3641A" w14:textId="77777777" w:rsidR="006B16A4" w:rsidRPr="006B16A4" w:rsidRDefault="006B16A4" w:rsidP="006B16A4">
            <w:pPr>
              <w:numPr>
                <w:ilvl w:val="0"/>
                <w:numId w:val="3"/>
              </w:numPr>
              <w:spacing w:before="0" w:after="0"/>
              <w:ind w:left="0" w:firstLine="342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Լրացնել,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լրամշակել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երաշխիքի ներկայացման և պետական բյուջե փոխանցման դեպքերը՝ ամրագրելով նաև կառուցման ժամանակահատված ներառող՝ էներգիայի պահեստավորման լիցենզիայի մասով համապատասխան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կարգավորումներ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.</w:t>
            </w:r>
          </w:p>
          <w:p w14:paraId="30842365" w14:textId="77777777" w:rsidR="006B16A4" w:rsidRPr="006B16A4" w:rsidRDefault="006B16A4" w:rsidP="006B16A4">
            <w:pPr>
              <w:numPr>
                <w:ilvl w:val="0"/>
                <w:numId w:val="3"/>
              </w:numPr>
              <w:tabs>
                <w:tab w:val="left" w:pos="360"/>
              </w:tabs>
              <w:spacing w:before="0" w:after="0"/>
              <w:ind w:left="0" w:firstLine="342"/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6B16A4">
              <w:rPr>
                <w:rFonts w:ascii="GHEA Grapalat" w:eastAsia="Times New Roman" w:hAnsi="GHEA Grapalat"/>
                <w:color w:val="000000"/>
                <w:spacing w:val="-4"/>
                <w:sz w:val="24"/>
                <w:szCs w:val="24"/>
                <w:lang w:eastAsia="ru-RU"/>
              </w:rPr>
              <w:t xml:space="preserve">ներկայացման ենթակա երաշխիքային գումարի չափն ամրագրել օրենքում՝ </w:t>
            </w:r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կառուցվող կայանի (վերակառուցման դեպքում ավելացվող) հզորության և «Պետական տուրքի մասին» օրենքով սահմանված բազային տուրքի տասնապատիկի (ներկայումս սահմանված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երկուսուկեսապատիկի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փոխարեն), իսկ կառուցման </w:t>
            </w:r>
            <w:r w:rsidRPr="006B16A4">
              <w:rPr>
                <w:rFonts w:ascii="GHEA Grapalat" w:hAnsi="GHEA Grapalat"/>
                <w:sz w:val="24"/>
                <w:szCs w:val="24"/>
              </w:rPr>
              <w:t xml:space="preserve">ժամանակահատվածն առաջին անգամ </w:t>
            </w:r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երկարաձգելիս կառուցվող կայանի հզորության և բազային տուրքի քսանապատիկի, երկրորդ և հաջորդող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երկարաձգումների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պարագայում՝ երեսնապատիկի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արտադրյալին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հավասար</w:t>
            </w:r>
            <w:r w:rsidRPr="006B16A4">
              <w:rPr>
                <w:color w:val="000000"/>
              </w:rPr>
              <w:t>.</w:t>
            </w:r>
          </w:p>
          <w:p w14:paraId="584EAD89" w14:textId="77777777" w:rsidR="006B16A4" w:rsidRPr="006B16A4" w:rsidRDefault="006B16A4" w:rsidP="006B16A4">
            <w:pPr>
              <w:numPr>
                <w:ilvl w:val="0"/>
                <w:numId w:val="3"/>
              </w:numPr>
              <w:tabs>
                <w:tab w:val="left" w:pos="360"/>
              </w:tabs>
              <w:spacing w:before="0" w:after="0"/>
              <w:ind w:left="0" w:firstLine="340"/>
              <w:contextualSpacing/>
              <w:rPr>
                <w:rFonts w:ascii="GHEA Grapalat" w:hAnsi="GHEA Grapalat"/>
                <w:color w:val="000000"/>
              </w:rPr>
            </w:pPr>
            <w:r w:rsidRPr="006B16A4">
              <w:rPr>
                <w:rFonts w:ascii="GHEA Grapalat" w:hAnsi="GHEA Grapalat" w:cs="Sylfaen"/>
                <w:sz w:val="24"/>
                <w:szCs w:val="24"/>
              </w:rPr>
              <w:t>ամրագրել, որ լ</w:t>
            </w:r>
            <w:r w:rsidRPr="006B16A4">
              <w:rPr>
                <w:rFonts w:ascii="GHEA Grapalat" w:hAnsi="GHEA Grapalat"/>
                <w:sz w:val="24"/>
                <w:szCs w:val="24"/>
              </w:rPr>
              <w:t>իցենզավորված անձի ներկայացրած երաշխիքով սահմանված գումարն օրենքով</w:t>
            </w:r>
            <w:r w:rsidRPr="006B16A4">
              <w:rPr>
                <w:rFonts w:ascii="GHEA Grapalat" w:eastAsia="Aptos" w:hAnsi="GHEA Grapalat"/>
                <w:sz w:val="24"/>
                <w:szCs w:val="24"/>
              </w:rPr>
              <w:t xml:space="preserve"> </w:t>
            </w:r>
            <w:r w:rsidRPr="006B16A4">
              <w:rPr>
                <w:rFonts w:ascii="GHEA Grapalat" w:hAnsi="GHEA Grapalat"/>
                <w:sz w:val="24"/>
                <w:szCs w:val="24"/>
              </w:rPr>
              <w:t xml:space="preserve">սահմանված դեպքերում պետական բյուջե չի փոխանցվում, եթե նրա կողմից լիցենզիայի պայմանների </w:t>
            </w:r>
            <w:proofErr w:type="spellStart"/>
            <w:r w:rsidRPr="006B16A4">
              <w:rPr>
                <w:rFonts w:ascii="GHEA Grapalat" w:hAnsi="GHEA Grapalat"/>
                <w:sz w:val="24"/>
                <w:szCs w:val="24"/>
              </w:rPr>
              <w:t>չկատարումը</w:t>
            </w:r>
            <w:proofErr w:type="spellEnd"/>
            <w:r w:rsidRPr="006B16A4">
              <w:rPr>
                <w:rFonts w:ascii="GHEA Grapalat" w:hAnsi="GHEA Grapalat"/>
                <w:sz w:val="24"/>
                <w:szCs w:val="24"/>
              </w:rPr>
              <w:t xml:space="preserve"> կամ ոչ պատշաճ կատարումը </w:t>
            </w:r>
            <w:proofErr w:type="spellStart"/>
            <w:r w:rsidRPr="006B16A4">
              <w:rPr>
                <w:rFonts w:ascii="GHEA Grapalat" w:hAnsi="GHEA Grapalat"/>
                <w:sz w:val="24"/>
                <w:szCs w:val="24"/>
              </w:rPr>
              <w:t>հետևանք</w:t>
            </w:r>
            <w:proofErr w:type="spellEnd"/>
            <w:r w:rsidRPr="006B16A4">
              <w:rPr>
                <w:rFonts w:ascii="GHEA Grapalat" w:hAnsi="GHEA Grapalat"/>
                <w:sz w:val="24"/>
                <w:szCs w:val="24"/>
              </w:rPr>
              <w:t xml:space="preserve"> է անհաղթահարելի ուժի</w:t>
            </w:r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՝ սահմանելով նաև տվյալ դրույթի կիրառումն ապահովող համապատասխան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կարգավորումներ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14:paraId="5D64446C" w14:textId="77777777" w:rsidR="006B16A4" w:rsidRPr="006B16A4" w:rsidRDefault="006B16A4" w:rsidP="006B16A4">
            <w:pPr>
              <w:spacing w:after="0"/>
              <w:ind w:firstLine="342"/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Նախագծով առաջարկվում է նաև նախատեսել հնարավորություն՝ Կառավարության լիազորած մարմնի առաջարկության հիման վրա,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էլեկտրաէներգետիկական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համակարգի անվտանգության և հուսալիության ապահովման անհրաժեշտությունից ելնելով, ամրագրելու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30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ՄՎտ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հզորությամբ ցանկացած տեսակի կայանում էլեկտրական էներգիայի արտադրության՝ հանձնաժողովի կողմից տրամադրվող լիցենզիաների, ինչպես նաև ինքնավար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էներգաարտադրողների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միկրոէներգաարտադրողների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արտադրող կայանների միացման շրջանակներում գումարային հզորությունների առավելագույն </w:t>
            </w:r>
            <w:proofErr w:type="spellStart"/>
            <w:r w:rsidRPr="006B16A4">
              <w:rPr>
                <w:rFonts w:ascii="GHEA Grapalat" w:hAnsi="GHEA Grapalat" w:cs="Sylfaen"/>
                <w:sz w:val="24"/>
                <w:szCs w:val="24"/>
              </w:rPr>
              <w:t>չափաքանակներ</w:t>
            </w:r>
            <w:proofErr w:type="spellEnd"/>
            <w:r w:rsidRPr="006B16A4">
              <w:rPr>
                <w:rFonts w:ascii="GHEA Grapalat" w:hAnsi="GHEA Grapalat" w:cs="Sylfaen"/>
                <w:sz w:val="24"/>
                <w:szCs w:val="24"/>
              </w:rPr>
              <w:t xml:space="preserve"> ու համապատասխան մեխանիզմներ, որոնք հնարավորություն կտան այդ չափաքանակների սպառման դեպքում դադարեցնել համապատասխան լիցենզիաների տրամադրումը և կայանների միացումն էլեկտրական էներգիայի բաշխման և հաղորդման ցանցերին։</w:t>
            </w:r>
          </w:p>
          <w:p w14:paraId="6AA1D366" w14:textId="77777777" w:rsidR="006B16A4" w:rsidRPr="006B16A4" w:rsidRDefault="006B16A4" w:rsidP="006B16A4">
            <w:pPr>
              <w:tabs>
                <w:tab w:val="left" w:pos="360"/>
              </w:tabs>
              <w:spacing w:after="160"/>
              <w:ind w:left="340"/>
              <w:contextualSpacing/>
              <w:rPr>
                <w:rFonts w:ascii="GHEA Grapalat" w:hAnsi="GHEA Grapalat"/>
                <w:color w:val="000000"/>
                <w:sz w:val="4"/>
                <w:szCs w:val="4"/>
              </w:rPr>
            </w:pPr>
          </w:p>
          <w:p w14:paraId="5D37ED09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Նախագծի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ընդունմամբ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հնարավոր կլինի բարձրացնել էներգետիկ համակարգի կայունությանն ու անվտանգությունը, ստեղծել նոր գործարար միջավայր, ընդլայնել իրական ներդրումները բնագավառում, ապահովել սպառողների շահերի առավել արդյունավետ պաշտպանությունը՝ ծառայությունների որակի, մատչելիության և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անխափանության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տեսանկյունից։      </w:t>
            </w:r>
          </w:p>
          <w:p w14:paraId="458D4B36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14"/>
                <w:szCs w:val="14"/>
                <w:lang w:eastAsia="ru-RU"/>
                <w14:ligatures w14:val="standardContextual"/>
              </w:rPr>
            </w:pPr>
          </w:p>
        </w:tc>
      </w:tr>
      <w:tr w:rsidR="006B16A4" w:rsidRPr="006B16A4" w14:paraId="78E5D5B6" w14:textId="77777777" w:rsidTr="00A43335">
        <w:tc>
          <w:tcPr>
            <w:tcW w:w="10170" w:type="dxa"/>
          </w:tcPr>
          <w:p w14:paraId="6C8D042B" w14:textId="77777777" w:rsidR="006B16A4" w:rsidRPr="006B16A4" w:rsidRDefault="006B16A4" w:rsidP="006B16A4">
            <w:pPr>
              <w:numPr>
                <w:ilvl w:val="0"/>
                <w:numId w:val="1"/>
              </w:numPr>
              <w:spacing w:before="0" w:after="0"/>
              <w:contextualSpacing/>
              <w:rPr>
                <w:rFonts w:ascii="GHEA Grapalat" w:hAnsi="GHEA Grapalat"/>
                <w:b/>
                <w:sz w:val="24"/>
                <w:szCs w:val="24"/>
              </w:rPr>
            </w:pPr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Նախագծի մշակման գործընթացում ներգրավված</w:t>
            </w:r>
            <w:r w:rsidRPr="006B16A4">
              <w:rPr>
                <w:rFonts w:cs="Calibri"/>
                <w:b/>
                <w:color w:val="000000"/>
                <w:sz w:val="24"/>
                <w:szCs w:val="24"/>
              </w:rPr>
              <w:t> </w:t>
            </w:r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ինստիտուտները և անձինք</w:t>
            </w:r>
          </w:p>
        </w:tc>
      </w:tr>
      <w:tr w:rsidR="006B16A4" w:rsidRPr="006B16A4" w14:paraId="774CD81F" w14:textId="77777777" w:rsidTr="00A43335">
        <w:trPr>
          <w:trHeight w:val="701"/>
        </w:trPr>
        <w:tc>
          <w:tcPr>
            <w:tcW w:w="10170" w:type="dxa"/>
          </w:tcPr>
          <w:p w14:paraId="24449D22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ՀՀ տարածքային կառավարման և ենթակառուցվածքների նախարարություն</w:t>
            </w:r>
          </w:p>
        </w:tc>
      </w:tr>
      <w:tr w:rsidR="006B16A4" w:rsidRPr="006B16A4" w14:paraId="1CD28C68" w14:textId="77777777" w:rsidTr="00A43335">
        <w:tc>
          <w:tcPr>
            <w:tcW w:w="10170" w:type="dxa"/>
          </w:tcPr>
          <w:p w14:paraId="5A0C14FF" w14:textId="77777777" w:rsidR="006B16A4" w:rsidRPr="006B16A4" w:rsidRDefault="006B16A4" w:rsidP="006B16A4">
            <w:pPr>
              <w:numPr>
                <w:ilvl w:val="0"/>
                <w:numId w:val="1"/>
              </w:numPr>
              <w:spacing w:before="0" w:after="0"/>
              <w:ind w:left="-14" w:firstLine="374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Տեղեկատվություն լրացուցիչ ֆինանսական միջոցների անհրաժեշտության, պետական բյուջեի </w:t>
            </w:r>
            <w:proofErr w:type="spellStart"/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եկամուտներում</w:t>
            </w:r>
            <w:proofErr w:type="spellEnd"/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և ծախսերում սպասվելիք փոփոխությունների մասին</w:t>
            </w:r>
          </w:p>
          <w:p w14:paraId="1C8E5EAB" w14:textId="77777777" w:rsidR="006B16A4" w:rsidRPr="006B16A4" w:rsidRDefault="006B16A4" w:rsidP="006B16A4">
            <w:pPr>
              <w:spacing w:after="0" w:line="240" w:lineRule="auto"/>
              <w:ind w:left="360"/>
              <w:contextualSpacing/>
              <w:rPr>
                <w:rFonts w:ascii="GHEA Grapalat" w:hAnsi="GHEA Grapalat"/>
                <w:b/>
                <w:color w:val="000000"/>
                <w:sz w:val="12"/>
                <w:szCs w:val="12"/>
              </w:rPr>
            </w:pPr>
          </w:p>
        </w:tc>
      </w:tr>
      <w:tr w:rsidR="006B16A4" w:rsidRPr="006B16A4" w14:paraId="7636C67B" w14:textId="77777777" w:rsidTr="00A43335">
        <w:tc>
          <w:tcPr>
            <w:tcW w:w="10170" w:type="dxa"/>
          </w:tcPr>
          <w:p w14:paraId="546133CB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«Էներգետիկայի մասին» օրենքում լրացումներ և փոփոխություններ կատարելու մասին», «Լիցենզավորման մասին» օրենքում լրացում կատարելու մասին» և «Պետական տուրքի մասին» օրենքում լրացում կատարելու մասին» օրենքների նախագծերի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ընդունմամբ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 xml:space="preserve"> լրացուցիչ ֆինանսական միջոցների անհրաժեշտություն չի առաջանում, պետական բյուջեում ծախսերի փոփոխություն չի նախատեսվում, սակայն նախատեսվում է եկամուտների աճ՝ լիցենզավորման ենթակա գործունեության նոր տեսակի համար պետական տուրքի </w:t>
            </w:r>
            <w:proofErr w:type="spellStart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նախատեսման</w:t>
            </w:r>
            <w:proofErr w:type="spellEnd"/>
            <w:r w:rsidRPr="006B16A4"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24"/>
                <w:szCs w:val="24"/>
                <w:lang w:eastAsia="ru-RU"/>
                <w14:ligatures w14:val="standardContextual"/>
              </w:rPr>
              <w:t>, ինչպես նաև լիցենզավորված անձանց կողմից ներկայացման և հետագայում պետական բյուջե փոխանցման ենթակա երաշխիքային գումարի չափի ավելացման արդյունքում։</w:t>
            </w:r>
          </w:p>
          <w:p w14:paraId="300CCD8F" w14:textId="77777777" w:rsidR="006B16A4" w:rsidRPr="006B16A4" w:rsidRDefault="006B16A4" w:rsidP="006B16A4">
            <w:pPr>
              <w:spacing w:before="0" w:after="0"/>
              <w:ind w:firstLine="340"/>
              <w:rPr>
                <w:rFonts w:ascii="GHEA Grapalat" w:eastAsia="Times New Roman" w:hAnsi="GHEA Grapalat" w:cstheme="minorBidi"/>
                <w:color w:val="000000"/>
                <w:spacing w:val="-4"/>
                <w:kern w:val="2"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6B16A4" w:rsidRPr="006B16A4" w14:paraId="45085EB2" w14:textId="77777777" w:rsidTr="00A43335">
        <w:tc>
          <w:tcPr>
            <w:tcW w:w="10170" w:type="dxa"/>
          </w:tcPr>
          <w:p w14:paraId="2E694D3A" w14:textId="77777777" w:rsidR="006B16A4" w:rsidRPr="006B16A4" w:rsidRDefault="006B16A4" w:rsidP="006B16A4">
            <w:pPr>
              <w:numPr>
                <w:ilvl w:val="0"/>
                <w:numId w:val="1"/>
              </w:numPr>
              <w:spacing w:before="0" w:after="0"/>
              <w:ind w:left="-14" w:firstLine="374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Նախագծի 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 w:rsidRPr="006B16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ռազմավարություններ</w:t>
            </w:r>
            <w:proofErr w:type="spellEnd"/>
          </w:p>
          <w:p w14:paraId="18C47D52" w14:textId="77777777" w:rsidR="006B16A4" w:rsidRPr="006B16A4" w:rsidRDefault="006B16A4" w:rsidP="006B16A4">
            <w:pPr>
              <w:spacing w:after="0"/>
              <w:ind w:left="360"/>
              <w:contextualSpacing/>
              <w:rPr>
                <w:rFonts w:ascii="GHEA Grapalat" w:hAnsi="GHEA Grapalat"/>
                <w:b/>
                <w:color w:val="000000"/>
                <w:sz w:val="4"/>
                <w:szCs w:val="4"/>
              </w:rPr>
            </w:pPr>
          </w:p>
        </w:tc>
      </w:tr>
      <w:tr w:rsidR="006B16A4" w:rsidRPr="006B16A4" w14:paraId="0A602FF3" w14:textId="77777777" w:rsidTr="00A43335">
        <w:trPr>
          <w:trHeight w:val="3231"/>
        </w:trPr>
        <w:tc>
          <w:tcPr>
            <w:tcW w:w="10170" w:type="dxa"/>
          </w:tcPr>
          <w:p w14:paraId="6D25BD6F" w14:textId="77777777" w:rsidR="006B16A4" w:rsidRPr="006B16A4" w:rsidRDefault="006B16A4" w:rsidP="006B16A4">
            <w:pPr>
              <w:spacing w:before="0" w:after="0"/>
              <w:ind w:firstLine="432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>«Էներգետիկայի մասին» օրենքում լրացումներ և փոփոխություններ կատարելու մասին», «Լիցենզավորման մասին» օրենքում լրացում կատարելու մասին» և «Պետական տուրքի մասին» օրենքում լրացում կատարելու մասին» օրենքների նախագծերի ընդունումը բխում է Կառավարության 2021-2026թթ. ծրագրի 3.4 բաժնից։ Մասնավորապես, այդ բաժնի 1-ին նախադասությամբ ամրագրված է, որ Կառավարության քաղաքականությունն էներգետիկայի ոլորտում ուղղված է լինելու էներգետիկ անկախության ու անվտանգության մակարդակի բարձրացմանը, սպառողներին էլեկտրաէներգիայի հուսալի ու որակյալ մատակարարման ապահովմանը։</w:t>
            </w:r>
            <w:r w:rsidRPr="006B16A4" w:rsidDel="000057E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Սույն նախագիծն ուղղված է էներգետիկ համակարգի հուսալիության ու անվտանգության ռիսկերի նվազեցմանն ու կանխմանը, </w:t>
            </w:r>
            <w:proofErr w:type="spellStart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նաև երկրի էներգետիկ անվտանգության մակարդակի բարձրացմանը, սպառողներին էլեկտրաէներգիայի հուսալի ու որակյալ մատակարարման ապահովմանը։  </w:t>
            </w:r>
          </w:p>
          <w:p w14:paraId="5BE1454E" w14:textId="77777777" w:rsidR="006B16A4" w:rsidRPr="006B16A4" w:rsidRDefault="006B16A4" w:rsidP="006B16A4">
            <w:pPr>
              <w:spacing w:before="0" w:after="0"/>
              <w:ind w:firstLine="432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>Նախագիծը բխում է նաև Հայաստանի Հանրապետության էներգետիկայի բնագավառի զարգացման ռազմավարական ծրագրի </w:t>
            </w:r>
            <w:proofErr w:type="spellStart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2040 թվականը 2-րդ բաժնի 1-ին կետից, որի համաձայն՝ </w:t>
            </w:r>
            <w:proofErr w:type="spellStart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>արևային</w:t>
            </w:r>
            <w:proofErr w:type="spellEnd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կայանների կառուցումը, նկատի ունենալով առկա տեղական ռեսուրսները և այս տեխնոլոգիայի զարգացման միտումները ողջ աշխարհում, կլինի գերակա մնացած տեսակների նկատմամբ՝ </w:t>
            </w:r>
            <w:r w:rsidRPr="006B16A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հաշվի առնելով համակարգի հուսալիության ու անվտանգության ցուցանիշներով պայմանավորված սահմանափակումները, </w:t>
            </w:r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ինչպես նաև 3-րդ բաժնից, որում նախատեսված է, որ Կառավարությունը նպատակ ունի </w:t>
            </w:r>
            <w:proofErr w:type="spellStart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>արևային</w:t>
            </w:r>
            <w:proofErr w:type="spellEnd"/>
            <w:r w:rsidRPr="006B16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կայանների աճին զուգընթաց ներդնել նաև շուկայական մեխանիզմներ կուտակիչ կայանների կառուցումը խթանելու համար: </w:t>
            </w:r>
          </w:p>
          <w:p w14:paraId="6C2CB672" w14:textId="77777777" w:rsidR="006B16A4" w:rsidRPr="006B16A4" w:rsidRDefault="006B16A4" w:rsidP="006B16A4">
            <w:pPr>
              <w:spacing w:before="0" w:after="0"/>
              <w:ind w:firstLine="430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6B16A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Ինչպես արդեն նշվել է հիմնավորման 1-ին բաժնում, </w:t>
            </w:r>
            <w:proofErr w:type="spellStart"/>
            <w:r w:rsidRPr="006B16A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արևային</w:t>
            </w:r>
            <w:proofErr w:type="spellEnd"/>
            <w:r w:rsidRPr="006B16A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կայանների աճի ներկայիս տեմպերով հիշյալ ռազմավարական ծրագրով 2030 թվականի համար նախատեսված թիրախն արդեն իսկ </w:t>
            </w:r>
            <w:proofErr w:type="spellStart"/>
            <w:r w:rsidRPr="006B16A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գերազանցվել</w:t>
            </w:r>
            <w:proofErr w:type="spellEnd"/>
            <w:r w:rsidRPr="006B16A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է 2025 թվականին, ինչը մի շարք հանգամանքներով պայմանավորված, արդեն իսկ առաջացնում է լուրջ համակարգային խնդիրներ, որոնց լուծմանն էլ ուղղված է նախագծի ընդունումը։</w:t>
            </w:r>
          </w:p>
        </w:tc>
      </w:tr>
    </w:tbl>
    <w:p w14:paraId="271C2C8F" w14:textId="77777777" w:rsidR="006B16A4" w:rsidRPr="006B16A4" w:rsidRDefault="006B16A4" w:rsidP="006B16A4">
      <w:pPr>
        <w:spacing w:before="0" w:after="120"/>
        <w:rPr>
          <w:rFonts w:ascii="GHEA Grapalat" w:hAnsi="GHEA Grapalat" w:cs="Sylfaen"/>
          <w:b/>
          <w:sz w:val="24"/>
          <w:szCs w:val="24"/>
        </w:rPr>
      </w:pPr>
    </w:p>
    <w:p w14:paraId="7EE63506" w14:textId="77777777" w:rsidR="006B16A4" w:rsidRPr="006B16A4" w:rsidRDefault="006B16A4" w:rsidP="006B16A4">
      <w:pPr>
        <w:ind w:firstLine="90"/>
      </w:pPr>
    </w:p>
    <w:p w14:paraId="7369A091" w14:textId="77777777" w:rsidR="00FD6BC0" w:rsidRPr="006B16A4" w:rsidRDefault="00FD6BC0" w:rsidP="006B16A4">
      <w:bookmarkStart w:id="2" w:name="_GoBack"/>
      <w:bookmarkEnd w:id="2"/>
    </w:p>
    <w:sectPr w:rsidR="00FD6BC0" w:rsidRPr="006B16A4" w:rsidSect="007B2EF8">
      <w:footerReference w:type="even" r:id="rId7"/>
      <w:footerReference w:type="default" r:id="rId8"/>
      <w:pgSz w:w="11906" w:h="16838"/>
      <w:pgMar w:top="990" w:right="835" w:bottom="180" w:left="1080" w:header="70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932EA" w14:textId="77777777" w:rsidR="00AD66A8" w:rsidRDefault="00AD66A8" w:rsidP="007B2EF8">
      <w:pPr>
        <w:spacing w:before="0" w:after="0" w:line="240" w:lineRule="auto"/>
      </w:pPr>
      <w:r>
        <w:separator/>
      </w:r>
    </w:p>
  </w:endnote>
  <w:endnote w:type="continuationSeparator" w:id="0">
    <w:p w14:paraId="713F13FC" w14:textId="77777777" w:rsidR="00AD66A8" w:rsidRDefault="00AD66A8" w:rsidP="007B2E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759E4" w14:textId="43567EDE" w:rsidR="00564A24" w:rsidRPr="00AE6398" w:rsidRDefault="00564A24">
    <w:pPr>
      <w:pStyle w:val="Footer"/>
      <w:framePr w:wrap="around" w:vAnchor="text" w:hAnchor="margin" w:xAlign="right" w:y="1"/>
      <w:rPr>
        <w:rStyle w:val="PageNumber"/>
      </w:rPr>
    </w:pPr>
    <w:r w:rsidRPr="00AE6398">
      <w:fldChar w:fldCharType="begin"/>
    </w:r>
    <w:r w:rsidRPr="00AE6398">
      <w:rPr>
        <w:rStyle w:val="PageNumber"/>
      </w:rPr>
      <w:instrText xml:space="preserve">PAGE  </w:instrText>
    </w:r>
    <w:r w:rsidRPr="00AE6398">
      <w:fldChar w:fldCharType="separate"/>
    </w:r>
    <w:r w:rsidR="007B2EF8">
      <w:rPr>
        <w:rStyle w:val="PageNumber"/>
        <w:noProof/>
      </w:rPr>
      <w:t>6</w:t>
    </w:r>
    <w:r w:rsidRPr="00AE6398">
      <w:fldChar w:fldCharType="end"/>
    </w:r>
  </w:p>
  <w:p w14:paraId="391073AB" w14:textId="77777777" w:rsidR="00564A24" w:rsidRPr="00AE6398" w:rsidRDefault="00564A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4BB31" w14:textId="485251FA" w:rsidR="00564A24" w:rsidRDefault="00564A2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16A4">
      <w:rPr>
        <w:noProof/>
      </w:rPr>
      <w:t>6</w:t>
    </w:r>
    <w:r>
      <w:rPr>
        <w:noProof/>
      </w:rPr>
      <w:fldChar w:fldCharType="end"/>
    </w:r>
  </w:p>
  <w:p w14:paraId="1DEE4A4D" w14:textId="77777777" w:rsidR="00564A24" w:rsidRPr="00AE6398" w:rsidRDefault="00564A24">
    <w:pPr>
      <w:pStyle w:val="Footer"/>
      <w:ind w:right="360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F3848" w14:textId="77777777" w:rsidR="00AD66A8" w:rsidRDefault="00AD66A8" w:rsidP="007B2EF8">
      <w:pPr>
        <w:spacing w:before="0" w:after="0" w:line="240" w:lineRule="auto"/>
      </w:pPr>
      <w:r>
        <w:separator/>
      </w:r>
    </w:p>
  </w:footnote>
  <w:footnote w:type="continuationSeparator" w:id="0">
    <w:p w14:paraId="3AF49269" w14:textId="77777777" w:rsidR="00AD66A8" w:rsidRDefault="00AD66A8" w:rsidP="007B2E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A651E"/>
    <w:multiLevelType w:val="hybridMultilevel"/>
    <w:tmpl w:val="1E645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160D4"/>
    <w:multiLevelType w:val="hybridMultilevel"/>
    <w:tmpl w:val="E348DDD8"/>
    <w:lvl w:ilvl="0" w:tplc="5DA61424">
      <w:start w:val="1"/>
      <w:numFmt w:val="decimal"/>
      <w:lvlText w:val="%1)"/>
      <w:lvlJc w:val="left"/>
      <w:pPr>
        <w:ind w:left="1060" w:hanging="360"/>
      </w:pPr>
      <w:rPr>
        <w:rFonts w:ascii="GHEA Grapalat" w:hAnsi="GHEA Grapalat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7AC073AA"/>
    <w:multiLevelType w:val="hybridMultilevel"/>
    <w:tmpl w:val="5F686C38"/>
    <w:lvl w:ilvl="0" w:tplc="04190011">
      <w:start w:val="1"/>
      <w:numFmt w:val="decimal"/>
      <w:lvlText w:val="%1)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3C1"/>
    <w:rsid w:val="00163CFB"/>
    <w:rsid w:val="001C6A4A"/>
    <w:rsid w:val="001D7D49"/>
    <w:rsid w:val="001E739C"/>
    <w:rsid w:val="00294EAA"/>
    <w:rsid w:val="003E79CF"/>
    <w:rsid w:val="004113C1"/>
    <w:rsid w:val="00452317"/>
    <w:rsid w:val="00464437"/>
    <w:rsid w:val="00564A24"/>
    <w:rsid w:val="006B16A4"/>
    <w:rsid w:val="006B6A44"/>
    <w:rsid w:val="006F79A7"/>
    <w:rsid w:val="007B2EF8"/>
    <w:rsid w:val="007B3269"/>
    <w:rsid w:val="007B3B22"/>
    <w:rsid w:val="00893865"/>
    <w:rsid w:val="008C2525"/>
    <w:rsid w:val="008D4AB3"/>
    <w:rsid w:val="00A836D6"/>
    <w:rsid w:val="00AA1B2E"/>
    <w:rsid w:val="00AD66A8"/>
    <w:rsid w:val="00AE2FE0"/>
    <w:rsid w:val="00B93F5B"/>
    <w:rsid w:val="00BC4AC5"/>
    <w:rsid w:val="00CB3F8A"/>
    <w:rsid w:val="00DA140D"/>
    <w:rsid w:val="00DD49DE"/>
    <w:rsid w:val="00E568B4"/>
    <w:rsid w:val="00E70A27"/>
    <w:rsid w:val="00F6123D"/>
    <w:rsid w:val="00F85E2D"/>
    <w:rsid w:val="00FD6BC0"/>
    <w:rsid w:val="00FF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F37D3"/>
  <w15:chartTrackingRefBased/>
  <w15:docId w15:val="{8DA41DF7-C2DD-4C54-87F1-FDF94D374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A24"/>
    <w:pPr>
      <w:spacing w:before="240" w:after="200" w:line="360" w:lineRule="auto"/>
      <w:jc w:val="both"/>
    </w:pPr>
    <w:rPr>
      <w:rFonts w:ascii="Calibri" w:eastAsia="Calibri" w:hAnsi="Calibri" w:cs="Times New Roman"/>
      <w:kern w:val="0"/>
      <w:lang w:val="hy-AM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1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3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3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3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3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3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3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3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3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3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3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3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3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3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3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3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3C1"/>
    <w:rPr>
      <w:i/>
      <w:iCs/>
      <w:color w:val="404040" w:themeColor="text1" w:themeTint="BF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Dot pt,List1"/>
    <w:basedOn w:val="Normal"/>
    <w:link w:val="ListParagraphChar"/>
    <w:uiPriority w:val="34"/>
    <w:qFormat/>
    <w:rsid w:val="004113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3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3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3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3C1"/>
    <w:rPr>
      <w:b/>
      <w:bCs/>
      <w:smallCaps/>
      <w:color w:val="0F4761" w:themeColor="accent1" w:themeShade="BF"/>
      <w:spacing w:val="5"/>
    </w:rPr>
  </w:style>
  <w:style w:type="character" w:styleId="PageNumber">
    <w:name w:val="page number"/>
    <w:basedOn w:val="DefaultParagraphFont"/>
    <w:rsid w:val="00564A24"/>
  </w:style>
  <w:style w:type="paragraph" w:styleId="Footer">
    <w:name w:val="footer"/>
    <w:basedOn w:val="Normal"/>
    <w:link w:val="FooterChar"/>
    <w:uiPriority w:val="99"/>
    <w:rsid w:val="00564A2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A24"/>
    <w:rPr>
      <w:rFonts w:ascii="Calibri" w:eastAsia="Calibri" w:hAnsi="Calibri" w:cs="Times New Roman"/>
      <w:kern w:val="0"/>
      <w:lang w:val="hy-AM"/>
      <w14:ligatures w14:val="none"/>
    </w:rPr>
  </w:style>
  <w:style w:type="character" w:customStyle="1" w:styleId="namak">
    <w:name w:val="namak Знак"/>
    <w:link w:val="namak0"/>
    <w:locked/>
    <w:rsid w:val="00564A24"/>
    <w:rPr>
      <w:rFonts w:ascii="GHEA Grapalat" w:eastAsia="Times New Roman" w:hAnsi="GHEA Grapalat"/>
      <w:spacing w:val="-4"/>
      <w:sz w:val="24"/>
      <w:szCs w:val="24"/>
      <w:lang w:eastAsia="ru-RU"/>
    </w:rPr>
  </w:style>
  <w:style w:type="paragraph" w:customStyle="1" w:styleId="namak0">
    <w:name w:val="namak"/>
    <w:basedOn w:val="Normal"/>
    <w:link w:val="namak"/>
    <w:rsid w:val="00564A24"/>
    <w:pPr>
      <w:spacing w:before="0" w:after="0" w:line="400" w:lineRule="exact"/>
      <w:ind w:firstLine="397"/>
    </w:pPr>
    <w:rPr>
      <w:rFonts w:ascii="GHEA Grapalat" w:eastAsia="Times New Roman" w:hAnsi="GHEA Grapalat" w:cstheme="minorBidi"/>
      <w:spacing w:val="-4"/>
      <w:kern w:val="2"/>
      <w:sz w:val="24"/>
      <w:szCs w:val="24"/>
      <w:lang w:val="ru-RU" w:eastAsia="ru-RU"/>
      <w14:ligatures w14:val="standardContextual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qFormat/>
    <w:rsid w:val="00564A24"/>
  </w:style>
  <w:style w:type="paragraph" w:styleId="Header">
    <w:name w:val="header"/>
    <w:basedOn w:val="Normal"/>
    <w:link w:val="HeaderChar"/>
    <w:uiPriority w:val="99"/>
    <w:unhideWhenUsed/>
    <w:rsid w:val="007B2EF8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EF8"/>
    <w:rPr>
      <w:rFonts w:ascii="Calibri" w:eastAsia="Calibri" w:hAnsi="Calibri" w:cs="Times New Roman"/>
      <w:kern w:val="0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1278</Words>
  <Characters>10437</Characters>
  <Application>Microsoft Office Word</Application>
  <DocSecurity>0</DocSecurity>
  <Lines>191</Lines>
  <Paragraphs>31</Paragraphs>
  <ScaleCrop>false</ScaleCrop>
  <Company/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Gh</dc:creator>
  <cp:keywords>https://mul2.gov.am/tasks/1298621/oneclick?token=ca9262a81164271daa8649e8d6fb4f9b</cp:keywords>
  <dc:description/>
  <cp:lastModifiedBy>Silva Martirosyan</cp:lastModifiedBy>
  <cp:revision>24</cp:revision>
  <dcterms:created xsi:type="dcterms:W3CDTF">2025-12-26T10:09:00Z</dcterms:created>
  <dcterms:modified xsi:type="dcterms:W3CDTF">2026-03-31T13:06:00Z</dcterms:modified>
</cp:coreProperties>
</file>