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03D27B">
      <w:pPr>
        <w:spacing w:after="0" w:line="360" w:lineRule="auto"/>
        <w:jc w:val="center"/>
        <w:rPr>
          <w:b/>
          <w:lang w:val="hy-AM"/>
        </w:rPr>
      </w:pPr>
      <w:r>
        <w:rPr>
          <w:b/>
          <w:lang w:val="hy-AM"/>
        </w:rPr>
        <w:t>ԱՄՓՈՓԱԹԵՐԹ</w:t>
      </w:r>
    </w:p>
    <w:p w14:paraId="72EEE102">
      <w:pPr>
        <w:spacing w:line="360" w:lineRule="auto"/>
        <w:ind w:firstLine="720"/>
        <w:jc w:val="center"/>
        <w:rPr>
          <w:b/>
          <w:lang w:val="hy-AM"/>
        </w:rPr>
      </w:pPr>
      <w:r>
        <w:rPr>
          <w:b/>
          <w:lang w:val="hy-AM"/>
        </w:rPr>
        <w:t>«ՇՐՋԱԿԱ ՄԻՋԱՎԱՅՐԻ ՎՐԱ ԱԶԴԵՑՈՒԹՅԱՆ ԳՆԱՀԱՏՄԱՆ ԵՎ ՓՈՐՁԱՔՆՆՈՒԹՅԱՆ ՄԱՍԻՆ ՕՐԵՆՔՈՒՄ ԼՐԱՑՈՒՄՆԵՐ ԵՎ ՓՈՓՈԽՈՒԹՅՈՒՆ ԿԱՏԱՐԵԼՈՒ ՄԱՍԻՆ» ԵՎ «ՊԵՏԱԿԱՆ ՏՈՒՐՔԻ ՄԱՍԻՆ ՕՐԵՆՔՈՒՄ ԼՐԱՑՈՒՄ ԿԱՏԱՐԵԼՈՒ ՄԱՍԻՆ» ՕՐԵՆՔՆԵՐԻ ՆԱԽԱԳԾԵՐԻ ԴԻՏՈՂՈՒԹՅՈՒՆՆԵՐԻ ԵՎ ԱՌԱՋԱՐԿՈՒԹՅՈՒՆՆԵՐԻ</w:t>
      </w:r>
    </w:p>
    <w:tbl>
      <w:tblPr>
        <w:tblStyle w:val="9"/>
        <w:tblpPr w:leftFromText="180" w:rightFromText="180" w:vertAnchor="text" w:tblpY="1"/>
        <w:tblOverlap w:val="never"/>
        <w:tblW w:w="148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86"/>
        <w:gridCol w:w="5953"/>
      </w:tblGrid>
      <w:tr w14:paraId="263D3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86" w:type="dxa"/>
            <w:vMerge w:val="restart"/>
            <w:shd w:val="clear" w:color="auto" w:fill="D8D8D8" w:themeFill="background1" w:themeFillShade="D9"/>
            <w:vAlign w:val="center"/>
          </w:tcPr>
          <w:p w14:paraId="160F211D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ՎԱՐՉԱՊԵՏԻ ԱՇԽԱՏԱԿԱԶՄԻ</w:t>
            </w:r>
          </w:p>
          <w:p w14:paraId="25B6AEC3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ՏԱՐԱԾՔԱՅԻՆ ԶԱՐԳԱՑՄԱՆ ԵՎ ՇՐՋԱԿԱ ՄԻՋԱՎԱՅՐԻ ՀԱՐՑԵՐԻ ՎԱՐՉՈՒԹՅՈՒՆ</w:t>
            </w:r>
          </w:p>
        </w:tc>
        <w:tc>
          <w:tcPr>
            <w:tcW w:w="5953" w:type="dxa"/>
            <w:shd w:val="clear" w:color="auto" w:fill="D8D8D8" w:themeFill="background1" w:themeFillShade="D9"/>
            <w:vAlign w:val="center"/>
          </w:tcPr>
          <w:p w14:paraId="555EF00D">
            <w:pPr>
              <w:jc w:val="center"/>
            </w:pPr>
            <w:r>
              <w:t>24</w:t>
            </w:r>
            <w:r>
              <w:rPr>
                <w:rFonts w:ascii="Cambria Math" w:hAnsi="Cambria Math" w:cs="Cambria Math"/>
              </w:rPr>
              <w:t>․</w:t>
            </w:r>
            <w:r>
              <w:t>03</w:t>
            </w:r>
            <w:r>
              <w:rPr>
                <w:rFonts w:ascii="Cambria Math" w:hAnsi="Cambria Math" w:cs="Cambria Math"/>
              </w:rPr>
              <w:t>․</w:t>
            </w:r>
            <w:r>
              <w:t>2026թ</w:t>
            </w:r>
            <w:r>
              <w:rPr>
                <w:rFonts w:ascii="Cambria Math" w:hAnsi="Cambria Math" w:cs="Cambria Math"/>
              </w:rPr>
              <w:t>․</w:t>
            </w:r>
          </w:p>
        </w:tc>
      </w:tr>
      <w:tr w14:paraId="1B70F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86" w:type="dxa"/>
            <w:vMerge w:val="continue"/>
            <w:shd w:val="clear" w:color="auto" w:fill="D8D8D8" w:themeFill="background1" w:themeFillShade="D9"/>
          </w:tcPr>
          <w:p w14:paraId="3116A3CE">
            <w:pPr>
              <w:spacing w:after="0" w:line="360" w:lineRule="auto"/>
              <w:jc w:val="both"/>
              <w:rPr>
                <w:rFonts w:cs="GHEA Grapalat"/>
                <w:lang w:val="hy-AM"/>
              </w:rPr>
            </w:pPr>
          </w:p>
        </w:tc>
        <w:tc>
          <w:tcPr>
            <w:tcW w:w="5953" w:type="dxa"/>
            <w:shd w:val="clear" w:color="auto" w:fill="D8D8D8" w:themeFill="background1" w:themeFillShade="D9"/>
            <w:vAlign w:val="center"/>
          </w:tcPr>
          <w:p w14:paraId="0F087682">
            <w:pPr>
              <w:jc w:val="center"/>
            </w:pPr>
            <w:r>
              <w:t>N02/12.23/9458</w:t>
            </w:r>
          </w:p>
        </w:tc>
      </w:tr>
      <w:tr w14:paraId="5225F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86" w:type="dxa"/>
            <w:shd w:val="clear" w:color="auto" w:fill="auto"/>
          </w:tcPr>
          <w:p w14:paraId="434FFF95">
            <w:pPr>
              <w:pStyle w:val="11"/>
              <w:numPr>
                <w:ilvl w:val="0"/>
                <w:numId w:val="1"/>
              </w:numPr>
              <w:spacing w:after="0" w:line="360" w:lineRule="auto"/>
              <w:ind w:left="60" w:firstLine="300"/>
              <w:jc w:val="both"/>
              <w:rPr>
                <w:bCs/>
                <w:lang w:val="hy-AM"/>
              </w:rPr>
            </w:pPr>
            <w:r>
              <w:rPr>
                <w:rFonts w:eastAsia="Tahoma" w:cs="Tahoma"/>
                <w:lang w:val="hy-AM"/>
              </w:rPr>
              <w:t>Համաձայն Նախագծերին կից ներկայացված հիմնավորման (այսուհետ՝ Հիմնավորում)՝ Հայաստանի Հանրապետությունը հանդիսանում է ՄԱԿ-ի ԵՏՀ «Անդրսահմանային համատեքստում շրջակա միջավայրի վրա ազդեցության գնահատման մասին» (Էսպո), «Շրջակա</w:t>
            </w:r>
            <w:r>
              <w:rPr>
                <w:rFonts w:ascii="Calibri" w:hAnsi="Calibri" w:eastAsia="Tahoma" w:cs="Calibri"/>
                <w:lang w:val="hy-AM"/>
              </w:rPr>
              <w:t> </w:t>
            </w:r>
            <w:r>
              <w:rPr>
                <w:rFonts w:eastAsia="Tahoma" w:cs="Tahoma"/>
                <w:lang w:val="hy-AM"/>
              </w:rPr>
              <w:t>միջավայրի առնչությամբ տեղեկության, որոշումներ ընդունելուն հասարակության մասնակցության</w:t>
            </w:r>
            <w:r>
              <w:rPr>
                <w:rFonts w:ascii="Calibri" w:hAnsi="Calibri" w:eastAsia="Tahoma" w:cs="Calibri"/>
                <w:lang w:val="hy-AM"/>
              </w:rPr>
              <w:t> </w:t>
            </w:r>
            <w:r>
              <w:rPr>
                <w:rFonts w:eastAsia="Tahoma" w:cs="Tahoma"/>
                <w:lang w:val="hy-AM"/>
              </w:rPr>
              <w:t xml:space="preserve">և արդարադատության մատչելիության մասին» (Օրհուս) կոնվենցիաների (այսուհետ՝ Կոնվենցիաներ) արձանագրության կողմ երկիր, ինչով և պայմանավորված է «Շրջակա միջավայրի վրա ազդեցության գնահատման և փորձաքննության մասին» օրենքում (այսուհետ՝ Օրենք) լրացումներ և փոփոխություն կատարելու անհրաժեշտությունը, որն էլ իր հերթին բխում է Կոնվենցիաների և ՌԷԳ արձանագրության պահանջներին ազգային օրենսդրությունը լիարժեք համապատասխանեցնելու պարտավորությունից, սակայն հարկ է նկատել, որ Հիմնավորման բովանդակությամբ հստակ, թիրախային և ամբողջությամբ ներկայացված չեն Կոնվենցիաներից բխող  բոլոր այն դրույթները և կարգավորումները, որոնց ընդունմամբ հնարավոր կլինի արձանագրել համապատասխան պարտավորությունների կատարման մասին՝ հաշվի առնելով Նախագծերով ներկայացված, ի թիվս կոնվենցիաների պահանջների, այլ տարաբնույթ փոփոխությունները և լրացումները, ուստի՝ առաջարկում ենք </w:t>
            </w:r>
            <w:r>
              <w:rPr>
                <w:bCs/>
                <w:lang w:val="hy-AM"/>
              </w:rPr>
              <w:t>լրացուցիչ լրամշակել Հիմնավորումը՝ հստակ և առարկայական ներկայացնելով Կոնվենցիաներից բխող յուրաքանչյուր փոփոխությունն առանձին։</w:t>
            </w:r>
          </w:p>
        </w:tc>
        <w:tc>
          <w:tcPr>
            <w:tcW w:w="5953" w:type="dxa"/>
            <w:shd w:val="clear" w:color="auto" w:fill="auto"/>
          </w:tcPr>
          <w:p w14:paraId="1E9321AA">
            <w:pPr>
              <w:spacing w:after="0" w:line="360" w:lineRule="auto"/>
              <w:jc w:val="center"/>
              <w:rPr>
                <w:rFonts w:cs="GHEA Grapalat"/>
                <w:lang w:val="hy-AM"/>
              </w:rPr>
            </w:pPr>
            <w:r>
              <w:rPr>
                <w:rFonts w:cs="GHEA Grapalat"/>
                <w:lang w:val="hy-AM"/>
              </w:rPr>
              <w:t>Ընդունվել է</w:t>
            </w:r>
          </w:p>
        </w:tc>
      </w:tr>
      <w:tr w14:paraId="07647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86" w:type="dxa"/>
            <w:shd w:val="clear" w:color="auto" w:fill="auto"/>
          </w:tcPr>
          <w:p w14:paraId="28B58F9B">
            <w:pPr>
              <w:spacing w:after="0" w:line="360" w:lineRule="auto"/>
              <w:ind w:left="-23" w:firstLine="360"/>
              <w:jc w:val="both"/>
              <w:rPr>
                <w:bCs/>
                <w:lang w:val="hy-AM"/>
              </w:rPr>
            </w:pPr>
            <w:r>
              <w:rPr>
                <w:rFonts w:eastAsia="Tahoma" w:cs="Tahoma"/>
                <w:lang w:val="hy-AM"/>
              </w:rPr>
              <w:t>2</w:t>
            </w:r>
            <w:r>
              <w:rPr>
                <w:rFonts w:ascii="Cambria Math" w:hAnsi="Cambria Math" w:eastAsia="Tahoma" w:cs="Cambria Math"/>
                <w:lang w:val="hy-AM"/>
              </w:rPr>
              <w:t>․</w:t>
            </w:r>
            <w:r>
              <w:rPr>
                <w:rFonts w:eastAsia="Tahoma" w:cs="Tahoma"/>
                <w:lang w:val="hy-AM"/>
              </w:rPr>
              <w:t xml:space="preserve"> Հաշվի առնելով </w:t>
            </w:r>
            <w:r>
              <w:rPr>
                <w:lang w:val="hy-AM"/>
              </w:rPr>
              <w:t xml:space="preserve">«Շրջակա միջավայրի վրա ազդեցության գնահատման և փորձաքննության մասին» օրենքում փոփոխություններ և լրացումներ կատարելու մասին» օրենքի նախագծով </w:t>
            </w:r>
            <w:r>
              <w:rPr>
                <w:rStyle w:val="8"/>
                <w:lang w:val="pt-BR"/>
              </w:rPr>
              <w:t>(</w:t>
            </w:r>
            <w:r>
              <w:rPr>
                <w:rStyle w:val="8"/>
                <w:lang w:val="hy-AM"/>
              </w:rPr>
              <w:t>այսուհետ՝</w:t>
            </w:r>
            <w:r>
              <w:rPr>
                <w:rStyle w:val="8"/>
                <w:lang w:val="pt-BR"/>
              </w:rPr>
              <w:t xml:space="preserve"> </w:t>
            </w:r>
            <w:r>
              <w:rPr>
                <w:rStyle w:val="8"/>
                <w:lang w:val="hy-AM"/>
              </w:rPr>
              <w:t>Նախագիծ</w:t>
            </w:r>
            <w:r>
              <w:rPr>
                <w:rStyle w:val="8"/>
                <w:lang w:val="pt-BR"/>
              </w:rPr>
              <w:t>)</w:t>
            </w:r>
            <w:r>
              <w:rPr>
                <w:rStyle w:val="8"/>
                <w:lang w:val="hy-AM"/>
              </w:rPr>
              <w:t xml:space="preserve"> ներկայացված համապատասխան փոփոխությունների և լրացումների բնույթը՝ առաջարկում ենք այն համաձայնեցնել նաև Ազգային անվտանգության ծառայության հետ։</w:t>
            </w:r>
          </w:p>
        </w:tc>
        <w:tc>
          <w:tcPr>
            <w:tcW w:w="5953" w:type="dxa"/>
            <w:shd w:val="clear" w:color="auto" w:fill="auto"/>
          </w:tcPr>
          <w:p w14:paraId="0B1B7B72">
            <w:pPr>
              <w:spacing w:after="0" w:line="360" w:lineRule="auto"/>
              <w:ind w:left="-23" w:firstLine="360"/>
              <w:jc w:val="center"/>
              <w:rPr>
                <w:rFonts w:cs="GHEA Grapalat"/>
                <w:lang w:val="hy-AM"/>
              </w:rPr>
            </w:pPr>
            <w:r>
              <w:rPr>
                <w:rFonts w:cs="GHEA Grapalat"/>
                <w:lang w:val="hy-AM"/>
              </w:rPr>
              <w:t>Ընդունվել է</w:t>
            </w:r>
          </w:p>
        </w:tc>
      </w:tr>
      <w:tr w14:paraId="24CAF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86" w:type="dxa"/>
            <w:shd w:val="clear" w:color="auto" w:fill="auto"/>
          </w:tcPr>
          <w:p w14:paraId="6013607A">
            <w:pPr>
              <w:spacing w:after="0" w:line="360" w:lineRule="auto"/>
              <w:ind w:firstLine="247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>3</w:t>
            </w:r>
            <w:r>
              <w:rPr>
                <w:rFonts w:ascii="Cambria Math" w:hAnsi="Cambria Math" w:cs="Cambria Math"/>
                <w:bCs/>
                <w:lang w:val="hy-AM"/>
              </w:rPr>
              <w:t>․</w:t>
            </w:r>
            <w:r>
              <w:rPr>
                <w:bCs/>
                <w:lang w:val="hy-AM"/>
              </w:rPr>
              <w:t xml:space="preserve"> Տարընկալումներ չառաջացնելու նպատակով անհրաժեշտ է լրացուցիչ խմբագրել և հստակեցնել Նախագծի 1-ին հոդվածով առաջարկվող կարգավորումը, քանի որ ներկայացված կարգավորմամբ ստացվում է, որ համապատասխան գործընթացների մասին ծանուցվելու է «</w:t>
            </w:r>
            <w:r>
              <w:rPr>
                <w:b/>
                <w:bCs/>
                <w:lang w:val="hy-AM"/>
              </w:rPr>
              <w:t>հանրությունը</w:t>
            </w:r>
            <w:r>
              <w:rPr>
                <w:bCs/>
                <w:lang w:val="hy-AM"/>
              </w:rPr>
              <w:t>», սակայն փորձաքննության գործընթացներին մասնակցելու է «</w:t>
            </w:r>
            <w:r>
              <w:rPr>
                <w:b/>
                <w:bCs/>
                <w:lang w:val="hy-AM"/>
              </w:rPr>
              <w:t>շահագրգիռ հանրությունը</w:t>
            </w:r>
            <w:r>
              <w:rPr>
                <w:bCs/>
                <w:lang w:val="hy-AM"/>
              </w:rPr>
              <w:t>»՝ հաշվի առնելով նաև այն հանգամանքը, որ Նախագծի բովանդակությամբ բացահայտված չէ, թե ո՞ր «պահից» կամ ի՞նչ ընթացակարգերի արդյունքում է, օրինակ՝ շահագրգիռ հանրությունը «դառնալու», կամ հանդես գալու, որպես ուղղակի «հանրություն» կամ հակառակը։</w:t>
            </w:r>
          </w:p>
        </w:tc>
        <w:tc>
          <w:tcPr>
            <w:tcW w:w="5953" w:type="dxa"/>
            <w:shd w:val="clear" w:color="auto" w:fill="auto"/>
          </w:tcPr>
          <w:p w14:paraId="764DC7EB">
            <w:pPr>
              <w:spacing w:after="0" w:line="360" w:lineRule="auto"/>
              <w:jc w:val="center"/>
              <w:rPr>
                <w:rFonts w:cs="GHEA Grapalat"/>
                <w:b/>
                <w:lang w:val="hy-AM"/>
              </w:rPr>
            </w:pPr>
            <w:r>
              <w:rPr>
                <w:rFonts w:cs="GHEA Grapalat"/>
                <w:b/>
                <w:lang w:val="hy-AM"/>
              </w:rPr>
              <w:t>Չի ընդունվել</w:t>
            </w:r>
          </w:p>
          <w:p w14:paraId="380B36C6">
            <w:pPr>
              <w:spacing w:after="0" w:line="360" w:lineRule="auto"/>
              <w:jc w:val="center"/>
              <w:rPr>
                <w:rFonts w:cs="GHEA Grapalat"/>
                <w:lang w:val="hy-AM"/>
              </w:rPr>
            </w:pPr>
            <w:r>
              <w:rPr>
                <w:rFonts w:cs="GHEA Grapalat"/>
                <w:lang w:val="hy-AM"/>
              </w:rPr>
              <w:t xml:space="preserve">Նախագծի 2-րդ հոդվածի 2-րդ մասով վերանայվում է  </w:t>
            </w:r>
            <w:r>
              <w:rPr>
                <w:rFonts w:cs="GHEA Grapalat"/>
                <w:b/>
                <w:bCs/>
                <w:lang w:val="hy-AM"/>
              </w:rPr>
              <w:t xml:space="preserve"> «շահագրգիռ</w:t>
            </w:r>
            <w:r>
              <w:rPr>
                <w:rFonts w:ascii="Calibri" w:hAnsi="Calibri" w:cs="Calibri"/>
                <w:b/>
                <w:bCs/>
                <w:lang w:val="nb-NO"/>
              </w:rPr>
              <w:t> </w:t>
            </w:r>
            <w:r>
              <w:rPr>
                <w:rFonts w:cs="GHEA Grapalat"/>
                <w:b/>
                <w:bCs/>
                <w:lang w:val="nb-NO"/>
              </w:rPr>
              <w:t>հանրու</w:t>
            </w:r>
            <w:r>
              <w:rPr>
                <w:rFonts w:cs="GHEA Grapalat"/>
                <w:b/>
                <w:bCs/>
                <w:lang w:val="hy-AM"/>
              </w:rPr>
              <w:t xml:space="preserve">թյուն» հասկացությունը՝ </w:t>
            </w:r>
            <w:r>
              <w:rPr>
                <w:rFonts w:cs="GHEA Grapalat"/>
                <w:lang w:val="hy-AM"/>
              </w:rPr>
              <w:t>ամբողջությամբ համապատասխանեցնելով</w:t>
            </w:r>
            <w:r>
              <w:rPr>
                <w:rFonts w:cs="GHEA Grapalat"/>
                <w:b/>
                <w:bCs/>
                <w:lang w:val="hy-AM"/>
              </w:rPr>
              <w:t xml:space="preserve"> </w:t>
            </w:r>
            <w:r>
              <w:rPr>
                <w:rFonts w:cs="GHEA Grapalat"/>
                <w:lang w:val="hy-AM"/>
              </w:rPr>
              <w:t xml:space="preserve">Էսպո և Օրհուս կոնվենցիաների պահանջներին, որից հստակ պարզ է դառնում, որ </w:t>
            </w:r>
          </w:p>
          <w:p w14:paraId="5345EE3A">
            <w:pPr>
              <w:spacing w:after="0" w:line="360" w:lineRule="auto"/>
              <w:jc w:val="center"/>
              <w:rPr>
                <w:rFonts w:cs="GHEA Grapalat"/>
                <w:lang w:val="hy-AM"/>
              </w:rPr>
            </w:pPr>
            <w:r>
              <w:rPr>
                <w:rFonts w:cs="GHEA Grapalat"/>
                <w:bCs/>
                <w:lang w:val="hy-AM"/>
              </w:rPr>
              <w:t>շահագրգիռ</w:t>
            </w:r>
            <w:r>
              <w:rPr>
                <w:rFonts w:ascii="Calibri" w:hAnsi="Calibri" w:cs="Calibri"/>
                <w:bCs/>
                <w:lang w:val="nb-NO"/>
              </w:rPr>
              <w:t> </w:t>
            </w:r>
            <w:r>
              <w:rPr>
                <w:rFonts w:cs="GHEA Grapalat"/>
                <w:bCs/>
                <w:lang w:val="nb-NO"/>
              </w:rPr>
              <w:t>հանրու</w:t>
            </w:r>
            <w:r>
              <w:rPr>
                <w:rFonts w:cs="GHEA Grapalat"/>
                <w:bCs/>
                <w:lang w:val="hy-AM"/>
              </w:rPr>
              <w:t>թյունը</w:t>
            </w:r>
            <w:r>
              <w:rPr>
                <w:rFonts w:cs="GHEA Grapalat"/>
                <w:lang w:val="nb-NO"/>
              </w:rPr>
              <w:t xml:space="preserve"> </w:t>
            </w:r>
            <w:r>
              <w:rPr>
                <w:rFonts w:cs="GHEA Grapalat"/>
                <w:lang w:val="hy-AM"/>
              </w:rPr>
              <w:t>ընդունվող</w:t>
            </w:r>
            <w:r>
              <w:rPr>
                <w:rFonts w:cs="GHEA Grapalat"/>
                <w:lang w:val="nb-NO"/>
              </w:rPr>
              <w:t xml:space="preserve"> </w:t>
            </w:r>
            <w:r>
              <w:rPr>
                <w:rFonts w:cs="GHEA Grapalat"/>
                <w:lang w:val="hy-AM"/>
              </w:rPr>
              <w:t>որոշումների</w:t>
            </w:r>
            <w:r>
              <w:rPr>
                <w:rFonts w:cs="GHEA Grapalat"/>
                <w:lang w:val="nb-NO"/>
              </w:rPr>
              <w:t xml:space="preserve"> </w:t>
            </w:r>
            <w:r>
              <w:rPr>
                <w:rFonts w:cs="GHEA Grapalat"/>
                <w:lang w:val="hy-AM"/>
              </w:rPr>
              <w:t>նկատմամբ</w:t>
            </w:r>
            <w:r>
              <w:rPr>
                <w:rFonts w:cs="GHEA Grapalat"/>
                <w:lang w:val="nb-NO"/>
              </w:rPr>
              <w:t xml:space="preserve"> </w:t>
            </w:r>
            <w:r>
              <w:rPr>
                <w:rFonts w:cs="GHEA Grapalat"/>
                <w:lang w:val="hy-AM"/>
              </w:rPr>
              <w:t>հետաքրքրություն</w:t>
            </w:r>
            <w:r>
              <w:rPr>
                <w:rFonts w:cs="GHEA Grapalat"/>
                <w:lang w:val="nb-NO"/>
              </w:rPr>
              <w:t xml:space="preserve"> </w:t>
            </w:r>
            <w:r>
              <w:rPr>
                <w:rFonts w:cs="GHEA Grapalat"/>
                <w:lang w:val="hy-AM"/>
              </w:rPr>
              <w:t>ցուցաբերող</w:t>
            </w:r>
            <w:r>
              <w:rPr>
                <w:rFonts w:cs="GHEA Grapalat"/>
                <w:lang w:val="nb-NO"/>
              </w:rPr>
              <w:t xml:space="preserve"> հանրություն</w:t>
            </w:r>
            <w:r>
              <w:rPr>
                <w:rFonts w:cs="GHEA Grapalat"/>
                <w:lang w:val="hy-AM"/>
              </w:rPr>
              <w:t>ն է, այսինքն այն պահից երբ հանրությունը ունի հետաքրքրվածություն, ապա այն դառնում է շահագրգիռ։</w:t>
            </w:r>
          </w:p>
          <w:p w14:paraId="7D3C389C">
            <w:pPr>
              <w:spacing w:after="0" w:line="360" w:lineRule="auto"/>
              <w:jc w:val="center"/>
              <w:rPr>
                <w:rFonts w:cs="GHEA Grapalat"/>
                <w:lang w:val="hy-AM"/>
              </w:rPr>
            </w:pPr>
            <w:r>
              <w:rPr>
                <w:rFonts w:cs="GHEA Grapalat"/>
                <w:lang w:val="hy-AM"/>
              </w:rPr>
              <w:t xml:space="preserve">Այդ սկզբունքից ելնելով էլ փոփոխություններ են </w:t>
            </w:r>
            <w:r>
              <w:rPr>
                <w:rFonts w:hint="default" w:cs="GHEA Grapalat"/>
                <w:lang w:val="hy-AM"/>
              </w:rPr>
              <w:t>նախատեսվել Նախագծի</w:t>
            </w:r>
            <w:r>
              <w:rPr>
                <w:rFonts w:cs="GHEA Grapalat"/>
                <w:lang w:val="hy-AM"/>
              </w:rPr>
              <w:t xml:space="preserve"> 1-ին հոդվածով։ </w:t>
            </w:r>
          </w:p>
        </w:tc>
      </w:tr>
      <w:tr w14:paraId="3FE28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86" w:type="dxa"/>
            <w:shd w:val="clear" w:color="auto" w:fill="auto"/>
          </w:tcPr>
          <w:p w14:paraId="5932CB88">
            <w:pPr>
              <w:spacing w:after="0" w:line="360" w:lineRule="auto"/>
              <w:ind w:left="-23" w:firstLine="180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>4. Տարընթերցումներից և տարընկալումներից խուսափելու  նպատակով անհրաժեշտ է խմբագրել և հստակեցնել Նախագծի 2-րդ հոդվածի 2-րդ մասով ներկայացված փոփոխությունը, որի բովանդակությունից հասկանալի չէ, թե ինչո՞ւ/ինչպե՞ս է «մեկ ֆիզիկական անձը» հանդես գալու որպես հանրություն, ինչպես նաև ո՞ւմ կողմից և ի՞նչ ընթացակարգերով հաստատված «</w:t>
            </w:r>
            <w:r>
              <w:rPr>
                <w:b/>
                <w:bCs/>
                <w:lang w:val="hy-AM"/>
              </w:rPr>
              <w:t>պրակտիկայի</w:t>
            </w:r>
            <w:r>
              <w:rPr>
                <w:bCs/>
                <w:lang w:val="hy-AM"/>
              </w:rPr>
              <w:t>» մասին է խոսքը։</w:t>
            </w:r>
          </w:p>
        </w:tc>
        <w:tc>
          <w:tcPr>
            <w:tcW w:w="5953" w:type="dxa"/>
            <w:shd w:val="clear" w:color="auto" w:fill="auto"/>
          </w:tcPr>
          <w:p w14:paraId="214D5401">
            <w:pPr>
              <w:spacing w:after="0" w:line="360" w:lineRule="auto"/>
              <w:jc w:val="center"/>
              <w:rPr>
                <w:rFonts w:cs="GHEA Grapalat"/>
                <w:b/>
                <w:lang w:val="hy-AM"/>
              </w:rPr>
            </w:pPr>
            <w:r>
              <w:rPr>
                <w:rFonts w:cs="GHEA Grapalat"/>
                <w:b/>
                <w:lang w:val="hy-AM"/>
              </w:rPr>
              <w:t>Չի ընդունվել</w:t>
            </w:r>
          </w:p>
          <w:p w14:paraId="33E35AF1">
            <w:pPr>
              <w:spacing w:after="0" w:line="360" w:lineRule="auto"/>
              <w:jc w:val="center"/>
              <w:rPr>
                <w:rFonts w:ascii="Cambria Math" w:hAnsi="Cambria Math" w:cs="GHEA Grapalat"/>
                <w:lang w:val="hy-AM"/>
              </w:rPr>
            </w:pPr>
            <w:r>
              <w:rPr>
                <w:rFonts w:cs="GHEA Grapalat"/>
                <w:lang w:val="hy-AM"/>
              </w:rPr>
              <w:t>Ձևակերպումն ամբողջությամբ բխում է Էսպո և Օրհուս կոնվենցիաների պահանջից, որին պետք է համապատասխանեցվի ՀՀ ազգային օրենսգրությունը , տվյալ դեպքում մեկ ֆիզիկական  անձը ևս դիտարկվում է հանրություն</w:t>
            </w:r>
          </w:p>
        </w:tc>
      </w:tr>
      <w:tr w14:paraId="3113DE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86" w:type="dxa"/>
            <w:shd w:val="clear" w:color="auto" w:fill="auto"/>
          </w:tcPr>
          <w:p w14:paraId="23610D1D">
            <w:pPr>
              <w:pStyle w:val="11"/>
              <w:numPr>
                <w:ilvl w:val="0"/>
                <w:numId w:val="2"/>
              </w:numPr>
              <w:spacing w:after="0" w:line="360" w:lineRule="auto"/>
              <w:ind w:left="0" w:firstLine="337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>Հստակեցման կարիք ունի Նախագծի 2-րդ հոդվածի 3-րդ մասով ներկայացված «շահագրգիռ հանրություն» հասկացության սահմանման՝ տվյալ բովանդակությամբ ներկայացման հարցը՝ հաշվի առնելով Օրենքով արդեն իսկ վերջինիս սահմանված «շահագրգիռ անձ կամ հանրություն» հասկացությունը (տե՛ս եզրակացության 3-րդ կետը</w:t>
            </w:r>
            <w:r>
              <w:rPr>
                <w:rFonts w:ascii="Cambria Math" w:hAnsi="Cambria Math" w:eastAsia="MS Mincho" w:cs="Cambria Math"/>
                <w:bCs/>
                <w:lang w:val="hy-AM"/>
              </w:rPr>
              <w:t>․</w:t>
            </w:r>
            <w:r>
              <w:rPr>
                <w:bCs/>
                <w:lang w:val="hy-AM"/>
              </w:rPr>
              <w:t xml:space="preserve"> սույն դիտարկումը վերաբերելի է Նախագծի այլ հոդվածներում առկա բոլոր նույնաբովանդակ փոփոխություններին և լրացումներին)։</w:t>
            </w:r>
          </w:p>
        </w:tc>
        <w:tc>
          <w:tcPr>
            <w:tcW w:w="5953" w:type="dxa"/>
            <w:shd w:val="clear" w:color="auto" w:fill="auto"/>
          </w:tcPr>
          <w:p w14:paraId="47FD21F3">
            <w:pPr>
              <w:spacing w:after="0" w:line="360" w:lineRule="auto"/>
              <w:jc w:val="center"/>
              <w:rPr>
                <w:rFonts w:cs="GHEA Grapalat"/>
                <w:b/>
                <w:lang w:val="hy-AM"/>
              </w:rPr>
            </w:pPr>
            <w:r>
              <w:rPr>
                <w:rFonts w:cs="GHEA Grapalat"/>
                <w:b/>
                <w:lang w:val="hy-AM"/>
              </w:rPr>
              <w:t>Չի ընդունվել</w:t>
            </w:r>
          </w:p>
          <w:p w14:paraId="2461694D">
            <w:pPr>
              <w:spacing w:after="0" w:line="360" w:lineRule="auto"/>
              <w:jc w:val="center"/>
              <w:rPr>
                <w:rFonts w:cs="GHEA Grapalat"/>
                <w:lang w:val="hy-AM"/>
              </w:rPr>
            </w:pPr>
            <w:r>
              <w:rPr>
                <w:rFonts w:cs="GHEA Grapalat"/>
                <w:b/>
                <w:bCs/>
                <w:lang w:val="hy-AM"/>
              </w:rPr>
              <w:t>«շահագրգիռ</w:t>
            </w:r>
            <w:r>
              <w:rPr>
                <w:rFonts w:ascii="Calibri" w:hAnsi="Calibri" w:cs="Calibri"/>
                <w:b/>
                <w:bCs/>
                <w:lang w:val="nb-NO"/>
              </w:rPr>
              <w:t> </w:t>
            </w:r>
            <w:r>
              <w:rPr>
                <w:rFonts w:cs="GHEA Grapalat"/>
                <w:b/>
                <w:bCs/>
                <w:lang w:val="nb-NO"/>
              </w:rPr>
              <w:t>հանրու</w:t>
            </w:r>
            <w:r>
              <w:rPr>
                <w:rFonts w:cs="GHEA Grapalat"/>
                <w:b/>
                <w:bCs/>
                <w:lang w:val="hy-AM"/>
              </w:rPr>
              <w:t xml:space="preserve">թյուն» հասկացությունը՝ </w:t>
            </w:r>
            <w:r>
              <w:rPr>
                <w:rFonts w:cs="GHEA Grapalat"/>
                <w:lang w:val="hy-AM"/>
              </w:rPr>
              <w:t>ամբողջությամբ համապատասխանեցվել</w:t>
            </w:r>
            <w:r>
              <w:rPr>
                <w:rFonts w:hint="default" w:cs="GHEA Grapalat"/>
                <w:lang w:val="hy-AM"/>
              </w:rPr>
              <w:t xml:space="preserve"> է</w:t>
            </w:r>
            <w:r>
              <w:rPr>
                <w:rFonts w:cs="GHEA Grapalat"/>
                <w:b/>
                <w:bCs/>
                <w:lang w:val="hy-AM"/>
              </w:rPr>
              <w:t xml:space="preserve"> </w:t>
            </w:r>
            <w:r>
              <w:rPr>
                <w:rFonts w:cs="GHEA Grapalat"/>
                <w:lang w:val="hy-AM"/>
              </w:rPr>
              <w:t>Էսպո և Օրհուս կոնվենցիաների պահանջներին։</w:t>
            </w:r>
          </w:p>
        </w:tc>
      </w:tr>
      <w:tr w14:paraId="67D74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86" w:type="dxa"/>
            <w:shd w:val="clear" w:color="auto" w:fill="auto"/>
          </w:tcPr>
          <w:p w14:paraId="30C6E91A">
            <w:pPr>
              <w:pStyle w:val="11"/>
              <w:numPr>
                <w:ilvl w:val="0"/>
                <w:numId w:val="2"/>
              </w:numPr>
              <w:spacing w:after="0" w:line="360" w:lineRule="auto"/>
              <w:ind w:left="67" w:firstLine="180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>Անհրաժեշտ է հիմնավորել Նախագծի 5-րդ հոդվածի 1-ին մասով (հատկապես ա</w:t>
            </w:r>
            <w:r>
              <w:rPr>
                <w:rFonts w:ascii="Cambria Math" w:hAnsi="Cambria Math" w:eastAsia="MS Gothic" w:cs="Cambria Math"/>
                <w:bCs/>
                <w:lang w:val="hy-AM"/>
              </w:rPr>
              <w:t>․</w:t>
            </w:r>
            <w:r>
              <w:rPr>
                <w:bCs/>
                <w:lang w:val="hy-AM"/>
              </w:rPr>
              <w:t>, բ</w:t>
            </w:r>
            <w:r>
              <w:rPr>
                <w:rFonts w:ascii="Cambria Math" w:hAnsi="Cambria Math" w:eastAsia="MS Gothic" w:cs="Cambria Math"/>
                <w:bCs/>
                <w:lang w:val="hy-AM"/>
              </w:rPr>
              <w:t>․</w:t>
            </w:r>
            <w:r>
              <w:rPr>
                <w:bCs/>
                <w:lang w:val="hy-AM"/>
              </w:rPr>
              <w:t>, գ</w:t>
            </w:r>
            <w:r>
              <w:rPr>
                <w:rFonts w:ascii="Cambria Math" w:hAnsi="Cambria Math" w:eastAsia="MS Gothic" w:cs="Cambria Math"/>
                <w:bCs/>
                <w:lang w:val="hy-AM"/>
              </w:rPr>
              <w:t>․</w:t>
            </w:r>
            <w:r>
              <w:rPr>
                <w:bCs/>
                <w:lang w:val="hy-AM"/>
              </w:rPr>
              <w:t>, դ</w:t>
            </w:r>
            <w:r>
              <w:rPr>
                <w:rFonts w:ascii="Cambria Math" w:hAnsi="Cambria Math" w:eastAsia="MS Gothic" w:cs="Cambria Math"/>
                <w:bCs/>
                <w:lang w:val="hy-AM"/>
              </w:rPr>
              <w:t>․</w:t>
            </w:r>
            <w:r>
              <w:rPr>
                <w:bCs/>
                <w:lang w:val="hy-AM"/>
              </w:rPr>
              <w:t>, է</w:t>
            </w:r>
            <w:r>
              <w:rPr>
                <w:rFonts w:ascii="Cambria Math" w:hAnsi="Cambria Math" w:eastAsia="MS Gothic" w:cs="Cambria Math"/>
                <w:bCs/>
                <w:lang w:val="hy-AM"/>
              </w:rPr>
              <w:t>․</w:t>
            </w:r>
            <w:r>
              <w:rPr>
                <w:bCs/>
                <w:lang w:val="hy-AM"/>
              </w:rPr>
              <w:t>, թ</w:t>
            </w:r>
            <w:r>
              <w:rPr>
                <w:rFonts w:ascii="Cambria Math" w:hAnsi="Cambria Math" w:eastAsia="MS Gothic" w:cs="Cambria Math"/>
                <w:bCs/>
                <w:lang w:val="hy-AM"/>
              </w:rPr>
              <w:t>․</w:t>
            </w:r>
            <w:r>
              <w:rPr>
                <w:bCs/>
                <w:lang w:val="hy-AM"/>
              </w:rPr>
              <w:t xml:space="preserve"> կետերով) ներկայացված և Օրենքի 12-րդ հոդվածի համապատասխան գործունեության տեսակների համար առաջարկվող համապատասխան սահմանաչափերի փոփոխության անհրաժեշտության հարցը՝ հաշվի առնելով Հիմնավորմամբ վերջիններիս վերաբերելի դրույթների բացակայության հանգամանքը։ Բացի այդ, հարկ է նշել, որ Նախագծի 5-րդ հոդվածի 1-ին մասի դ</w:t>
            </w:r>
            <w:r>
              <w:rPr>
                <w:rFonts w:ascii="Cambria Math" w:hAnsi="Cambria Math" w:eastAsia="MS Gothic" w:cs="Cambria Math"/>
                <w:bCs/>
                <w:lang w:val="hy-AM"/>
              </w:rPr>
              <w:t>․</w:t>
            </w:r>
            <w:r>
              <w:rPr>
                <w:bCs/>
                <w:lang w:val="hy-AM"/>
              </w:rPr>
              <w:t xml:space="preserve"> կետով ներկայացված գործունեության տեսակի և վերջինիս համար առաջարկվող սահմանաչափերին վերաբերելի դրույթը (այն է՝ </w:t>
            </w:r>
            <w:r>
              <w:rPr>
                <w:bCs/>
                <w:u w:val="single"/>
                <w:lang w:val="hy-AM"/>
              </w:rPr>
              <w:t>«</w:t>
            </w:r>
            <w:r>
              <w:rPr>
                <w:bCs/>
                <w:i/>
                <w:u w:val="single"/>
                <w:lang w:val="hy-AM"/>
              </w:rPr>
              <w:t>ասբեստի արդյունահանման, ասբեստի և ասբեստ պարունակող արտադրանքների մշակման և փոխակերպման, ասբեստացեմենտային արտադրանքի համար նախատեսված կառույցներ` տարեկան ավելի քան 20000 մետր-տոննա պատրաստի արտադրանք, շփման նյութերի համար` տարեկան ավելի քան 50 մետր-տոննա պատրաստի արտադրանք, և ասբեստի այլ օգտագործումների համար` տարեկան ավելի քան 200 մետր-տոննա ծավալով.</w:t>
            </w:r>
            <w:r>
              <w:rPr>
                <w:bCs/>
                <w:u w:val="single"/>
                <w:lang w:val="hy-AM"/>
              </w:rPr>
              <w:t>»</w:t>
            </w:r>
            <w:r>
              <w:rPr>
                <w:bCs/>
                <w:lang w:val="hy-AM"/>
              </w:rPr>
              <w:t>) անհրաժեշտ է լրացուցիչ քննարկել Առողջապահության նախարարության հետ՝ հաշվի առնելով վերջինիս՝ հանրության առողջության վրա ունեցած վտանգավորության աստիճանը։</w:t>
            </w:r>
          </w:p>
        </w:tc>
        <w:tc>
          <w:tcPr>
            <w:tcW w:w="5953" w:type="dxa"/>
            <w:shd w:val="clear" w:color="auto" w:fill="auto"/>
          </w:tcPr>
          <w:p w14:paraId="61A929CF">
            <w:pPr>
              <w:spacing w:after="0" w:line="360" w:lineRule="auto"/>
              <w:jc w:val="center"/>
              <w:rPr>
                <w:rFonts w:cs="GHEA Grapalat"/>
                <w:b/>
                <w:lang w:val="hy-AM"/>
              </w:rPr>
            </w:pPr>
            <w:r>
              <w:rPr>
                <w:rFonts w:cs="GHEA Grapalat"/>
                <w:b/>
                <w:lang w:val="hy-AM"/>
              </w:rPr>
              <w:t xml:space="preserve">Ընդունվել է </w:t>
            </w:r>
          </w:p>
          <w:p w14:paraId="69715CC4">
            <w:pPr>
              <w:spacing w:after="0" w:line="360" w:lineRule="auto"/>
              <w:jc w:val="center"/>
              <w:rPr>
                <w:rFonts w:cs="GHEA Grapalat"/>
                <w:lang w:val="hy-AM"/>
              </w:rPr>
            </w:pPr>
            <w:r>
              <w:rPr>
                <w:rFonts w:cs="GHEA Grapalat"/>
                <w:lang w:val="hy-AM"/>
              </w:rPr>
              <w:t xml:space="preserve">Հիմնավորման մեջ լրացուցիչ տրվել է պարզաբանում փոփոխության իրականացման անհրաժեշտության մասով։ </w:t>
            </w:r>
          </w:p>
          <w:p w14:paraId="6B602E78">
            <w:pPr>
              <w:spacing w:after="0" w:line="360" w:lineRule="auto"/>
              <w:jc w:val="center"/>
              <w:rPr>
                <w:rFonts w:cs="GHEA Grapalat"/>
                <w:lang w:val="hy-AM"/>
              </w:rPr>
            </w:pPr>
            <w:r>
              <w:rPr>
                <w:rFonts w:cs="GHEA Grapalat"/>
                <w:lang w:val="hy-AM"/>
              </w:rPr>
              <w:t>Նախագիծը համաձայնեված է առողջապահության նախարարության հետ</w:t>
            </w:r>
          </w:p>
          <w:p w14:paraId="44696AC8">
            <w:pPr>
              <w:spacing w:after="0" w:line="360" w:lineRule="auto"/>
              <w:jc w:val="center"/>
              <w:rPr>
                <w:rFonts w:cs="GHEA Grapalat"/>
                <w:lang w:val="hy-AM"/>
              </w:rPr>
            </w:pPr>
          </w:p>
        </w:tc>
      </w:tr>
      <w:tr w14:paraId="59380F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86" w:type="dxa"/>
            <w:shd w:val="clear" w:color="auto" w:fill="auto"/>
          </w:tcPr>
          <w:p w14:paraId="24B89F98">
            <w:pPr>
              <w:pStyle w:val="11"/>
              <w:numPr>
                <w:ilvl w:val="0"/>
                <w:numId w:val="2"/>
              </w:numPr>
              <w:spacing w:after="0" w:line="360" w:lineRule="auto"/>
              <w:ind w:left="0" w:firstLine="510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>Լրացուցուցիչ խմբագրման կամ հիմնավորման կարիք ունի Նախագծի 5-րդ հոդվածի 3-րդ մասով ներկայացված կարգավորումը (ըստ որի՝ առաջարկվում է սահմանել, որ</w:t>
            </w:r>
            <w:r>
              <w:rPr>
                <w:rFonts w:ascii="Cambria Math" w:hAnsi="Cambria Math" w:eastAsia="MS Gothic" w:cs="Cambria Math"/>
                <w:bCs/>
                <w:lang w:val="hy-AM"/>
              </w:rPr>
              <w:t>․</w:t>
            </w:r>
            <w:r>
              <w:rPr>
                <w:bCs/>
                <w:lang w:val="hy-AM"/>
              </w:rPr>
              <w:t xml:space="preserve"> «</w:t>
            </w:r>
            <w:r>
              <w:rPr>
                <w:bCs/>
                <w:i/>
                <w:lang w:val="hy-AM"/>
              </w:rPr>
              <w:t xml:space="preserve">Փորձաքննության (այդ թվում՝ անդրսահմանային) </w:t>
            </w:r>
            <w:r>
              <w:rPr>
                <w:b/>
                <w:bCs/>
                <w:i/>
                <w:lang w:val="hy-AM"/>
              </w:rPr>
              <w:t>ենթակա չեն</w:t>
            </w:r>
            <w:r>
              <w:rPr>
                <w:bCs/>
                <w:i/>
                <w:lang w:val="hy-AM"/>
              </w:rPr>
              <w:t xml:space="preserve"> պետական անվտանգության ապահովման կամ արտակարգ իրավիճակների կանխարգելման կամ դրանց հետևանքների վերացման սույն հոդվածով նախատեսված գործունեության տեսկները (...),</w:t>
            </w:r>
            <w:r>
              <w:rPr>
                <w:bCs/>
                <w:lang w:val="hy-AM"/>
              </w:rPr>
              <w:t>», բացառելով վերջիններիս համար Օրենքով նախատեսված «</w:t>
            </w:r>
            <w:r>
              <w:rPr>
                <w:b/>
                <w:bCs/>
                <w:lang w:val="hy-AM"/>
              </w:rPr>
              <w:t>անհետաձգելի համարվելու</w:t>
            </w:r>
            <w:r>
              <w:rPr>
                <w:bCs/>
                <w:lang w:val="hy-AM"/>
              </w:rPr>
              <w:t>» դրույթը), քանի որ պարզ չէ, թե ինչո՞ւ է ցուցաբերվում նման հատվածային փոփոխություն (առանց Օրենքի 12-րդ հոդվածի ամբողջական վերանայման), ինչպես նաև ո՞ւմ կողմից կամ ինչպե՞ս են, այսուհետ, որոշ գործունեության տեսակներ ենթակա լինելու փորձաքննության (օրինակ՝ «</w:t>
            </w:r>
            <w:r>
              <w:rPr>
                <w:bCs/>
                <w:i/>
                <w:lang w:val="hy-AM"/>
              </w:rPr>
              <w:t>ենթակառուցվածքների կառուցում` վարարումներից, ճահճացումից պաշտպանելու նպատակով», «հակասողանքային կամ հակասահքային կամ հակասելավային միջոցառումներ` 10 հա և ավելի տարածքների համար</w:t>
            </w:r>
            <w:r>
              <w:rPr>
                <w:bCs/>
                <w:lang w:val="hy-AM"/>
              </w:rPr>
              <w:t>.» և այլն)։</w:t>
            </w:r>
          </w:p>
        </w:tc>
        <w:tc>
          <w:tcPr>
            <w:tcW w:w="5953" w:type="dxa"/>
            <w:shd w:val="clear" w:color="auto" w:fill="auto"/>
          </w:tcPr>
          <w:p w14:paraId="7FAE9D86">
            <w:pPr>
              <w:spacing w:after="0" w:line="360" w:lineRule="auto"/>
              <w:jc w:val="center"/>
              <w:rPr>
                <w:rFonts w:cs="GHEA Grapalat"/>
                <w:b/>
                <w:lang w:val="hy-AM"/>
              </w:rPr>
            </w:pPr>
            <w:r>
              <w:rPr>
                <w:rFonts w:cs="GHEA Grapalat"/>
                <w:b/>
                <w:lang w:val="hy-AM"/>
              </w:rPr>
              <w:t>Ընդունվել է</w:t>
            </w:r>
          </w:p>
          <w:p w14:paraId="1ABE932D">
            <w:pPr>
              <w:spacing w:after="0" w:line="360" w:lineRule="auto"/>
              <w:jc w:val="center"/>
              <w:rPr>
                <w:rFonts w:cs="GHEA Grapalat"/>
                <w:lang w:val="hy-AM"/>
              </w:rPr>
            </w:pPr>
            <w:r>
              <w:rPr>
                <w:rFonts w:cs="GHEA Grapalat"/>
                <w:lang w:val="hy-AM"/>
              </w:rPr>
              <w:t>Հիմք ընդունելով ներկայացված 1-ին դիտարկումը կարգավորումը հանվել է նախագծից</w:t>
            </w:r>
          </w:p>
        </w:tc>
      </w:tr>
      <w:tr w14:paraId="1D97D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86" w:type="dxa"/>
            <w:shd w:val="clear" w:color="auto" w:fill="auto"/>
          </w:tcPr>
          <w:p w14:paraId="65924A86">
            <w:pPr>
              <w:pStyle w:val="11"/>
              <w:numPr>
                <w:ilvl w:val="0"/>
                <w:numId w:val="2"/>
              </w:numPr>
              <w:spacing w:after="0" w:line="360" w:lineRule="auto"/>
              <w:ind w:left="0" w:firstLine="337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>Անհրաժեշտ է խմբագրել կամ հիմնավորել Նախագծի 6-րդ հոդվածում ներկայացված և Օրենքի 14-րդ հոդվածում առաջարկվող փոփոխության նպատակահարմարության հարցը, քանի որ, բացի այն որ պարզ չէ, թե ինչո՞ւ բնապահպանական կառավարման պլանը, այլևս, չպետք է ամրագրվի նախագծային փաստաթղթում, պարզ չէ նաև, թե վերջինիս կազմման և ներկայացման համար ի՞նչ նոր «ձևաչափ» է գործելու՝ հաշվի առնելով Օրենքի այլ հոդվածներում կիրառման հանգամանքը (օրինակ՝ Օրենքի 12-րդ հոդվածի 2-րդ մասի 7-րդ կետ և այլն)։</w:t>
            </w:r>
          </w:p>
        </w:tc>
        <w:tc>
          <w:tcPr>
            <w:tcW w:w="5953" w:type="dxa"/>
            <w:shd w:val="clear" w:color="auto" w:fill="auto"/>
          </w:tcPr>
          <w:p w14:paraId="11FED582">
            <w:pPr>
              <w:spacing w:after="0" w:line="360" w:lineRule="auto"/>
              <w:jc w:val="center"/>
              <w:rPr>
                <w:rFonts w:cs="GHEA Grapalat"/>
                <w:b/>
                <w:lang w:val="hy-AM"/>
              </w:rPr>
            </w:pPr>
            <w:r>
              <w:rPr>
                <w:rFonts w:cs="GHEA Grapalat"/>
                <w:b/>
                <w:lang w:val="hy-AM"/>
              </w:rPr>
              <w:t>Ընդունվել է</w:t>
            </w:r>
          </w:p>
          <w:p w14:paraId="4F47E3CC">
            <w:pPr>
              <w:spacing w:after="0" w:line="360" w:lineRule="auto"/>
              <w:jc w:val="center"/>
              <w:rPr>
                <w:rFonts w:cs="GHEA Grapalat"/>
                <w:lang w:val="hy-AM"/>
              </w:rPr>
            </w:pPr>
            <w:r>
              <w:rPr>
                <w:rFonts w:cs="GHEA Grapalat"/>
                <w:lang w:val="hy-AM"/>
              </w:rPr>
              <w:t>Հիմք ընդունելով ներկայացված 1-ին դիտարկումը կարգավորումը հանվել է նախագծից</w:t>
            </w:r>
          </w:p>
        </w:tc>
      </w:tr>
      <w:tr w14:paraId="656DC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86" w:type="dxa"/>
            <w:shd w:val="clear" w:color="auto" w:fill="auto"/>
          </w:tcPr>
          <w:p w14:paraId="29F0BF41">
            <w:pPr>
              <w:pStyle w:val="11"/>
              <w:numPr>
                <w:ilvl w:val="0"/>
                <w:numId w:val="2"/>
              </w:numPr>
              <w:spacing w:after="0" w:line="360" w:lineRule="auto"/>
              <w:ind w:left="-23" w:firstLine="270"/>
              <w:jc w:val="both"/>
              <w:rPr>
                <w:rFonts w:cs="GHEA Grapalat"/>
                <w:lang w:val="hy-AM"/>
              </w:rPr>
            </w:pPr>
            <w:r>
              <w:rPr>
                <w:bCs/>
                <w:lang w:val="hy-AM"/>
              </w:rPr>
              <w:t>Տարընթերցումներից խուսափելու նպատակով՝ լրացուցիչ հստակեցման և պարզաբանման կարիք ունի Նախագծի 7-րդ հոդվածի 2-րդ մասով առաջարկվող կարգավորումը՝ հաշվի առնելով Օրենքի 12-րդ հոդվածի 3-րդ մասով սահմանված գործունեության տեսակներն ու դրանց առանձնահատկությունները և դրանց նկատմամբ կիարառելի</w:t>
            </w:r>
            <w:r>
              <w:rPr>
                <w:rFonts w:cs="GHEA Grapalat"/>
                <w:lang w:val="hy-AM"/>
              </w:rPr>
              <w:t xml:space="preserve"> «</w:t>
            </w:r>
            <w:r>
              <w:rPr>
                <w:rFonts w:cs="GHEA Grapalat"/>
                <w:i/>
                <w:lang w:val="hy-AM"/>
              </w:rPr>
              <w:t>բնականոն շահագործման և արտակարգ իրավիճակներում արտանետումների իոնացնող ճառագայթման ազդեցությունը</w:t>
            </w:r>
            <w:r>
              <w:rPr>
                <w:rFonts w:cs="GHEA Grapalat"/>
                <w:lang w:val="hy-AM"/>
              </w:rPr>
              <w:t>» դրույթի անհնարինությունը</w:t>
            </w:r>
            <w:r>
              <w:rPr>
                <w:rFonts w:ascii="Cambria Math" w:hAnsi="Cambria Math" w:eastAsia="MS Mincho" w:cs="Cambria Math"/>
                <w:lang w:val="hy-AM"/>
              </w:rPr>
              <w:t>․</w:t>
            </w:r>
            <w:r>
              <w:rPr>
                <w:rFonts w:cs="GHEA Grapalat"/>
                <w:lang w:val="hy-AM"/>
              </w:rPr>
              <w:t xml:space="preserve"> բացի այդ, հստակեցման կարիք ունի, թե ի՞նչ «</w:t>
            </w:r>
            <w:r>
              <w:rPr>
                <w:rFonts w:cs="GHEA Grapalat"/>
                <w:b/>
                <w:i/>
                <w:lang w:val="hy-AM"/>
              </w:rPr>
              <w:t>բնականոն շահագործման</w:t>
            </w:r>
            <w:r>
              <w:rPr>
                <w:rFonts w:cs="GHEA Grapalat"/>
                <w:lang w:val="hy-AM"/>
              </w:rPr>
              <w:t>» մասին է խոսքը։</w:t>
            </w:r>
          </w:p>
        </w:tc>
        <w:tc>
          <w:tcPr>
            <w:tcW w:w="5953" w:type="dxa"/>
            <w:shd w:val="clear" w:color="auto" w:fill="auto"/>
          </w:tcPr>
          <w:p w14:paraId="6695F4F7">
            <w:pPr>
              <w:spacing w:after="0" w:line="360" w:lineRule="auto"/>
              <w:jc w:val="center"/>
              <w:rPr>
                <w:rFonts w:cs="GHEA Grapalat"/>
                <w:b/>
                <w:lang w:val="hy-AM"/>
              </w:rPr>
            </w:pPr>
            <w:r>
              <w:rPr>
                <w:rFonts w:cs="GHEA Grapalat"/>
                <w:b/>
                <w:lang w:val="hy-AM"/>
              </w:rPr>
              <w:t>Ընդունվել է</w:t>
            </w:r>
          </w:p>
          <w:p w14:paraId="0FE1584F">
            <w:pPr>
              <w:spacing w:after="0" w:line="360" w:lineRule="auto"/>
              <w:jc w:val="center"/>
              <w:rPr>
                <w:rFonts w:cs="GHEA Grapalat"/>
                <w:lang w:val="hy-AM"/>
              </w:rPr>
            </w:pPr>
            <w:r>
              <w:rPr>
                <w:rFonts w:cs="GHEA Grapalat"/>
                <w:lang w:val="hy-AM"/>
              </w:rPr>
              <w:t>Հիմք ընդունելով ներկայացված 1-ին դիտարկումը կարգավորումը հանվել է նախագծից</w:t>
            </w:r>
          </w:p>
        </w:tc>
      </w:tr>
      <w:tr w14:paraId="3B8A8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86" w:type="dxa"/>
            <w:shd w:val="clear" w:color="auto" w:fill="auto"/>
          </w:tcPr>
          <w:p w14:paraId="5CB14864">
            <w:pPr>
              <w:pStyle w:val="11"/>
              <w:numPr>
                <w:ilvl w:val="0"/>
                <w:numId w:val="2"/>
              </w:numPr>
              <w:spacing w:after="0" w:line="360" w:lineRule="auto"/>
              <w:ind w:left="-23" w:firstLine="270"/>
              <w:jc w:val="both"/>
              <w:rPr>
                <w:rFonts w:cs="GHEA Grapalat"/>
                <w:lang w:val="hy-AM"/>
              </w:rPr>
            </w:pPr>
            <w:r>
              <w:rPr>
                <w:rFonts w:cs="GHEA Grapalat"/>
                <w:lang w:val="hy-AM"/>
              </w:rPr>
              <w:t>Ընդհանրական և խնդրահարույց ձևակերպումներից խուսափելու նպատակով՝ առաջարկում ենք հստակեցնել Նախագծի 7-րդ 3-րդ մասով առաջարկվող «</w:t>
            </w:r>
            <w:r>
              <w:rPr>
                <w:rFonts w:cs="GHEA Grapalat"/>
                <w:b/>
                <w:lang w:val="hy-AM"/>
              </w:rPr>
              <w:t>ոչ տեխնիկական</w:t>
            </w:r>
            <w:r>
              <w:rPr>
                <w:rFonts w:cs="GHEA Grapalat"/>
                <w:lang w:val="hy-AM"/>
              </w:rPr>
              <w:t>» բնութագրի շրջանակը։</w:t>
            </w:r>
          </w:p>
        </w:tc>
        <w:tc>
          <w:tcPr>
            <w:tcW w:w="5953" w:type="dxa"/>
            <w:shd w:val="clear" w:color="auto" w:fill="auto"/>
          </w:tcPr>
          <w:p w14:paraId="40DF3444">
            <w:pPr>
              <w:spacing w:after="0" w:line="360" w:lineRule="auto"/>
              <w:jc w:val="center"/>
              <w:rPr>
                <w:rFonts w:cs="GHEA Grapalat"/>
                <w:b/>
                <w:lang w:val="hy-AM"/>
              </w:rPr>
            </w:pPr>
            <w:r>
              <w:rPr>
                <w:rFonts w:cs="GHEA Grapalat"/>
                <w:b/>
                <w:lang w:val="hy-AM"/>
              </w:rPr>
              <w:t>Ընդունվել է</w:t>
            </w:r>
          </w:p>
          <w:p w14:paraId="188E27D2">
            <w:pPr>
              <w:spacing w:after="0" w:line="360" w:lineRule="auto"/>
              <w:jc w:val="center"/>
              <w:rPr>
                <w:rFonts w:cs="GHEA Grapalat"/>
                <w:lang w:val="hy-AM"/>
              </w:rPr>
            </w:pPr>
            <w:r>
              <w:rPr>
                <w:rFonts w:cs="GHEA Grapalat"/>
                <w:lang w:val="hy-AM"/>
              </w:rPr>
              <w:t>Հիմք ընդունելով ներկայացված 1-ին դիտարկումը կարգավորումը հանվել է նախագծից</w:t>
            </w:r>
          </w:p>
        </w:tc>
      </w:tr>
      <w:tr w14:paraId="45B41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86" w:type="dxa"/>
            <w:shd w:val="clear" w:color="auto" w:fill="auto"/>
          </w:tcPr>
          <w:p w14:paraId="2AD98A63">
            <w:pPr>
              <w:pStyle w:val="11"/>
              <w:numPr>
                <w:ilvl w:val="0"/>
                <w:numId w:val="2"/>
              </w:numPr>
              <w:spacing w:after="0" w:line="360" w:lineRule="auto"/>
              <w:ind w:left="-23" w:firstLine="270"/>
              <w:jc w:val="both"/>
              <w:rPr>
                <w:rFonts w:cs="GHEA Grapalat"/>
                <w:lang w:val="hy-AM"/>
              </w:rPr>
            </w:pPr>
            <w:r>
              <w:rPr>
                <w:bCs/>
                <w:lang w:val="hy-AM"/>
              </w:rPr>
              <w:t>Անհրաժեշտ է հիմնավորել Նախագծի 8-րդ հոդվածի 2-րդ մասում ներկայացված և Օրենքի 17-րդ հոդվածի 2-րդ մասի 9-րդ կետում առաջարկվող փոփոխությունը, հատկապես՝ հաշվի առնելով նաև Նախագծի 8-րդ հոդվածի 3-րդ մասում ներկայացված և Օրենքի 17-րդ հոդվածի 2-րդ մասի 10-րդ կետում սահմանվող դրույթը։</w:t>
            </w:r>
          </w:p>
        </w:tc>
        <w:tc>
          <w:tcPr>
            <w:tcW w:w="5953" w:type="dxa"/>
            <w:shd w:val="clear" w:color="auto" w:fill="auto"/>
          </w:tcPr>
          <w:p w14:paraId="71ED2E5F">
            <w:pPr>
              <w:spacing w:after="0" w:line="360" w:lineRule="auto"/>
              <w:jc w:val="center"/>
              <w:rPr>
                <w:rFonts w:cs="GHEA Grapalat"/>
                <w:b/>
                <w:lang w:val="hy-AM"/>
              </w:rPr>
            </w:pPr>
            <w:r>
              <w:rPr>
                <w:rFonts w:cs="GHEA Grapalat"/>
                <w:b/>
                <w:lang w:val="hy-AM"/>
              </w:rPr>
              <w:t>Ընդունվել է</w:t>
            </w:r>
          </w:p>
          <w:p w14:paraId="582C2394">
            <w:pPr>
              <w:spacing w:after="0" w:line="360" w:lineRule="auto"/>
              <w:jc w:val="center"/>
              <w:rPr>
                <w:rFonts w:cs="GHEA Grapalat"/>
                <w:lang w:val="hy-AM"/>
              </w:rPr>
            </w:pPr>
            <w:r>
              <w:rPr>
                <w:rFonts w:cs="GHEA Grapalat"/>
                <w:lang w:val="hy-AM"/>
              </w:rPr>
              <w:t>Հիմք ընդունելով ներկայացված 1-ին դիտարկումը կարգավորումը հանվել է նախագծից</w:t>
            </w:r>
          </w:p>
        </w:tc>
      </w:tr>
      <w:tr w14:paraId="09377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86" w:type="dxa"/>
            <w:shd w:val="clear" w:color="auto" w:fill="auto"/>
          </w:tcPr>
          <w:p w14:paraId="5515FBE6">
            <w:pPr>
              <w:pStyle w:val="11"/>
              <w:numPr>
                <w:ilvl w:val="0"/>
                <w:numId w:val="2"/>
              </w:numPr>
              <w:spacing w:after="0" w:line="360" w:lineRule="auto"/>
              <w:ind w:left="-23" w:firstLine="270"/>
              <w:jc w:val="both"/>
              <w:rPr>
                <w:rFonts w:cs="GHEA Grapalat"/>
                <w:highlight w:val="none"/>
                <w:lang w:val="hy-AM"/>
              </w:rPr>
            </w:pPr>
            <w:r>
              <w:rPr>
                <w:bCs/>
                <w:highlight w:val="none"/>
                <w:lang w:val="hy-AM"/>
              </w:rPr>
              <w:t xml:space="preserve">Հաշվի առնելով Նախագծի 9-րդ հոդվածի 2-րդ մասով առաջարկվող </w:t>
            </w:r>
            <w:r>
              <w:rPr>
                <w:rFonts w:cs="GHEA Grapalat"/>
                <w:highlight w:val="none"/>
                <w:lang w:val="hy-AM"/>
              </w:rPr>
              <w:t xml:space="preserve">կարգավորումը՝ առաջարկում ենք, վերջինիս շրջանակում սահմանել համապատասխան հսկողական մեխանիզմ(ներ)ի այնպիսի գործիքակազմ, ինչի արդյունքում լիազոր մարմնի կողմից </w:t>
            </w:r>
            <w:r>
              <w:rPr>
                <w:rFonts w:cs="GHEA Grapalat"/>
                <w:b/>
                <w:i/>
                <w:highlight w:val="none"/>
                <w:u w:val="single"/>
                <w:lang w:val="hy-AM"/>
              </w:rPr>
              <w:t>հնարավոր կլինի պարզել պետական փորձաքննական դրական եզրակացությունը ստանալուց հետո և սահմանված ժամկետում հիմնադրույթային կամ նախագծային փաստաթղթերով նախատեսվող գործունեության իրականացումը սկսելու կամ չսկսելու, ինչպես նաև  համապատասխան պետական փորձաքննական դրական եզրակացությամբ ամրագրված պահանջների ու պայմանների՝ սահմանված ժամկետներում կատարման վերաբերյալ</w:t>
            </w:r>
            <w:r>
              <w:rPr>
                <w:rFonts w:cs="GHEA Grapalat"/>
                <w:highlight w:val="none"/>
                <w:lang w:val="hy-AM"/>
              </w:rPr>
              <w:t>։</w:t>
            </w:r>
          </w:p>
        </w:tc>
        <w:tc>
          <w:tcPr>
            <w:tcW w:w="5953" w:type="dxa"/>
            <w:shd w:val="clear" w:color="auto" w:fill="auto"/>
          </w:tcPr>
          <w:p w14:paraId="78EDF14E">
            <w:pPr>
              <w:spacing w:after="0" w:line="360" w:lineRule="auto"/>
              <w:jc w:val="center"/>
              <w:rPr>
                <w:rFonts w:cs="GHEA Grapalat"/>
                <w:b/>
                <w:lang w:val="hy-AM"/>
              </w:rPr>
            </w:pPr>
            <w:r>
              <w:rPr>
                <w:rFonts w:cs="GHEA Grapalat"/>
                <w:b/>
                <w:lang w:val="hy-AM"/>
              </w:rPr>
              <w:t>Ընդունվել է</w:t>
            </w:r>
          </w:p>
          <w:p w14:paraId="7BEA7A3D">
            <w:pPr>
              <w:spacing w:after="0" w:line="360" w:lineRule="auto"/>
              <w:jc w:val="center"/>
              <w:rPr>
                <w:rFonts w:cs="GHEA Grapalat"/>
                <w:lang w:val="hy-AM"/>
              </w:rPr>
            </w:pPr>
            <w:r>
              <w:rPr>
                <w:rFonts w:cs="GHEA Grapalat"/>
                <w:lang w:val="hy-AM"/>
              </w:rPr>
              <w:t>Հիմք ընդունելով ներկայացված 1-ին դիտարկումը կարգավորումը հանվել է նախագծից</w:t>
            </w:r>
          </w:p>
        </w:tc>
      </w:tr>
      <w:tr w14:paraId="6CD9FD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86" w:type="dxa"/>
            <w:shd w:val="clear" w:color="auto" w:fill="auto"/>
          </w:tcPr>
          <w:p w14:paraId="2667DB42">
            <w:pPr>
              <w:pStyle w:val="11"/>
              <w:numPr>
                <w:ilvl w:val="0"/>
                <w:numId w:val="2"/>
              </w:numPr>
              <w:tabs>
                <w:tab w:val="left" w:pos="517"/>
              </w:tabs>
              <w:spacing w:after="0" w:line="360" w:lineRule="auto"/>
              <w:ind w:left="0" w:firstLine="247"/>
              <w:jc w:val="both"/>
              <w:rPr>
                <w:rFonts w:cs="GHEA Grapalat"/>
                <w:lang w:val="hy-AM"/>
              </w:rPr>
            </w:pPr>
            <w:r>
              <w:rPr>
                <w:rFonts w:cs="GHEA Grapalat"/>
                <w:lang w:val="hy-AM"/>
              </w:rPr>
              <w:t>Հիմնավորման, հստակեցման և խմբագրման կարիք ունի Նախագծի 10-րդ հոդվածով ներկայացված փոփոխությունը, ըստ որի՝ առաջարկվում է Օրենքի 21-րդ հոդվածը շարադրել նոր խմբագրությամբ, այսպես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</w:p>
          <w:p w14:paraId="1316BCB2">
            <w:pPr>
              <w:pStyle w:val="11"/>
              <w:numPr>
                <w:ilvl w:val="0"/>
                <w:numId w:val="3"/>
              </w:numPr>
              <w:tabs>
                <w:tab w:val="left" w:pos="517"/>
              </w:tabs>
              <w:spacing w:after="0" w:line="360" w:lineRule="auto"/>
              <w:ind w:left="0" w:firstLine="247"/>
              <w:jc w:val="both"/>
              <w:rPr>
                <w:rFonts w:cs="GHEA Grapalat"/>
                <w:lang w:val="hy-AM"/>
              </w:rPr>
            </w:pPr>
            <w:r>
              <w:rPr>
                <w:rFonts w:cs="GHEA Grapalat"/>
                <w:lang w:val="hy-AM"/>
              </w:rPr>
              <w:t xml:space="preserve">Հիմնավորման կարիք ունի նոր խմբագրությամբ ներկայացված հոդվածի (ասյուհետ՝ Հոդված) 1-ին մասում </w:t>
            </w:r>
            <w:r>
              <w:rPr>
                <w:rFonts w:cs="GHEA Grapalat"/>
                <w:b/>
                <w:lang w:val="hy-AM"/>
              </w:rPr>
              <w:t>սոցիալ-տնտեսական զարգացման, կլիմայի փոփոխության մեղմման և հարմարվողականության</w:t>
            </w:r>
            <w:r>
              <w:rPr>
                <w:rFonts w:cs="GHEA Grapalat"/>
                <w:lang w:val="hy-AM"/>
              </w:rPr>
              <w:t xml:space="preserve">, ինչպես նաև </w:t>
            </w:r>
            <w:r>
              <w:rPr>
                <w:rFonts w:cs="GHEA Grapalat"/>
                <w:b/>
                <w:lang w:val="hy-AM"/>
              </w:rPr>
              <w:t>ռեկրեացիայի</w:t>
            </w:r>
            <w:r>
              <w:rPr>
                <w:rFonts w:cs="GHEA Grapalat"/>
                <w:lang w:val="hy-AM"/>
              </w:rPr>
              <w:t xml:space="preserve"> բնագավառների ռազմավարական էկոլոգիական գնահատման</w:t>
            </w:r>
            <w:r>
              <w:rPr>
                <w:rFonts w:ascii="Calibri" w:hAnsi="Calibri" w:cs="Calibri"/>
                <w:lang w:val="hy-AM"/>
              </w:rPr>
              <w:t> </w:t>
            </w:r>
            <w:r>
              <w:rPr>
                <w:rFonts w:cs="GHEA Grapalat"/>
                <w:lang w:val="hy-AM"/>
              </w:rPr>
              <w:t xml:space="preserve">(այսուհետ՝ ՌԷԳ) ենթակա չլինելու դրույթը, </w:t>
            </w:r>
          </w:p>
          <w:p w14:paraId="43E8DB2D">
            <w:pPr>
              <w:pStyle w:val="11"/>
              <w:numPr>
                <w:ilvl w:val="0"/>
                <w:numId w:val="3"/>
              </w:numPr>
              <w:tabs>
                <w:tab w:val="left" w:pos="517"/>
              </w:tabs>
              <w:spacing w:after="0" w:line="360" w:lineRule="auto"/>
              <w:ind w:left="0" w:firstLine="247"/>
              <w:jc w:val="both"/>
              <w:rPr>
                <w:bCs/>
                <w:lang w:val="hy-AM"/>
              </w:rPr>
            </w:pPr>
            <w:r>
              <w:rPr>
                <w:rFonts w:cs="GHEA Grapalat"/>
                <w:lang w:val="hy-AM"/>
              </w:rPr>
              <w:t>Տարընկալումներ չառաջացնելու նպատակով՝ խմբագրման և հստակեցման կարիք ունի Հոդվածի 2-րդ մասով առաջարկվող կարգավորումը (ըստ որի</w:t>
            </w:r>
            <w:r>
              <w:rPr>
                <w:rFonts w:ascii="Cambria Math" w:hAnsi="Cambria Math" w:eastAsia="MS Mincho" w:cs="Cambria Math"/>
                <w:lang w:val="hy-AM"/>
              </w:rPr>
              <w:t>․</w:t>
            </w:r>
            <w:r>
              <w:rPr>
                <w:rFonts w:cs="GHEA Grapalat"/>
                <w:lang w:val="hy-AM"/>
              </w:rPr>
              <w:t xml:space="preserve"> </w:t>
            </w:r>
            <w:r>
              <w:rPr>
                <w:bCs/>
                <w:lang w:val="hy-AM"/>
              </w:rPr>
              <w:t>«</w:t>
            </w:r>
            <w:r>
              <w:rPr>
                <w:bCs/>
                <w:i/>
                <w:lang w:val="hy-AM"/>
              </w:rPr>
              <w:t xml:space="preserve">(...) հիմնադրույթային փաստաթղերի նախագծերի ՌԷԳ-ի և փորձաքննության </w:t>
            </w:r>
            <w:r>
              <w:rPr>
                <w:b/>
                <w:bCs/>
                <w:i/>
                <w:lang w:val="hy-AM"/>
              </w:rPr>
              <w:t>ենթակա լինելը որոշում է լիազոր մարմինը</w:t>
            </w:r>
            <w:r>
              <w:rPr>
                <w:bCs/>
                <w:i/>
                <w:lang w:val="hy-AM"/>
              </w:rPr>
              <w:t xml:space="preserve">՝ առողջապահության բնագավառի կառավարման լիազոր մարմնի հետ համատեղ խորհրդակցությունների արդյունքով՝ </w:t>
            </w:r>
            <w:r>
              <w:rPr>
                <w:b/>
                <w:bCs/>
                <w:i/>
                <w:lang w:val="hy-AM"/>
              </w:rPr>
              <w:t>Կառավարության կողմից հաստատված</w:t>
            </w:r>
            <w:r>
              <w:rPr>
                <w:bCs/>
                <w:i/>
                <w:lang w:val="hy-AM"/>
              </w:rPr>
              <w:t xml:space="preserve"> </w:t>
            </w:r>
            <w:r>
              <w:rPr>
                <w:b/>
                <w:bCs/>
                <w:i/>
                <w:lang w:val="hy-AM"/>
              </w:rPr>
              <w:t>ՌԷԳ-ի և փորձաքննության ենթակա լինելու կարգին համապատասխան</w:t>
            </w:r>
            <w:r>
              <w:rPr>
                <w:bCs/>
                <w:i/>
                <w:lang w:val="hy-AM"/>
              </w:rPr>
              <w:t>:</w:t>
            </w:r>
            <w:r>
              <w:rPr>
                <w:bCs/>
                <w:lang w:val="hy-AM"/>
              </w:rPr>
              <w:t>»), քանի որ պարզ չէ, թե համապատասխան կարգի հաստատված լինելու պարագայում ի՞նչ «այլ» խորհրդակցությունների մասին է խոսքը</w:t>
            </w:r>
            <w:r>
              <w:rPr>
                <w:rFonts w:eastAsia="MS Mincho" w:cs="MS Mincho"/>
                <w:bCs/>
                <w:lang w:val="hy-AM"/>
              </w:rPr>
              <w:t xml:space="preserve">, </w:t>
            </w:r>
          </w:p>
          <w:p w14:paraId="321175EC">
            <w:pPr>
              <w:pStyle w:val="11"/>
              <w:numPr>
                <w:ilvl w:val="0"/>
                <w:numId w:val="3"/>
              </w:numPr>
              <w:tabs>
                <w:tab w:val="left" w:pos="517"/>
              </w:tabs>
              <w:spacing w:after="0" w:line="360" w:lineRule="auto"/>
              <w:ind w:left="0" w:firstLine="247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>Կամայական իրավիճակներից խուսափելու և տարընթերցումներ չառաջացնելու նպատակով անհրաժեշտ է խմբագրել և հստակեցնել, կամ հիմնավորել Հոդվածի 3-րդ մասով ներկայացված կարգավորումը, այն է</w:t>
            </w:r>
            <w:r>
              <w:rPr>
                <w:rFonts w:ascii="Cambria Math" w:hAnsi="Cambria Math" w:cs="Cambria Math"/>
                <w:bCs/>
                <w:lang w:val="hy-AM"/>
              </w:rPr>
              <w:t>․</w:t>
            </w:r>
            <w:r>
              <w:rPr>
                <w:bCs/>
                <w:lang w:val="hy-AM"/>
              </w:rPr>
              <w:t xml:space="preserve"> «</w:t>
            </w:r>
            <w:r>
              <w:rPr>
                <w:bCs/>
                <w:i/>
                <w:lang w:val="hy-AM"/>
              </w:rPr>
              <w:t xml:space="preserve">Սույն հոդվածի 1-ին մասում </w:t>
            </w:r>
            <w:r>
              <w:rPr>
                <w:b/>
                <w:bCs/>
                <w:i/>
                <w:lang w:val="hy-AM"/>
              </w:rPr>
              <w:t>չնշված</w:t>
            </w:r>
            <w:r>
              <w:rPr>
                <w:bCs/>
                <w:i/>
                <w:lang w:val="hy-AM"/>
              </w:rPr>
              <w:t xml:space="preserve"> և բնության հատուկ պահպանվող և անտառային տարածքների, պատմամշակութային հուշարձանների վրա հնարավոր ազդեցություն ունեցող հիմնադրույթային փաստաթղերի նախագծերի </w:t>
            </w:r>
            <w:r>
              <w:rPr>
                <w:b/>
                <w:bCs/>
                <w:i/>
                <w:lang w:val="hy-AM"/>
              </w:rPr>
              <w:t>ՌԷԳ-ի և փորձաքննության ենթակա լինելը որոշում է Լիազոր մարմինը՝ նախաձեռնողի հետ համատեղ խորհրդակցությունների արդյունքով:</w:t>
            </w:r>
            <w:r>
              <w:rPr>
                <w:bCs/>
                <w:lang w:val="hy-AM"/>
              </w:rPr>
              <w:t>»՝ հաշվի առնելով այն, որ հասկանալի չէ, թե ի՞նչ այլ «</w:t>
            </w:r>
            <w:r>
              <w:rPr>
                <w:b/>
                <w:bCs/>
                <w:i/>
                <w:lang w:val="hy-AM"/>
              </w:rPr>
              <w:t>չնշված</w:t>
            </w:r>
            <w:r>
              <w:rPr>
                <w:bCs/>
                <w:lang w:val="hy-AM"/>
              </w:rPr>
              <w:t xml:space="preserve">» գործունեության տեսակների մասին է խոսքը, ինչպես նաև ի՞նչ չափորոշիչների հիման վրա է համապատասխան լիազոր մարմինը որոշում կայացնելու ՌԷԳ-ի և փորձաքննության ենթակա լինելու կամ չլինելու վերաբերյալ, </w:t>
            </w:r>
          </w:p>
          <w:p w14:paraId="3A2FBE9F">
            <w:pPr>
              <w:pStyle w:val="11"/>
              <w:numPr>
                <w:ilvl w:val="0"/>
                <w:numId w:val="3"/>
              </w:numPr>
              <w:tabs>
                <w:tab w:val="left" w:pos="427"/>
                <w:tab w:val="left" w:pos="517"/>
              </w:tabs>
              <w:spacing w:after="0" w:line="360" w:lineRule="auto"/>
              <w:ind w:left="0" w:firstLine="247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>Խմբագրման և հստակեցման կարիք ունի Հոդվածի 4-րդ մասով առաջարկվող կարգավորումը, քանի որ վերջինիս բովանդակությունից պարզ չէ ո՞ւմ կողմից և ի՞նչ չափորաշիչների հիման վրա սահմանված «</w:t>
            </w:r>
            <w:r>
              <w:rPr>
                <w:b/>
                <w:bCs/>
                <w:lang w:val="hy-AM"/>
              </w:rPr>
              <w:t>տեղական մակարդակով փոքր տարածքների</w:t>
            </w:r>
            <w:r>
              <w:rPr>
                <w:bCs/>
                <w:lang w:val="hy-AM"/>
              </w:rPr>
              <w:t>» և «</w:t>
            </w:r>
            <w:r>
              <w:rPr>
                <w:b/>
                <w:bCs/>
                <w:lang w:val="hy-AM"/>
              </w:rPr>
              <w:t>աննշան փոփոխությունների</w:t>
            </w:r>
            <w:r>
              <w:rPr>
                <w:bCs/>
                <w:lang w:val="hy-AM"/>
              </w:rPr>
              <w:t>» մասին է խոսքը։</w:t>
            </w:r>
          </w:p>
        </w:tc>
        <w:tc>
          <w:tcPr>
            <w:tcW w:w="5953" w:type="dxa"/>
            <w:shd w:val="clear" w:color="auto" w:fill="auto"/>
          </w:tcPr>
          <w:p w14:paraId="1625F6E4">
            <w:pPr>
              <w:spacing w:after="0" w:line="360" w:lineRule="auto"/>
              <w:jc w:val="center"/>
              <w:rPr>
                <w:rFonts w:cs="GHEA Grapalat"/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  <w:lang w:val="hy-AM"/>
              </w:rPr>
              <w:t>Ընդունվել է մասամբ</w:t>
            </w:r>
          </w:p>
          <w:p w14:paraId="3334AB28">
            <w:pPr>
              <w:pStyle w:val="11"/>
              <w:numPr>
                <w:ilvl w:val="0"/>
                <w:numId w:val="4"/>
              </w:numPr>
              <w:tabs>
                <w:tab w:val="left" w:pos="357"/>
              </w:tabs>
              <w:spacing w:after="0" w:line="360" w:lineRule="auto"/>
              <w:ind w:left="0" w:firstLine="177"/>
              <w:jc w:val="both"/>
              <w:rPr>
                <w:rFonts w:cs="GHEA Grapalat"/>
                <w:bCs/>
                <w:lang w:val="hy-AM"/>
              </w:rPr>
            </w:pPr>
            <w:r>
              <w:rPr>
                <w:rFonts w:cs="GHEA Grapalat"/>
                <w:lang w:val="hy-AM"/>
              </w:rPr>
              <w:t>Բնագավառները, որոնց վերաբերող հիմնադրույթային փաստաթղթերի նախագծերը ենթակա են ՌԷԳ-ի</w:t>
            </w:r>
            <w:r>
              <w:rPr>
                <w:rFonts w:hint="default" w:cs="GHEA Grapalat"/>
                <w:lang w:val="hy-AM"/>
              </w:rPr>
              <w:t>,</w:t>
            </w:r>
            <w:r>
              <w:rPr>
                <w:rFonts w:cs="GHEA Grapalat"/>
                <w:lang w:val="hy-AM"/>
              </w:rPr>
              <w:t xml:space="preserve"> ամբողջությամբ համապատասխանեցվել են ՌԷԳ արձանագրության պահանջներին՝ հիմք ընդունելով նաև արդարադատության նախարարության կողմից տրամադրված պետաիրավական</w:t>
            </w:r>
            <w:r>
              <w:rPr>
                <w:rFonts w:hint="default" w:cs="GHEA Grapalat"/>
                <w:lang w:val="hy-AM"/>
              </w:rPr>
              <w:t xml:space="preserve"> փորձաքննական </w:t>
            </w:r>
            <w:r>
              <w:rPr>
                <w:rFonts w:cs="GHEA Grapalat"/>
                <w:lang w:val="hy-AM"/>
              </w:rPr>
              <w:t xml:space="preserve">եզրակացության 8-րդ դիտարկումը։ </w:t>
            </w:r>
          </w:p>
          <w:p w14:paraId="72CE5D15">
            <w:pPr>
              <w:pStyle w:val="11"/>
              <w:numPr>
                <w:ilvl w:val="0"/>
                <w:numId w:val="4"/>
              </w:numPr>
              <w:tabs>
                <w:tab w:val="left" w:pos="357"/>
              </w:tabs>
              <w:spacing w:after="0" w:line="360" w:lineRule="auto"/>
              <w:ind w:left="0" w:firstLine="177"/>
              <w:jc w:val="both"/>
              <w:rPr>
                <w:rFonts w:cs="GHEA Grapalat"/>
                <w:lang w:val="hy-AM"/>
              </w:rPr>
            </w:pPr>
            <w:r>
              <w:rPr>
                <w:rFonts w:cs="GHEA Grapalat"/>
                <w:lang w:val="hy-AM"/>
              </w:rPr>
              <w:t>«</w:t>
            </w:r>
            <w:r>
              <w:rPr>
                <w:rFonts w:cs="GHEA Grapalat"/>
                <w:b/>
                <w:lang w:val="hy-AM"/>
              </w:rPr>
              <w:t>նախնական գնահատման</w:t>
            </w:r>
            <w:r>
              <w:rPr>
                <w:rFonts w:cs="GHEA Grapalat"/>
                <w:lang w:val="hy-AM"/>
              </w:rPr>
              <w:t>» փուլում</w:t>
            </w:r>
            <w:r>
              <w:rPr>
                <w:rFonts w:hint="default" w:cs="GHEA Grapalat"/>
                <w:lang w:val="hy-AM"/>
              </w:rPr>
              <w:t>,</w:t>
            </w:r>
            <w:r>
              <w:rPr>
                <w:rFonts w:cs="GHEA Grapalat"/>
                <w:lang w:val="hy-AM"/>
              </w:rPr>
              <w:t xml:space="preserve"> </w:t>
            </w:r>
            <w:r>
              <w:rPr>
                <w:rFonts w:hint="default" w:cs="GHEA Grapalat"/>
                <w:lang w:val="hy-AM"/>
              </w:rPr>
              <w:t xml:space="preserve">21-րդ </w:t>
            </w:r>
            <w:r>
              <w:rPr>
                <w:rFonts w:cs="GHEA Grapalat"/>
                <w:lang w:val="hy-AM"/>
              </w:rPr>
              <w:t>Հոդվածի 1-ին</w:t>
            </w:r>
            <w:r>
              <w:rPr>
                <w:rFonts w:hint="default" w:cs="GHEA Grapalat"/>
                <w:lang w:val="hy-AM"/>
              </w:rPr>
              <w:t xml:space="preserve"> մաս</w:t>
            </w:r>
            <w:r>
              <w:rPr>
                <w:rFonts w:cs="GHEA Grapalat"/>
                <w:lang w:val="hy-AM"/>
              </w:rPr>
              <w:t>ում չնշված հիմնադրույթային փաստաթղերի նախագծերի ՌԷԳ-ի և փորձաքննության ենթակա լինելու վերաբերյալ՝ առողջապահության բնագավառի կառավարման լիազոր մարմնի հետ համատեղ խորհրդակցությունների ընթացակարգերը կսահմանվեն Կառավարության կողմից հաստատված ՌԷԳ կարգով:</w:t>
            </w:r>
          </w:p>
          <w:p w14:paraId="297271DF">
            <w:pPr>
              <w:pStyle w:val="11"/>
              <w:numPr>
                <w:ilvl w:val="0"/>
                <w:numId w:val="4"/>
              </w:numPr>
              <w:tabs>
                <w:tab w:val="left" w:pos="357"/>
              </w:tabs>
              <w:spacing w:after="0" w:line="360" w:lineRule="auto"/>
              <w:ind w:left="0" w:firstLine="177"/>
              <w:jc w:val="both"/>
              <w:rPr>
                <w:rFonts w:cs="GHEA Grapalat"/>
                <w:b/>
                <w:bCs/>
                <w:lang w:val="hy-AM"/>
              </w:rPr>
            </w:pPr>
            <w:r>
              <w:rPr>
                <w:rFonts w:cs="GHEA Grapalat"/>
                <w:lang w:val="hy-AM"/>
              </w:rPr>
              <w:t>Հոդված 3-ում  «արդյունքով» բառից հետո ավելացվել են «՝ Կառավարության կողմից հաստատված ՌԷԳ կարգին համապատասխան» բառերը՝ ապահովել</w:t>
            </w:r>
            <w:r>
              <w:rPr>
                <w:bCs/>
                <w:lang w:val="hy-AM"/>
              </w:rPr>
              <w:t xml:space="preserve">ով որոշակիություն։ </w:t>
            </w:r>
          </w:p>
          <w:p w14:paraId="2C6E17B0">
            <w:pPr>
              <w:pStyle w:val="11"/>
              <w:numPr>
                <w:numId w:val="0"/>
              </w:numPr>
              <w:tabs>
                <w:tab w:val="left" w:pos="357"/>
              </w:tabs>
              <w:spacing w:after="0" w:line="360" w:lineRule="auto"/>
              <w:jc w:val="both"/>
              <w:rPr>
                <w:rFonts w:cs="GHEA Grapalat"/>
                <w:b/>
                <w:bCs/>
                <w:lang w:val="hy-AM"/>
              </w:rPr>
            </w:pPr>
            <w:r>
              <w:rPr>
                <w:bCs/>
                <w:lang w:val="hy-AM"/>
              </w:rPr>
              <w:t>Նշված  որոշման</w:t>
            </w:r>
            <w:r>
              <w:rPr>
                <w:rFonts w:hint="default"/>
                <w:bCs/>
                <w:lang w:val="hy-AM"/>
              </w:rPr>
              <w:t xml:space="preserve"> փոփոխությամբ նախատեսվում է </w:t>
            </w:r>
            <w:r>
              <w:rPr>
                <w:bCs/>
                <w:lang w:val="hy-AM"/>
              </w:rPr>
              <w:t xml:space="preserve"> սահմանել նախաձեռնողի հետ համատեղ խորհրդակցությունների ընթացակարգերը։ Միաժամանակ, </w:t>
            </w:r>
            <w:r>
              <w:rPr>
                <w:bCs/>
                <w:i/>
                <w:lang w:val="hy-AM"/>
              </w:rPr>
              <w:t xml:space="preserve"> </w:t>
            </w:r>
            <w:r>
              <w:rPr>
                <w:rFonts w:cs="GHEA Grapalat"/>
                <w:lang w:val="hy-AM"/>
              </w:rPr>
              <w:t>«Սույն հոդվածի 1-ին մասում չնշված» ձևակերպմամբ բացառություն է արվում  ՌԷԳ-ի և փորձաքնն</w:t>
            </w:r>
            <w:r>
              <w:rPr>
                <w:bCs/>
                <w:lang w:val="hy-AM"/>
              </w:rPr>
              <w:t xml:space="preserve">ության պարտադիր ենթակա հիմնադրույթային փաստաթղթղերի համար։ </w:t>
            </w:r>
          </w:p>
          <w:p w14:paraId="54DEB879">
            <w:pPr>
              <w:pStyle w:val="11"/>
              <w:numPr>
                <w:ilvl w:val="0"/>
                <w:numId w:val="4"/>
              </w:numPr>
              <w:tabs>
                <w:tab w:val="left" w:pos="357"/>
              </w:tabs>
              <w:spacing w:after="0" w:line="360" w:lineRule="auto"/>
              <w:ind w:left="0" w:firstLine="177"/>
              <w:jc w:val="both"/>
              <w:rPr>
                <w:rFonts w:cs="GHEA Grapalat"/>
                <w:b/>
                <w:bCs/>
                <w:lang w:val="hy-AM"/>
              </w:rPr>
            </w:pPr>
            <w:r>
              <w:rPr>
                <w:b/>
                <w:bCs/>
                <w:i/>
                <w:lang w:val="hy-AM"/>
              </w:rPr>
              <w:t xml:space="preserve"> </w:t>
            </w:r>
            <w:r>
              <w:rPr>
                <w:bCs/>
                <w:lang w:val="hy-AM"/>
              </w:rPr>
              <w:t>«</w:t>
            </w:r>
            <w:r>
              <w:rPr>
                <w:b/>
                <w:bCs/>
                <w:lang w:val="hy-AM"/>
              </w:rPr>
              <w:t>տեղական մակարդակով փոքր տարածքներ</w:t>
            </w:r>
            <w:r>
              <w:rPr>
                <w:bCs/>
                <w:lang w:val="hy-AM"/>
              </w:rPr>
              <w:t>» և «</w:t>
            </w:r>
            <w:r>
              <w:rPr>
                <w:b/>
                <w:bCs/>
                <w:lang w:val="hy-AM"/>
              </w:rPr>
              <w:t>աննշան փոփոխություններ</w:t>
            </w:r>
            <w:r>
              <w:rPr>
                <w:bCs/>
                <w:lang w:val="hy-AM"/>
              </w:rPr>
              <w:t>» ձևակերպումները</w:t>
            </w:r>
            <w:r>
              <w:rPr>
                <w:rFonts w:hint="default"/>
                <w:bCs/>
                <w:lang w:val="hy-AM"/>
              </w:rPr>
              <w:t xml:space="preserve"> համապատասխանեցվել են ՌԷԳ արձանագրության պահանջներին, որոնք</w:t>
            </w:r>
            <w:r>
              <w:rPr>
                <w:bCs/>
                <w:lang w:val="hy-AM"/>
              </w:rPr>
              <w:t xml:space="preserve"> որոշակիորեն</w:t>
            </w:r>
            <w:r>
              <w:rPr>
                <w:rFonts w:hint="default"/>
                <w:bCs/>
                <w:lang w:val="hy-AM"/>
              </w:rPr>
              <w:t xml:space="preserve"> կհստակեցվեն </w:t>
            </w:r>
            <w:r>
              <w:rPr>
                <w:bCs/>
                <w:lang w:val="hy-AM"/>
              </w:rPr>
              <w:t xml:space="preserve">ՌԷԳ ուղեցույցով, իսկ ընթացակարգերը կսահմանվեն </w:t>
            </w:r>
            <w:r>
              <w:rPr>
                <w:rFonts w:cs="GHEA Grapalat"/>
                <w:lang w:val="hy-AM"/>
              </w:rPr>
              <w:t xml:space="preserve"> Կառավարության կողմից հաստատված </w:t>
            </w:r>
            <w:r>
              <w:rPr>
                <w:rFonts w:eastAsia="Microsoft JhengHei" w:cs="GHEA Grapalat"/>
                <w:lang w:val="hy-AM"/>
              </w:rPr>
              <w:t xml:space="preserve">ՌԷԳ </w:t>
            </w:r>
            <w:r>
              <w:rPr>
                <w:rFonts w:eastAsia="MS Mincho" w:cs="GHEA Grapalat"/>
                <w:color w:val="000000" w:themeColor="text1"/>
                <w:lang w:val="hy-AM"/>
                <w14:textFill>
                  <w14:solidFill>
                    <w14:schemeClr w14:val="tx1"/>
                  </w14:solidFill>
                </w14:textFill>
              </w:rPr>
              <w:t>կարգին համապատասխան</w:t>
            </w:r>
          </w:p>
        </w:tc>
      </w:tr>
      <w:tr w14:paraId="449CB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86" w:type="dxa"/>
            <w:shd w:val="clear" w:color="auto" w:fill="auto"/>
          </w:tcPr>
          <w:p w14:paraId="36FD8136">
            <w:pPr>
              <w:pStyle w:val="11"/>
              <w:numPr>
                <w:ilvl w:val="0"/>
                <w:numId w:val="2"/>
              </w:numPr>
              <w:tabs>
                <w:tab w:val="left" w:pos="427"/>
              </w:tabs>
              <w:spacing w:after="0" w:line="360" w:lineRule="auto"/>
              <w:ind w:left="-23" w:firstLine="83"/>
              <w:jc w:val="both"/>
              <w:rPr>
                <w:rFonts w:cs="GHEA Grapalat"/>
                <w:lang w:val="hy-AM"/>
              </w:rPr>
            </w:pPr>
            <w:r>
              <w:rPr>
                <w:rFonts w:cs="GHEA Grapalat"/>
                <w:lang w:val="hy-AM"/>
              </w:rPr>
              <w:t>Պարզաբանման կարիք ունի Նախագծի 11-րդ հոդվածով ներկայացված և Օրենքի 22-րդ հոդվածով առաջարկվող համապատասխան փոփոխությունը, որի բովանդակությամբ բացահայտված չէ, թե, որպես ՌԷԳ իրականացման փուլ, ի՞նչ «</w:t>
            </w:r>
            <w:r>
              <w:rPr>
                <w:rFonts w:cs="GHEA Grapalat"/>
                <w:b/>
                <w:lang w:val="hy-AM"/>
              </w:rPr>
              <w:t>նախնական գնահատման</w:t>
            </w:r>
            <w:r>
              <w:rPr>
                <w:rFonts w:cs="GHEA Grapalat"/>
                <w:lang w:val="hy-AM"/>
              </w:rPr>
              <w:t>» մասին է խոսքը։</w:t>
            </w:r>
          </w:p>
        </w:tc>
        <w:tc>
          <w:tcPr>
            <w:tcW w:w="5953" w:type="dxa"/>
            <w:shd w:val="clear" w:color="auto" w:fill="auto"/>
          </w:tcPr>
          <w:p w14:paraId="4FB225C5">
            <w:pPr>
              <w:spacing w:after="0" w:line="360" w:lineRule="auto"/>
              <w:jc w:val="center"/>
              <w:rPr>
                <w:rFonts w:cs="GHEA Grapalat"/>
                <w:b/>
                <w:lang w:val="hy-AM"/>
              </w:rPr>
            </w:pPr>
            <w:r>
              <w:rPr>
                <w:rFonts w:cs="GHEA Grapalat"/>
                <w:b/>
                <w:lang w:val="hy-AM"/>
              </w:rPr>
              <w:t>Չի ընդունվել</w:t>
            </w:r>
          </w:p>
          <w:p w14:paraId="2C24C99D">
            <w:pPr>
              <w:spacing w:after="0" w:line="360" w:lineRule="auto"/>
              <w:jc w:val="center"/>
              <w:rPr>
                <w:rFonts w:cs="GHEA Grapalat"/>
                <w:lang w:val="hy-AM"/>
              </w:rPr>
            </w:pPr>
            <w:r>
              <w:rPr>
                <w:rFonts w:cs="GHEA Grapalat"/>
                <w:lang w:val="hy-AM"/>
              </w:rPr>
              <w:t>«նախնական գնահտման» փուլ</w:t>
            </w:r>
            <w:r>
              <w:rPr>
                <w:rFonts w:hint="default" w:cs="GHEA Grapalat"/>
                <w:lang w:val="hy-AM"/>
              </w:rPr>
              <w:t xml:space="preserve"> են հանդիսանում </w:t>
            </w:r>
            <w:r>
              <w:rPr>
                <w:rFonts w:cs="GHEA Grapalat"/>
                <w:lang w:val="hy-AM"/>
              </w:rPr>
              <w:t xml:space="preserve">Հոդված 21-ի 2-4-րդ մասերով սահմանված կարգավորումները՝ համաձայն ՌԷԳ արձանագրությամբ ամրագրված դրույթների  </w:t>
            </w:r>
          </w:p>
        </w:tc>
      </w:tr>
      <w:tr w14:paraId="183917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86" w:type="dxa"/>
            <w:shd w:val="clear" w:color="auto" w:fill="auto"/>
          </w:tcPr>
          <w:p w14:paraId="43C0E31D">
            <w:pPr>
              <w:pStyle w:val="11"/>
              <w:numPr>
                <w:ilvl w:val="0"/>
                <w:numId w:val="2"/>
              </w:numPr>
              <w:tabs>
                <w:tab w:val="left" w:pos="427"/>
              </w:tabs>
              <w:spacing w:after="0" w:line="360" w:lineRule="auto"/>
              <w:ind w:left="-23" w:firstLine="83"/>
              <w:jc w:val="both"/>
              <w:rPr>
                <w:rFonts w:cs="GHEA Grapalat"/>
                <w:lang w:val="hy-AM"/>
              </w:rPr>
            </w:pPr>
            <w:r>
              <w:rPr>
                <w:rFonts w:cs="GHEA Grapalat"/>
                <w:lang w:val="hy-AM"/>
              </w:rPr>
              <w:t>Անհրաժեշտ է խմբագրել (այդ թվում նաև շարահյուսական տեսանկյունից) և  հստակեցնել Նախագծի 12-րդ հոդվածով առաջարկվող և Օրենքի 24-րդ հոդվածով խմբագրվող կարգավորումը, քանի որ տարընկալելի է նրանում առկա «</w:t>
            </w:r>
            <w:r>
              <w:rPr>
                <w:rFonts w:cs="GHEA Grapalat"/>
                <w:b/>
                <w:i/>
                <w:lang w:val="hy-AM"/>
              </w:rPr>
              <w:t>նախատեսվող</w:t>
            </w:r>
            <w:r>
              <w:rPr>
                <w:rFonts w:cs="GHEA Grapalat"/>
                <w:i/>
                <w:lang w:val="hy-AM"/>
              </w:rPr>
              <w:t xml:space="preserve"> գործունեության </w:t>
            </w:r>
            <w:r>
              <w:rPr>
                <w:rFonts w:cs="GHEA Grapalat"/>
                <w:b/>
                <w:i/>
                <w:lang w:val="hy-AM"/>
              </w:rPr>
              <w:t>զգալի</w:t>
            </w:r>
            <w:r>
              <w:rPr>
                <w:rFonts w:cs="GHEA Grapalat"/>
                <w:lang w:val="hy-AM"/>
              </w:rPr>
              <w:t>» ազդեցության և «</w:t>
            </w:r>
            <w:r>
              <w:rPr>
                <w:rFonts w:cs="GHEA Grapalat"/>
                <w:i/>
                <w:lang w:val="hy-AM"/>
              </w:rPr>
              <w:t xml:space="preserve">կարող էր </w:t>
            </w:r>
            <w:r>
              <w:rPr>
                <w:rFonts w:cs="GHEA Grapalat"/>
                <w:b/>
                <w:i/>
                <w:lang w:val="hy-AM"/>
              </w:rPr>
              <w:t>զգալիորեն ազդել</w:t>
            </w:r>
            <w:r>
              <w:rPr>
                <w:rFonts w:cs="GHEA Grapalat"/>
                <w:lang w:val="hy-AM"/>
              </w:rPr>
              <w:t xml:space="preserve"> այդ եզրակացության վրա» դրույթները և վերջիններից բխող համապատասխան ընթացակարգերի՝ ոչ հստակ ներկայացված լինելու հանգամանքը։     </w:t>
            </w:r>
          </w:p>
        </w:tc>
        <w:tc>
          <w:tcPr>
            <w:tcW w:w="5953" w:type="dxa"/>
            <w:shd w:val="clear" w:color="auto" w:fill="auto"/>
          </w:tcPr>
          <w:p w14:paraId="044705FC">
            <w:pPr>
              <w:spacing w:after="0" w:line="360" w:lineRule="auto"/>
              <w:jc w:val="center"/>
              <w:rPr>
                <w:rFonts w:cs="GHEA Grapalat"/>
                <w:b/>
                <w:lang w:val="hy-AM"/>
              </w:rPr>
            </w:pPr>
            <w:r>
              <w:rPr>
                <w:rFonts w:cs="GHEA Grapalat"/>
                <w:b/>
                <w:lang w:val="hy-AM"/>
              </w:rPr>
              <w:t>Չի ընդունվել</w:t>
            </w:r>
          </w:p>
          <w:p w14:paraId="103879E1">
            <w:pPr>
              <w:spacing w:after="0" w:line="360" w:lineRule="auto"/>
              <w:jc w:val="center"/>
              <w:rPr>
                <w:rFonts w:cs="GHEA Grapalat"/>
                <w:lang w:val="hy-AM"/>
              </w:rPr>
            </w:pPr>
            <w:r>
              <w:rPr>
                <w:rFonts w:cs="GHEA Grapalat"/>
                <w:lang w:val="hy-AM"/>
              </w:rPr>
              <w:t>Ձևակերպումները բխում են  ՌԷԳ արձանագրության պահնաջներից</w:t>
            </w:r>
          </w:p>
        </w:tc>
      </w:tr>
      <w:tr w14:paraId="09871F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86" w:type="dxa"/>
            <w:vMerge w:val="restart"/>
            <w:shd w:val="clear" w:color="auto" w:fill="D8D8D8" w:themeFill="background1" w:themeFillShade="D9"/>
          </w:tcPr>
          <w:p w14:paraId="675B1A83">
            <w:pPr>
              <w:spacing w:line="360" w:lineRule="auto"/>
              <w:jc w:val="center"/>
            </w:pPr>
            <w:r>
              <w:t>ՎԱՐՉԱՊԵՏԻ ԱՇԽԱՏԱԿԱԶՄԻ</w:t>
            </w:r>
          </w:p>
          <w:p w14:paraId="3A3D87CC">
            <w:pPr>
              <w:spacing w:line="360" w:lineRule="auto"/>
              <w:jc w:val="center"/>
            </w:pPr>
            <w:r>
              <w:t>ԻՐԱՎԱԲԱՆԱԿԱՆ ՎԱՐՉՈՒԹՅՈՒՆ</w:t>
            </w:r>
          </w:p>
        </w:tc>
        <w:tc>
          <w:tcPr>
            <w:tcW w:w="5953" w:type="dxa"/>
            <w:shd w:val="clear" w:color="auto" w:fill="D8D8D8" w:themeFill="background1" w:themeFillShade="D9"/>
            <w:vAlign w:val="center"/>
          </w:tcPr>
          <w:p w14:paraId="65563AE4">
            <w:pPr>
              <w:jc w:val="center"/>
            </w:pPr>
            <w:r>
              <w:t>24</w:t>
            </w:r>
            <w:r>
              <w:rPr>
                <w:rFonts w:ascii="Cambria Math" w:hAnsi="Cambria Math" w:cs="Cambria Math"/>
              </w:rPr>
              <w:t>․</w:t>
            </w:r>
            <w:r>
              <w:t>03</w:t>
            </w:r>
            <w:r>
              <w:rPr>
                <w:rFonts w:ascii="Cambria Math" w:hAnsi="Cambria Math" w:cs="Cambria Math"/>
              </w:rPr>
              <w:t>․</w:t>
            </w:r>
            <w:r>
              <w:t>2026թ</w:t>
            </w:r>
            <w:r>
              <w:rPr>
                <w:rFonts w:ascii="Cambria Math" w:hAnsi="Cambria Math" w:cs="Cambria Math"/>
              </w:rPr>
              <w:t>․</w:t>
            </w:r>
          </w:p>
        </w:tc>
      </w:tr>
      <w:tr w14:paraId="5DF41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86" w:type="dxa"/>
            <w:vMerge w:val="continue"/>
            <w:shd w:val="clear" w:color="auto" w:fill="D8D8D8" w:themeFill="background1" w:themeFillShade="D9"/>
          </w:tcPr>
          <w:p w14:paraId="487D680D">
            <w:pPr>
              <w:spacing w:after="0" w:line="360" w:lineRule="auto"/>
              <w:jc w:val="both"/>
              <w:rPr>
                <w:rFonts w:cs="GHEA Grapalat"/>
                <w:lang w:val="hy-AM"/>
              </w:rPr>
            </w:pPr>
          </w:p>
        </w:tc>
        <w:tc>
          <w:tcPr>
            <w:tcW w:w="5953" w:type="dxa"/>
            <w:shd w:val="clear" w:color="auto" w:fill="D8D8D8" w:themeFill="background1" w:themeFillShade="D9"/>
            <w:vAlign w:val="center"/>
          </w:tcPr>
          <w:p w14:paraId="06C36539">
            <w:pPr>
              <w:jc w:val="center"/>
            </w:pPr>
            <w:r>
              <w:t>N02/12.23/9458</w:t>
            </w:r>
          </w:p>
        </w:tc>
      </w:tr>
      <w:tr w14:paraId="7070C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86" w:type="dxa"/>
            <w:shd w:val="clear" w:color="auto" w:fill="auto"/>
          </w:tcPr>
          <w:p w14:paraId="374DB659">
            <w:pPr>
              <w:spacing w:after="0" w:line="360" w:lineRule="auto"/>
              <w:jc w:val="both"/>
              <w:rPr>
                <w:rFonts w:cs="GHEA Grapalat"/>
                <w:lang w:val="hy-AM"/>
              </w:rPr>
            </w:pPr>
            <w:r>
              <w:rPr>
                <w:color w:val="000000" w:themeColor="text1"/>
                <w:lang w:val="hy-AM"/>
                <w14:textFill>
                  <w14:solidFill>
                    <w14:schemeClr w14:val="tx1"/>
                  </w14:solidFill>
                </w14:textFill>
              </w:rPr>
              <w:t xml:space="preserve">Հարկ է նկատի ունենալ, որ </w:t>
            </w:r>
            <w:r>
              <w:rPr>
                <w:rFonts w:cs="GHEA Grapalat"/>
                <w:color w:val="000000" w:themeColor="text1"/>
                <w:lang w:val="hy-AM"/>
                <w14:textFill>
                  <w14:solidFill>
                    <w14:schemeClr w14:val="tx1"/>
                  </w14:solidFill>
                </w14:textFill>
              </w:rPr>
              <w:t xml:space="preserve">«Շրջակա միջավայրի վրա ազդեցության գնահատման և փորձաքննության մասին» օրենքում փոփոխություններ և լրացումներ կատարելու մասին» օրենքի </w:t>
            </w:r>
            <w:r>
              <w:rPr>
                <w:color w:val="000000" w:themeColor="text1"/>
                <w:lang w:val="hy-AM"/>
                <w14:textFill>
                  <w14:solidFill>
                    <w14:schemeClr w14:val="tx1"/>
                  </w14:solidFill>
                </w14:textFill>
              </w:rPr>
              <w:t>նախագծին և հարակից նախագծերի փաթեթին հավանություն տալու մասին</w:t>
            </w:r>
            <w:r>
              <w:rPr>
                <w:rFonts w:cs="GHEA Grapalat"/>
                <w:color w:val="000000" w:themeColor="text1"/>
                <w:lang w:val="hy-AM"/>
                <w14:textFill>
                  <w14:solidFill>
                    <w14:schemeClr w14:val="tx1"/>
                  </w14:solidFill>
                </w14:textFill>
              </w:rPr>
              <w:t>»</w:t>
            </w:r>
            <w:r>
              <w:rPr>
                <w:color w:val="000000" w:themeColor="text1"/>
                <w:lang w:val="hy-AM"/>
                <w14:textFill>
                  <w14:solidFill>
                    <w14:schemeClr w14:val="tx1"/>
                  </w14:solidFill>
                </w14:textFill>
              </w:rPr>
              <w:t xml:space="preserve"> ՀՀ կառավարության որոշման նախագծի վերնագիրն անհրաժեշտ է համապատասխանեցնել ՀՀ վարչապետի 2025 թվականի </w:t>
            </w:r>
            <w:r>
              <w:rPr>
                <w:rFonts w:cs="Calibri Cyr"/>
                <w:color w:val="000000" w:themeColor="text1"/>
                <w:lang w:val="hy-AM"/>
                <w14:textFill>
                  <w14:solidFill>
                    <w14:schemeClr w14:val="tx1"/>
                  </w14:solidFill>
                </w14:textFill>
              </w:rPr>
              <w:t xml:space="preserve">№ </w:t>
            </w:r>
            <w:r>
              <w:rPr>
                <w:rFonts w:cs="Times New Roman"/>
                <w:color w:val="000000" w:themeColor="text1"/>
                <w:lang w:val="hy-AM"/>
                <w14:textFill>
                  <w14:solidFill>
                    <w14:schemeClr w14:val="tx1"/>
                  </w14:solidFill>
                </w14:textFill>
              </w:rPr>
              <w:t>02/07.19/21754-2025</w:t>
            </w:r>
            <w:r>
              <w:rPr>
                <w:rFonts w:cs="Times New Roman"/>
                <w:b/>
                <w:color w:val="000000" w:themeColor="text1"/>
                <w:lang w:val="hy-AM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cs="Times New Roman"/>
                <w:color w:val="000000" w:themeColor="text1"/>
                <w:lang w:val="hy-AM"/>
                <w14:textFill>
                  <w14:solidFill>
                    <w14:schemeClr w14:val="tx1"/>
                  </w14:solidFill>
                </w14:textFill>
              </w:rPr>
              <w:t>հանձնարարականի պահանջներին:</w:t>
            </w:r>
            <w:bookmarkStart w:id="0" w:name="_GoBack"/>
            <w:bookmarkEnd w:id="0"/>
          </w:p>
        </w:tc>
        <w:tc>
          <w:tcPr>
            <w:tcW w:w="5953" w:type="dxa"/>
            <w:shd w:val="clear" w:color="auto" w:fill="auto"/>
          </w:tcPr>
          <w:p w14:paraId="56FD8302">
            <w:pPr>
              <w:spacing w:after="0" w:line="360" w:lineRule="auto"/>
              <w:jc w:val="center"/>
              <w:rPr>
                <w:rFonts w:cs="GHEA Grapalat"/>
                <w:b/>
              </w:rPr>
            </w:pPr>
            <w:r>
              <w:rPr>
                <w:rFonts w:cs="GHEA Grapalat"/>
                <w:b/>
                <w:lang w:val="hy-AM"/>
              </w:rPr>
              <w:t>Ընդունվել է</w:t>
            </w:r>
          </w:p>
        </w:tc>
      </w:tr>
    </w:tbl>
    <w:p w14:paraId="46EAC544">
      <w:pPr>
        <w:spacing w:after="0" w:line="360" w:lineRule="auto"/>
        <w:jc w:val="center"/>
        <w:rPr>
          <w:lang w:val="hy-AM"/>
        </w:rPr>
      </w:pPr>
    </w:p>
    <w:sectPr>
      <w:pgSz w:w="15840" w:h="12240" w:orient="landscape"/>
      <w:pgMar w:top="810" w:right="567" w:bottom="567" w:left="56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GHEA Grapalat">
    <w:panose1 w:val="02000506050000020003"/>
    <w:charset w:val="00"/>
    <w:family w:val="modern"/>
    <w:pitch w:val="default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Calibri Cyr">
    <w:altName w:val="Times New Roman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033884"/>
    <w:multiLevelType w:val="multilevel"/>
    <w:tmpl w:val="2003388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eastAsia="Tahoma" w:cs="Tahoma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786468"/>
    <w:multiLevelType w:val="multilevel"/>
    <w:tmpl w:val="27786468"/>
    <w:lvl w:ilvl="0" w:tentative="0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F505855"/>
    <w:multiLevelType w:val="multilevel"/>
    <w:tmpl w:val="2F50585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42416F64"/>
    <w:multiLevelType w:val="multilevel"/>
    <w:tmpl w:val="42416F64"/>
    <w:lvl w:ilvl="0" w:tentative="0">
      <w:start w:val="1"/>
      <w:numFmt w:val="bullet"/>
      <w:lvlText w:val=""/>
      <w:lvlJc w:val="left"/>
      <w:pPr>
        <w:ind w:left="1515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235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955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75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95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115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835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555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75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hideSpellingErrors/>
  <w:documentProtection w:enforcement="0"/>
  <w:defaultTabStop w:val="7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58"/>
    <w:rsid w:val="00007F91"/>
    <w:rsid w:val="00010BE0"/>
    <w:rsid w:val="0002362A"/>
    <w:rsid w:val="000337E2"/>
    <w:rsid w:val="0004342B"/>
    <w:rsid w:val="00072CF3"/>
    <w:rsid w:val="00072DB8"/>
    <w:rsid w:val="00082871"/>
    <w:rsid w:val="00093BBD"/>
    <w:rsid w:val="000956AB"/>
    <w:rsid w:val="000974BC"/>
    <w:rsid w:val="000B4854"/>
    <w:rsid w:val="000B5689"/>
    <w:rsid w:val="000C2F3B"/>
    <w:rsid w:val="000D03F1"/>
    <w:rsid w:val="000D133C"/>
    <w:rsid w:val="000D55E8"/>
    <w:rsid w:val="00103EC0"/>
    <w:rsid w:val="00113409"/>
    <w:rsid w:val="00113C9E"/>
    <w:rsid w:val="00123F06"/>
    <w:rsid w:val="001363C8"/>
    <w:rsid w:val="00137E8C"/>
    <w:rsid w:val="00141B1E"/>
    <w:rsid w:val="00155560"/>
    <w:rsid w:val="00170252"/>
    <w:rsid w:val="00180F81"/>
    <w:rsid w:val="00181D0A"/>
    <w:rsid w:val="001908EB"/>
    <w:rsid w:val="001A01DC"/>
    <w:rsid w:val="001B37FC"/>
    <w:rsid w:val="001B7101"/>
    <w:rsid w:val="001C6EA9"/>
    <w:rsid w:val="001E3CD6"/>
    <w:rsid w:val="001E67F9"/>
    <w:rsid w:val="001F2313"/>
    <w:rsid w:val="001F2984"/>
    <w:rsid w:val="00202545"/>
    <w:rsid w:val="00215F6B"/>
    <w:rsid w:val="002174AF"/>
    <w:rsid w:val="0022030B"/>
    <w:rsid w:val="00243FE6"/>
    <w:rsid w:val="00250579"/>
    <w:rsid w:val="00250F38"/>
    <w:rsid w:val="00255703"/>
    <w:rsid w:val="002616B8"/>
    <w:rsid w:val="00263620"/>
    <w:rsid w:val="00282639"/>
    <w:rsid w:val="002909EA"/>
    <w:rsid w:val="002973BA"/>
    <w:rsid w:val="002A702D"/>
    <w:rsid w:val="002A79D8"/>
    <w:rsid w:val="002B1F3A"/>
    <w:rsid w:val="002B3141"/>
    <w:rsid w:val="002C4D1F"/>
    <w:rsid w:val="002C6077"/>
    <w:rsid w:val="002D719C"/>
    <w:rsid w:val="002E0D69"/>
    <w:rsid w:val="002E2000"/>
    <w:rsid w:val="002E5ABE"/>
    <w:rsid w:val="002E6D3F"/>
    <w:rsid w:val="002F2C65"/>
    <w:rsid w:val="002F2F0D"/>
    <w:rsid w:val="0030755B"/>
    <w:rsid w:val="0032155E"/>
    <w:rsid w:val="0033707D"/>
    <w:rsid w:val="00365BD7"/>
    <w:rsid w:val="00366ADF"/>
    <w:rsid w:val="0037688A"/>
    <w:rsid w:val="0037695C"/>
    <w:rsid w:val="00377C5F"/>
    <w:rsid w:val="003A4863"/>
    <w:rsid w:val="003A55D8"/>
    <w:rsid w:val="003B1A6E"/>
    <w:rsid w:val="003B6788"/>
    <w:rsid w:val="003C048C"/>
    <w:rsid w:val="003C4D83"/>
    <w:rsid w:val="003D03EE"/>
    <w:rsid w:val="003D0BEA"/>
    <w:rsid w:val="003D1036"/>
    <w:rsid w:val="003D3434"/>
    <w:rsid w:val="003F320C"/>
    <w:rsid w:val="00413FD9"/>
    <w:rsid w:val="00447A52"/>
    <w:rsid w:val="004531DB"/>
    <w:rsid w:val="00456C64"/>
    <w:rsid w:val="00456C99"/>
    <w:rsid w:val="00461972"/>
    <w:rsid w:val="00466005"/>
    <w:rsid w:val="00470510"/>
    <w:rsid w:val="00483F21"/>
    <w:rsid w:val="00494958"/>
    <w:rsid w:val="004A4B31"/>
    <w:rsid w:val="004D0894"/>
    <w:rsid w:val="004E06C1"/>
    <w:rsid w:val="004E52F7"/>
    <w:rsid w:val="005054F7"/>
    <w:rsid w:val="00523F6B"/>
    <w:rsid w:val="00533764"/>
    <w:rsid w:val="00534275"/>
    <w:rsid w:val="005344FC"/>
    <w:rsid w:val="00536F82"/>
    <w:rsid w:val="00537F58"/>
    <w:rsid w:val="005654E8"/>
    <w:rsid w:val="005664E3"/>
    <w:rsid w:val="005D6504"/>
    <w:rsid w:val="005D6836"/>
    <w:rsid w:val="005D7723"/>
    <w:rsid w:val="005F006B"/>
    <w:rsid w:val="005F4266"/>
    <w:rsid w:val="00602EFE"/>
    <w:rsid w:val="0061594C"/>
    <w:rsid w:val="0063467E"/>
    <w:rsid w:val="00635F10"/>
    <w:rsid w:val="00636781"/>
    <w:rsid w:val="00680A61"/>
    <w:rsid w:val="006834B9"/>
    <w:rsid w:val="00693C86"/>
    <w:rsid w:val="00694E14"/>
    <w:rsid w:val="00697481"/>
    <w:rsid w:val="006A08D0"/>
    <w:rsid w:val="006A22B5"/>
    <w:rsid w:val="006B43BF"/>
    <w:rsid w:val="006D0FB6"/>
    <w:rsid w:val="006E6C50"/>
    <w:rsid w:val="0071183A"/>
    <w:rsid w:val="007255FD"/>
    <w:rsid w:val="00731DF2"/>
    <w:rsid w:val="00734770"/>
    <w:rsid w:val="007616E2"/>
    <w:rsid w:val="007662BB"/>
    <w:rsid w:val="007917DF"/>
    <w:rsid w:val="007A4A69"/>
    <w:rsid w:val="007B69DC"/>
    <w:rsid w:val="007C6D7B"/>
    <w:rsid w:val="007D6993"/>
    <w:rsid w:val="007E1B2A"/>
    <w:rsid w:val="007E54E7"/>
    <w:rsid w:val="007E688E"/>
    <w:rsid w:val="007E6D14"/>
    <w:rsid w:val="007F0B6A"/>
    <w:rsid w:val="007F7BA2"/>
    <w:rsid w:val="0080419E"/>
    <w:rsid w:val="008044EE"/>
    <w:rsid w:val="0081107C"/>
    <w:rsid w:val="0082131C"/>
    <w:rsid w:val="00823B88"/>
    <w:rsid w:val="00826434"/>
    <w:rsid w:val="00843CEA"/>
    <w:rsid w:val="00843E0B"/>
    <w:rsid w:val="0085036A"/>
    <w:rsid w:val="008624CE"/>
    <w:rsid w:val="00877E52"/>
    <w:rsid w:val="00881777"/>
    <w:rsid w:val="008A391F"/>
    <w:rsid w:val="008C38F6"/>
    <w:rsid w:val="008C7DE3"/>
    <w:rsid w:val="008E2199"/>
    <w:rsid w:val="00902296"/>
    <w:rsid w:val="00902527"/>
    <w:rsid w:val="00906D22"/>
    <w:rsid w:val="0091321C"/>
    <w:rsid w:val="009208BF"/>
    <w:rsid w:val="00934B44"/>
    <w:rsid w:val="00977AE9"/>
    <w:rsid w:val="00984D27"/>
    <w:rsid w:val="00992222"/>
    <w:rsid w:val="009944A9"/>
    <w:rsid w:val="009A25AA"/>
    <w:rsid w:val="009A6CF8"/>
    <w:rsid w:val="009B7604"/>
    <w:rsid w:val="009C2A50"/>
    <w:rsid w:val="009D7721"/>
    <w:rsid w:val="009F688F"/>
    <w:rsid w:val="00A01519"/>
    <w:rsid w:val="00A12624"/>
    <w:rsid w:val="00A13EE3"/>
    <w:rsid w:val="00A1576A"/>
    <w:rsid w:val="00A16472"/>
    <w:rsid w:val="00A1668B"/>
    <w:rsid w:val="00A47F85"/>
    <w:rsid w:val="00A502C2"/>
    <w:rsid w:val="00A54D21"/>
    <w:rsid w:val="00A57276"/>
    <w:rsid w:val="00A631B1"/>
    <w:rsid w:val="00A67702"/>
    <w:rsid w:val="00A74FFE"/>
    <w:rsid w:val="00A76F4C"/>
    <w:rsid w:val="00AA6551"/>
    <w:rsid w:val="00AB45E4"/>
    <w:rsid w:val="00AC1171"/>
    <w:rsid w:val="00AD084A"/>
    <w:rsid w:val="00AF35DB"/>
    <w:rsid w:val="00B118EF"/>
    <w:rsid w:val="00B16993"/>
    <w:rsid w:val="00B50C56"/>
    <w:rsid w:val="00B53E45"/>
    <w:rsid w:val="00B65260"/>
    <w:rsid w:val="00B65AB5"/>
    <w:rsid w:val="00B71E25"/>
    <w:rsid w:val="00B75B0B"/>
    <w:rsid w:val="00B8464B"/>
    <w:rsid w:val="00BB72E9"/>
    <w:rsid w:val="00BC33BA"/>
    <w:rsid w:val="00BC79A3"/>
    <w:rsid w:val="00BE42D4"/>
    <w:rsid w:val="00BF1685"/>
    <w:rsid w:val="00C00B01"/>
    <w:rsid w:val="00C416E2"/>
    <w:rsid w:val="00C430F8"/>
    <w:rsid w:val="00C44DB3"/>
    <w:rsid w:val="00C47D46"/>
    <w:rsid w:val="00C74B42"/>
    <w:rsid w:val="00C8313B"/>
    <w:rsid w:val="00C871C4"/>
    <w:rsid w:val="00C875FF"/>
    <w:rsid w:val="00C90C80"/>
    <w:rsid w:val="00CC17A8"/>
    <w:rsid w:val="00CC19B0"/>
    <w:rsid w:val="00CE0A69"/>
    <w:rsid w:val="00CE1303"/>
    <w:rsid w:val="00CE1EE3"/>
    <w:rsid w:val="00CF2199"/>
    <w:rsid w:val="00D16904"/>
    <w:rsid w:val="00D2326D"/>
    <w:rsid w:val="00D25234"/>
    <w:rsid w:val="00D37E20"/>
    <w:rsid w:val="00D46832"/>
    <w:rsid w:val="00D5034C"/>
    <w:rsid w:val="00D51697"/>
    <w:rsid w:val="00D5386F"/>
    <w:rsid w:val="00D631D0"/>
    <w:rsid w:val="00D73531"/>
    <w:rsid w:val="00D9319B"/>
    <w:rsid w:val="00D936E7"/>
    <w:rsid w:val="00D93C70"/>
    <w:rsid w:val="00DA09F2"/>
    <w:rsid w:val="00DA4A1A"/>
    <w:rsid w:val="00DB1E9C"/>
    <w:rsid w:val="00DC216E"/>
    <w:rsid w:val="00DD34C0"/>
    <w:rsid w:val="00DD40DD"/>
    <w:rsid w:val="00DD5588"/>
    <w:rsid w:val="00DD7101"/>
    <w:rsid w:val="00DE5A60"/>
    <w:rsid w:val="00DE74A6"/>
    <w:rsid w:val="00DF4B6F"/>
    <w:rsid w:val="00DF4ECC"/>
    <w:rsid w:val="00E05CC3"/>
    <w:rsid w:val="00E142C8"/>
    <w:rsid w:val="00E24F06"/>
    <w:rsid w:val="00E266A7"/>
    <w:rsid w:val="00E439DF"/>
    <w:rsid w:val="00E535E7"/>
    <w:rsid w:val="00E5661C"/>
    <w:rsid w:val="00E57C47"/>
    <w:rsid w:val="00E82681"/>
    <w:rsid w:val="00E8440F"/>
    <w:rsid w:val="00E85C03"/>
    <w:rsid w:val="00E91E39"/>
    <w:rsid w:val="00E93FC5"/>
    <w:rsid w:val="00EA53DF"/>
    <w:rsid w:val="00EC0A35"/>
    <w:rsid w:val="00EC344D"/>
    <w:rsid w:val="00ED42C9"/>
    <w:rsid w:val="00EF6A11"/>
    <w:rsid w:val="00EF72F8"/>
    <w:rsid w:val="00F010A7"/>
    <w:rsid w:val="00F12777"/>
    <w:rsid w:val="00F14AAE"/>
    <w:rsid w:val="00F17017"/>
    <w:rsid w:val="00F2148B"/>
    <w:rsid w:val="00F268B9"/>
    <w:rsid w:val="00F4519F"/>
    <w:rsid w:val="00F50704"/>
    <w:rsid w:val="00F633F1"/>
    <w:rsid w:val="00F814BB"/>
    <w:rsid w:val="00F8291C"/>
    <w:rsid w:val="00F831D6"/>
    <w:rsid w:val="00F97E3F"/>
    <w:rsid w:val="00FA4D22"/>
    <w:rsid w:val="00FB73D0"/>
    <w:rsid w:val="00FD3252"/>
    <w:rsid w:val="16CB0E8F"/>
    <w:rsid w:val="1A872F16"/>
    <w:rsid w:val="26EC5D68"/>
    <w:rsid w:val="4E436203"/>
    <w:rsid w:val="5C0F74B4"/>
    <w:rsid w:val="5F7858AF"/>
    <w:rsid w:val="611944A0"/>
    <w:rsid w:val="6917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GHEA Grapalat" w:hAnsi="GHEA Grapalat" w:eastAsiaTheme="minorHAnsi" w:cstheme="minorBidi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6">
    <w:name w:val="header"/>
    <w:basedOn w:val="1"/>
    <w:link w:val="12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7">
    <w:name w:val="Normal (Web)"/>
    <w:basedOn w:val="1"/>
    <w:link w:val="14"/>
    <w:unhideWhenUsed/>
    <w:qFormat/>
    <w:uiPriority w:val="99"/>
    <w:pPr>
      <w:spacing w:after="200" w:line="276" w:lineRule="auto"/>
    </w:pPr>
    <w:rPr>
      <w:rFonts w:ascii="Times New Roman" w:hAnsi="Times New Roman" w:eastAsia="Times New Roman" w:cs="Times New Roman"/>
      <w:lang w:val="ru-RU" w:eastAsia="ru-RU"/>
    </w:rPr>
  </w:style>
  <w:style w:type="character" w:styleId="8">
    <w:name w:val="Strong"/>
    <w:basedOn w:val="2"/>
    <w:qFormat/>
    <w:uiPriority w:val="22"/>
    <w:rPr>
      <w:b/>
      <w:bCs/>
    </w:rPr>
  </w:style>
  <w:style w:type="table" w:styleId="9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Balloon Text Char"/>
    <w:basedOn w:val="2"/>
    <w:link w:val="4"/>
    <w:semiHidden/>
    <w:qFormat/>
    <w:uiPriority w:val="99"/>
    <w:rPr>
      <w:rFonts w:ascii="Segoe UI" w:hAnsi="Segoe UI" w:cs="Segoe UI"/>
      <w:sz w:val="18"/>
      <w:szCs w:val="18"/>
    </w:rPr>
  </w:style>
  <w:style w:type="paragraph" w:styleId="11">
    <w:name w:val="List Paragraph"/>
    <w:basedOn w:val="1"/>
    <w:link w:val="15"/>
    <w:qFormat/>
    <w:uiPriority w:val="34"/>
    <w:pPr>
      <w:ind w:left="720"/>
      <w:contextualSpacing/>
    </w:pPr>
  </w:style>
  <w:style w:type="character" w:customStyle="1" w:styleId="12">
    <w:name w:val="Header Char"/>
    <w:basedOn w:val="2"/>
    <w:link w:val="6"/>
    <w:uiPriority w:val="99"/>
  </w:style>
  <w:style w:type="character" w:customStyle="1" w:styleId="13">
    <w:name w:val="Footer Char"/>
    <w:basedOn w:val="2"/>
    <w:link w:val="5"/>
    <w:qFormat/>
    <w:uiPriority w:val="99"/>
  </w:style>
  <w:style w:type="character" w:customStyle="1" w:styleId="14">
    <w:name w:val="Normal (Web) Char"/>
    <w:link w:val="7"/>
    <w:qFormat/>
    <w:locked/>
    <w:uiPriority w:val="99"/>
    <w:rPr>
      <w:rFonts w:ascii="Times New Roman" w:hAnsi="Times New Roman" w:eastAsia="Times New Roman" w:cs="Times New Roman"/>
      <w:lang w:val="ru-RU" w:eastAsia="ru-RU"/>
    </w:rPr>
  </w:style>
  <w:style w:type="character" w:customStyle="1" w:styleId="15">
    <w:name w:val="List Paragraph Char"/>
    <w:link w:val="11"/>
    <w:qFormat/>
    <w:locked/>
    <w:uiPriority w:val="34"/>
    <w:rPr>
      <w:rFonts w:ascii="GHEA Grapalat" w:hAnsi="GHEA Grapalat" w:eastAsiaTheme="minorHAnsi" w:cstheme="minorBidi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1927</Words>
  <Characters>10985</Characters>
  <Lines>91</Lines>
  <Paragraphs>25</Paragraphs>
  <TotalTime>6</TotalTime>
  <ScaleCrop>false</ScaleCrop>
  <LinksUpToDate>false</LinksUpToDate>
  <CharactersWithSpaces>12887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2026-03-26T06:28:00Z</dcterms:created>
  <dc:creator>Artur</dc:creator>
  <cp:keywords>https:/mul2-mnp.gov.am/tasks/180034/oneclick/04.ampopatert.docx?token=982cc88349ff4bab6695e124eb741aa4</cp:keywords>
  <cp:lastModifiedBy>Lusine.Avetisyan</cp:lastModifiedBy>
  <cp:lastPrinted>2024-06-10T12:12:00Z</cp:lastPrinted>
  <dcterms:modified xsi:type="dcterms:W3CDTF">2026-03-30T04:29:56Z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D01279E703C84DC08534F37A8826A51A_13</vt:lpwstr>
  </property>
</Properties>
</file>