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7DE" w:rsidRDefault="00DA67D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7DE" w:rsidRDefault="00DA67DE" w:rsidP="00A71CED">
      <w:pPr>
        <w:jc w:val="center"/>
      </w:pPr>
    </w:p>
    <w:p w:rsidR="00DA67DE" w:rsidRDefault="00DA67D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A67DE" w:rsidRDefault="00DA67DE" w:rsidP="00A71CED">
      <w:pPr>
        <w:pStyle w:val="mechtex"/>
        <w:rPr>
          <w:rFonts w:ascii="GHEA Mariam" w:hAnsi="GHEA Mariam"/>
          <w:b/>
        </w:rPr>
      </w:pPr>
    </w:p>
    <w:p w:rsidR="00DA67DE" w:rsidRDefault="00DA67D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67DE" w:rsidRPr="008E1B5A" w:rsidRDefault="00DA67DE" w:rsidP="00A71CED">
      <w:pPr>
        <w:jc w:val="center"/>
        <w:rPr>
          <w:rFonts w:ascii="GHEA Mariam" w:hAnsi="GHEA Mariam"/>
          <w:sz w:val="24"/>
          <w:szCs w:val="24"/>
        </w:rPr>
      </w:pPr>
    </w:p>
    <w:p w:rsidR="00DA67DE" w:rsidRPr="00691610" w:rsidRDefault="00DA67DE" w:rsidP="00A71CED">
      <w:pPr>
        <w:jc w:val="center"/>
        <w:rPr>
          <w:rFonts w:ascii="GHEA Mariam" w:hAnsi="GHEA Mariam"/>
          <w:sz w:val="12"/>
          <w:szCs w:val="24"/>
        </w:rPr>
      </w:pPr>
    </w:p>
    <w:p w:rsidR="00DA67DE" w:rsidRPr="008E1B5A" w:rsidRDefault="00DA67DE" w:rsidP="00A71CED">
      <w:pPr>
        <w:jc w:val="center"/>
        <w:rPr>
          <w:rFonts w:ascii="GHEA Mariam" w:hAnsi="GHEA Mariam"/>
          <w:sz w:val="24"/>
          <w:szCs w:val="24"/>
        </w:rPr>
      </w:pPr>
    </w:p>
    <w:p w:rsidR="00DA67DE" w:rsidRPr="00810C78" w:rsidRDefault="00DA67D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810C78">
        <w:rPr>
          <w:rFonts w:ascii="GHEA Mariam" w:hAnsi="GHEA Mariam"/>
          <w:sz w:val="24"/>
          <w:szCs w:val="24"/>
          <w:lang w:val="hy-AM"/>
        </w:rPr>
        <w:t>Ա</w:t>
      </w:r>
    </w:p>
    <w:p w:rsidR="00DA67DE" w:rsidRDefault="00DA67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67DE" w:rsidRDefault="00DA67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67DE" w:rsidRDefault="00DA67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67DE" w:rsidRDefault="00DA67DE" w:rsidP="00DA67DE">
      <w:pPr>
        <w:pStyle w:val="mechtex"/>
        <w:rPr>
          <w:rFonts w:ascii="GHEA Mariam" w:hAnsi="GHEA Mariam" w:cs="Sylfaen"/>
          <w:kern w:val="32"/>
          <w:sz w:val="24"/>
          <w:lang w:val="pt-BR"/>
        </w:rPr>
      </w:pPr>
      <w:r w:rsidRPr="00DA67DE">
        <w:rPr>
          <w:rFonts w:ascii="GHEA Mariam" w:hAnsi="GHEA Mariam" w:cs="Sylfaen"/>
          <w:sz w:val="24"/>
          <w:lang w:val="hy-AM"/>
        </w:rPr>
        <w:t>ԱՆՇԱՐԺ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ԳՈՒՅՔ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ԱՄՐԱՑՆԵԼՈՒ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ԵՎ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ԱՆՀԱՏՈՒՅՑ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ՕԳՏԱԳՈՐԾՄԱՆ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ԻՐԱՎՈՒՆՔՈՎ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sz w:val="24"/>
          <w:lang w:val="hy-AM"/>
        </w:rPr>
        <w:t>ԱՄՐԱՑՆԵԼՈՒ</w:t>
      </w:r>
      <w:r w:rsidRPr="00DA67DE">
        <w:rPr>
          <w:rFonts w:ascii="GHEA Mariam" w:hAnsi="GHEA Mariam"/>
          <w:sz w:val="24"/>
          <w:lang w:val="hy-AM"/>
        </w:rPr>
        <w:t xml:space="preserve"> </w:t>
      </w:r>
      <w:r w:rsidRPr="00DA67DE">
        <w:rPr>
          <w:rFonts w:ascii="GHEA Mariam" w:hAnsi="GHEA Mariam" w:cs="Sylfaen"/>
          <w:kern w:val="32"/>
          <w:sz w:val="24"/>
          <w:lang w:val="pt-BR"/>
        </w:rPr>
        <w:t>Մ</w:t>
      </w:r>
      <w:r w:rsidRPr="00DA67DE">
        <w:rPr>
          <w:rFonts w:ascii="GHEA Mariam" w:hAnsi="GHEA Mariam" w:cs="Sylfaen"/>
          <w:kern w:val="32"/>
          <w:sz w:val="24"/>
          <w:lang w:val="hy-AM"/>
        </w:rPr>
        <w:t>Ա</w:t>
      </w:r>
      <w:r w:rsidRPr="00DA67DE">
        <w:rPr>
          <w:rFonts w:ascii="GHEA Mariam" w:hAnsi="GHEA Mariam" w:cs="Sylfaen"/>
          <w:kern w:val="32"/>
          <w:sz w:val="24"/>
          <w:lang w:val="pt-BR"/>
        </w:rPr>
        <w:t>ՍԻՆ</w:t>
      </w:r>
    </w:p>
    <w:p w:rsidR="00DA67DE" w:rsidRPr="00DA67DE" w:rsidRDefault="00DA67DE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A67DE" w:rsidRDefault="00DA67DE" w:rsidP="00DA67DE">
      <w:pPr>
        <w:pStyle w:val="mechtex"/>
        <w:rPr>
          <w:rFonts w:ascii="GHEA Mariam" w:hAnsi="GHEA Mariam"/>
          <w:bCs/>
          <w:kern w:val="32"/>
          <w:sz w:val="24"/>
          <w:lang w:val="pt-BR"/>
        </w:rPr>
      </w:pPr>
    </w:p>
    <w:p w:rsidR="00DA67DE" w:rsidRPr="00DA67DE" w:rsidRDefault="00DA67DE" w:rsidP="00DA67DE">
      <w:pPr>
        <w:pStyle w:val="mechtex"/>
        <w:rPr>
          <w:rFonts w:ascii="GHEA Mariam" w:hAnsi="GHEA Mariam"/>
          <w:bCs/>
          <w:kern w:val="32"/>
          <w:sz w:val="24"/>
          <w:lang w:val="pt-BR"/>
        </w:rPr>
      </w:pPr>
    </w:p>
    <w:p w:rsidR="00DA67DE" w:rsidRPr="00DA67DE" w:rsidRDefault="00DA67DE" w:rsidP="00DA67DE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«Կառավարչական իրավահարաբերությունների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ման մասին» օրենքի 5-րդ հոդվածի 5-րդ և 6-րդ մասերը, 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>9-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</w:rPr>
        <w:t>հոդվածի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5-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</w:rPr>
        <w:t>րդ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191919"/>
          <w:sz w:val="24"/>
          <w:szCs w:val="24"/>
          <w:shd w:val="clear" w:color="auto" w:fill="FFFFFF"/>
        </w:rPr>
        <w:t>մասը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, </w:t>
      </w:r>
      <w:r w:rsidRPr="00DA67DE">
        <w:rPr>
          <w:rFonts w:ascii="GHEA Mariam" w:hAnsi="GHEA Mariam"/>
          <w:bCs/>
          <w:spacing w:val="-4"/>
          <w:kern w:val="32"/>
          <w:sz w:val="24"/>
          <w:szCs w:val="24"/>
          <w:lang w:val="pt-BR"/>
        </w:rPr>
        <w:t>«</w:t>
      </w:r>
      <w:r w:rsidRPr="00DA67D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>Պետական ոչ առևտրային կազմակերպությունների մասին</w:t>
      </w:r>
      <w:r w:rsidRPr="00DA67DE">
        <w:rPr>
          <w:rFonts w:ascii="GHEA Mariam" w:hAnsi="GHEA Mariam"/>
          <w:bCs/>
          <w:spacing w:val="-4"/>
          <w:kern w:val="32"/>
          <w:sz w:val="24"/>
          <w:szCs w:val="24"/>
          <w:lang w:val="pt-BR"/>
        </w:rPr>
        <w:t>»</w:t>
      </w:r>
      <w:r w:rsidRPr="00DA67DE">
        <w:rPr>
          <w:rFonts w:ascii="GHEA Mariam" w:hAnsi="GHEA Mariam"/>
          <w:bCs/>
          <w:spacing w:val="-4"/>
          <w:kern w:val="32"/>
          <w:sz w:val="24"/>
          <w:szCs w:val="24"/>
          <w:lang w:val="hy-AM"/>
        </w:rPr>
        <w:t xml:space="preserve"> օրենքի 5-րդ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հոդվածի 1-ին մասը</w:t>
      </w: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՝ </w:t>
      </w:r>
      <w:r w:rsidRPr="00DA67D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DA67DE">
        <w:rPr>
          <w:rFonts w:ascii="GHEA Mariam" w:hAnsi="GHEA Mariam" w:cs="Sylfaen"/>
          <w:sz w:val="24"/>
          <w:szCs w:val="22"/>
          <w:lang w:val="de-DE"/>
        </w:rPr>
        <w:t>ո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ր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ո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շ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ու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DA67DE">
        <w:rPr>
          <w:rFonts w:ascii="GHEA Mariam" w:hAnsi="GHEA Mariam" w:cs="Sylfaen"/>
          <w:sz w:val="24"/>
          <w:szCs w:val="22"/>
          <w:lang w:val="de-DE"/>
        </w:rPr>
        <w:t>մ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A67DE">
        <w:rPr>
          <w:rFonts w:ascii="GHEA Mariam" w:hAnsi="GHEA Mariam" w:cs="Sylfaen"/>
          <w:sz w:val="24"/>
          <w:szCs w:val="22"/>
          <w:lang w:val="de-DE"/>
        </w:rPr>
        <w:t>է</w:t>
      </w:r>
      <w:r w:rsidRPr="00DA67D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A67DE" w:rsidRPr="00DA67DE" w:rsidRDefault="00DA67DE" w:rsidP="00DA67DE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սեփականությունը հանդիսացող 238,331,439</w:t>
      </w: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ՀՀ դրամ շուկայական արժեքին մոտարկված կադաստրային արժեքով Հայաստանի Հանրապետության Կոտայքի մարզ, համայնք Աբովյան, գյուղ Կաթնաղբյուր 5-րդ փողոց 32 դպրոց հասցեում գտնվող 2314.3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ք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ա</w:t>
      </w:r>
      <w:r w:rsidR="00BB69B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ռ. </w:t>
      </w:r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մակերեսով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դպ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րոցը, 10.34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ք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ա</w:t>
      </w:r>
      <w:r w:rsidR="00BB69B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ռ. </w:t>
      </w:r>
      <w:bookmarkStart w:id="0" w:name="_GoBack"/>
      <w:bookmarkEnd w:id="0"/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մակերեսով թաքստոցի մուտքը, 30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ք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ա</w:t>
      </w:r>
      <w:r w:rsidR="00BB69B1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ռ. </w:t>
      </w:r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kern w:val="32"/>
          <w:sz w:val="24"/>
          <w:szCs w:val="24"/>
          <w:lang w:val="hy-AM"/>
        </w:rPr>
        <w:t>մակերեսով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ջերմոցը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և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դրանց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զբաղեցրած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օգտագործման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և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Mariam"/>
          <w:bCs/>
          <w:spacing w:val="-8"/>
          <w:kern w:val="32"/>
          <w:sz w:val="24"/>
          <w:szCs w:val="24"/>
          <w:lang w:val="hy-AM"/>
        </w:rPr>
        <w:t>սպասար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կման համար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հատկացված 0.7886 հա հողամասը </w:t>
      </w: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>(</w:t>
      </w:r>
      <w:r w:rsidRPr="00DA67DE">
        <w:rPr>
          <w:rFonts w:ascii="GHEA Mariam" w:hAnsi="GHEA Mariam" w:cs="Arial Armenian"/>
          <w:sz w:val="24"/>
          <w:szCs w:val="24"/>
          <w:lang w:val="hy-AM"/>
        </w:rPr>
        <w:t>անշարժ գույքի նկատմամբ իրավունքների պետական գրանցման վկայական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>N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12092025-07-0219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, այսուհետ՝ ա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նշարժ գույք</w:t>
      </w:r>
      <w:r w:rsidRPr="00DA67DE">
        <w:rPr>
          <w:rFonts w:ascii="GHEA Mariam" w:hAnsi="GHEA Mariam"/>
          <w:bCs/>
          <w:kern w:val="32"/>
          <w:sz w:val="24"/>
          <w:szCs w:val="24"/>
          <w:lang w:val="pt-BR"/>
        </w:rPr>
        <w:t>)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ամրացնել 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lastRenderedPageBreak/>
        <w:t>Հայաստանի Հանրապետության տարածքային կառավարման և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ենթակառուցվածք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softHyphen/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ների նախարարության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գույքի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 (այսուհետ՝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DA67D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ոմիտե։</w:t>
      </w:r>
    </w:p>
    <w:p w:rsidR="00DA67DE" w:rsidRPr="00DA67DE" w:rsidRDefault="00DA67DE" w:rsidP="00DA67DE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2.</w:t>
      </w:r>
      <w:r w:rsidRPr="00DA67DE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Կոմիտեի</w:t>
      </w:r>
      <w:r w:rsidRPr="00DA67DE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DA67DE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նախագահին՝ </w:t>
      </w:r>
    </w:p>
    <w:p w:rsidR="00DA67DE" w:rsidRPr="00DA67DE" w:rsidRDefault="00DA67DE" w:rsidP="00DA67DE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eastAsia="Calibri" w:hAnsi="GHEA Mariam"/>
          <w:color w:val="000000"/>
          <w:sz w:val="24"/>
          <w:szCs w:val="24"/>
          <w:lang w:val="hy-AM" w:eastAsia="en-US"/>
        </w:rPr>
      </w:pPr>
      <w:r w:rsidRPr="00DA67DE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սույն որոշումն ուժի մեջ մտնելուց հետո մեկամսյա ժամկետում ապահովել սույն որոշման 1-ին կետում նշված 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ա</w:t>
      </w:r>
      <w:r w:rsidRPr="00DA67DE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նշարժ գույքի միակողմանի ընդունման և հաշվառման աշխատանքների կատարումը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.</w:t>
      </w:r>
    </w:p>
    <w:p w:rsidR="00DA67DE" w:rsidRPr="00DA67DE" w:rsidRDefault="00DA67DE" w:rsidP="00DA67DE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կետի 1-ին ենթակետում նշված աշխատանքների ավարտից հետո նշված </w:t>
      </w:r>
      <w:r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ա</w:t>
      </w:r>
      <w:r w:rsidRPr="00DA67DE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նշարժ գույք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ն անորոշ ժամկետով անհատույց օգտագործման իրավունքով ամրացնել Հայաստանի Հանրապետության Կոտայքի մարզի «Կաթնաղբյուրի հիմնական դպրոց» պետական ոչ առևտրային կազմակերպությանը</w:t>
      </w:r>
      <w:r w:rsidRPr="00DA67DE">
        <w:rPr>
          <w:rFonts w:ascii="Calibri" w:hAnsi="Calibri" w:cs="Calibri"/>
          <w:bCs/>
          <w:kern w:val="32"/>
          <w:sz w:val="24"/>
          <w:szCs w:val="24"/>
          <w:lang w:val="hy-AM"/>
        </w:rPr>
        <w:t> 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(</w:t>
      </w:r>
      <w:r w:rsidRPr="00DA67DE">
        <w:rPr>
          <w:rFonts w:ascii="GHEA Mariam" w:hAnsi="GHEA Mariam" w:cs="GHEA Grapalat"/>
          <w:bCs/>
          <w:kern w:val="32"/>
          <w:sz w:val="24"/>
          <w:szCs w:val="24"/>
          <w:lang w:val="hy-AM"/>
        </w:rPr>
        <w:t>գրանցման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DA67DE">
        <w:rPr>
          <w:rFonts w:ascii="GHEA Mariam" w:hAnsi="GHEA Mariam" w:cs="GHEA Grapalat"/>
          <w:bCs/>
          <w:kern w:val="32"/>
          <w:sz w:val="24"/>
          <w:szCs w:val="24"/>
          <w:lang w:val="hy-AM"/>
        </w:rPr>
        <w:t>համար՝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42.210.0196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2, այսուհետ՝ կազմակերպություն).</w:t>
      </w:r>
    </w:p>
    <w:p w:rsidR="00DA67DE" w:rsidRPr="00DA67DE" w:rsidRDefault="00DA67DE" w:rsidP="00DA67DE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/>
          <w:bCs/>
          <w:kern w:val="32"/>
          <w:sz w:val="24"/>
          <w:szCs w:val="24"/>
          <w:lang w:val="hy-AM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ս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>ույն կետի 1-ին ենթակետում նշված աշխատանքների ավարտից հետո երկամսյա ժամկետում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ազմակերպության հետ կնքել անշարժ գույքի անհատույց </w:t>
      </w:r>
      <w:r w:rsidRPr="00DA67DE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օգտագործման պայմանագիր (այսուհետ՝ պայմանագիր)՝ դրանում</w:t>
      </w:r>
      <w:r w:rsidRPr="00DA67DE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նախատեսելով, որ պայմանագրի նոտարական վավերացման և պայմանագրից ծագող գույքային իրավունքների պետական գրանցման ծախսերը ենթակա են իրականացման կազմակերպության միջոցների հաշվին։</w:t>
      </w:r>
    </w:p>
    <w:p w:rsidR="00DA67DE" w:rsidRPr="00DA67DE" w:rsidRDefault="00DA67D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A67DE" w:rsidRPr="000F4671" w:rsidRDefault="00DA67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67DE" w:rsidRPr="000F4671" w:rsidRDefault="00DA67D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A67DE" w:rsidRPr="000F4671" w:rsidRDefault="00DA67D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A67DE" w:rsidRPr="000F4671" w:rsidRDefault="00DA67DE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A67DE" w:rsidRPr="000F4671" w:rsidRDefault="00DA67DE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A67DE" w:rsidRPr="000F4671" w:rsidRDefault="00DA67DE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A67DE" w:rsidRPr="007D7055" w:rsidRDefault="00DA67DE" w:rsidP="00DA67D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DA67DE" w:rsidRDefault="001F225D">
      <w:pPr>
        <w:pStyle w:val="mechtex"/>
        <w:rPr>
          <w:rFonts w:ascii="Sylfaen" w:hAnsi="Sylfaen"/>
          <w:lang w:val="hy-AM"/>
        </w:rPr>
      </w:pPr>
    </w:p>
    <w:sectPr w:rsidR="001F225D" w:rsidRPr="00DA67DE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0B4" w:rsidRDefault="00FD60B4">
      <w:r>
        <w:separator/>
      </w:r>
    </w:p>
  </w:endnote>
  <w:endnote w:type="continuationSeparator" w:id="0">
    <w:p w:rsidR="00FD60B4" w:rsidRDefault="00FD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0C78">
      <w:rPr>
        <w:noProof/>
        <w:sz w:val="18"/>
      </w:rPr>
      <w:t>voroshumMK-069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0B4" w:rsidRDefault="00FD60B4">
      <w:r>
        <w:separator/>
      </w:r>
    </w:p>
  </w:footnote>
  <w:footnote w:type="continuationSeparator" w:id="0">
    <w:p w:rsidR="00FD60B4" w:rsidRDefault="00FD6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69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1628F3"/>
    <w:multiLevelType w:val="hybridMultilevel"/>
    <w:tmpl w:val="63CE5ED4"/>
    <w:lvl w:ilvl="0" w:tplc="83D037E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7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C7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9B1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3A3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7DE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0B4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6FE056"/>
  <w15:chartTrackingRefBased/>
  <w15:docId w15:val="{F552C6C4-9179-4EFD-BFD9-5EB64085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A67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A67DE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10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0C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2026-03-20T12:56:00Z</cp:lastPrinted>
  <dcterms:created xsi:type="dcterms:W3CDTF">2026-03-20T12:49:00Z</dcterms:created>
  <dcterms:modified xsi:type="dcterms:W3CDTF">2026-03-20T13:24:00Z</dcterms:modified>
</cp:coreProperties>
</file>