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D65" w:rsidRDefault="00D04057">
      <w:pPr>
        <w:rPr>
          <w:rFonts w:ascii="Arial" w:hAnsi="Arial" w:cs="Arial"/>
          <w:caps/>
          <w:color w:val="5C5C5C"/>
          <w:spacing w:val="2"/>
          <w:sz w:val="21"/>
          <w:szCs w:val="21"/>
          <w:shd w:val="clear" w:color="auto" w:fill="FFFFFF"/>
        </w:rPr>
      </w:pPr>
      <w:r>
        <w:rPr>
          <w:rFonts w:ascii="Arial" w:hAnsi="Arial" w:cs="Arial"/>
          <w:caps/>
          <w:color w:val="5C5C5C"/>
          <w:spacing w:val="2"/>
          <w:sz w:val="21"/>
          <w:szCs w:val="21"/>
          <w:shd w:val="clear" w:color="auto" w:fill="FFFFFF"/>
        </w:rPr>
        <w:t>ՀՀ ՀԱՐԿԱՅԻՆ ՕՐԵՆՍԳԻՐՔ</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04057" w:rsidRPr="00D04057" w:rsidTr="00D04057">
        <w:trPr>
          <w:tblCellSpacing w:w="7" w:type="dxa"/>
        </w:trPr>
        <w:tc>
          <w:tcPr>
            <w:tcW w:w="2025" w:type="dxa"/>
            <w:shd w:val="clear" w:color="auto" w:fill="FFFFFF"/>
            <w:hideMark/>
          </w:tcPr>
          <w:p w:rsidR="00D04057" w:rsidRPr="00D04057" w:rsidRDefault="00D04057" w:rsidP="00D04057">
            <w:pPr>
              <w:spacing w:after="0" w:line="240" w:lineRule="auto"/>
              <w:jc w:val="center"/>
              <w:rPr>
                <w:rFonts w:ascii="Arial" w:eastAsia="Times New Roman" w:hAnsi="Arial" w:cs="Arial"/>
                <w:color w:val="333333"/>
                <w:sz w:val="24"/>
                <w:szCs w:val="24"/>
              </w:rPr>
            </w:pPr>
            <w:r w:rsidRPr="00D04057">
              <w:rPr>
                <w:rFonts w:ascii="Arial" w:eastAsia="Times New Roman" w:hAnsi="Arial" w:cs="Arial"/>
                <w:b/>
                <w:bCs/>
                <w:color w:val="333333"/>
                <w:sz w:val="24"/>
                <w:szCs w:val="24"/>
              </w:rPr>
              <w:t>Հոդված 344.</w:t>
            </w:r>
          </w:p>
        </w:tc>
        <w:tc>
          <w:tcPr>
            <w:tcW w:w="0" w:type="auto"/>
            <w:shd w:val="clear" w:color="auto" w:fill="FFFFFF"/>
            <w:hideMark/>
          </w:tcPr>
          <w:p w:rsidR="00D04057" w:rsidRPr="00D04057" w:rsidRDefault="00D04057" w:rsidP="00D04057">
            <w:pPr>
              <w:spacing w:after="0" w:line="240" w:lineRule="auto"/>
              <w:rPr>
                <w:rFonts w:ascii="Arial" w:eastAsia="Times New Roman" w:hAnsi="Arial" w:cs="Arial"/>
                <w:color w:val="333333"/>
                <w:sz w:val="24"/>
                <w:szCs w:val="24"/>
              </w:rPr>
            </w:pPr>
            <w:r w:rsidRPr="00D04057">
              <w:rPr>
                <w:rFonts w:ascii="Arial" w:eastAsia="Times New Roman" w:hAnsi="Arial" w:cs="Arial"/>
                <w:b/>
                <w:bCs/>
                <w:color w:val="333333"/>
                <w:sz w:val="24"/>
                <w:szCs w:val="24"/>
              </w:rPr>
              <w:t>Կամերալ (ներքին) հարկային ուսումնասիրությունները</w:t>
            </w:r>
          </w:p>
        </w:tc>
      </w:tr>
    </w:tbl>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1. Կամերալ (ներքին) ուսումնասիրության նպատակն է հարկային մարմին ներկայացված հարկային հաշվարկների </w:t>
      </w:r>
      <w:del w:id="0" w:author="Hasmik Manukyan" w:date="2026-03-17T09:59:00Z">
        <w:r w:rsidRPr="00D04057" w:rsidDel="00D04057">
          <w:rPr>
            <w:rFonts w:ascii="Arial" w:eastAsia="Times New Roman" w:hAnsi="Arial" w:cs="Arial"/>
            <w:color w:val="333333"/>
            <w:sz w:val="24"/>
            <w:szCs w:val="24"/>
          </w:rPr>
          <w:delText xml:space="preserve">և հարկային մարմին ներկայացված տեղեկությունների </w:delText>
        </w:r>
      </w:del>
      <w:ins w:id="1" w:author="Hasmik Manukyan" w:date="2026-03-17T09:59:00Z">
        <w:r w:rsidRPr="00D04057">
          <w:rPr>
            <w:rFonts w:ascii="Arial" w:eastAsia="Times New Roman" w:hAnsi="Arial" w:cs="Arial"/>
            <w:color w:val="333333"/>
            <w:sz w:val="24"/>
            <w:szCs w:val="24"/>
          </w:rPr>
          <w:t xml:space="preserve">կամ տեղեկությունների, ինչպես նաև հարկային մարմնին հայտնի դարձած այլ տեղեկությունների </w:t>
        </w:r>
      </w:ins>
      <w:r w:rsidRPr="00D04057">
        <w:rPr>
          <w:rFonts w:ascii="Arial" w:eastAsia="Times New Roman" w:hAnsi="Arial" w:cs="Arial"/>
          <w:color w:val="333333"/>
          <w:sz w:val="24"/>
          <w:szCs w:val="24"/>
        </w:rPr>
        <w:t>ուսումնասիրության և վերլուծության միջոցով պարզել՝</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1) </w:t>
      </w:r>
      <w:proofErr w:type="gramStart"/>
      <w:r w:rsidRPr="00D04057">
        <w:rPr>
          <w:rFonts w:ascii="Arial" w:eastAsia="Times New Roman" w:hAnsi="Arial" w:cs="Arial"/>
          <w:color w:val="333333"/>
          <w:sz w:val="24"/>
          <w:szCs w:val="24"/>
        </w:rPr>
        <w:t>հարկերի</w:t>
      </w:r>
      <w:proofErr w:type="gramEnd"/>
      <w:r w:rsidRPr="00D04057">
        <w:rPr>
          <w:rFonts w:ascii="Arial" w:eastAsia="Times New Roman" w:hAnsi="Arial" w:cs="Arial"/>
          <w:color w:val="333333"/>
          <w:sz w:val="24"/>
          <w:szCs w:val="24"/>
        </w:rPr>
        <w:t xml:space="preserve"> հաշվարկման ճշտությունը.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2) </w:t>
      </w:r>
      <w:proofErr w:type="gramStart"/>
      <w:r w:rsidRPr="00D04057">
        <w:rPr>
          <w:rFonts w:ascii="Arial" w:eastAsia="Times New Roman" w:hAnsi="Arial" w:cs="Arial"/>
          <w:color w:val="333333"/>
          <w:sz w:val="24"/>
          <w:szCs w:val="24"/>
        </w:rPr>
        <w:t>միևնույն</w:t>
      </w:r>
      <w:proofErr w:type="gramEnd"/>
      <w:r w:rsidRPr="00D04057">
        <w:rPr>
          <w:rFonts w:ascii="Arial" w:eastAsia="Times New Roman" w:hAnsi="Arial" w:cs="Arial"/>
          <w:color w:val="333333"/>
          <w:sz w:val="24"/>
          <w:szCs w:val="24"/>
        </w:rPr>
        <w:t xml:space="preserve"> հարկային հաշվարկում առկա համադրելի ցուցանիշների և տվյալների համապատասխանությունը.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3) </w:t>
      </w:r>
      <w:proofErr w:type="gramStart"/>
      <w:r w:rsidRPr="00D04057">
        <w:rPr>
          <w:rFonts w:ascii="Arial" w:eastAsia="Times New Roman" w:hAnsi="Arial" w:cs="Arial"/>
          <w:color w:val="333333"/>
          <w:sz w:val="24"/>
          <w:szCs w:val="24"/>
        </w:rPr>
        <w:t>նույն</w:t>
      </w:r>
      <w:proofErr w:type="gramEnd"/>
      <w:r w:rsidRPr="00D04057">
        <w:rPr>
          <w:rFonts w:ascii="Arial" w:eastAsia="Times New Roman" w:hAnsi="Arial" w:cs="Arial"/>
          <w:color w:val="333333"/>
          <w:sz w:val="24"/>
          <w:szCs w:val="24"/>
        </w:rPr>
        <w:t xml:space="preserve"> հարկ վճարողի կողմից հարկային մարմին ներկայացված՝ տարբեր հարկային հաշվարկների համադրելի ցուցանիշների ու տվյալների համապատասխանությունը.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4) </w:t>
      </w:r>
      <w:proofErr w:type="gramStart"/>
      <w:r w:rsidRPr="00D04057">
        <w:rPr>
          <w:rFonts w:ascii="Arial" w:eastAsia="Times New Roman" w:hAnsi="Arial" w:cs="Arial"/>
          <w:color w:val="333333"/>
          <w:sz w:val="24"/>
          <w:szCs w:val="24"/>
        </w:rPr>
        <w:t>հարկային</w:t>
      </w:r>
      <w:proofErr w:type="gramEnd"/>
      <w:r w:rsidRPr="00D04057">
        <w:rPr>
          <w:rFonts w:ascii="Arial" w:eastAsia="Times New Roman" w:hAnsi="Arial" w:cs="Arial"/>
          <w:color w:val="333333"/>
          <w:sz w:val="24"/>
          <w:szCs w:val="24"/>
        </w:rPr>
        <w:t xml:space="preserve"> հաշվարկներով և հարկային մարմին ներկայացված տեղեկությունների համեմատությամբ համադրելի ցուցանիշների ու տվյալների համապատասխանությունը.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5) </w:t>
      </w:r>
      <w:proofErr w:type="gramStart"/>
      <w:r w:rsidRPr="00D04057">
        <w:rPr>
          <w:rFonts w:ascii="Arial" w:eastAsia="Times New Roman" w:hAnsi="Arial" w:cs="Arial"/>
          <w:color w:val="333333"/>
          <w:sz w:val="24"/>
          <w:szCs w:val="24"/>
        </w:rPr>
        <w:t>հարկ</w:t>
      </w:r>
      <w:proofErr w:type="gramEnd"/>
      <w:r w:rsidRPr="00D04057">
        <w:rPr>
          <w:rFonts w:ascii="Arial" w:eastAsia="Times New Roman" w:hAnsi="Arial" w:cs="Arial"/>
          <w:color w:val="333333"/>
          <w:sz w:val="24"/>
          <w:szCs w:val="24"/>
        </w:rPr>
        <w:t xml:space="preserve"> վճարողի կողմից հարկման համակարգերի (այդ թվում՝ հատուկ) ընտրության համապատասխանությունը հարկային մարմնին հսկողության լիազորություններ վերապահող իրավական ակտերի պահանջներին.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6) </w:t>
      </w:r>
      <w:proofErr w:type="gramStart"/>
      <w:r w:rsidRPr="00D04057">
        <w:rPr>
          <w:rFonts w:ascii="Arial" w:eastAsia="Times New Roman" w:hAnsi="Arial" w:cs="Arial"/>
          <w:color w:val="333333"/>
          <w:sz w:val="24"/>
          <w:szCs w:val="24"/>
        </w:rPr>
        <w:t>հարկային</w:t>
      </w:r>
      <w:proofErr w:type="gramEnd"/>
      <w:r w:rsidRPr="00D04057">
        <w:rPr>
          <w:rFonts w:ascii="Arial" w:eastAsia="Times New Roman" w:hAnsi="Arial" w:cs="Arial"/>
          <w:color w:val="333333"/>
          <w:sz w:val="24"/>
          <w:szCs w:val="24"/>
        </w:rPr>
        <w:t xml:space="preserve"> մարմնին հսկողության լիազորություններ վերապահող իրավական ակտերի պահանջների հնարավոր խախտումները: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2. Կամերալ (ներքին) ուսումնասիրություններն անցկացվում են բացառապես հարկային մարմնում՝ հարկային մարմնի սահմանած կարգով: Կամերալ (ներքին) ուսումնասիրություններն անցկացվում են առանց հարկ վճարողին և հարկ վճարողների այցելության ու լրացուցիչ փաստաթղթեր ներկայացնելու պահանջի:</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3. Կամերալ (ներքին) ուսումնասիրության արդյունքում անճշտություններ, անհամապատասխանություններ և (կամ) խախտումներ հայտնաբերելու դեպքում կազմվում է հարկային մարմնի սահմանած ձևով ուսումնասիրության արդյունքների վերաբերյալ արձանագրություն, որտեղ նշվում են՝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1) </w:t>
      </w:r>
      <w:proofErr w:type="gramStart"/>
      <w:r w:rsidRPr="00D04057">
        <w:rPr>
          <w:rFonts w:ascii="Arial" w:eastAsia="Times New Roman" w:hAnsi="Arial" w:cs="Arial"/>
          <w:color w:val="333333"/>
          <w:sz w:val="24"/>
          <w:szCs w:val="24"/>
        </w:rPr>
        <w:t>արձանագրության</w:t>
      </w:r>
      <w:proofErr w:type="gramEnd"/>
      <w:r w:rsidRPr="00D04057">
        <w:rPr>
          <w:rFonts w:ascii="Arial" w:eastAsia="Times New Roman" w:hAnsi="Arial" w:cs="Arial"/>
          <w:color w:val="333333"/>
          <w:sz w:val="24"/>
          <w:szCs w:val="24"/>
        </w:rPr>
        <w:t xml:space="preserve"> համարը, կազմելու ամիսը, ամսաթիվը, տարին.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2) </w:t>
      </w:r>
      <w:proofErr w:type="gramStart"/>
      <w:r w:rsidRPr="00D04057">
        <w:rPr>
          <w:rFonts w:ascii="Arial" w:eastAsia="Times New Roman" w:hAnsi="Arial" w:cs="Arial"/>
          <w:color w:val="333333"/>
          <w:sz w:val="24"/>
          <w:szCs w:val="24"/>
        </w:rPr>
        <w:t>ուսումնասիրություն</w:t>
      </w:r>
      <w:proofErr w:type="gramEnd"/>
      <w:r w:rsidRPr="00D04057">
        <w:rPr>
          <w:rFonts w:ascii="Arial" w:eastAsia="Times New Roman" w:hAnsi="Arial" w:cs="Arial"/>
          <w:color w:val="333333"/>
          <w:sz w:val="24"/>
          <w:szCs w:val="24"/>
        </w:rPr>
        <w:t xml:space="preserve"> իրականացրած պաշտոնատար անձի (անձանց) պաշտոնը, անունը, ազգանունը.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3) </w:t>
      </w:r>
      <w:proofErr w:type="gramStart"/>
      <w:r w:rsidRPr="00D04057">
        <w:rPr>
          <w:rFonts w:ascii="Arial" w:eastAsia="Times New Roman" w:hAnsi="Arial" w:cs="Arial"/>
          <w:color w:val="333333"/>
          <w:sz w:val="24"/>
          <w:szCs w:val="24"/>
        </w:rPr>
        <w:t>հարկ</w:t>
      </w:r>
      <w:proofErr w:type="gramEnd"/>
      <w:r w:rsidRPr="00D04057">
        <w:rPr>
          <w:rFonts w:ascii="Arial" w:eastAsia="Times New Roman" w:hAnsi="Arial" w:cs="Arial"/>
          <w:color w:val="333333"/>
          <w:sz w:val="24"/>
          <w:szCs w:val="24"/>
        </w:rPr>
        <w:t xml:space="preserve"> վճարողի լրիվ անվանումը և ՀՎՀՀ-ն.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4) </w:t>
      </w:r>
      <w:proofErr w:type="gramStart"/>
      <w:r w:rsidRPr="00D04057">
        <w:rPr>
          <w:rFonts w:ascii="Arial" w:eastAsia="Times New Roman" w:hAnsi="Arial" w:cs="Arial"/>
          <w:color w:val="333333"/>
          <w:sz w:val="24"/>
          <w:szCs w:val="24"/>
        </w:rPr>
        <w:t>հարկերը</w:t>
      </w:r>
      <w:proofErr w:type="gramEnd"/>
      <w:r w:rsidRPr="00D04057">
        <w:rPr>
          <w:rFonts w:ascii="Arial" w:eastAsia="Times New Roman" w:hAnsi="Arial" w:cs="Arial"/>
          <w:color w:val="333333"/>
          <w:sz w:val="24"/>
          <w:szCs w:val="24"/>
        </w:rPr>
        <w:t xml:space="preserve"> և համապատասխան հաշվետու ժամանակաշրջանը (ժամանակաշրջանները), որի (որոնց) ուսումնասիրության արդյունքում հայտնաբերվել է անճշտություն, անհամապատասխանություն և (կամ) խախտում.</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5) </w:t>
      </w:r>
      <w:proofErr w:type="gramStart"/>
      <w:r w:rsidRPr="00D04057">
        <w:rPr>
          <w:rFonts w:ascii="Arial" w:eastAsia="Times New Roman" w:hAnsi="Arial" w:cs="Arial"/>
          <w:color w:val="333333"/>
          <w:sz w:val="24"/>
          <w:szCs w:val="24"/>
        </w:rPr>
        <w:t>հարկային</w:t>
      </w:r>
      <w:proofErr w:type="gramEnd"/>
      <w:r w:rsidRPr="00D04057">
        <w:rPr>
          <w:rFonts w:ascii="Arial" w:eastAsia="Times New Roman" w:hAnsi="Arial" w:cs="Arial"/>
          <w:color w:val="333333"/>
          <w:sz w:val="24"/>
          <w:szCs w:val="24"/>
        </w:rPr>
        <w:t xml:space="preserve"> մարմնին հսկողության լիազորություններ վերապահող իրավական ակտերի պահանջների խախտումները (կամ հնարավոր խախտումները), դրանց նկարագիրը: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4. Սույն հոդվածի 3-րդ մասով սահմանված դեպքում կամերալ (ներքին) ուսումնասիրության արդյունքների արձանագրությունը դրա կազմելու օրվան հաջորդող երեք աշխատանքային օրվա ընթացքում հարկ վճարողին ներկայացվում է էլեկտրոնային ծանուցման եղանակով և հանձնված է համարվում հարկային մարմնի հաշվետվությունների ներկայացման էլեկտրոնային կառավարման </w:t>
      </w:r>
      <w:r w:rsidRPr="00D04057">
        <w:rPr>
          <w:rFonts w:ascii="Arial" w:eastAsia="Times New Roman" w:hAnsi="Arial" w:cs="Arial"/>
          <w:color w:val="333333"/>
          <w:sz w:val="24"/>
          <w:szCs w:val="24"/>
        </w:rPr>
        <w:lastRenderedPageBreak/>
        <w:t>համակարգի՝ հարկ վճարողի անձնական էջում տեղադրելու օրվան հաջորդող հինգերորդ օրվանից:</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5. Հարկ վճարողը ոչ ուշ, քան սույն հոդվածի 4-րդ մասում նշված՝ արձանագրությունը հանձնված համարվելու օրվան հաջորդող հինգ աշխատանքային օրվա ընթացքում՝</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1) </w:t>
      </w:r>
      <w:proofErr w:type="gramStart"/>
      <w:r w:rsidRPr="00D04057">
        <w:rPr>
          <w:rFonts w:ascii="Arial" w:eastAsia="Times New Roman" w:hAnsi="Arial" w:cs="Arial"/>
          <w:color w:val="333333"/>
          <w:sz w:val="24"/>
          <w:szCs w:val="24"/>
        </w:rPr>
        <w:t>արձանագրված</w:t>
      </w:r>
      <w:proofErr w:type="gramEnd"/>
      <w:r w:rsidRPr="00D04057">
        <w:rPr>
          <w:rFonts w:ascii="Arial" w:eastAsia="Times New Roman" w:hAnsi="Arial" w:cs="Arial"/>
          <w:color w:val="333333"/>
          <w:sz w:val="24"/>
          <w:szCs w:val="24"/>
        </w:rPr>
        <w:t xml:space="preserve"> անճշտությունների, անհամապատասխանությունների և (կամ) խախտումների հետ համաձայնելու դեպքում սահմանված կարգով ներկայացնում է հարկային հաշվարկներ (այդ թվում՝ ճշտված).</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2) </w:t>
      </w:r>
      <w:proofErr w:type="gramStart"/>
      <w:r w:rsidRPr="00D04057">
        <w:rPr>
          <w:rFonts w:ascii="Arial" w:eastAsia="Times New Roman" w:hAnsi="Arial" w:cs="Arial"/>
          <w:color w:val="333333"/>
          <w:sz w:val="24"/>
          <w:szCs w:val="24"/>
        </w:rPr>
        <w:t>արձանագրված</w:t>
      </w:r>
      <w:proofErr w:type="gramEnd"/>
      <w:r w:rsidRPr="00D04057">
        <w:rPr>
          <w:rFonts w:ascii="Arial" w:eastAsia="Times New Roman" w:hAnsi="Arial" w:cs="Arial"/>
          <w:color w:val="333333"/>
          <w:sz w:val="24"/>
          <w:szCs w:val="24"/>
        </w:rPr>
        <w:t xml:space="preserve"> անճշտությունների, անհամապատասխանությունների և (կամ) խախտումների հետ չհամաձայնելու դեպքում հարկային մարմնի հաշվետվությունների ներկայացման էլեկտրոնային կառավարման համակարգի միջոցով հարկային մարմին է ներկայացնում իր առարկությունները, որոնք հարկային մարմինն օգտագործում է հարկային հսկողության ընթացքում:</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6. </w:t>
      </w:r>
      <w:r w:rsidRPr="00D04057">
        <w:rPr>
          <w:rFonts w:ascii="Arial" w:eastAsia="Times New Roman" w:hAnsi="Arial" w:cs="Arial"/>
          <w:b/>
          <w:bCs/>
          <w:i/>
          <w:iCs/>
          <w:color w:val="333333"/>
          <w:sz w:val="24"/>
          <w:szCs w:val="24"/>
        </w:rPr>
        <w:t>(</w:t>
      </w:r>
      <w:proofErr w:type="gramStart"/>
      <w:r w:rsidRPr="00D04057">
        <w:rPr>
          <w:rFonts w:ascii="Arial" w:eastAsia="Times New Roman" w:hAnsi="Arial" w:cs="Arial"/>
          <w:b/>
          <w:bCs/>
          <w:i/>
          <w:iCs/>
          <w:color w:val="333333"/>
          <w:sz w:val="24"/>
          <w:szCs w:val="24"/>
        </w:rPr>
        <w:t>մասն</w:t>
      </w:r>
      <w:proofErr w:type="gramEnd"/>
      <w:r w:rsidRPr="00D04057">
        <w:rPr>
          <w:rFonts w:ascii="Arial" w:eastAsia="Times New Roman" w:hAnsi="Arial" w:cs="Arial"/>
          <w:b/>
          <w:bCs/>
          <w:i/>
          <w:iCs/>
          <w:color w:val="333333"/>
          <w:sz w:val="24"/>
          <w:szCs w:val="24"/>
        </w:rPr>
        <w:t xml:space="preserve"> ուժը կորցրել է 04.03.22 ՀՕ-55-Ն)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7. </w:t>
      </w:r>
      <w:r w:rsidRPr="00D04057">
        <w:rPr>
          <w:rFonts w:ascii="Arial" w:eastAsia="Times New Roman" w:hAnsi="Arial" w:cs="Arial"/>
          <w:b/>
          <w:bCs/>
          <w:i/>
          <w:iCs/>
          <w:color w:val="333333"/>
          <w:sz w:val="24"/>
          <w:szCs w:val="24"/>
        </w:rPr>
        <w:t>(</w:t>
      </w:r>
      <w:proofErr w:type="gramStart"/>
      <w:r w:rsidRPr="00D04057">
        <w:rPr>
          <w:rFonts w:ascii="Arial" w:eastAsia="Times New Roman" w:hAnsi="Arial" w:cs="Arial"/>
          <w:b/>
          <w:bCs/>
          <w:i/>
          <w:iCs/>
          <w:color w:val="333333"/>
          <w:sz w:val="24"/>
          <w:szCs w:val="24"/>
        </w:rPr>
        <w:t>մասն</w:t>
      </w:r>
      <w:proofErr w:type="gramEnd"/>
      <w:r w:rsidRPr="00D04057">
        <w:rPr>
          <w:rFonts w:ascii="Arial" w:eastAsia="Times New Roman" w:hAnsi="Arial" w:cs="Arial"/>
          <w:b/>
          <w:bCs/>
          <w:i/>
          <w:iCs/>
          <w:color w:val="333333"/>
          <w:sz w:val="24"/>
          <w:szCs w:val="24"/>
        </w:rPr>
        <w:t xml:space="preserve"> ուժը կորցրել է 04.03.22 ՀՕ-55-Ն)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b/>
          <w:bCs/>
          <w:i/>
          <w:iCs/>
          <w:color w:val="333333"/>
          <w:sz w:val="24"/>
          <w:szCs w:val="24"/>
        </w:rPr>
        <w:t xml:space="preserve">(344-րդ հոդվածը </w:t>
      </w:r>
      <w:proofErr w:type="gramStart"/>
      <w:r w:rsidRPr="00D04057">
        <w:rPr>
          <w:rFonts w:ascii="Arial" w:eastAsia="Times New Roman" w:hAnsi="Arial" w:cs="Arial"/>
          <w:b/>
          <w:bCs/>
          <w:i/>
          <w:iCs/>
          <w:color w:val="333333"/>
          <w:sz w:val="24"/>
          <w:szCs w:val="24"/>
        </w:rPr>
        <w:t>փոփ.,</w:t>
      </w:r>
      <w:proofErr w:type="gramEnd"/>
      <w:r w:rsidRPr="00D04057">
        <w:rPr>
          <w:rFonts w:ascii="Arial" w:eastAsia="Times New Roman" w:hAnsi="Arial" w:cs="Arial"/>
          <w:b/>
          <w:bCs/>
          <w:i/>
          <w:iCs/>
          <w:color w:val="333333"/>
          <w:sz w:val="24"/>
          <w:szCs w:val="24"/>
        </w:rPr>
        <w:t xml:space="preserve"> խմբ., լրաց. 04.03.22 ՀՕ-55-Ն)</w:t>
      </w:r>
    </w:p>
    <w:p w:rsidR="00D04057" w:rsidRDefault="00D04057"/>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04057" w:rsidRPr="00D04057" w:rsidTr="00D04057">
        <w:trPr>
          <w:tblCellSpacing w:w="7" w:type="dxa"/>
        </w:trPr>
        <w:tc>
          <w:tcPr>
            <w:tcW w:w="2025" w:type="dxa"/>
            <w:shd w:val="clear" w:color="auto" w:fill="FFFFFF"/>
            <w:hideMark/>
          </w:tcPr>
          <w:p w:rsidR="00D04057" w:rsidRPr="00D04057" w:rsidRDefault="00D04057" w:rsidP="00D04057">
            <w:pPr>
              <w:spacing w:after="0" w:line="240" w:lineRule="auto"/>
              <w:jc w:val="center"/>
              <w:rPr>
                <w:rFonts w:ascii="Arial" w:eastAsia="Times New Roman" w:hAnsi="Arial" w:cs="Arial"/>
                <w:color w:val="333333"/>
                <w:sz w:val="24"/>
                <w:szCs w:val="24"/>
              </w:rPr>
            </w:pPr>
            <w:r w:rsidRPr="00D04057">
              <w:rPr>
                <w:rFonts w:ascii="Arial" w:eastAsia="Times New Roman" w:hAnsi="Arial" w:cs="Arial"/>
                <w:b/>
                <w:bCs/>
                <w:color w:val="333333"/>
                <w:sz w:val="24"/>
                <w:szCs w:val="24"/>
              </w:rPr>
              <w:t>Հոդված 349.1.</w:t>
            </w:r>
          </w:p>
        </w:tc>
        <w:tc>
          <w:tcPr>
            <w:tcW w:w="0" w:type="auto"/>
            <w:shd w:val="clear" w:color="auto" w:fill="FFFFFF"/>
            <w:hideMark/>
          </w:tcPr>
          <w:p w:rsidR="00D04057" w:rsidRPr="00D04057" w:rsidRDefault="00D04057" w:rsidP="00D04057">
            <w:pPr>
              <w:spacing w:after="0" w:line="240" w:lineRule="auto"/>
              <w:rPr>
                <w:rFonts w:ascii="Arial" w:eastAsia="Times New Roman" w:hAnsi="Arial" w:cs="Arial"/>
                <w:color w:val="333333"/>
                <w:sz w:val="24"/>
                <w:szCs w:val="24"/>
              </w:rPr>
            </w:pPr>
            <w:r w:rsidRPr="00D04057">
              <w:rPr>
                <w:rFonts w:ascii="Arial" w:eastAsia="Times New Roman" w:hAnsi="Arial" w:cs="Arial"/>
                <w:b/>
                <w:bCs/>
                <w:color w:val="333333"/>
                <w:sz w:val="24"/>
                <w:szCs w:val="24"/>
              </w:rPr>
              <w:t>Թեմատիկ ուսումնասիրությունը</w:t>
            </w:r>
          </w:p>
        </w:tc>
      </w:tr>
    </w:tbl>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1. Հարկի (վճարի) հաշվարկման ճշտության ուսումնասիրության նպատակով հարկային մարմինը հարկ վճարողի մոտ կարող է իրականացնել թեմատիկ ուսումնասիրություն: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2. Թեմատիկ ուսումնասիրության իրականացման համար հիմք կարող են հանդիսանալ հարկային մարմնի իրականացրած բացառապես կամերալ (ներքին) ուսումնասիրության՝ </w:t>
      </w:r>
      <w:del w:id="2" w:author="Hasmik Manukyan" w:date="2026-03-17T09:59:00Z">
        <w:r w:rsidRPr="00D04057" w:rsidDel="007101E1">
          <w:rPr>
            <w:rFonts w:ascii="Arial" w:eastAsia="Times New Roman" w:hAnsi="Arial" w:cs="Arial"/>
            <w:color w:val="333333"/>
            <w:sz w:val="24"/>
            <w:szCs w:val="24"/>
          </w:rPr>
          <w:delText xml:space="preserve">հաստատապես հայտնի </w:delText>
        </w:r>
      </w:del>
      <w:r w:rsidRPr="00D04057">
        <w:rPr>
          <w:rFonts w:ascii="Arial" w:eastAsia="Times New Roman" w:hAnsi="Arial" w:cs="Arial"/>
          <w:color w:val="333333"/>
          <w:sz w:val="24"/>
          <w:szCs w:val="24"/>
        </w:rPr>
        <w:t>հարկվող գործարքների վերաբերյալ արդյունքները, որոնց մասին հարկ վճարողը նախապես ծանուցվել է էլեկտրոնային ծանուցման եղանակով, սակայն ծանուցման օրվան հաջորդող 10 աշխատանքային օրվա ընթացքում հարկային մարմնի հաշվետվությունների ներկայացման էլեկտրոնային կառավարման համակարգի միջոցով հարկային հաշվարկներ (այդ թվում՝ ճշտված) կամ խախտումների առկայության վերաբերյալ հիմնավոր առարկություններ չի ներկայացրել:</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3. Թեմատիկ ուսումնասիրություններն իրականացվում են Օրենսգրքի 343-րդ հոդվածի 6-րդ մասին համապատասխան տրված հանձնարարագրի հիման վրա</w:t>
      </w:r>
      <w:del w:id="3" w:author="Hasmik Manukyan" w:date="2026-03-17T10:00:00Z">
        <w:r w:rsidRPr="00D04057" w:rsidDel="007101E1">
          <w:rPr>
            <w:rFonts w:ascii="Arial" w:eastAsia="Times New Roman" w:hAnsi="Arial" w:cs="Arial"/>
            <w:color w:val="333333"/>
            <w:sz w:val="24"/>
            <w:szCs w:val="24"/>
          </w:rPr>
          <w:delText>, որը կարող է հրապարակվել ոչ ավելի, քան յուրաքանչյուր հարկային տարվա ընթացքում մեկ անգամ</w:delText>
        </w:r>
      </w:del>
      <w:r w:rsidRPr="00D04057">
        <w:rPr>
          <w:rFonts w:ascii="Arial" w:eastAsia="Times New Roman" w:hAnsi="Arial" w:cs="Arial"/>
          <w:color w:val="333333"/>
          <w:sz w:val="24"/>
          <w:szCs w:val="24"/>
        </w:rPr>
        <w:t>: Թեմատիկ ուսումնասիրության հանձնարարագրում, բացի Օրենսգրքի 343-րդ հոդվածի 6-րդ մասով սահմանված տվյալներից, պարտադիր նշվում են նաև՝</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1) </w:t>
      </w:r>
      <w:proofErr w:type="gramStart"/>
      <w:r w:rsidRPr="00D04057">
        <w:rPr>
          <w:rFonts w:ascii="Arial" w:eastAsia="Times New Roman" w:hAnsi="Arial" w:cs="Arial"/>
          <w:color w:val="333333"/>
          <w:sz w:val="24"/>
          <w:szCs w:val="24"/>
        </w:rPr>
        <w:t>հարկային</w:t>
      </w:r>
      <w:proofErr w:type="gramEnd"/>
      <w:r w:rsidRPr="00D04057">
        <w:rPr>
          <w:rFonts w:ascii="Arial" w:eastAsia="Times New Roman" w:hAnsi="Arial" w:cs="Arial"/>
          <w:color w:val="333333"/>
          <w:sz w:val="24"/>
          <w:szCs w:val="24"/>
        </w:rPr>
        <w:t xml:space="preserve"> մարմնի իրականացրած կամերալ (ներքին) ուսումնասիրության արձանագրության համարը և ամսաթիվը, արձանագրության՝ հարկ վճարողին ծանուցման ամսաթիվը.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2) </w:t>
      </w:r>
      <w:proofErr w:type="gramStart"/>
      <w:r w:rsidRPr="00D04057">
        <w:rPr>
          <w:rFonts w:ascii="Arial" w:eastAsia="Times New Roman" w:hAnsi="Arial" w:cs="Arial"/>
          <w:color w:val="333333"/>
          <w:sz w:val="24"/>
          <w:szCs w:val="24"/>
        </w:rPr>
        <w:t>հարկային</w:t>
      </w:r>
      <w:proofErr w:type="gramEnd"/>
      <w:r w:rsidRPr="00D04057">
        <w:rPr>
          <w:rFonts w:ascii="Arial" w:eastAsia="Times New Roman" w:hAnsi="Arial" w:cs="Arial"/>
          <w:color w:val="333333"/>
          <w:sz w:val="24"/>
          <w:szCs w:val="24"/>
        </w:rPr>
        <w:t xml:space="preserve"> մարմնի իրականացրած կամերալ (ներքին) ուսումնասիրության արդյունքներին վերաբերելի՝ ուսումնասիրության ենթակա հաշվետու ժամանակաշրջանները: Ընդ որում, ուսումնասիրության հանձնարարագրում չեն կարող ընդգրկվել՝</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ա. </w:t>
      </w:r>
      <w:proofErr w:type="gramStart"/>
      <w:r w:rsidRPr="00D04057">
        <w:rPr>
          <w:rFonts w:ascii="Arial" w:eastAsia="Times New Roman" w:hAnsi="Arial" w:cs="Arial"/>
          <w:color w:val="333333"/>
          <w:sz w:val="24"/>
          <w:szCs w:val="24"/>
        </w:rPr>
        <w:t>հարկային</w:t>
      </w:r>
      <w:proofErr w:type="gramEnd"/>
      <w:r w:rsidRPr="00D04057">
        <w:rPr>
          <w:rFonts w:ascii="Arial" w:eastAsia="Times New Roman" w:hAnsi="Arial" w:cs="Arial"/>
          <w:color w:val="333333"/>
          <w:sz w:val="24"/>
          <w:szCs w:val="24"/>
        </w:rPr>
        <w:t xml:space="preserve"> մարմնի իրականացրած կամերալ (ներքին) ուսումնասիրության արդյունքներին չվերաբերող հարկատեսակներ և հաշվետու ժամանակաշրջաններ,</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բ. </w:t>
      </w:r>
      <w:proofErr w:type="gramStart"/>
      <w:r w:rsidRPr="00D04057">
        <w:rPr>
          <w:rFonts w:ascii="Arial" w:eastAsia="Times New Roman" w:hAnsi="Arial" w:cs="Arial"/>
          <w:color w:val="333333"/>
          <w:sz w:val="24"/>
          <w:szCs w:val="24"/>
        </w:rPr>
        <w:t>համալիր</w:t>
      </w:r>
      <w:proofErr w:type="gramEnd"/>
      <w:r w:rsidRPr="00D04057">
        <w:rPr>
          <w:rFonts w:ascii="Arial" w:eastAsia="Times New Roman" w:hAnsi="Arial" w:cs="Arial"/>
          <w:color w:val="333333"/>
          <w:sz w:val="24"/>
          <w:szCs w:val="24"/>
        </w:rPr>
        <w:t xml:space="preserve"> հարկային ստուգման ենթարկված հաշվետու ժամանակաշրջաններ,</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lastRenderedPageBreak/>
        <w:t xml:space="preserve">գ. </w:t>
      </w:r>
      <w:proofErr w:type="gramStart"/>
      <w:r w:rsidRPr="00D04057">
        <w:rPr>
          <w:rFonts w:ascii="Arial" w:eastAsia="Times New Roman" w:hAnsi="Arial" w:cs="Arial"/>
          <w:color w:val="333333"/>
          <w:sz w:val="24"/>
          <w:szCs w:val="24"/>
        </w:rPr>
        <w:t>համալիր</w:t>
      </w:r>
      <w:proofErr w:type="gramEnd"/>
      <w:r w:rsidRPr="00D04057">
        <w:rPr>
          <w:rFonts w:ascii="Arial" w:eastAsia="Times New Roman" w:hAnsi="Arial" w:cs="Arial"/>
          <w:color w:val="333333"/>
          <w:sz w:val="24"/>
          <w:szCs w:val="24"/>
        </w:rPr>
        <w:t xml:space="preserve"> հարկային ստուգման ընթացքում գտնվող կամ տվյալ տարվա ստուգումների ծրագրում ներառված հարկ վճարողների մոտ ստուգման ենթակա հաշվետու ժամանակաշրջաններ,</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del w:id="4" w:author="Hasmik Manukyan" w:date="2026-03-17T10:00:00Z">
        <w:r w:rsidRPr="00D04057" w:rsidDel="007101E1">
          <w:rPr>
            <w:rFonts w:ascii="Arial" w:eastAsia="Times New Roman" w:hAnsi="Arial" w:cs="Arial"/>
            <w:color w:val="333333"/>
            <w:sz w:val="24"/>
            <w:szCs w:val="24"/>
          </w:rPr>
          <w:delText>դ. Օրենսգրքի 348-րդ հոդվածով սահմանված կարգով ուսումնասիրված հաշվետու ժամանակաշրջաններ</w:delText>
        </w:r>
      </w:del>
      <w:r w:rsidRPr="00D04057">
        <w:rPr>
          <w:rFonts w:ascii="Arial" w:eastAsia="Times New Roman" w:hAnsi="Arial" w:cs="Arial"/>
          <w:color w:val="333333"/>
          <w:sz w:val="24"/>
          <w:szCs w:val="24"/>
        </w:rPr>
        <w:t>:</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proofErr w:type="gramStart"/>
      <w:r w:rsidRPr="00D04057">
        <w:rPr>
          <w:rFonts w:ascii="Arial" w:eastAsia="Times New Roman" w:hAnsi="Arial" w:cs="Arial"/>
          <w:color w:val="333333"/>
          <w:sz w:val="24"/>
          <w:szCs w:val="24"/>
        </w:rPr>
        <w:t>4. Հարկ վճարողի մոտ սույն հոդվածով սահմանված յուրաքանչյուր ուսումնասիրության ժամկետն ուսումնասիրության հանձնարարագրով կարող է սահմանվել ոչ ավելի, քան 10 անընդմեջ աշխատանքային օր: Անհրաժեշտության դեպքում ուսումնասիրություն իրականացնող պաշտոնատար անձի (անձանց) գրավոր զեկուցագրի հիման վրա հանձնարարագիր տվող պաշտոնատար անձի հրամանով սույն մասում նշված ժամկետը կարող է երկարաձգվել մինչև հինգ անընդմեջ աշխատանքային օրով: Թեմատիկ ուսումնասիրության ժամկետի երկարաձգման մասին հրամանի էլեկտրոնային ստորագրությամբ վավերացված կամ տեսաներածված տարբերակը էլեկտրոնային ծանուցման եղանակով ներկայացվում է հարկ վճարողին ոչ ուշ, քան հանձնարարագրում նշված ուսումնասիրության ժամկետի ավարտի օրը:</w:t>
      </w:r>
      <w:proofErr w:type="gramEnd"/>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5. Թեմատիկ ուսումնասիրության հանձնարարագիրն ուսումնասիրությունը փաստացի սկսելու օրը ծանոթացման է ներկայացվում էլեկտրոնային ծանուցման </w:t>
      </w:r>
      <w:proofErr w:type="gramStart"/>
      <w:r w:rsidRPr="00D04057">
        <w:rPr>
          <w:rFonts w:ascii="Arial" w:eastAsia="Times New Roman" w:hAnsi="Arial" w:cs="Arial"/>
          <w:color w:val="333333"/>
          <w:sz w:val="24"/>
          <w:szCs w:val="24"/>
        </w:rPr>
        <w:t>եղանակով</w:t>
      </w:r>
      <w:proofErr w:type="gramEnd"/>
      <w:r w:rsidRPr="00D04057">
        <w:rPr>
          <w:rFonts w:ascii="Arial" w:eastAsia="Times New Roman" w:hAnsi="Arial" w:cs="Arial"/>
          <w:color w:val="333333"/>
          <w:sz w:val="24"/>
          <w:szCs w:val="24"/>
        </w:rPr>
        <w:t>:</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6. Թեմատիկ ուսումնասիրության ընթացքը Օրենսգրքի 341-րդ հոդվածի 3-րդ մասով սահմանված հիմքերի առկայության դեպքում հանձնարարագիր տվող պաշտոնատար անձի հրամանով կարող է կասեցվել նույն հոդվածի 3-րդ և 4-րդ մասերով սահմանված ժամկետներով: Թեմատիկ ուսումնասիրության ընթացքի կասեցումը, կասեցման ժամկետի երկարաձգումը, կասեցված ուսումնասիրության վերսկսելը կատարվում են Օրենսգրքի 341-րդ հոդվածով հարկային ստուգումների համար սահմանված կարգով ու ժամկետներում:</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proofErr w:type="gramStart"/>
      <w:r w:rsidRPr="00D04057">
        <w:rPr>
          <w:rFonts w:ascii="Arial" w:eastAsia="Times New Roman" w:hAnsi="Arial" w:cs="Arial"/>
          <w:color w:val="333333"/>
          <w:sz w:val="24"/>
          <w:szCs w:val="24"/>
        </w:rPr>
        <w:t>7. Ուսումնասիրության արդյունքում Օրենսգրքի 343-րդ հոդվածի 10-րդ մասով սահմանված ժամկետներում ու կարգով կազմվում և հարկ վճարողին է ներկայացվում նույն հոդվածի 14-րդ մասով սահմանված ձևով ուսումնասիրության արդյունքների վերաբերյալ արձանագրության նախագիծը: Օրենսգրքի 343-րդ հոդվածի 11-րդ մասով սահմանված կարգով ու ժամկետներում կազմվում և հարկ վճարողին է ներկայացվում ուսումնասիրության արդյունքների վերաբերյալ արձանագրությունը: Օրենսգրքի 343-րդ հոդվածի 14-րդ մասի 10-րդ կետով սահմանված դրույթներն արձանագրությունում (նախագծում) ներառվում են միայն նույն հոդվածի 5-րդ մասի 8-րդ կետով սահմանված դեպքում: Ընդ որում, ուսումնասիրության արդյունքում ի հայտ եկած հնարավոր խախտումները չհաստատվելու և (կամ) ուսումնասիրության ընթացքում կամերալ (ներքին) ուսումնասիրության արդյունքներին վերաբերելի հարկային հաշվարկներ (այդ թվում՝ ճշտված) ներկայացվելու դեպքում ուսումնասիրության արձանագրության մեջ պարզաբանվում են համապատասխան ռիսկերի չհաստատման պատճառները և (կամ) նշվում են տեղեկություններ ներկայացված հարկային հաշվարկների (այդ թվում՝ ճշտված) վերաբերյալ:</w:t>
      </w:r>
      <w:proofErr w:type="gramEnd"/>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b/>
          <w:bCs/>
          <w:i/>
          <w:iCs/>
          <w:color w:val="333333"/>
          <w:sz w:val="24"/>
          <w:szCs w:val="24"/>
        </w:rPr>
        <w:t xml:space="preserve">(349.1-ին </w:t>
      </w:r>
      <w:proofErr w:type="gramStart"/>
      <w:r w:rsidRPr="00D04057">
        <w:rPr>
          <w:rFonts w:ascii="Arial" w:eastAsia="Times New Roman" w:hAnsi="Arial" w:cs="Arial"/>
          <w:b/>
          <w:bCs/>
          <w:i/>
          <w:iCs/>
          <w:color w:val="333333"/>
          <w:sz w:val="24"/>
          <w:szCs w:val="24"/>
        </w:rPr>
        <w:t>հոդվածը լրաց. 04.03.22 ՀՕ-55-Ն</w:t>
      </w:r>
      <w:proofErr w:type="gramEnd"/>
      <w:r w:rsidRPr="00D04057">
        <w:rPr>
          <w:rFonts w:ascii="Arial" w:eastAsia="Times New Roman" w:hAnsi="Arial" w:cs="Arial"/>
          <w:b/>
          <w:bCs/>
          <w:i/>
          <w:iCs/>
          <w:color w:val="333333"/>
          <w:sz w:val="24"/>
          <w:szCs w:val="24"/>
        </w:rPr>
        <w:t>)</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w:t>
      </w:r>
    </w:p>
    <w:p w:rsidR="00D04057" w:rsidRDefault="00D04057">
      <w:pPr>
        <w:rPr>
          <w:rFonts w:ascii="Arial" w:hAnsi="Arial" w:cs="Arial"/>
          <w:caps/>
          <w:color w:val="5C5C5C"/>
          <w:spacing w:val="2"/>
          <w:sz w:val="21"/>
          <w:szCs w:val="21"/>
          <w:shd w:val="clear" w:color="auto" w:fill="FFFFFF"/>
        </w:rPr>
      </w:pPr>
      <w:r>
        <w:rPr>
          <w:rFonts w:ascii="Arial" w:hAnsi="Arial" w:cs="Arial"/>
          <w:caps/>
          <w:color w:val="5C5C5C"/>
          <w:spacing w:val="2"/>
          <w:sz w:val="21"/>
          <w:szCs w:val="21"/>
          <w:shd w:val="clear" w:color="auto" w:fill="FFFFFF"/>
        </w:rPr>
        <w:t>ՀՀ ՔՐԵԱԿԱՆ ՕՐԵՆՍԳԻՐՔ</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04057" w:rsidRPr="00D04057" w:rsidTr="00D04057">
        <w:trPr>
          <w:tblCellSpacing w:w="7" w:type="dxa"/>
        </w:trPr>
        <w:tc>
          <w:tcPr>
            <w:tcW w:w="2025" w:type="dxa"/>
            <w:shd w:val="clear" w:color="auto" w:fill="FFFFFF"/>
            <w:hideMark/>
          </w:tcPr>
          <w:p w:rsidR="00D04057" w:rsidRPr="00D04057" w:rsidRDefault="00D04057" w:rsidP="00D04057">
            <w:pPr>
              <w:spacing w:after="0" w:line="240" w:lineRule="auto"/>
              <w:jc w:val="center"/>
              <w:rPr>
                <w:rFonts w:ascii="Arial" w:eastAsia="Times New Roman" w:hAnsi="Arial" w:cs="Arial"/>
                <w:color w:val="333333"/>
                <w:sz w:val="24"/>
                <w:szCs w:val="24"/>
              </w:rPr>
            </w:pPr>
            <w:r w:rsidRPr="00D04057">
              <w:rPr>
                <w:rFonts w:ascii="Arial" w:eastAsia="Times New Roman" w:hAnsi="Arial" w:cs="Arial"/>
                <w:b/>
                <w:bCs/>
                <w:color w:val="333333"/>
                <w:sz w:val="24"/>
                <w:szCs w:val="24"/>
              </w:rPr>
              <w:t>Հոդված 290.</w:t>
            </w:r>
          </w:p>
        </w:tc>
        <w:tc>
          <w:tcPr>
            <w:tcW w:w="0" w:type="auto"/>
            <w:shd w:val="clear" w:color="auto" w:fill="FFFFFF"/>
            <w:hideMark/>
          </w:tcPr>
          <w:p w:rsidR="00D04057" w:rsidRPr="00D04057" w:rsidRDefault="00D04057" w:rsidP="00D04057">
            <w:pPr>
              <w:spacing w:after="0" w:line="240" w:lineRule="auto"/>
              <w:rPr>
                <w:rFonts w:ascii="Arial" w:eastAsia="Times New Roman" w:hAnsi="Arial" w:cs="Arial"/>
                <w:color w:val="333333"/>
                <w:sz w:val="24"/>
                <w:szCs w:val="24"/>
              </w:rPr>
            </w:pPr>
            <w:r w:rsidRPr="00D04057">
              <w:rPr>
                <w:rFonts w:ascii="Arial" w:eastAsia="Times New Roman" w:hAnsi="Arial" w:cs="Arial"/>
                <w:b/>
                <w:bCs/>
                <w:color w:val="333333"/>
                <w:sz w:val="24"/>
                <w:szCs w:val="24"/>
              </w:rPr>
              <w:t>Հարկերը, տուրքերը կամ այլ վճարներ չվճարելը</w:t>
            </w:r>
          </w:p>
        </w:tc>
      </w:tr>
    </w:tbl>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proofErr w:type="gramStart"/>
      <w:r w:rsidRPr="00D04057">
        <w:rPr>
          <w:rFonts w:ascii="Arial" w:eastAsia="Times New Roman" w:hAnsi="Arial" w:cs="Arial"/>
          <w:color w:val="333333"/>
          <w:sz w:val="24"/>
          <w:szCs w:val="24"/>
        </w:rPr>
        <w:lastRenderedPageBreak/>
        <w:t>1. Իրավաբանական անձի ղեկավարի, անհատ ձեռնարկատիրոջ, ֆիզիկական անձի կամ պատասխանատու այլ անձի կողմից հարկերը, տուրքերը կամ այլ վճարները խոշոր չափերով չվճարելու նպատակով օրենսդրությամբ նախատեսված հաշվետվությունը, հաշվարկը, հայտարարագիրը կամ հարկը, տուրքը կամ այլ վճարը հաշվարկելու կամ վճարելու պարտավորություն առաջացնող պարտադիր այլ փաստաթուղթն օրենքով սահմանված կարգով կամ ժամկետներում չներկայացնելը կամ հաշվետվության, հաշվարկի, հայտարարագրի կամ հարկը, տուրքը կամ այլ վճարը հաշվարկելու կամ վճարելու պարտավորություն առաջացնող պարտադիր այլ փաստաթղթի մեջ խեղաթյուրված տվյալ մտցնելը կամ հարկման օբյեկտը թաքցնելը կամ խաբեության այլ դրսևորումը՝</w:t>
      </w:r>
      <w:proofErr w:type="gramEnd"/>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proofErr w:type="gramStart"/>
      <w:r w:rsidRPr="00D04057">
        <w:rPr>
          <w:rFonts w:ascii="Arial" w:eastAsia="Times New Roman" w:hAnsi="Arial" w:cs="Arial"/>
          <w:color w:val="333333"/>
          <w:sz w:val="24"/>
          <w:szCs w:val="24"/>
        </w:rPr>
        <w:t>պատժվում</w:t>
      </w:r>
      <w:proofErr w:type="gramEnd"/>
      <w:r w:rsidRPr="00D04057">
        <w:rPr>
          <w:rFonts w:ascii="Arial" w:eastAsia="Times New Roman" w:hAnsi="Arial" w:cs="Arial"/>
          <w:color w:val="333333"/>
          <w:sz w:val="24"/>
          <w:szCs w:val="24"/>
        </w:rPr>
        <w:t xml:space="preserve"> է տուգանքով՝ քսանապատիկից հիսնապատիկի չափով, կամ ազատության սահմանափակմամբ` մեկից երեք տարի ժամկետով, կամ կարճաժամկետ ազատազրկմամբ` մեկից երկու ամիս ժամկետով, կամ ազատազրկմամբ՝ երկուսից հինգ տարի ժամկետով:</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2. Սույն հոդվածի 1-ին մասով նախատեսված արարքը, որը կատարվել է պատասխանատու անձի կատարման համար պարտադիր ցուցումներ տալու, նրա որոշումները կանխորոշելու հնարավորություն ունեցող կամ նրա գործունեությունը փաստացի ղեկավարող այլ անձի կողմից՝ պատասխանատու անձի անունից կամ միջոցով՝</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proofErr w:type="gramStart"/>
      <w:r w:rsidRPr="00D04057">
        <w:rPr>
          <w:rFonts w:ascii="Arial" w:eastAsia="Times New Roman" w:hAnsi="Arial" w:cs="Arial"/>
          <w:color w:val="333333"/>
          <w:sz w:val="24"/>
          <w:szCs w:val="24"/>
        </w:rPr>
        <w:t>պատժվում</w:t>
      </w:r>
      <w:proofErr w:type="gramEnd"/>
      <w:r w:rsidRPr="00D04057">
        <w:rPr>
          <w:rFonts w:ascii="Arial" w:eastAsia="Times New Roman" w:hAnsi="Arial" w:cs="Arial"/>
          <w:color w:val="333333"/>
          <w:sz w:val="24"/>
          <w:szCs w:val="24"/>
        </w:rPr>
        <w:t xml:space="preserve"> է ազատազրկմամբ՝ երեքից վեց տարի ժամկետով:</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3. Սույն հոդվածի 1-ին կամ 2-րդ մասով նախատեսված արարքը, որը կատարվել է՝</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1) </w:t>
      </w:r>
      <w:proofErr w:type="gramStart"/>
      <w:r w:rsidRPr="00D04057">
        <w:rPr>
          <w:rFonts w:ascii="Arial" w:eastAsia="Times New Roman" w:hAnsi="Arial" w:cs="Arial"/>
          <w:color w:val="333333"/>
          <w:sz w:val="24"/>
          <w:szCs w:val="24"/>
        </w:rPr>
        <w:t>մի</w:t>
      </w:r>
      <w:proofErr w:type="gramEnd"/>
      <w:r w:rsidRPr="00D04057">
        <w:rPr>
          <w:rFonts w:ascii="Arial" w:eastAsia="Times New Roman" w:hAnsi="Arial" w:cs="Arial"/>
          <w:color w:val="333333"/>
          <w:sz w:val="24"/>
          <w:szCs w:val="24"/>
        </w:rPr>
        <w:t xml:space="preserve"> խումբ անձանց կողմից նախնական համաձայնությամբ կամ</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2) </w:t>
      </w:r>
      <w:proofErr w:type="gramStart"/>
      <w:r w:rsidRPr="00D04057">
        <w:rPr>
          <w:rFonts w:ascii="Arial" w:eastAsia="Times New Roman" w:hAnsi="Arial" w:cs="Arial"/>
          <w:color w:val="333333"/>
          <w:sz w:val="24"/>
          <w:szCs w:val="24"/>
        </w:rPr>
        <w:t>առանձնապես</w:t>
      </w:r>
      <w:proofErr w:type="gramEnd"/>
      <w:r w:rsidRPr="00D04057">
        <w:rPr>
          <w:rFonts w:ascii="Arial" w:eastAsia="Times New Roman" w:hAnsi="Arial" w:cs="Arial"/>
          <w:color w:val="333333"/>
          <w:sz w:val="24"/>
          <w:szCs w:val="24"/>
        </w:rPr>
        <w:t xml:space="preserve"> խոշոր չափերով՝</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proofErr w:type="gramStart"/>
      <w:r w:rsidRPr="00D04057">
        <w:rPr>
          <w:rFonts w:ascii="Arial" w:eastAsia="Times New Roman" w:hAnsi="Arial" w:cs="Arial"/>
          <w:color w:val="333333"/>
          <w:sz w:val="24"/>
          <w:szCs w:val="24"/>
        </w:rPr>
        <w:t>պատժվում</w:t>
      </w:r>
      <w:proofErr w:type="gramEnd"/>
      <w:r w:rsidRPr="00D04057">
        <w:rPr>
          <w:rFonts w:ascii="Arial" w:eastAsia="Times New Roman" w:hAnsi="Arial" w:cs="Arial"/>
          <w:color w:val="333333"/>
          <w:sz w:val="24"/>
          <w:szCs w:val="24"/>
        </w:rPr>
        <w:t xml:space="preserve"> է ազատազրկմամբ՝ չորսից ութ տարի ժամկետով:</w:t>
      </w:r>
    </w:p>
    <w:p w:rsidR="00C47CE8" w:rsidRDefault="00D04057" w:rsidP="00D04057">
      <w:pPr>
        <w:shd w:val="clear" w:color="auto" w:fill="FFFFFF"/>
        <w:spacing w:after="0" w:line="240" w:lineRule="auto"/>
        <w:ind w:firstLine="375"/>
        <w:rPr>
          <w:ins w:id="5" w:author="Hasmik Manukyan" w:date="2026-03-17T10:01:00Z"/>
          <w:rFonts w:ascii="Arial" w:eastAsia="Times New Roman" w:hAnsi="Arial" w:cs="Arial"/>
          <w:color w:val="333333"/>
          <w:sz w:val="24"/>
          <w:szCs w:val="24"/>
          <w:lang w:val="hy-AM"/>
        </w:rPr>
      </w:pPr>
      <w:r w:rsidRPr="00D04057">
        <w:rPr>
          <w:rFonts w:ascii="Arial" w:eastAsia="Times New Roman" w:hAnsi="Arial" w:cs="Arial"/>
          <w:color w:val="333333"/>
          <w:sz w:val="24"/>
          <w:szCs w:val="24"/>
        </w:rPr>
        <w:t>4.</w:t>
      </w:r>
      <w:del w:id="6" w:author="Hasmik Manukyan" w:date="2026-03-17T10:01:00Z">
        <w:r w:rsidRPr="00D04057" w:rsidDel="00C47CE8">
          <w:rPr>
            <w:rFonts w:ascii="Arial" w:eastAsia="Times New Roman" w:hAnsi="Arial" w:cs="Arial"/>
            <w:color w:val="333333"/>
            <w:sz w:val="24"/>
            <w:szCs w:val="24"/>
          </w:rPr>
          <w:delText xml:space="preserve"> Սույն հոդվածում խոշոր չափ է համարվում 10 միլիոն Հայաստանի Հանրապետության դրամը գերազանցող գումարը, իսկ առանձնապես խոշոր չափ՝ 20 միլիոն Հայաստանի Հանրապետության դրամը գերազանցող գումարը</w:delText>
        </w:r>
      </w:del>
      <w:ins w:id="7" w:author="Hasmik Manukyan" w:date="2026-03-17T10:01:00Z">
        <w:r w:rsidR="00C47CE8">
          <w:rPr>
            <w:rFonts w:ascii="Arial" w:eastAsia="Times New Roman" w:hAnsi="Arial" w:cs="Arial"/>
            <w:color w:val="333333"/>
            <w:sz w:val="24"/>
            <w:szCs w:val="24"/>
            <w:lang w:val="hy-AM"/>
          </w:rPr>
          <w:t xml:space="preserve"> </w:t>
        </w:r>
      </w:ins>
    </w:p>
    <w:p w:rsidR="00D04057" w:rsidRPr="00C47CE8" w:rsidRDefault="00C47CE8" w:rsidP="00D04057">
      <w:pPr>
        <w:shd w:val="clear" w:color="auto" w:fill="FFFFFF"/>
        <w:spacing w:after="0" w:line="240" w:lineRule="auto"/>
        <w:ind w:firstLine="375"/>
        <w:rPr>
          <w:rFonts w:ascii="Arial" w:eastAsia="Times New Roman" w:hAnsi="Arial" w:cs="Arial"/>
          <w:color w:val="333333"/>
          <w:sz w:val="24"/>
          <w:szCs w:val="24"/>
        </w:rPr>
      </w:pPr>
      <w:ins w:id="8" w:author="Hasmik Manukyan" w:date="2026-03-17T10:01:00Z">
        <w:r w:rsidRPr="00C47CE8">
          <w:rPr>
            <w:rFonts w:ascii="Arial" w:eastAsia="Times New Roman" w:hAnsi="Arial" w:cs="Arial"/>
            <w:color w:val="333333"/>
            <w:sz w:val="24"/>
            <w:szCs w:val="24"/>
            <w:lang w:val="hy-AM"/>
          </w:rPr>
          <w:t>Սույն հոդվածում խոշոր չափ է համարվում մեկ հարկային տարվա ընթացքում 30 միլիոն Հայաստանի Հանրապետության դրամը գերազանցող հարկերի, տուրքերի կամ այլ վճարների գումարը, կամ իրար հաջորդող երկու հարկային տարիների ընթացքում 45 միլիոն Հայաստանի Հանրապետության դրամը գերազանցող հարկերի, տուրքերի կամ այլ վճարների գումարը, իսկ առանձնապես խոշոր չափ՝ մեկ հարկային տարվա ընթացքում 50 միլիոն Հայաստանի Հանրապետության դրամը գերազանցող հարկերի, տուրքերի կամ այլ վճարների գումարը, կամ իրար հաջորդող երկու  հարկային տարիների ընթացքում 75 միլիոն Հայաստանի Հանրապետության դրամը գերազանցող հարկերի, տուրքերի կամ այլ վճարների գումարը:</w:t>
        </w:r>
      </w:ins>
      <w:r w:rsidR="00D04057" w:rsidRPr="00C47CE8">
        <w:rPr>
          <w:rFonts w:ascii="Arial" w:eastAsia="Times New Roman" w:hAnsi="Arial" w:cs="Arial"/>
          <w:color w:val="333333"/>
          <w:sz w:val="24"/>
          <w:szCs w:val="24"/>
        </w:rPr>
        <w:t>:</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5. Սույն հոդվածով նախատեսված արարքը կատարած անձն ազատվում է քրեական պատասխանատվությունից, եթե ամբողջությամբ վճարել է չվճարված հարկերը, տուրքերը կամ այլ վճարները և դրանց չվճարման համար հաշվարկված տույժերը:</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b/>
          <w:bCs/>
          <w:i/>
          <w:iCs/>
          <w:color w:val="333333"/>
          <w:sz w:val="24"/>
          <w:szCs w:val="24"/>
        </w:rPr>
        <w:t xml:space="preserve">(290-րդ </w:t>
      </w:r>
      <w:proofErr w:type="gramStart"/>
      <w:r w:rsidRPr="00D04057">
        <w:rPr>
          <w:rFonts w:ascii="Arial" w:eastAsia="Times New Roman" w:hAnsi="Arial" w:cs="Arial"/>
          <w:b/>
          <w:bCs/>
          <w:i/>
          <w:iCs/>
          <w:color w:val="333333"/>
          <w:sz w:val="24"/>
          <w:szCs w:val="24"/>
        </w:rPr>
        <w:t>հոդվածը փոփ. 09.06.22 ՀՕ-240-Ն</w:t>
      </w:r>
      <w:proofErr w:type="gramEnd"/>
      <w:r w:rsidRPr="00D04057">
        <w:rPr>
          <w:rFonts w:ascii="Arial" w:eastAsia="Times New Roman" w:hAnsi="Arial" w:cs="Arial"/>
          <w:b/>
          <w:bCs/>
          <w:i/>
          <w:iCs/>
          <w:color w:val="333333"/>
          <w:sz w:val="24"/>
          <w:szCs w:val="24"/>
        </w:rPr>
        <w:t>)</w:t>
      </w:r>
    </w:p>
    <w:p w:rsidR="00D04057" w:rsidRDefault="00D04057"/>
    <w:p w:rsidR="00D04057" w:rsidRDefault="00D04057"/>
    <w:p w:rsidR="00D04057" w:rsidRDefault="00D04057">
      <w:r>
        <w:rPr>
          <w:rFonts w:ascii="Arial" w:hAnsi="Arial" w:cs="Arial"/>
          <w:caps/>
          <w:color w:val="5C5C5C"/>
          <w:spacing w:val="2"/>
          <w:sz w:val="21"/>
          <w:szCs w:val="21"/>
          <w:shd w:val="clear" w:color="auto" w:fill="FFFFFF"/>
        </w:rPr>
        <w:lastRenderedPageBreak/>
        <w:t>ՀՀ ՔՐԵԱԿԱՆ ԴԱՏԱՎԱՐՈՒԹՅԱՆ ՕՐԵՆՍԳԻՐՔ</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04057" w:rsidRPr="00D04057" w:rsidTr="00D04057">
        <w:trPr>
          <w:tblCellSpacing w:w="7" w:type="dxa"/>
        </w:trPr>
        <w:tc>
          <w:tcPr>
            <w:tcW w:w="2025" w:type="dxa"/>
            <w:shd w:val="clear" w:color="auto" w:fill="FFFFFF"/>
            <w:hideMark/>
          </w:tcPr>
          <w:p w:rsidR="00D04057" w:rsidRPr="00D04057" w:rsidRDefault="00D04057" w:rsidP="00D04057">
            <w:pPr>
              <w:spacing w:after="0" w:line="240" w:lineRule="auto"/>
              <w:jc w:val="center"/>
              <w:rPr>
                <w:rFonts w:ascii="Arial" w:eastAsia="Times New Roman" w:hAnsi="Arial" w:cs="Arial"/>
                <w:color w:val="333333"/>
                <w:sz w:val="24"/>
                <w:szCs w:val="24"/>
              </w:rPr>
            </w:pPr>
            <w:r w:rsidRPr="00D04057">
              <w:rPr>
                <w:rFonts w:ascii="Arial" w:eastAsia="Times New Roman" w:hAnsi="Arial" w:cs="Arial"/>
                <w:color w:val="333333"/>
                <w:sz w:val="24"/>
                <w:szCs w:val="24"/>
              </w:rPr>
              <w:t> </w:t>
            </w:r>
            <w:r w:rsidRPr="00D04057">
              <w:rPr>
                <w:rFonts w:ascii="Arial" w:eastAsia="Times New Roman" w:hAnsi="Arial" w:cs="Arial"/>
                <w:b/>
                <w:bCs/>
                <w:color w:val="333333"/>
                <w:sz w:val="24"/>
                <w:szCs w:val="24"/>
              </w:rPr>
              <w:t>Հոդված 135.</w:t>
            </w:r>
          </w:p>
        </w:tc>
        <w:tc>
          <w:tcPr>
            <w:tcW w:w="0" w:type="auto"/>
            <w:shd w:val="clear" w:color="auto" w:fill="FFFFFF"/>
            <w:hideMark/>
          </w:tcPr>
          <w:p w:rsidR="00D04057" w:rsidRPr="00D04057" w:rsidRDefault="00D04057" w:rsidP="00D04057">
            <w:pPr>
              <w:spacing w:after="0" w:line="240" w:lineRule="auto"/>
              <w:rPr>
                <w:rFonts w:ascii="Arial" w:eastAsia="Times New Roman" w:hAnsi="Arial" w:cs="Arial"/>
                <w:color w:val="333333"/>
                <w:sz w:val="24"/>
                <w:szCs w:val="24"/>
              </w:rPr>
            </w:pPr>
            <w:r w:rsidRPr="00D04057">
              <w:rPr>
                <w:rFonts w:ascii="Arial" w:eastAsia="Times New Roman" w:hAnsi="Arial" w:cs="Arial"/>
                <w:b/>
                <w:bCs/>
                <w:color w:val="333333"/>
                <w:sz w:val="24"/>
                <w:szCs w:val="24"/>
              </w:rPr>
              <w:t>Գույքի արգելադրման տևողությունը</w:t>
            </w:r>
          </w:p>
        </w:tc>
      </w:tr>
    </w:tbl>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1. Գույքի արգելադրումը պահպանվում է մինչև տվյալ վարույթով եզրափակիչ դատավարական ակտն օրինական ուժի մեջ մտնելը: Տուժողի կամ այլ շահագրգիռ անձի միջնորդությամբ կամ սեփական նախաձեռնությամբ դատարանն իրավասու է գույքի արգելադրումը պահպանելու նաև քրեական վարույթի ավարտից հետո՝ մինչև դատական ակտի կատարումը:</w:t>
      </w:r>
    </w:p>
    <w:p w:rsidR="00D04057" w:rsidRDefault="00D04057" w:rsidP="00D04057">
      <w:pPr>
        <w:shd w:val="clear" w:color="auto" w:fill="FFFFFF"/>
        <w:spacing w:after="0" w:line="240" w:lineRule="auto"/>
        <w:ind w:firstLine="375"/>
        <w:rPr>
          <w:ins w:id="9" w:author="Hasmik Manukyan" w:date="2026-03-17T10:02:00Z"/>
          <w:rFonts w:ascii="Arial" w:eastAsia="Times New Roman" w:hAnsi="Arial" w:cs="Arial"/>
          <w:color w:val="333333"/>
          <w:sz w:val="24"/>
          <w:szCs w:val="24"/>
        </w:rPr>
      </w:pPr>
      <w:proofErr w:type="gramStart"/>
      <w:r w:rsidRPr="00D04057">
        <w:rPr>
          <w:rFonts w:ascii="Arial" w:eastAsia="Times New Roman" w:hAnsi="Arial" w:cs="Arial"/>
          <w:color w:val="333333"/>
          <w:sz w:val="24"/>
          <w:szCs w:val="24"/>
        </w:rPr>
        <w:t>2. Վարույթի ընթացքում հսկող դատախազի հաստատմամբ՝ քննիչի կամ դատարանի որոշմամբ գույքը հանվում է արգելանքից, եթե ի հայտ են եկել այնպիսի հանգամանքներ, որոնք վկայում են գույքի արգելադրումը վերացնելու անհրաժեշտության մասին: Եթե արգելադրված գույքի նկատմամբ ճանաչվել է հանրության գերակա շահ, ապա դատարանի որոշմամբ գույքը հանվում է արգելանքից, իսկ վարույթն իրականացնող մարմինն արգելադրում է դեպոզիտ հանձնված փոխհատուցման գումարը կամ միջոցներ է ձեռնարկում համարժեք այլ գույք արգելադրելու ուղղությամբ:</w:t>
      </w:r>
      <w:proofErr w:type="gramEnd"/>
    </w:p>
    <w:p w:rsidR="001D1547" w:rsidRPr="00D04057" w:rsidRDefault="001D1547" w:rsidP="00D04057">
      <w:pPr>
        <w:shd w:val="clear" w:color="auto" w:fill="FFFFFF"/>
        <w:spacing w:after="0" w:line="240" w:lineRule="auto"/>
        <w:ind w:firstLine="375"/>
        <w:rPr>
          <w:rFonts w:ascii="Arial" w:eastAsia="Times New Roman" w:hAnsi="Arial" w:cs="Arial"/>
          <w:color w:val="333333"/>
          <w:sz w:val="24"/>
          <w:szCs w:val="24"/>
        </w:rPr>
      </w:pPr>
      <w:proofErr w:type="gramStart"/>
      <w:ins w:id="10" w:author="Hasmik Manukyan" w:date="2026-03-17T10:02:00Z">
        <w:r w:rsidRPr="001D1547">
          <w:rPr>
            <w:rFonts w:ascii="Arial" w:eastAsia="Times New Roman" w:hAnsi="Arial" w:cs="Arial"/>
            <w:color w:val="333333"/>
            <w:sz w:val="24"/>
            <w:szCs w:val="24"/>
          </w:rPr>
          <w:t>2.1. Վարույթի ընթացքում հսկող դատախազի հաստատմամբ՝ քննիչի կամ դատարանի որոշմամբ սույն օրենսգրքի 131-րդ հոդվածի 2-րդ մասի 1-4-րդ կետերով նախատեսված գույքի բացակայության դեպքում դրան համարժեք արգելադրված գույքը կամ սույն օրենսգրքի 131-րդ հոդվածի 2-րդ մասի 5-րդ կետով նախատեսված հիմքով արգելադրված գույքը կարող է հանվել արգելանքից, եթե գույքի սեփականատերը կամ տիրապետողը ներկայացնում է արգելադրված գույքին համարժեք բանկային երաշխիք։</w:t>
        </w:r>
      </w:ins>
      <w:bookmarkStart w:id="11" w:name="_GoBack"/>
      <w:bookmarkEnd w:id="11"/>
      <w:proofErr w:type="gramEnd"/>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3. Գրավառուի միջնորդության հիման վրա վարույթն իրականացնող մարմնի որոշմամբ արգելադրված գրավի առարկան իրացնելու նպատակով հանվում է արգելանքից, եթե այն չի հանդիսանում՝</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1) </w:t>
      </w:r>
      <w:proofErr w:type="gramStart"/>
      <w:r w:rsidRPr="00D04057">
        <w:rPr>
          <w:rFonts w:ascii="Arial" w:eastAsia="Times New Roman" w:hAnsi="Arial" w:cs="Arial"/>
          <w:color w:val="333333"/>
          <w:sz w:val="24"/>
          <w:szCs w:val="24"/>
        </w:rPr>
        <w:t>հանցագործության</w:t>
      </w:r>
      <w:proofErr w:type="gramEnd"/>
      <w:r w:rsidRPr="00D04057">
        <w:rPr>
          <w:rFonts w:ascii="Arial" w:eastAsia="Times New Roman" w:hAnsi="Arial" w:cs="Arial"/>
          <w:color w:val="333333"/>
          <w:sz w:val="24"/>
          <w:szCs w:val="24"/>
        </w:rPr>
        <w:t xml:space="preserve"> արդյունքում ստացված գույք.</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2) </w:t>
      </w:r>
      <w:proofErr w:type="gramStart"/>
      <w:r w:rsidRPr="00D04057">
        <w:rPr>
          <w:rFonts w:ascii="Arial" w:eastAsia="Times New Roman" w:hAnsi="Arial" w:cs="Arial"/>
          <w:color w:val="333333"/>
          <w:sz w:val="24"/>
          <w:szCs w:val="24"/>
        </w:rPr>
        <w:t>ահաբեկչության</w:t>
      </w:r>
      <w:proofErr w:type="gramEnd"/>
      <w:r w:rsidRPr="00D04057">
        <w:rPr>
          <w:rFonts w:ascii="Arial" w:eastAsia="Times New Roman" w:hAnsi="Arial" w:cs="Arial"/>
          <w:color w:val="333333"/>
          <w:sz w:val="24"/>
          <w:szCs w:val="24"/>
        </w:rPr>
        <w:t xml:space="preserve"> ֆինանսավորմանն ուղղված գույք.</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 xml:space="preserve">3) </w:t>
      </w:r>
      <w:proofErr w:type="gramStart"/>
      <w:r w:rsidRPr="00D04057">
        <w:rPr>
          <w:rFonts w:ascii="Arial" w:eastAsia="Times New Roman" w:hAnsi="Arial" w:cs="Arial"/>
          <w:color w:val="333333"/>
          <w:sz w:val="24"/>
          <w:szCs w:val="24"/>
        </w:rPr>
        <w:t>տուժողին</w:t>
      </w:r>
      <w:proofErr w:type="gramEnd"/>
      <w:r w:rsidRPr="00D04057">
        <w:rPr>
          <w:rFonts w:ascii="Arial" w:eastAsia="Times New Roman" w:hAnsi="Arial" w:cs="Arial"/>
          <w:color w:val="333333"/>
          <w:sz w:val="24"/>
          <w:szCs w:val="24"/>
        </w:rPr>
        <w:t xml:space="preserve"> ենթադրյալ հանցագործությամբ պատճառված հնարավոր վնասի հատուցման համար անհրաժեշտ գույք, որի նկատմամբ գրավի կամ սեփականության իրավունքը երրորդ անձինք վիճարկում են դատական կարգով:</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Գրավառուի պահանջները բավարարելուց և գույքի իրացման ծախսերը նվազեցնելուց հետո մնացած միջոցները գրավառուն փոխանցում է դատարանի դեպոզիտ, իսկ մինչդատական վարույթում՝ դատախազության դեպոզիտային հաշվին: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color w:val="333333"/>
          <w:sz w:val="24"/>
          <w:szCs w:val="24"/>
        </w:rPr>
        <w:t>4.</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b/>
          <w:bCs/>
          <w:i/>
          <w:iCs/>
          <w:color w:val="333333"/>
          <w:sz w:val="24"/>
          <w:szCs w:val="24"/>
        </w:rPr>
        <w:t xml:space="preserve">(135-րդ </w:t>
      </w:r>
      <w:proofErr w:type="gramStart"/>
      <w:r w:rsidRPr="00D04057">
        <w:rPr>
          <w:rFonts w:ascii="Arial" w:eastAsia="Times New Roman" w:hAnsi="Arial" w:cs="Arial"/>
          <w:b/>
          <w:bCs/>
          <w:i/>
          <w:iCs/>
          <w:color w:val="333333"/>
          <w:sz w:val="24"/>
          <w:szCs w:val="24"/>
        </w:rPr>
        <w:t>հոդվածը լրաց. 11.07.24 ՀՕ-308-Ն</w:t>
      </w:r>
      <w:proofErr w:type="gramEnd"/>
      <w:r w:rsidRPr="00D04057">
        <w:rPr>
          <w:rFonts w:ascii="Arial" w:eastAsia="Times New Roman" w:hAnsi="Arial" w:cs="Arial"/>
          <w:b/>
          <w:bCs/>
          <w:i/>
          <w:iCs/>
          <w:color w:val="333333"/>
          <w:sz w:val="24"/>
          <w:szCs w:val="24"/>
        </w:rPr>
        <w:t>, 11.02.26 ՀՕ-36-Ն)</w:t>
      </w:r>
    </w:p>
    <w:p w:rsidR="00D04057" w:rsidRPr="00D04057" w:rsidRDefault="00D04057" w:rsidP="00D04057">
      <w:pPr>
        <w:shd w:val="clear" w:color="auto" w:fill="FFFFFF"/>
        <w:spacing w:after="0" w:line="240" w:lineRule="auto"/>
        <w:ind w:firstLine="375"/>
        <w:rPr>
          <w:rFonts w:ascii="Arial" w:eastAsia="Times New Roman" w:hAnsi="Arial" w:cs="Arial"/>
          <w:color w:val="333333"/>
          <w:sz w:val="24"/>
          <w:szCs w:val="24"/>
        </w:rPr>
      </w:pPr>
      <w:r w:rsidRPr="00D04057">
        <w:rPr>
          <w:rFonts w:ascii="Arial" w:eastAsia="Times New Roman" w:hAnsi="Arial" w:cs="Arial"/>
          <w:b/>
          <w:bCs/>
          <w:i/>
          <w:iCs/>
          <w:color w:val="333333"/>
          <w:sz w:val="24"/>
          <w:szCs w:val="24"/>
        </w:rPr>
        <w:t>(</w:t>
      </w:r>
      <w:proofErr w:type="gramStart"/>
      <w:r w:rsidRPr="00D04057">
        <w:rPr>
          <w:rFonts w:ascii="Arial" w:eastAsia="Times New Roman" w:hAnsi="Arial" w:cs="Arial"/>
          <w:b/>
          <w:bCs/>
          <w:i/>
          <w:iCs/>
          <w:color w:val="333333"/>
          <w:sz w:val="24"/>
          <w:szCs w:val="24"/>
        </w:rPr>
        <w:t>հոդվածը</w:t>
      </w:r>
      <w:proofErr w:type="gramEnd"/>
      <w:r w:rsidRPr="00D04057">
        <w:rPr>
          <w:rFonts w:ascii="Arial" w:eastAsia="Times New Roman" w:hAnsi="Arial" w:cs="Arial"/>
          <w:b/>
          <w:bCs/>
          <w:i/>
          <w:iCs/>
          <w:color w:val="333333"/>
          <w:sz w:val="24"/>
          <w:szCs w:val="24"/>
        </w:rPr>
        <w:t xml:space="preserve"> 22.10.25 </w:t>
      </w:r>
      <w:hyperlink r:id="rId4" w:tgtFrame="_blank" w:history="1">
        <w:r w:rsidRPr="00D04057">
          <w:rPr>
            <w:rFonts w:ascii="Arial" w:eastAsia="Times New Roman" w:hAnsi="Arial" w:cs="Arial"/>
            <w:b/>
            <w:bCs/>
            <w:i/>
            <w:iCs/>
            <w:color w:val="0000FF"/>
            <w:sz w:val="24"/>
            <w:szCs w:val="24"/>
          </w:rPr>
          <w:t>ՀՕ-353-Ն</w:t>
        </w:r>
      </w:hyperlink>
      <w:r w:rsidRPr="00D04057">
        <w:rPr>
          <w:rFonts w:ascii="Arial" w:eastAsia="Times New Roman" w:hAnsi="Arial" w:cs="Arial"/>
          <w:b/>
          <w:bCs/>
          <w:i/>
          <w:iCs/>
          <w:color w:val="333333"/>
          <w:sz w:val="24"/>
          <w:szCs w:val="24"/>
        </w:rPr>
        <w:t> օրենքի փոփոխության մասով ուժի մեջ է մտնում նույն օրենքի 5-րդ հոդվածի 2-րդ մասով սահմանված ենթաօրենսդրական նորմատիվ իրավական ակտն ուժի մեջ մտնելու պահից)</w:t>
      </w:r>
    </w:p>
    <w:p w:rsidR="00D04057" w:rsidRPr="00D04057" w:rsidRDefault="00D04057" w:rsidP="00D04057"/>
    <w:sectPr w:rsidR="00D04057" w:rsidRPr="00D040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smik Manukyan">
    <w15:presenceInfo w15:providerId="None" w15:userId="Hasmik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607"/>
    <w:rsid w:val="001D1547"/>
    <w:rsid w:val="00622607"/>
    <w:rsid w:val="007101E1"/>
    <w:rsid w:val="00C47CE8"/>
    <w:rsid w:val="00D04057"/>
    <w:rsid w:val="00F57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4436"/>
  <w15:chartTrackingRefBased/>
  <w15:docId w15:val="{1EFAFE7C-713B-450E-8E83-06BCB935F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7C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C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54115">
      <w:bodyDiv w:val="1"/>
      <w:marLeft w:val="0"/>
      <w:marRight w:val="0"/>
      <w:marTop w:val="0"/>
      <w:marBottom w:val="0"/>
      <w:divBdr>
        <w:top w:val="none" w:sz="0" w:space="0" w:color="auto"/>
        <w:left w:val="none" w:sz="0" w:space="0" w:color="auto"/>
        <w:bottom w:val="none" w:sz="0" w:space="0" w:color="auto"/>
        <w:right w:val="none" w:sz="0" w:space="0" w:color="auto"/>
      </w:divBdr>
    </w:div>
    <w:div w:id="643464958">
      <w:bodyDiv w:val="1"/>
      <w:marLeft w:val="0"/>
      <w:marRight w:val="0"/>
      <w:marTop w:val="0"/>
      <w:marBottom w:val="0"/>
      <w:divBdr>
        <w:top w:val="none" w:sz="0" w:space="0" w:color="auto"/>
        <w:left w:val="none" w:sz="0" w:space="0" w:color="auto"/>
        <w:bottom w:val="none" w:sz="0" w:space="0" w:color="auto"/>
        <w:right w:val="none" w:sz="0" w:space="0" w:color="auto"/>
      </w:divBdr>
    </w:div>
    <w:div w:id="927690151">
      <w:bodyDiv w:val="1"/>
      <w:marLeft w:val="0"/>
      <w:marRight w:val="0"/>
      <w:marTop w:val="0"/>
      <w:marBottom w:val="0"/>
      <w:divBdr>
        <w:top w:val="none" w:sz="0" w:space="0" w:color="auto"/>
        <w:left w:val="none" w:sz="0" w:space="0" w:color="auto"/>
        <w:bottom w:val="none" w:sz="0" w:space="0" w:color="auto"/>
        <w:right w:val="none" w:sz="0" w:space="0" w:color="auto"/>
      </w:divBdr>
    </w:div>
    <w:div w:id="158145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hy/acts/2167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1835</Words>
  <Characters>10462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Manukyan</dc:creator>
  <cp:keywords>https://mul2.gov.am/tasks/1297280/oneclick?token=55831df686351d2e184f7545abb3cd11</cp:keywords>
  <dc:description/>
  <cp:lastModifiedBy>Hasmik Manukyan</cp:lastModifiedBy>
  <cp:revision>4</cp:revision>
  <dcterms:created xsi:type="dcterms:W3CDTF">2026-03-17T05:49:00Z</dcterms:created>
  <dcterms:modified xsi:type="dcterms:W3CDTF">2026-03-17T06:02:00Z</dcterms:modified>
</cp:coreProperties>
</file>