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57A" w:rsidRPr="00CB7386" w:rsidRDefault="00AC657A" w:rsidP="00AC657A">
      <w:pPr>
        <w:tabs>
          <w:tab w:val="left" w:pos="851"/>
        </w:tabs>
        <w:spacing w:line="360" w:lineRule="auto"/>
        <w:jc w:val="center"/>
        <w:rPr>
          <w:rFonts w:ascii="GHEA Grapalat" w:hAnsi="GHEA Grapalat"/>
          <w:b/>
          <w:sz w:val="24"/>
          <w:szCs w:val="24"/>
          <w:lang w:val="hy-AM"/>
        </w:rPr>
      </w:pPr>
      <w:r w:rsidRPr="00CB7386">
        <w:rPr>
          <w:rFonts w:ascii="GHEA Grapalat" w:hAnsi="GHEA Grapalat"/>
          <w:b/>
          <w:sz w:val="24"/>
          <w:szCs w:val="24"/>
          <w:lang w:val="hy-AM"/>
        </w:rPr>
        <w:t>ՀԻՄՆԱՎՈՐՈՒՄ</w:t>
      </w:r>
    </w:p>
    <w:p w:rsidR="00AC657A" w:rsidRPr="00CB7386" w:rsidRDefault="00AC657A" w:rsidP="00AC657A">
      <w:pPr>
        <w:tabs>
          <w:tab w:val="left" w:pos="851"/>
        </w:tabs>
        <w:spacing w:line="360" w:lineRule="auto"/>
        <w:jc w:val="center"/>
        <w:rPr>
          <w:rFonts w:ascii="GHEA Grapalat" w:hAnsi="GHEA Grapalat"/>
          <w:b/>
          <w:sz w:val="24"/>
          <w:szCs w:val="24"/>
          <w:lang w:val="hy-AM"/>
        </w:rPr>
      </w:pPr>
      <w:r w:rsidRPr="00CB7386">
        <w:rPr>
          <w:rFonts w:ascii="GHEA Grapalat" w:hAnsi="GHEA Grapalat"/>
          <w:b/>
          <w:sz w:val="24"/>
          <w:szCs w:val="24"/>
          <w:lang w:val="hy-AM"/>
        </w:rPr>
        <w:t xml:space="preserve"> «ՀԱՅԱՍՏԱՆԻ ՀԱՆՐԱՊԵՏՈՒԹՅԱՆ ՀԱՐԿԱՅԻՆ ՕՐԵՆՍԳՐՔՈՒՄ ՓՈՓՈԽՈՒԹՅՈՒՆՆԵՐ ԿԱՏԱՐԵԼՈՒ ՄԱՍԻՆ»</w:t>
      </w:r>
      <w:r w:rsidR="00B35B5D" w:rsidRPr="00CB7386">
        <w:rPr>
          <w:rFonts w:ascii="GHEA Grapalat" w:hAnsi="GHEA Grapalat"/>
          <w:b/>
          <w:sz w:val="24"/>
          <w:szCs w:val="24"/>
          <w:lang w:val="hy-AM"/>
        </w:rPr>
        <w:t xml:space="preserve">, </w:t>
      </w:r>
      <w:r w:rsidR="00B35B5D" w:rsidRPr="00CB7386">
        <w:rPr>
          <w:rFonts w:ascii="GHEA Grapalat" w:hAnsi="GHEA Grapalat" w:cs="GHEA Grapalat"/>
          <w:b/>
          <w:sz w:val="24"/>
          <w:szCs w:val="24"/>
          <w:lang w:val="hy-AM"/>
        </w:rPr>
        <w:t xml:space="preserve">«ՀԱՅԱՍՏԱՆԻ ՀԱՆՐԱՊԵՏՈՒԹՅԱՆ ՔՐԵԱԿԱՆ ԴԱՏԱՎԱՐՈՒԹՅԱՆ ՕՐԵՆՍԳՐՔՈՒՄ ԼՐԱՑՈՒՄ ԿԱՏԱՐԵԼՈՒ ՄԱՍԻՆ» </w:t>
      </w:r>
      <w:r w:rsidR="00B35B5D" w:rsidRPr="00CB7386">
        <w:rPr>
          <w:rFonts w:ascii="GHEA Grapalat" w:eastAsia="Calibri" w:hAnsi="GHEA Grapalat"/>
          <w:b/>
          <w:sz w:val="24"/>
          <w:szCs w:val="24"/>
          <w:lang w:val="hy-AM" w:eastAsia="en-US"/>
        </w:rPr>
        <w:t xml:space="preserve"> </w:t>
      </w:r>
      <w:r w:rsidR="008020E7" w:rsidRPr="00CB7386">
        <w:rPr>
          <w:rFonts w:ascii="GHEA Grapalat" w:eastAsia="Calibri" w:hAnsi="GHEA Grapalat"/>
          <w:b/>
          <w:sz w:val="24"/>
          <w:szCs w:val="24"/>
          <w:lang w:val="hy-AM" w:eastAsia="en-US"/>
        </w:rPr>
        <w:t xml:space="preserve">ԵՎ «ՀԱՅԱՍՏԱՆԻ ՀԱՆՐԱՊԵՏՈՒԹՅԱՆ ՔՐԵԱԿԱՆ ՕՐԵՆՍԳՐՔՈՒՄ ՓՈՓՈԽՈՒԹՅՈՒՆ ԿԱՏԱՐԵԼՈՒ ՄԱՍԻՆ» </w:t>
      </w:r>
      <w:r w:rsidRPr="00CB7386">
        <w:rPr>
          <w:rFonts w:ascii="GHEA Grapalat" w:hAnsi="GHEA Grapalat"/>
          <w:b/>
          <w:sz w:val="24"/>
          <w:szCs w:val="24"/>
          <w:lang w:val="hy-AM"/>
        </w:rPr>
        <w:t>ՕՐԵՆՔՆԵՐԻ ՆԱԽԱԳԾԵՐԻ ԸՆԴՈՒՆՄԱՆ</w:t>
      </w:r>
    </w:p>
    <w:p w:rsidR="00AC657A" w:rsidRDefault="00AC657A" w:rsidP="00AC657A">
      <w:pPr>
        <w:tabs>
          <w:tab w:val="left" w:pos="851"/>
        </w:tabs>
        <w:spacing w:line="360" w:lineRule="auto"/>
        <w:ind w:firstLine="567"/>
        <w:jc w:val="center"/>
        <w:rPr>
          <w:rFonts w:ascii="GHEA Grapalat" w:hAnsi="GHEA Grapalat" w:cs="Sylfaen"/>
          <w:b/>
          <w:sz w:val="24"/>
          <w:szCs w:val="24"/>
          <w:lang w:val="hy-AM"/>
        </w:rPr>
      </w:pPr>
    </w:p>
    <w:p w:rsidR="00AC657A" w:rsidRDefault="00AC657A" w:rsidP="00AC657A">
      <w:pPr>
        <w:pStyle w:val="ListParagraph"/>
        <w:numPr>
          <w:ilvl w:val="0"/>
          <w:numId w:val="1"/>
        </w:numPr>
        <w:spacing w:line="360" w:lineRule="auto"/>
        <w:rPr>
          <w:rFonts w:ascii="GHEA Grapalat" w:hAnsi="GHEA Grapalat"/>
          <w:b/>
          <w:lang w:val="en-US"/>
        </w:rPr>
      </w:pPr>
      <w:proofErr w:type="spellStart"/>
      <w:r>
        <w:rPr>
          <w:rFonts w:ascii="GHEA Grapalat" w:hAnsi="GHEA Grapalat"/>
          <w:b/>
          <w:lang w:val="en-US"/>
        </w:rPr>
        <w:t>Կարգավորման</w:t>
      </w:r>
      <w:proofErr w:type="spellEnd"/>
      <w:r>
        <w:rPr>
          <w:rFonts w:ascii="GHEA Grapalat" w:hAnsi="GHEA Grapalat"/>
          <w:b/>
          <w:lang w:val="en-US"/>
        </w:rPr>
        <w:t xml:space="preserve"> </w:t>
      </w:r>
      <w:proofErr w:type="spellStart"/>
      <w:r>
        <w:rPr>
          <w:rFonts w:ascii="GHEA Grapalat" w:hAnsi="GHEA Grapalat"/>
          <w:b/>
          <w:lang w:val="en-US"/>
        </w:rPr>
        <w:t>ենթակա</w:t>
      </w:r>
      <w:proofErr w:type="spellEnd"/>
      <w:r>
        <w:rPr>
          <w:rFonts w:ascii="GHEA Grapalat" w:hAnsi="GHEA Grapalat"/>
          <w:b/>
          <w:lang w:val="en-US"/>
        </w:rPr>
        <w:t xml:space="preserve"> </w:t>
      </w:r>
      <w:proofErr w:type="spellStart"/>
      <w:r>
        <w:rPr>
          <w:rFonts w:ascii="GHEA Grapalat" w:hAnsi="GHEA Grapalat"/>
          <w:b/>
          <w:lang w:val="en-US"/>
        </w:rPr>
        <w:t>խնդիրը</w:t>
      </w:r>
      <w:proofErr w:type="spellEnd"/>
      <w:r>
        <w:rPr>
          <w:rFonts w:ascii="GHEA Grapalat" w:hAnsi="GHEA Grapalat"/>
          <w:b/>
          <w:lang w:val="en-US"/>
        </w:rPr>
        <w:t>.</w:t>
      </w:r>
    </w:p>
    <w:p w:rsidR="00AC657A" w:rsidRDefault="00AC657A" w:rsidP="00AC657A">
      <w:pPr>
        <w:spacing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 xml:space="preserve"> «Հայաստանի Հանրապետության քրեական օրենսգրքում փոփոխություն կատարելու մասին»</w:t>
      </w:r>
      <w:r w:rsidR="007E7516">
        <w:rPr>
          <w:rFonts w:ascii="GHEA Grapalat" w:hAnsi="GHEA Grapalat" w:cs="GHEA Grapalat"/>
          <w:sz w:val="24"/>
          <w:szCs w:val="24"/>
          <w:lang w:val="hy-AM"/>
        </w:rPr>
        <w:t xml:space="preserve">, </w:t>
      </w:r>
      <w:r w:rsidR="00C04EA5" w:rsidRPr="00C04EA5">
        <w:rPr>
          <w:rFonts w:ascii="GHEA Grapalat" w:hAnsi="GHEA Grapalat" w:cs="GHEA Grapalat"/>
          <w:sz w:val="24"/>
          <w:szCs w:val="24"/>
          <w:lang w:val="hy-AM"/>
        </w:rPr>
        <w:t xml:space="preserve">«Հայաստանի Հանրապետության քրեական դատավարության օրենսգրքում լրացում կատարելու մասին» </w:t>
      </w:r>
      <w:r>
        <w:rPr>
          <w:rFonts w:ascii="GHEA Grapalat" w:hAnsi="GHEA Grapalat" w:cs="GHEA Grapalat"/>
          <w:sz w:val="24"/>
          <w:szCs w:val="24"/>
          <w:lang w:val="hy-AM"/>
        </w:rPr>
        <w:t xml:space="preserve">և «Հայաստանի Հանրապետության հարկային օրենսգրքում փոփոխություններ կատարելու մասին» օրենքների նախագծերի </w:t>
      </w:r>
      <w:r>
        <w:rPr>
          <w:rFonts w:ascii="GHEA Grapalat" w:hAnsi="GHEA Grapalat" w:cs="GHEA Grapalat"/>
          <w:sz w:val="24"/>
          <w:szCs w:val="24"/>
        </w:rPr>
        <w:t>(</w:t>
      </w:r>
      <w:r>
        <w:rPr>
          <w:rFonts w:ascii="GHEA Grapalat" w:hAnsi="GHEA Grapalat" w:cs="GHEA Grapalat"/>
          <w:sz w:val="24"/>
          <w:szCs w:val="24"/>
          <w:lang w:val="hy-AM"/>
        </w:rPr>
        <w:t>այսուհետ՝</w:t>
      </w:r>
      <w:r w:rsidR="00CB7386">
        <w:rPr>
          <w:rFonts w:ascii="GHEA Grapalat" w:hAnsi="GHEA Grapalat" w:cs="GHEA Grapalat"/>
          <w:sz w:val="24"/>
          <w:szCs w:val="24"/>
        </w:rPr>
        <w:t xml:space="preserve"> </w:t>
      </w:r>
      <w:r>
        <w:rPr>
          <w:rFonts w:ascii="GHEA Grapalat" w:hAnsi="GHEA Grapalat" w:cs="GHEA Grapalat"/>
          <w:sz w:val="24"/>
          <w:szCs w:val="24"/>
          <w:lang w:val="hy-AM"/>
        </w:rPr>
        <w:t>Նախագծեր</w:t>
      </w:r>
      <w:r>
        <w:rPr>
          <w:rFonts w:ascii="GHEA Grapalat" w:hAnsi="GHEA Grapalat" w:cs="GHEA Grapalat"/>
          <w:sz w:val="24"/>
          <w:szCs w:val="24"/>
        </w:rPr>
        <w:t xml:space="preserve">) </w:t>
      </w:r>
      <w:r>
        <w:rPr>
          <w:rFonts w:ascii="GHEA Grapalat" w:hAnsi="GHEA Grapalat" w:cs="GHEA Grapalat"/>
          <w:sz w:val="24"/>
          <w:szCs w:val="24"/>
          <w:lang w:val="hy-AM"/>
        </w:rPr>
        <w:t xml:space="preserve">ընդունումը պայմանավորված է </w:t>
      </w:r>
      <w:r>
        <w:rPr>
          <w:rFonts w:ascii="GHEA Grapalat" w:eastAsia="Calibri" w:hAnsi="GHEA Grapalat" w:cs="Sylfaen"/>
          <w:sz w:val="24"/>
          <w:szCs w:val="24"/>
          <w:lang w:val="hy-AM"/>
        </w:rPr>
        <w:t xml:space="preserve">հարկերից խուսափելու հանցավոր համարվող արարքների դեպքում </w:t>
      </w:r>
      <w:r>
        <w:rPr>
          <w:rFonts w:ascii="GHEA Grapalat" w:hAnsi="GHEA Grapalat" w:cs="GHEA Grapalat"/>
          <w:sz w:val="24"/>
          <w:szCs w:val="24"/>
          <w:lang w:val="hy-AM"/>
        </w:rPr>
        <w:t>քրեական պատասխանատվության չափային (խոշոր և առանձնապես խոշոր) շեմերը վերանայելու</w:t>
      </w:r>
      <w:r w:rsidR="009A31E8">
        <w:rPr>
          <w:rFonts w:ascii="GHEA Grapalat" w:hAnsi="GHEA Grapalat" w:cs="GHEA Grapalat"/>
          <w:sz w:val="24"/>
          <w:szCs w:val="24"/>
          <w:lang w:val="hy-AM"/>
        </w:rPr>
        <w:t xml:space="preserve">, </w:t>
      </w:r>
      <w:r>
        <w:rPr>
          <w:rFonts w:ascii="GHEA Grapalat" w:eastAsia="Calibri" w:hAnsi="GHEA Grapalat" w:cs="Sylfaen"/>
          <w:sz w:val="24"/>
          <w:szCs w:val="24"/>
          <w:lang w:val="hy-AM"/>
        </w:rPr>
        <w:t xml:space="preserve">հարկային մարմնի կողմից </w:t>
      </w:r>
      <w:r w:rsidR="009A31E8">
        <w:rPr>
          <w:rFonts w:ascii="GHEA Grapalat" w:eastAsia="Calibri" w:hAnsi="GHEA Grapalat" w:cs="Sylfaen"/>
          <w:sz w:val="24"/>
          <w:szCs w:val="24"/>
          <w:lang w:val="hy-AM"/>
        </w:rPr>
        <w:t xml:space="preserve">ուժի մեջ մտած վարչական ակտով արձանագրված հանգամանքների հիմքով </w:t>
      </w:r>
      <w:r w:rsidR="009A31E8">
        <w:rPr>
          <w:rFonts w:ascii="GHEA Grapalat" w:hAnsi="GHEA Grapalat" w:cs="GHEA Grapalat"/>
          <w:sz w:val="24"/>
          <w:szCs w:val="24"/>
          <w:lang w:val="hy-AM"/>
        </w:rPr>
        <w:t xml:space="preserve">քրեական վարույթ նախաձեռնող մարմնին </w:t>
      </w:r>
      <w:r>
        <w:rPr>
          <w:rFonts w:ascii="GHEA Grapalat" w:eastAsia="Calibri" w:hAnsi="GHEA Grapalat" w:cs="Sylfaen"/>
          <w:sz w:val="24"/>
          <w:szCs w:val="24"/>
          <w:lang w:val="hy-AM"/>
        </w:rPr>
        <w:t xml:space="preserve"> հաղորդումներ</w:t>
      </w:r>
      <w:r w:rsidR="009A31E8">
        <w:rPr>
          <w:rFonts w:ascii="GHEA Grapalat" w:hAnsi="GHEA Grapalat" w:cs="GHEA Grapalat"/>
          <w:sz w:val="24"/>
          <w:szCs w:val="24"/>
          <w:lang w:val="hy-AM"/>
        </w:rPr>
        <w:t xml:space="preserve"> ներկայացնելու</w:t>
      </w:r>
      <w:r w:rsidR="007E7516">
        <w:rPr>
          <w:rFonts w:ascii="GHEA Grapalat" w:hAnsi="GHEA Grapalat" w:cs="GHEA Grapalat"/>
          <w:sz w:val="24"/>
          <w:szCs w:val="24"/>
          <w:lang w:val="hy-AM"/>
        </w:rPr>
        <w:t xml:space="preserve">, ինչպես նաև </w:t>
      </w:r>
      <w:r w:rsidR="007E7516" w:rsidRPr="007E7516">
        <w:rPr>
          <w:rFonts w:ascii="GHEA Grapalat" w:hAnsi="GHEA Grapalat" w:cs="GHEA Grapalat"/>
          <w:sz w:val="24"/>
          <w:szCs w:val="24"/>
          <w:lang w:val="hy-AM"/>
        </w:rPr>
        <w:t>գույքի արգելադրման քրեադատավարական ընթացակարգերը այլընտրանքային մեխանիզմ</w:t>
      </w:r>
      <w:r w:rsidR="007E7516">
        <w:rPr>
          <w:rFonts w:ascii="GHEA Grapalat" w:hAnsi="GHEA Grapalat" w:cs="GHEA Grapalat"/>
          <w:sz w:val="24"/>
          <w:szCs w:val="24"/>
          <w:lang w:val="hy-AM"/>
        </w:rPr>
        <w:t xml:space="preserve"> ներդնելու արդյունքում լավարկելու</w:t>
      </w:r>
      <w:r w:rsidR="000A3F4B">
        <w:rPr>
          <w:rFonts w:ascii="GHEA Grapalat" w:hAnsi="GHEA Grapalat" w:cs="GHEA Grapalat"/>
          <w:sz w:val="24"/>
          <w:szCs w:val="24"/>
        </w:rPr>
        <w:t xml:space="preserve"> </w:t>
      </w:r>
      <w:r>
        <w:rPr>
          <w:rFonts w:ascii="GHEA Grapalat" w:hAnsi="GHEA Grapalat" w:cs="GHEA Grapalat"/>
          <w:sz w:val="24"/>
          <w:szCs w:val="24"/>
          <w:lang w:val="hy-AM"/>
        </w:rPr>
        <w:t>անհրաժեշտությամբ։</w:t>
      </w:r>
    </w:p>
    <w:p w:rsidR="00AC657A" w:rsidRDefault="00AC657A" w:rsidP="00AC657A">
      <w:pPr>
        <w:spacing w:line="360" w:lineRule="auto"/>
        <w:ind w:firstLine="567"/>
        <w:jc w:val="both"/>
        <w:rPr>
          <w:rFonts w:ascii="GHEA Grapalat" w:hAnsi="GHEA Grapalat" w:cs="GHEA Grapalat"/>
          <w:b/>
          <w:bCs/>
          <w:sz w:val="24"/>
          <w:szCs w:val="24"/>
          <w:lang w:val="hy-AM"/>
        </w:rPr>
      </w:pPr>
      <w:r>
        <w:rPr>
          <w:rFonts w:ascii="GHEA Grapalat" w:hAnsi="GHEA Grapalat" w:cs="GHEA Grapalat"/>
          <w:b/>
          <w:bCs/>
          <w:sz w:val="24"/>
          <w:szCs w:val="24"/>
          <w:lang w:val="hy-AM"/>
        </w:rPr>
        <w:t>2. Ընթացիկ</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իրավիճակը</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և</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իրավական</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ակտի</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ընդունման</w:t>
      </w:r>
      <w:r>
        <w:rPr>
          <w:rFonts w:ascii="GHEA Grapalat" w:hAnsi="GHEA Grapalat" w:cs="GHEA Grapalat"/>
          <w:b/>
          <w:bCs/>
          <w:sz w:val="24"/>
          <w:szCs w:val="24"/>
          <w:lang w:val="fr-FR"/>
        </w:rPr>
        <w:t xml:space="preserve"> </w:t>
      </w:r>
      <w:r>
        <w:rPr>
          <w:rFonts w:ascii="GHEA Grapalat" w:hAnsi="GHEA Grapalat" w:cs="GHEA Grapalat"/>
          <w:b/>
          <w:bCs/>
          <w:sz w:val="24"/>
          <w:szCs w:val="24"/>
          <w:lang w:val="hy-AM"/>
        </w:rPr>
        <w:t>անհրաժեշտությունը</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Գործող կարգավորումներով, մասնավորապես</w:t>
      </w:r>
      <w:r>
        <w:rPr>
          <w:rFonts w:ascii="Cambria Math" w:hAnsi="Cambria Math" w:cs="Cambria Math"/>
          <w:sz w:val="24"/>
          <w:szCs w:val="24"/>
          <w:lang w:val="hy-AM" w:eastAsia="en-US"/>
        </w:rPr>
        <w:t>․</w:t>
      </w:r>
      <w:r>
        <w:rPr>
          <w:rFonts w:ascii="GHEA Grapalat" w:hAnsi="GHEA Grapalat" w:cs="GHEA Grapalat"/>
          <w:sz w:val="24"/>
          <w:szCs w:val="24"/>
          <w:lang w:val="hy-AM" w:eastAsia="en-US"/>
        </w:rPr>
        <w:t xml:space="preserve"> </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b/>
          <w:sz w:val="24"/>
          <w:szCs w:val="24"/>
          <w:lang w:val="hy-AM" w:eastAsia="en-US"/>
        </w:rPr>
        <w:t>1) ՀՀ հարկային օրենսգրքի</w:t>
      </w:r>
      <w:r>
        <w:rPr>
          <w:rFonts w:ascii="GHEA Grapalat" w:hAnsi="GHEA Grapalat" w:cs="GHEA Grapalat"/>
          <w:sz w:val="24"/>
          <w:szCs w:val="24"/>
          <w:lang w:val="hy-AM" w:eastAsia="en-US"/>
        </w:rPr>
        <w:t xml:space="preserve"> 344-րդ հոդվածի 1-ին մասի համաձայն՝ կամերալ (ներքին) ուսումնասիրության նպատակն է հարկային մարմին ներկայացված </w:t>
      </w:r>
      <w:r>
        <w:rPr>
          <w:rFonts w:ascii="GHEA Grapalat" w:hAnsi="GHEA Grapalat" w:cs="GHEA Grapalat"/>
          <w:sz w:val="24"/>
          <w:szCs w:val="24"/>
          <w:lang w:val="hy-AM" w:eastAsia="en-US"/>
        </w:rPr>
        <w:lastRenderedPageBreak/>
        <w:t xml:space="preserve">հարկային հաշվարկների </w:t>
      </w:r>
      <w:r>
        <w:rPr>
          <w:rFonts w:ascii="GHEA Grapalat" w:hAnsi="GHEA Grapalat" w:cs="GHEA Grapalat"/>
          <w:i/>
          <w:sz w:val="24"/>
          <w:szCs w:val="24"/>
          <w:lang w:val="hy-AM" w:eastAsia="en-US"/>
        </w:rPr>
        <w:t>և հարկային մարմին ներկայացված</w:t>
      </w:r>
      <w:r>
        <w:rPr>
          <w:rFonts w:ascii="GHEA Grapalat" w:hAnsi="GHEA Grapalat" w:cs="GHEA Grapalat"/>
          <w:sz w:val="24"/>
          <w:szCs w:val="24"/>
          <w:lang w:val="hy-AM" w:eastAsia="en-US"/>
        </w:rPr>
        <w:t xml:space="preserve"> տեղեկությունների ուսումնասիրության և վերլուծության միջոցով պարզել՝</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1) հարկերի հաշվարկման ճշտությունը.</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2) միևնույն հարկային հաշվարկում առկա համադրելի ցուցանիշների և տվյալների համապատասխանությունը.</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3) նույն հարկ վճարողի կողմից հարկային մարմին ներկայացված՝ տարբեր հարկային հաշվարկների համադրելի ցուցանիշների ու տվյալների համապատասխանությունը.</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4) հարկային հաշվարկներով և հարկային մարմին ներկայացված տեղեկությունների համեմատությամբ համադրելի ցուցանիշների ու տվյալների համապատասխանությունը.</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5) հարկ վճարողի կողմից հարկման համակարգերի (այդ թվում՝ հատուկ) ընտրության համապատասխանությունը հարկային մարմնին հսկողության լիազորություններ վերապահող իրավական ակտերի պահանջներին.</w:t>
      </w:r>
    </w:p>
    <w:p w:rsidR="00AC657A" w:rsidRDefault="00AC657A" w:rsidP="00AC657A">
      <w:pPr>
        <w:tabs>
          <w:tab w:val="left" w:pos="851"/>
        </w:tabs>
        <w:spacing w:line="360" w:lineRule="auto"/>
        <w:ind w:firstLine="567"/>
        <w:jc w:val="both"/>
        <w:rPr>
          <w:rFonts w:ascii="GHEA Grapalat" w:hAnsi="GHEA Grapalat" w:cs="GHEA Grapalat"/>
          <w:sz w:val="24"/>
          <w:szCs w:val="24"/>
          <w:lang w:val="hy-AM" w:eastAsia="en-US"/>
        </w:rPr>
      </w:pPr>
      <w:r>
        <w:rPr>
          <w:rFonts w:ascii="GHEA Grapalat" w:hAnsi="GHEA Grapalat" w:cs="GHEA Grapalat"/>
          <w:sz w:val="24"/>
          <w:szCs w:val="24"/>
          <w:lang w:val="hy-AM" w:eastAsia="en-US"/>
        </w:rPr>
        <w:t>6) հարկային մարմնին հսկողության լիազորություններ վերապահող իրավական ակտերի պահանջների հնարավոր խախտումները:</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ՀՀ հարկային օրենսգրքի 349</w:t>
      </w:r>
      <w:r>
        <w:rPr>
          <w:rFonts w:ascii="Cambria Math" w:eastAsia="Calibri" w:hAnsi="Cambria Math" w:cs="Cambria Math"/>
          <w:sz w:val="24"/>
          <w:szCs w:val="24"/>
          <w:lang w:val="hy-AM"/>
        </w:rPr>
        <w:t>․</w:t>
      </w:r>
      <w:r>
        <w:rPr>
          <w:rFonts w:ascii="GHEA Grapalat" w:eastAsia="Calibri" w:hAnsi="GHEA Grapalat" w:cs="Sylfaen"/>
          <w:sz w:val="24"/>
          <w:szCs w:val="24"/>
          <w:lang w:val="hy-AM"/>
        </w:rPr>
        <w:t xml:space="preserve">1-ին հոդվածի 2-րդ մասի համաձայն՝ թեմատիկ ուսումնասիրության իրականացման համար հիմք կարող են հանդիսանալ հարկային մարմնի իրականացրած բացառապես կամերալ (ներքին) ուսումնասիրության՝ </w:t>
      </w:r>
      <w:r>
        <w:rPr>
          <w:rFonts w:ascii="GHEA Grapalat" w:eastAsia="Calibri" w:hAnsi="GHEA Grapalat" w:cs="Sylfaen"/>
          <w:i/>
          <w:sz w:val="24"/>
          <w:szCs w:val="24"/>
          <w:lang w:val="hy-AM"/>
        </w:rPr>
        <w:t>հաստատապես հայտնի</w:t>
      </w:r>
      <w:r>
        <w:rPr>
          <w:rFonts w:ascii="GHEA Grapalat" w:eastAsia="Calibri" w:hAnsi="GHEA Grapalat" w:cs="Sylfaen"/>
          <w:sz w:val="24"/>
          <w:szCs w:val="24"/>
          <w:lang w:val="hy-AM"/>
        </w:rPr>
        <w:t xml:space="preserve"> հարկվող գործարքների վերաբերյալ արդյունքները, որոնց մասին հարկ վճարողը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Նույն հոդվածի 3-րդ մասի համաձայն՝ թեմատիկ ուսումնասիրություններն իրականացվում են Օրենսգրքի 343-րդ հոդվածի (</w:t>
      </w:r>
      <w:r>
        <w:rPr>
          <w:rFonts w:ascii="GHEA Grapalat" w:eastAsia="Calibri" w:hAnsi="GHEA Grapalat" w:cs="Sylfaen"/>
          <w:i/>
          <w:sz w:val="24"/>
          <w:szCs w:val="24"/>
          <w:lang w:val="hy-AM"/>
        </w:rPr>
        <w:t>Հարկային ուսումնասիրությունները</w:t>
      </w:r>
      <w:r>
        <w:rPr>
          <w:rFonts w:ascii="GHEA Grapalat" w:eastAsia="Calibri" w:hAnsi="GHEA Grapalat" w:cs="Sylfaen"/>
          <w:sz w:val="24"/>
          <w:szCs w:val="24"/>
          <w:lang w:val="hy-AM"/>
        </w:rPr>
        <w:t>) 6-րդ մասին համապատասխան տրված հանձնարարագրի հիման վրա, որը կարող է հրապարակվել ոչ ավելի, քան յուրաքանչյուր հարկային տարվա ընթացքում մեկ անգամ: Թեմատիկ ուսումնասիրության հանձնարարագրում, բացի Օրենսգրքի 343-րդ հոդվածի 6-րդ մասով սահմանված տվյալներից, պարտադիր նշվում են նաև՝</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1) հարկային մարմնի իրականացրած կամերալ (ներքին) ուսումնասիրության արձանագրության համարը և ամսաթիվը, արձանագրության՝ հարկ վճարողին ծանուցման ամսաթիվը.</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2) հարկային մարմնի իրականացրած կամերալ (ներքին) ուսումնասիրության արդյունքներին վերաբերելի՝ ուսումնասիրության ենթակա հաշվետու ժամանակաշրջանները: Ընդ որում, ուսումնասիրության հանձնարարագրում չեն կարող ընդգրկվել՝</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ա. հարկային մարմնի իրականացրած կամերալ (ներքին) ուսումնասիրության արդյունքներին չվերաբերող հարկատեսակներ և հաշվետու ժամանակաշրջաններ,</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բ. համալիր հարկային ստուգման ենթարկված հաշվետու ժամանակաշրջաններ,</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գ. համալիր հարկային ստուգման ընթացքում գտնվող կամ տվյալ տարվա ստուգումների ծրագրում ներառված հարկ վճարողների մոտ ստուգման ենթակա հաշվետու ժամանակաշրջաններ,</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դ. Օրենսգրքի 348-րդ հոդվածով (</w:t>
      </w:r>
      <w:r>
        <w:rPr>
          <w:rFonts w:ascii="GHEA Grapalat" w:eastAsia="Calibri" w:hAnsi="GHEA Grapalat" w:cs="Sylfaen"/>
          <w:i/>
          <w:sz w:val="24"/>
          <w:szCs w:val="24"/>
          <w:lang w:val="hy-AM"/>
        </w:rPr>
        <w:t>Միասնական հաշվին մուտքագրման ենթակա գումարների հիմնավորվածության ուսումնասիրությունը</w:t>
      </w:r>
      <w:r>
        <w:rPr>
          <w:rFonts w:ascii="GHEA Grapalat" w:eastAsia="Calibri" w:hAnsi="GHEA Grapalat" w:cs="Sylfaen"/>
          <w:sz w:val="24"/>
          <w:szCs w:val="24"/>
          <w:lang w:val="hy-AM"/>
        </w:rPr>
        <w:t>) սահմանված կարգով ուսումնասիրված հաշվետու ժամանակաշրջաններ:</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ՀՀ հարկային օրենսգրքի 344-րդ հոդվածի 1-ին մասում գործող ձևակերպումը կամերալ (ներքին) ուսումնասիրության շրջանակը կապում է հարկ վճարողի կողմից հարկային մարմին ներկայացված հաշվարկների և տեղեկությունների հետ։ Գործնականում, սակայն, հարկային մարմնին կարող են հայտնի դառնալ այլ </w:t>
      </w:r>
      <w:r>
        <w:rPr>
          <w:rFonts w:ascii="GHEA Grapalat" w:eastAsia="Calibri" w:hAnsi="GHEA Grapalat" w:cs="Sylfaen"/>
          <w:sz w:val="24"/>
          <w:szCs w:val="24"/>
          <w:lang w:val="hy-AM"/>
        </w:rPr>
        <w:lastRenderedPageBreak/>
        <w:t xml:space="preserve">աղբյուրներից ստացված տվյալներ, որոնք ենթակա ենք ուսումնասիրության և վերլուծության։ Ներկայիս ձևակերպումը կարող է մեկնաբանվել սահմանափակող կերպով և ստեղծել իրավական անորոշություն։ </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Օրենսգրքի 349</w:t>
      </w:r>
      <w:r>
        <w:rPr>
          <w:rFonts w:ascii="Cambria Math" w:eastAsia="Calibri" w:hAnsi="Cambria Math" w:cs="Cambria Math"/>
          <w:sz w:val="24"/>
          <w:szCs w:val="24"/>
          <w:lang w:val="hy-AM"/>
        </w:rPr>
        <w:t>․</w:t>
      </w:r>
      <w:r>
        <w:rPr>
          <w:rFonts w:ascii="GHEA Grapalat" w:eastAsia="Calibri" w:hAnsi="GHEA Grapalat" w:cs="Sylfaen"/>
          <w:sz w:val="24"/>
          <w:szCs w:val="24"/>
          <w:lang w:val="hy-AM"/>
        </w:rPr>
        <w:t>1-րդ հոդվածի 1-ին մասում «հաստատապես հայտնի» եզրույթի հանումը նպատակ ունի բացառել իրավական անորոշությունը թեմատիկ ուսումնասիրության հիմքերի գնահատման հարցում։</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Նույն հոդվածի 3-րդ մասում թեմատիկ ուսումնասիրության հանձնարարագրի հրապարակման տարեկան մեկ անգամ սահմանափակումը կարող է խոչընդոտել հարկային հսկողության արդյունավետ իրականացումը։ </w:t>
      </w:r>
    </w:p>
    <w:p w:rsidR="007E7516"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Ինչ վերաբերում է նույն մասի 2-րդ կետի «դ» ենթակետն ուժը կորցրած ճանաչելուն, ապա այն ուղղված է անհարկի սահմանափակման բացառմանը։</w:t>
      </w:r>
      <w:r w:rsidR="000837AF">
        <w:rPr>
          <w:rFonts w:ascii="GHEA Grapalat" w:eastAsia="Calibri" w:hAnsi="GHEA Grapalat" w:cs="Sylfaen"/>
          <w:sz w:val="24"/>
          <w:szCs w:val="24"/>
          <w:lang w:val="hy-AM"/>
        </w:rPr>
        <w:t xml:space="preserve"> </w:t>
      </w:r>
    </w:p>
    <w:p w:rsidR="007E7516" w:rsidRDefault="007E7516" w:rsidP="00AC657A">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Մասնավորապես՝ Նախագծով սահմանված ՀՀ հարկային օրենսգրքի 349.1-ին հոդվածի 3-րդ մասի «դ» ենթակետի կարգավորումը անհարկի սահմանափակում է հարկային մարմնի հնարավորությունը իրականացնել թեմատիկ ուսումնասիրություն հաշվի առնելու նոր բացահայտված ռիսկերը (երրորդ անձանցից եռամսյակային կտրվածքով ստացվող տեղեկությունների, հարկ վճարողի կողմից օրենսդրությամբ սահմանված դեպքերում հարկային հաշվարկների ներկայացման արդյունքներով), քանի որ պարտադիր պայման է համարվում  միասնական հաշվին մուտքագրման ենթակա գումարների հիմնավորվածության նախկինում ուսումնասիրված հաշվետու ժամանակաշրջանի առկայությունը, ուստի Նախագծով  նշված ենթակետի ուժը կորցրած ճանաչումը  ուղղված է նշված անհարկի սահմանափակման բացառմանը։</w:t>
      </w:r>
    </w:p>
    <w:p w:rsidR="00A12C13" w:rsidRPr="00A12C13" w:rsidRDefault="009A31E8"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Ա</w:t>
      </w:r>
      <w:r w:rsidR="00A12C13">
        <w:rPr>
          <w:rFonts w:ascii="GHEA Grapalat" w:eastAsia="Calibri" w:hAnsi="GHEA Grapalat" w:cs="Sylfaen"/>
          <w:sz w:val="24"/>
          <w:szCs w:val="24"/>
          <w:lang w:val="hy-AM"/>
        </w:rPr>
        <w:t xml:space="preserve">յս փոփոխությունների հիմքում </w:t>
      </w:r>
      <w:r w:rsidR="00A12C13" w:rsidRPr="00A12C13">
        <w:rPr>
          <w:rFonts w:ascii="GHEA Grapalat" w:eastAsia="Calibri" w:hAnsi="GHEA Grapalat" w:cs="Sylfaen"/>
          <w:sz w:val="24"/>
          <w:szCs w:val="24"/>
          <w:lang w:val="hy-AM"/>
        </w:rPr>
        <w:t xml:space="preserve">ընկած է հետևյալ միասնական տրամաբանությունը, ըստ որի` հարկային մարմինը ՀՀ քրեական օրենսգրքի 290-րդ հոդվածով նախատեսված արարքի առերևույթ հատկանիշներ հայտնաբերելու դեպքում պետք է սեփական գործիքակազմով և միջոցներով հավաստվի հայտնաբերված իրավախախտման հատկանիշների իսկության և հավաստիության </w:t>
      </w:r>
      <w:r w:rsidR="00A12C13" w:rsidRPr="00A12C13">
        <w:rPr>
          <w:rFonts w:ascii="GHEA Grapalat" w:eastAsia="Calibri" w:hAnsi="GHEA Grapalat" w:cs="Sylfaen"/>
          <w:sz w:val="24"/>
          <w:szCs w:val="24"/>
          <w:lang w:val="hy-AM"/>
        </w:rPr>
        <w:lastRenderedPageBreak/>
        <w:t>մեջ, դրա` ՀՀ քրեական օրենսգրքի 290-րդ հոդվածով նախատեսված արարքի հատկանիշներին համապատասխանելուն, որից հետո միայն միջոցներ ձեռնարկի այդ փաստի վերաբերյալ հաղորդումներ ներկայացնելու կապակցությամբ:</w:t>
      </w:r>
    </w:p>
    <w:p w:rsidR="00AC657A" w:rsidRPr="008020E7" w:rsidRDefault="00AC657A" w:rsidP="003F31AE">
      <w:pPr>
        <w:tabs>
          <w:tab w:val="left" w:pos="851"/>
        </w:tabs>
        <w:spacing w:line="360" w:lineRule="auto"/>
        <w:ind w:firstLine="567"/>
        <w:jc w:val="both"/>
        <w:rPr>
          <w:rFonts w:ascii="Arial" w:hAnsi="Arial" w:cs="Arial"/>
          <w:lang w:val="hy-AM"/>
        </w:rPr>
      </w:pPr>
      <w:r>
        <w:rPr>
          <w:rFonts w:ascii="GHEA Grapalat" w:eastAsia="Calibri" w:hAnsi="GHEA Grapalat" w:cs="Sylfaen"/>
          <w:sz w:val="24"/>
          <w:szCs w:val="24"/>
          <w:lang w:val="hy-AM"/>
        </w:rPr>
        <w:t xml:space="preserve">Գործնականում խնդիրներ են առաջանում այն դեպքերում, երբ հարկային մարմնի կողմից արձանագրված հանգամանքներին կարող է տրվել միայն ՀՀ քրեական օրենսգրքի 290-րդ հոդվածով նախատեսված արարքին համապատասխանելու նախնական իրավական գնահատական։ Նման իրավիճակներում քրեական վարույթի նախաձեռնումը հաճախ իրականացվում է վարչական ակտի վիճարկման կամ բողոքարկման ընթացակարգերը դեռևս չավարտված պայմաններում, ինչը հանգեցնում է վարչական և քրեական վարույթների զուգահեռ իրականացման, իրավական անորոշության, ուստի եթե հաղորդումը վերաբերում է հարկային մարմնի վարչական ակտով արձանագրված հանգամանքներին, ապա քրեական վարույթ նախաձեռնելու </w:t>
      </w:r>
      <w:r w:rsidRPr="000B22B1">
        <w:rPr>
          <w:rFonts w:ascii="GHEA Grapalat" w:eastAsia="Calibri" w:hAnsi="GHEA Grapalat" w:cs="Sylfaen"/>
          <w:sz w:val="24"/>
          <w:szCs w:val="24"/>
          <w:lang w:val="hy-AM"/>
        </w:rPr>
        <w:t>պարտականություն</w:t>
      </w:r>
      <w:r w:rsidR="009A31E8" w:rsidRPr="000B22B1">
        <w:rPr>
          <w:rFonts w:ascii="GHEA Grapalat" w:eastAsia="Calibri" w:hAnsi="GHEA Grapalat" w:cs="Sylfaen"/>
          <w:sz w:val="24"/>
          <w:szCs w:val="24"/>
          <w:lang w:val="hy-AM"/>
        </w:rPr>
        <w:t xml:space="preserve"> կ</w:t>
      </w:r>
      <w:r w:rsidRPr="000B22B1">
        <w:rPr>
          <w:rFonts w:ascii="GHEA Grapalat" w:eastAsia="Calibri" w:hAnsi="GHEA Grapalat" w:cs="Sylfaen"/>
          <w:sz w:val="24"/>
          <w:szCs w:val="24"/>
          <w:lang w:val="hy-AM"/>
        </w:rPr>
        <w:t>առաջան</w:t>
      </w:r>
      <w:r w:rsidR="009A31E8" w:rsidRPr="000B22B1">
        <w:rPr>
          <w:rFonts w:ascii="GHEA Grapalat" w:eastAsia="Calibri" w:hAnsi="GHEA Grapalat" w:cs="Sylfaen"/>
          <w:sz w:val="24"/>
          <w:szCs w:val="24"/>
          <w:lang w:val="hy-AM"/>
        </w:rPr>
        <w:t>ա</w:t>
      </w:r>
      <w:r w:rsidRPr="000B22B1">
        <w:rPr>
          <w:rFonts w:ascii="GHEA Grapalat" w:eastAsia="Calibri" w:hAnsi="GHEA Grapalat" w:cs="Sylfaen"/>
          <w:sz w:val="24"/>
          <w:szCs w:val="24"/>
          <w:lang w:val="hy-AM"/>
        </w:rPr>
        <w:t xml:space="preserve"> միայն այն դեպքում, երբ տվյալ վարչական ակտը մտել է ուժի մեջ և սպառվել են վարչական բողոքարկման ընթացակարգերը՝ անկախ դատական կարգով բողոքարկվելու հանգամանքից</w:t>
      </w:r>
      <w:r w:rsidR="00BD0A46">
        <w:rPr>
          <w:rFonts w:ascii="GHEA Grapalat" w:eastAsia="Calibri" w:hAnsi="GHEA Grapalat" w:cs="Sylfaen"/>
          <w:sz w:val="24"/>
          <w:szCs w:val="24"/>
          <w:lang w:val="hy-AM"/>
        </w:rPr>
        <w:t xml:space="preserve">, </w:t>
      </w:r>
      <w:r w:rsidR="00F65D37">
        <w:rPr>
          <w:rFonts w:ascii="GHEA Grapalat" w:eastAsia="Calibri" w:hAnsi="GHEA Grapalat" w:cs="Sylfaen"/>
          <w:sz w:val="24"/>
          <w:szCs w:val="24"/>
          <w:lang w:val="hy-AM"/>
        </w:rPr>
        <w:t xml:space="preserve">այսինքն՝ վարչական ակտը կամ չի բողոքարկվել վերադասության կարգով, կամ բողոքարկվել է, սակայն շեմը գերազանցող մասով </w:t>
      </w:r>
      <w:r w:rsidR="007865F0">
        <w:rPr>
          <w:rFonts w:ascii="GHEA Grapalat" w:eastAsia="Calibri" w:hAnsi="GHEA Grapalat" w:cs="Sylfaen"/>
          <w:sz w:val="24"/>
          <w:szCs w:val="24"/>
          <w:lang w:val="hy-AM"/>
        </w:rPr>
        <w:t>մնացել է</w:t>
      </w:r>
      <w:r w:rsidR="00F65D37">
        <w:rPr>
          <w:rFonts w:ascii="GHEA Grapalat" w:eastAsia="Calibri" w:hAnsi="GHEA Grapalat" w:cs="Sylfaen"/>
          <w:sz w:val="24"/>
          <w:szCs w:val="24"/>
          <w:lang w:val="hy-AM"/>
        </w:rPr>
        <w:t xml:space="preserve"> անփոփոխ</w:t>
      </w:r>
      <w:r w:rsidR="003F31AE" w:rsidRPr="008020E7">
        <w:rPr>
          <w:rFonts w:ascii="GHEA Grapalat" w:hAnsi="GHEA Grapalat" w:cs="Arial"/>
          <w:sz w:val="24"/>
          <w:szCs w:val="24"/>
          <w:lang w:val="hy-AM"/>
        </w:rPr>
        <w:t>՝ բացառությամբ այն դեպքերի, երբ</w:t>
      </w:r>
      <w:r w:rsidR="003F31AE">
        <w:rPr>
          <w:rFonts w:ascii="Arial" w:hAnsi="Arial" w:cs="Arial"/>
          <w:lang w:val="hy-AM"/>
        </w:rPr>
        <w:t xml:space="preserve"> </w:t>
      </w:r>
      <w:r w:rsidR="003F31AE" w:rsidRPr="003F31AE">
        <w:rPr>
          <w:rFonts w:ascii="GHEA Grapalat" w:eastAsia="Calibri" w:hAnsi="GHEA Grapalat" w:cs="Sylfaen"/>
          <w:sz w:val="24"/>
          <w:szCs w:val="24"/>
          <w:lang w:val="hy-AM"/>
        </w:rPr>
        <w:t>հարկային մարմնի կողմից բացահայտված հանգամանքները դեռևս վարչական ակտով չեն արձանագրվել,</w:t>
      </w:r>
      <w:r w:rsidR="003F31AE">
        <w:rPr>
          <w:rFonts w:ascii="GHEA Grapalat" w:eastAsia="Calibri" w:hAnsi="GHEA Grapalat" w:cs="Sylfaen"/>
          <w:sz w:val="24"/>
          <w:szCs w:val="24"/>
          <w:lang w:val="hy-AM"/>
        </w:rPr>
        <w:t xml:space="preserve"> սակայն</w:t>
      </w:r>
      <w:r w:rsidR="003F31AE" w:rsidRPr="003F31AE">
        <w:rPr>
          <w:rFonts w:ascii="GHEA Grapalat" w:eastAsia="Calibri" w:hAnsi="GHEA Grapalat" w:cs="Sylfaen"/>
          <w:sz w:val="24"/>
          <w:szCs w:val="24"/>
          <w:lang w:val="hy-AM"/>
        </w:rPr>
        <w:t xml:space="preserve"> հարկային մարմնի լիազորված պաշտոնատար անձի հաղորդմամբ հիմնավորվում է քրեական վարույթի անհապաղ նախաձեռնելու անհրաժեշտությունը՝ ապացույցների պահպանման, թվային տվյալների հայտնաբերման կամ անհետաձգելի ապացուցողական գործողությունների իրականացման նպատակով, և առկա է ողջամիտ կասկած, որ հապաղումը կարող է հանգեցնել ապացույցների կորստի, ոչնչացման կամ թաքցման։</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Նման կարգավորումը նպատակ է հետապնդում հարկային մարմնի կողմից ներկայացվող հանցանքի վերաբերյալ հաղորդումներում տեղ գտած հանգամանքների առավել ամբողջական և հիմնավոր ներկայացում` բացառելով այն դեպքերը, երբ հարկային մարմնի մի պաշտոնատար անձ վարչական ակտով ապացուցված է համարել որոշակի փաստական հանգամանքներ, բայց հետագայում այդ ակտի վիճարկման արդյունքում հարկային մարմնի բողոքարկման հանձնաժողովի կողմից այդ ճանաչվել է անվավեր կամ փոփոխվել են դրանում արտացոլված հանգամանքներն այն կերպ, որ այլևս բացառվել է վարչական ակտում տեղ գտած փաստերի կապակցությամբ հաղորդում ներկայացնելը:</w:t>
      </w:r>
    </w:p>
    <w:p w:rsidR="001C6EF2" w:rsidRDefault="00AC657A" w:rsidP="007E7516">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Նկարագրված իրավիճակում վարչական բողոքարկման ընթացակարգը հանդիսանում է հարկային վեճի բնական և նախնական փուլը։ Հետևաբար` քանի դեռ չի ավարտվել այս նախնական փուլը, նպատակահարմար չէ ստեղծել այնպիսի նախադրյալներ, որոնք հիմք կլինեն դրան զուգահեռ ու նույն փաստերի կապակցությամբ քրեական վարույթներ իրականացնելուն:</w:t>
      </w:r>
    </w:p>
    <w:p w:rsidR="00AC657A" w:rsidRDefault="00A12C13" w:rsidP="00AC657A">
      <w:pPr>
        <w:tabs>
          <w:tab w:val="left" w:pos="851"/>
        </w:tabs>
        <w:spacing w:line="360" w:lineRule="auto"/>
        <w:ind w:firstLine="567"/>
        <w:jc w:val="both"/>
        <w:rPr>
          <w:rFonts w:ascii="GHEA Grapalat" w:eastAsia="Calibri" w:hAnsi="GHEA Grapalat" w:cs="Sylfaen"/>
          <w:sz w:val="24"/>
          <w:szCs w:val="24"/>
          <w:lang w:val="hy-AM"/>
        </w:rPr>
      </w:pPr>
      <w:r w:rsidRPr="00A12C13">
        <w:rPr>
          <w:rFonts w:ascii="GHEA Grapalat" w:eastAsia="Calibri" w:hAnsi="GHEA Grapalat" w:cs="Sylfaen"/>
          <w:sz w:val="24"/>
          <w:szCs w:val="24"/>
          <w:lang w:val="hy-AM"/>
        </w:rPr>
        <w:t>Այսպիսով, «Հայաստանի Հանրապետության հարկային օրենսգրքում փոփոխություններ կատարելու մասին» նախագծի ընդունումը պայմանավորված է հարկային վարչարարության իրավական հստակության բարձրացման և հարկային հսկողության արդյունավետության ապահովման անհրաժեշտությամբ։</w:t>
      </w:r>
      <w:r w:rsidR="00AC657A">
        <w:rPr>
          <w:rFonts w:ascii="GHEA Grapalat" w:eastAsia="Calibri" w:hAnsi="GHEA Grapalat" w:cs="Sylfaen"/>
          <w:sz w:val="24"/>
          <w:szCs w:val="24"/>
          <w:lang w:val="hy-AM"/>
        </w:rPr>
        <w:t xml:space="preserve">   </w:t>
      </w:r>
    </w:p>
    <w:p w:rsidR="00AC657A" w:rsidRDefault="00A12C13"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b/>
          <w:sz w:val="24"/>
          <w:szCs w:val="24"/>
          <w:lang w:val="hy-AM"/>
        </w:rPr>
        <w:t>2</w:t>
      </w:r>
      <w:r w:rsidR="00AC657A">
        <w:rPr>
          <w:rFonts w:ascii="GHEA Grapalat" w:eastAsia="Calibri" w:hAnsi="GHEA Grapalat" w:cs="Sylfaen"/>
          <w:b/>
          <w:sz w:val="24"/>
          <w:szCs w:val="24"/>
          <w:lang w:val="hy-AM"/>
        </w:rPr>
        <w:t>) ՀՀ քրեական օրենսգրքի</w:t>
      </w:r>
      <w:r w:rsidR="00AC657A">
        <w:rPr>
          <w:rFonts w:ascii="GHEA Grapalat" w:eastAsia="Calibri" w:hAnsi="GHEA Grapalat" w:cs="Sylfaen"/>
          <w:sz w:val="24"/>
          <w:szCs w:val="24"/>
          <w:lang w:val="hy-AM"/>
        </w:rPr>
        <w:t xml:space="preserve"> 290-րդ հդվածի (</w:t>
      </w:r>
      <w:r w:rsidR="00AC657A">
        <w:rPr>
          <w:rFonts w:ascii="GHEA Grapalat" w:eastAsia="Calibri" w:hAnsi="GHEA Grapalat" w:cs="Sylfaen"/>
          <w:i/>
          <w:sz w:val="24"/>
          <w:szCs w:val="24"/>
          <w:lang w:val="hy-AM"/>
        </w:rPr>
        <w:t>Հարկերը, տուրքերը կամ այլ վճարներ չվճարելը</w:t>
      </w:r>
      <w:r w:rsidR="00AC657A">
        <w:rPr>
          <w:rFonts w:ascii="GHEA Grapalat" w:eastAsia="Calibri" w:hAnsi="GHEA Grapalat" w:cs="Sylfaen"/>
          <w:sz w:val="24"/>
          <w:szCs w:val="24"/>
          <w:lang w:val="hy-AM"/>
        </w:rPr>
        <w:t>) 4-րդ մասի համաձայն՝ նույն հոդվածում խոշոր չափ է համարվում 10 միլիոն Հայաստանի Հանրապետության դրամը գերազանցող գումարը, իսկ առանձնապես խոշոր չափ՝ 20 միլիոն Հայաստանի Հանրապետության դրամը գերազանցող գումարը:</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B060FC">
        <w:rPr>
          <w:rFonts w:ascii="GHEA Grapalat" w:eastAsia="Calibri" w:hAnsi="GHEA Grapalat" w:cs="Sylfaen"/>
          <w:sz w:val="24"/>
          <w:szCs w:val="24"/>
          <w:lang w:val="hy-AM"/>
        </w:rPr>
        <w:t xml:space="preserve">«Հայաստանի Հանրապետության քրեական օրենսգրքում փոփոխություն կատարելու մասին» օրենքի </w:t>
      </w:r>
      <w:r>
        <w:rPr>
          <w:rFonts w:ascii="GHEA Grapalat" w:eastAsia="Calibri" w:hAnsi="GHEA Grapalat" w:cs="Sylfaen"/>
          <w:sz w:val="24"/>
          <w:szCs w:val="24"/>
          <w:lang w:val="hy-AM"/>
        </w:rPr>
        <w:t>նախագծով նախատեսվում է, որ ն</w:t>
      </w:r>
      <w:r w:rsidRPr="00B060FC">
        <w:rPr>
          <w:rFonts w:ascii="GHEA Grapalat" w:eastAsia="Calibri" w:hAnsi="GHEA Grapalat" w:cs="Sylfaen"/>
          <w:sz w:val="24"/>
          <w:szCs w:val="24"/>
          <w:lang w:val="hy-AM"/>
        </w:rPr>
        <w:t xml:space="preserve">ույն հոդվածում խոշոր չափ է համարվում մեկ հարկային տարվա ընթացքում </w:t>
      </w:r>
      <w:r>
        <w:rPr>
          <w:rFonts w:ascii="GHEA Grapalat" w:eastAsia="Calibri" w:hAnsi="GHEA Grapalat" w:cs="Sylfaen"/>
          <w:sz w:val="24"/>
          <w:szCs w:val="24"/>
          <w:lang w:val="hy-AM"/>
        </w:rPr>
        <w:t>30</w:t>
      </w:r>
      <w:r w:rsidRPr="00B060FC">
        <w:rPr>
          <w:rFonts w:ascii="GHEA Grapalat" w:eastAsia="Calibri" w:hAnsi="GHEA Grapalat" w:cs="Sylfaen"/>
          <w:sz w:val="24"/>
          <w:szCs w:val="24"/>
          <w:lang w:val="hy-AM"/>
        </w:rPr>
        <w:t xml:space="preserve"> միլիոն Հայաստանի </w:t>
      </w:r>
      <w:r w:rsidRPr="00B060FC">
        <w:rPr>
          <w:rFonts w:ascii="GHEA Grapalat" w:eastAsia="Calibri" w:hAnsi="GHEA Grapalat" w:cs="Sylfaen"/>
          <w:sz w:val="24"/>
          <w:szCs w:val="24"/>
          <w:lang w:val="hy-AM"/>
        </w:rPr>
        <w:lastRenderedPageBreak/>
        <w:t>Հանրապետության դրամը գերազանցող հարկերի, տուրքերի կամ այլ վճարների գումարը, կամ իրար հաջորդող երկու հարկային տարիների ընթացքում 4</w:t>
      </w:r>
      <w:r>
        <w:rPr>
          <w:rFonts w:ascii="GHEA Grapalat" w:eastAsia="Calibri" w:hAnsi="GHEA Grapalat" w:cs="Sylfaen"/>
          <w:sz w:val="24"/>
          <w:szCs w:val="24"/>
          <w:lang w:val="hy-AM"/>
        </w:rPr>
        <w:t>5</w:t>
      </w:r>
      <w:r w:rsidRPr="00B060FC">
        <w:rPr>
          <w:rFonts w:ascii="GHEA Grapalat" w:eastAsia="Calibri" w:hAnsi="GHEA Grapalat" w:cs="Sylfaen"/>
          <w:sz w:val="24"/>
          <w:szCs w:val="24"/>
          <w:lang w:val="hy-AM"/>
        </w:rPr>
        <w:t xml:space="preserve"> միլիոն Հայաստանի Հանրապետության դրամը գերազանցող հարկերի, տուրքերի կամ այլ վճարների գումարը, իսկ առանձնապես խոշոր չափ՝ մեկ հարկային տարվա ընթացքում 50 միլիոն Հայաստանի Հանրապետության դրամը գերազանցող հարկերի, տուրքերի կամ այլ վճարների գումարը, կամ իրար հաջորդող երեք հարկային տարիների ընթացքում </w:t>
      </w:r>
      <w:r>
        <w:rPr>
          <w:rFonts w:ascii="GHEA Grapalat" w:eastAsia="Calibri" w:hAnsi="GHEA Grapalat" w:cs="Sylfaen"/>
          <w:sz w:val="24"/>
          <w:szCs w:val="24"/>
          <w:lang w:val="hy-AM"/>
        </w:rPr>
        <w:t>75</w:t>
      </w:r>
      <w:r w:rsidRPr="00B060FC">
        <w:rPr>
          <w:rFonts w:ascii="GHEA Grapalat" w:eastAsia="Calibri" w:hAnsi="GHEA Grapalat" w:cs="Sylfaen"/>
          <w:sz w:val="24"/>
          <w:szCs w:val="24"/>
          <w:lang w:val="hy-AM"/>
        </w:rPr>
        <w:t xml:space="preserve"> միլիոն Հայաստանի Հանրապետության դրամը գերազանցող հարկերի, տուրքերի կամ այլ վճարների գումարը։</w:t>
      </w:r>
    </w:p>
    <w:p w:rsidR="00301645" w:rsidRPr="00B060FC"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06056F">
        <w:rPr>
          <w:rFonts w:ascii="GHEA Grapalat" w:eastAsia="Calibri" w:hAnsi="GHEA Grapalat" w:cs="Sylfaen"/>
          <w:sz w:val="24"/>
          <w:szCs w:val="24"/>
          <w:lang w:val="hy-AM"/>
        </w:rPr>
        <w:t>«Հայաստանի Հանրապետության քրեական օրենսգրքում փոփոխություն կատարելու մասին» օրենքի նախագծ</w:t>
      </w:r>
      <w:r>
        <w:rPr>
          <w:rFonts w:ascii="GHEA Grapalat" w:eastAsia="Calibri" w:hAnsi="GHEA Grapalat" w:cs="Sylfaen"/>
          <w:sz w:val="24"/>
          <w:szCs w:val="24"/>
          <w:lang w:val="hy-AM"/>
        </w:rPr>
        <w:t xml:space="preserve">ով </w:t>
      </w:r>
      <w:r w:rsidRPr="00B060FC">
        <w:rPr>
          <w:rFonts w:ascii="GHEA Grapalat" w:eastAsia="Calibri" w:hAnsi="GHEA Grapalat" w:cs="Sylfaen"/>
          <w:sz w:val="24"/>
          <w:szCs w:val="24"/>
          <w:lang w:val="hy-AM"/>
        </w:rPr>
        <w:t>հստակեցվում և բարձրացվում են խոշոր և առանձնապես խոշոր չափերի շեմերը,</w:t>
      </w:r>
      <w:r>
        <w:rPr>
          <w:rFonts w:ascii="GHEA Grapalat" w:eastAsia="Calibri" w:hAnsi="GHEA Grapalat" w:cs="Sylfaen"/>
          <w:sz w:val="24"/>
          <w:szCs w:val="24"/>
          <w:lang w:val="hy-AM"/>
        </w:rPr>
        <w:t xml:space="preserve"> </w:t>
      </w:r>
      <w:r w:rsidRPr="00B060FC">
        <w:rPr>
          <w:rFonts w:ascii="GHEA Grapalat" w:eastAsia="Calibri" w:hAnsi="GHEA Grapalat" w:cs="Sylfaen"/>
          <w:sz w:val="24"/>
          <w:szCs w:val="24"/>
          <w:lang w:val="hy-AM"/>
        </w:rPr>
        <w:t>տարբերակվում են մեկ հարկային տարվա և մի քանի հաջորդական հարկային տարիների ընթացքում ձևավորված պարտավորությունների չափերը</w:t>
      </w:r>
      <w:r>
        <w:rPr>
          <w:rFonts w:ascii="GHEA Grapalat" w:eastAsia="Calibri" w:hAnsi="GHEA Grapalat" w:cs="Sylfaen"/>
          <w:sz w:val="24"/>
          <w:szCs w:val="24"/>
          <w:lang w:val="hy-AM"/>
        </w:rPr>
        <w:t xml:space="preserve">, որոնք նպատակ ունեն </w:t>
      </w:r>
      <w:r w:rsidRPr="00B060FC">
        <w:rPr>
          <w:rFonts w:ascii="GHEA Grapalat" w:eastAsia="Calibri" w:hAnsi="GHEA Grapalat" w:cs="Sylfaen"/>
          <w:sz w:val="24"/>
          <w:szCs w:val="24"/>
          <w:lang w:val="hy-AM"/>
        </w:rPr>
        <w:t>ապահովել քրեական պատասխանատվության համաչափություն</w:t>
      </w:r>
      <w:r>
        <w:rPr>
          <w:rFonts w:ascii="GHEA Grapalat" w:eastAsia="Calibri" w:hAnsi="GHEA Grapalat" w:cs="Sylfaen"/>
          <w:sz w:val="24"/>
          <w:szCs w:val="24"/>
          <w:lang w:val="hy-AM"/>
        </w:rPr>
        <w:t xml:space="preserve">ը, </w:t>
      </w:r>
      <w:r w:rsidRPr="00B060FC">
        <w:rPr>
          <w:rFonts w:ascii="GHEA Grapalat" w:eastAsia="Calibri" w:hAnsi="GHEA Grapalat" w:cs="Sylfaen"/>
          <w:sz w:val="24"/>
          <w:szCs w:val="24"/>
          <w:lang w:val="hy-AM"/>
        </w:rPr>
        <w:t>բացառել համեմատաբար փոքր չափերի խախտումների անհամաչափ քրեականացումը</w:t>
      </w:r>
      <w:r>
        <w:rPr>
          <w:rFonts w:ascii="GHEA Grapalat" w:eastAsia="Calibri" w:hAnsi="GHEA Grapalat" w:cs="Sylfaen"/>
          <w:sz w:val="24"/>
          <w:szCs w:val="24"/>
          <w:lang w:val="hy-AM"/>
        </w:rPr>
        <w:t>։</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B060FC">
        <w:rPr>
          <w:rFonts w:ascii="GHEA Grapalat" w:eastAsia="Calibri" w:hAnsi="GHEA Grapalat" w:cs="Sylfaen"/>
          <w:sz w:val="24"/>
          <w:szCs w:val="24"/>
          <w:lang w:val="hy-AM"/>
        </w:rPr>
        <w:t xml:space="preserve">Միաժամանակ փոփոխությունը նպաստում է իրավակիրառ պրակտիկայի կանխատեսելիությանը և իրավական որոշակիությանը։ </w:t>
      </w:r>
      <w:r>
        <w:rPr>
          <w:rFonts w:ascii="GHEA Grapalat" w:eastAsia="Calibri" w:hAnsi="GHEA Grapalat" w:cs="Sylfaen"/>
          <w:sz w:val="24"/>
          <w:szCs w:val="24"/>
          <w:lang w:val="hy-AM"/>
        </w:rPr>
        <w:t>Նշված փոփոխությունների արդյունքում տեղի կունենա մասնակի ապաքրեականացում՝ հարկերից խուսափելու հանցավոր համարվող արարքների շրջանակի նեղացում:</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Այսպիսով՝ ա</w:t>
      </w:r>
      <w:r w:rsidRPr="00181F99">
        <w:rPr>
          <w:rFonts w:ascii="GHEA Grapalat" w:eastAsia="Calibri" w:hAnsi="GHEA Grapalat" w:cs="Sylfaen"/>
          <w:sz w:val="24"/>
          <w:szCs w:val="24"/>
          <w:lang w:val="hy-AM"/>
        </w:rPr>
        <w:t xml:space="preserve">յս փոփոխությունը նպատակ ունի՝ </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181F99">
        <w:rPr>
          <w:rFonts w:ascii="GHEA Grapalat" w:eastAsia="Calibri" w:hAnsi="GHEA Grapalat" w:cs="Sylfaen"/>
          <w:sz w:val="24"/>
          <w:szCs w:val="24"/>
          <w:lang w:val="hy-AM"/>
        </w:rPr>
        <w:t xml:space="preserve">1. կանխարգելել համակարգային հարկերից խուսափումը՝ նաև բազմամյա սխեմաների դեպքում, </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181F99">
        <w:rPr>
          <w:rFonts w:ascii="GHEA Grapalat" w:eastAsia="Calibri" w:hAnsi="GHEA Grapalat" w:cs="Sylfaen"/>
          <w:sz w:val="24"/>
          <w:szCs w:val="24"/>
          <w:lang w:val="hy-AM"/>
        </w:rPr>
        <w:t xml:space="preserve">2. պահպանել համաչափությունը՝ տարբերակելով պատահական սխալը և դիտավորությամբ իրականացվող խախտումները, </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181F99">
        <w:rPr>
          <w:rFonts w:ascii="GHEA Grapalat" w:eastAsia="Calibri" w:hAnsi="GHEA Grapalat" w:cs="Sylfaen"/>
          <w:sz w:val="24"/>
          <w:szCs w:val="24"/>
          <w:lang w:val="hy-AM"/>
        </w:rPr>
        <w:t xml:space="preserve">3. ապահովել իրավական հստակություն դատական պրակտիկայի համար, ներառյալ հաշվարկի տարեթվի և վճարման ժամկետի տարբերությունը, </w:t>
      </w:r>
    </w:p>
    <w:p w:rsidR="00301645" w:rsidRDefault="00301645" w:rsidP="00301645">
      <w:pPr>
        <w:tabs>
          <w:tab w:val="left" w:pos="851"/>
        </w:tabs>
        <w:spacing w:line="360" w:lineRule="auto"/>
        <w:ind w:firstLine="567"/>
        <w:jc w:val="both"/>
        <w:rPr>
          <w:rFonts w:ascii="GHEA Grapalat" w:eastAsia="Calibri" w:hAnsi="GHEA Grapalat" w:cs="Sylfaen"/>
          <w:sz w:val="24"/>
          <w:szCs w:val="24"/>
          <w:lang w:val="hy-AM"/>
        </w:rPr>
      </w:pPr>
      <w:r w:rsidRPr="00181F99">
        <w:rPr>
          <w:rFonts w:ascii="GHEA Grapalat" w:eastAsia="Calibri" w:hAnsi="GHEA Grapalat" w:cs="Sylfaen"/>
          <w:sz w:val="24"/>
          <w:szCs w:val="24"/>
          <w:lang w:val="hy-AM"/>
        </w:rPr>
        <w:lastRenderedPageBreak/>
        <w:t>4. համահունչ լինել միջազգային փորձին, որտեղ հարկերից խուսափման գնահատման ժամանակ կարող է հաշվի առնվել խախտումների շարունակականությունը և մի քանի հարկային ժամանակաշրջանների ընթացքում առաջացած վնասի ընդհանուր չափը</w:t>
      </w:r>
      <w:r>
        <w:rPr>
          <w:rFonts w:ascii="GHEA Grapalat" w:eastAsia="Calibri" w:hAnsi="GHEA Grapalat" w:cs="Sylfaen"/>
          <w:sz w:val="24"/>
          <w:szCs w:val="24"/>
          <w:lang w:val="hy-AM"/>
        </w:rPr>
        <w:t>։</w:t>
      </w:r>
      <w:r w:rsidRPr="0099400D">
        <w:rPr>
          <w:lang w:val="hy-AM"/>
        </w:rPr>
        <w:t xml:space="preserve"> </w:t>
      </w:r>
      <w:r w:rsidRPr="008E36BF">
        <w:rPr>
          <w:rFonts w:ascii="GHEA Grapalat" w:eastAsia="Calibri" w:hAnsi="GHEA Grapalat" w:cs="Sylfaen"/>
          <w:sz w:val="24"/>
          <w:szCs w:val="24"/>
          <w:lang w:val="hy-AM"/>
        </w:rPr>
        <w:t>Օ</w:t>
      </w:r>
      <w:r w:rsidRPr="0099400D">
        <w:rPr>
          <w:rFonts w:ascii="GHEA Grapalat" w:eastAsia="Calibri" w:hAnsi="GHEA Grapalat" w:cs="Sylfaen"/>
          <w:sz w:val="24"/>
          <w:szCs w:val="24"/>
          <w:lang w:val="hy-AM"/>
        </w:rPr>
        <w:t xml:space="preserve">րինակ՝ Ռուսաստանի Դաշնությունում գնահատումը կատարվում է երեք հաջորդական </w:t>
      </w:r>
      <w:r>
        <w:rPr>
          <w:rFonts w:ascii="GHEA Grapalat" w:eastAsia="Calibri" w:hAnsi="GHEA Grapalat" w:cs="Sylfaen"/>
          <w:sz w:val="24"/>
          <w:szCs w:val="24"/>
          <w:lang w:val="hy-AM"/>
        </w:rPr>
        <w:t xml:space="preserve">հարկային </w:t>
      </w:r>
      <w:r w:rsidRPr="0099400D">
        <w:rPr>
          <w:rFonts w:ascii="GHEA Grapalat" w:eastAsia="Calibri" w:hAnsi="GHEA Grapalat" w:cs="Sylfaen"/>
          <w:sz w:val="24"/>
          <w:szCs w:val="24"/>
          <w:lang w:val="hy-AM"/>
        </w:rPr>
        <w:t>տարիների ընթացքում ձևավորված գումարի հիման վրա</w:t>
      </w:r>
      <w:r>
        <w:rPr>
          <w:rFonts w:ascii="GHEA Grapalat" w:eastAsia="Calibri" w:hAnsi="GHEA Grapalat" w:cs="Sylfaen"/>
          <w:sz w:val="24"/>
          <w:szCs w:val="24"/>
          <w:lang w:val="hy-AM"/>
        </w:rPr>
        <w:t xml:space="preserve">։ </w:t>
      </w:r>
    </w:p>
    <w:p w:rsidR="007E7516" w:rsidRPr="00AE43DD" w:rsidRDefault="007E7516" w:rsidP="007E7516">
      <w:pPr>
        <w:tabs>
          <w:tab w:val="left" w:pos="851"/>
        </w:tabs>
        <w:spacing w:line="360" w:lineRule="auto"/>
        <w:ind w:firstLine="567"/>
        <w:jc w:val="both"/>
        <w:rPr>
          <w:rFonts w:ascii="GHEA Grapalat" w:eastAsia="Calibri" w:hAnsi="GHEA Grapalat" w:cs="Sylfaen"/>
          <w:b/>
          <w:sz w:val="24"/>
          <w:szCs w:val="24"/>
          <w:lang w:val="hy-AM"/>
        </w:rPr>
      </w:pPr>
      <w:r w:rsidRPr="00AE43DD">
        <w:rPr>
          <w:rFonts w:ascii="GHEA Grapalat" w:eastAsia="Calibri" w:hAnsi="GHEA Grapalat" w:cs="Sylfaen"/>
          <w:b/>
          <w:sz w:val="24"/>
          <w:szCs w:val="24"/>
          <w:lang w:val="hy-AM"/>
        </w:rPr>
        <w:t>3</w:t>
      </w:r>
      <w:r w:rsidR="00EB0457" w:rsidRPr="00AE43DD">
        <w:rPr>
          <w:rFonts w:ascii="GHEA Grapalat" w:eastAsia="Calibri" w:hAnsi="GHEA Grapalat" w:cs="Sylfaen"/>
          <w:b/>
          <w:sz w:val="24"/>
          <w:szCs w:val="24"/>
          <w:lang w:val="hy-AM"/>
        </w:rPr>
        <w:t>)</w:t>
      </w:r>
      <w:r w:rsidRPr="00AE43DD">
        <w:rPr>
          <w:b/>
          <w:lang w:val="hy-AM"/>
        </w:rPr>
        <w:t xml:space="preserve"> </w:t>
      </w:r>
      <w:r w:rsidRPr="00AE43DD">
        <w:rPr>
          <w:rFonts w:ascii="GHEA Grapalat" w:eastAsia="Calibri" w:hAnsi="GHEA Grapalat" w:cs="Sylfaen"/>
          <w:b/>
          <w:sz w:val="24"/>
          <w:szCs w:val="24"/>
          <w:lang w:val="hy-AM"/>
        </w:rPr>
        <w:t>ՀՀ քրեական դատավարության օրենսգրքի 131-րդ հոդվածի համաձայն՝</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«1. Գույքի արգելադրումը կիրառվում է ենթադրյալ հանցագործությամբ պատճառված հնարավոր վնասի կամ վարութային հնարավոր ծախսերի հատուցումը, ինչպես նաև գույքի հնարավոր բռնագրավումը կամ բռնագանձումն ապահովելու համար:</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2. Գույքը կարող է արգելադրվել հետևյալ հիմքերից որևէ մեկի առկայության դեպքում</w:t>
      </w:r>
      <w:r w:rsidRPr="007E7516">
        <w:rPr>
          <w:rFonts w:ascii="Cambria Math" w:eastAsia="Calibri" w:hAnsi="Cambria Math" w:cs="Cambria Math"/>
          <w:sz w:val="24"/>
          <w:szCs w:val="24"/>
          <w:lang w:val="hy-AM"/>
        </w:rPr>
        <w:t>․</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1) ապացույցների գերակշռությամբ հիմնավորվում է, որ այդ գույքն ուղղակի կամ անուղղակի առաջացել կամ ստացվել է հանցագործության արդյունքում կամ այդ գույքի օգտագործումից ստացված եկամուտն է կամ այլ տեսակի օգուտ.</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2) ապացույցների գերակշռությամբ հիմնավորվում է, որ այդ գույքը հանցանքի կատարման համար օգտագործված կամ օգտագործման համար նախատեսված գործիք է կամ միջոց.</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3) ապացույցների գերակշռությամբ հիմնավորվում է, որ այդ գույքը Հայաստանի Հանրապետության քրեական օրենսգրքի 310-րդ հոդվածով նախատեսված ահաբեկչական գործունեությունը ֆինանսավորելուն ուղղված գույք է, այդ գույքի օգտագործումից ստացված եկամուտ կամ այլ տեսակի օգուտ.</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 xml:space="preserve">4) ապացույցների գերակշռությամբ հիմնավորվում է, որ այդ գույքը Հայաստանի Հանրապետության քրեական օրենսգրքի 291-րդ, 292-րդ, 340-րդ կամ 399-րդ </w:t>
      </w:r>
      <w:r w:rsidRPr="007E7516">
        <w:rPr>
          <w:rFonts w:ascii="GHEA Grapalat" w:eastAsia="Calibri" w:hAnsi="GHEA Grapalat" w:cs="Sylfaen"/>
          <w:sz w:val="24"/>
          <w:szCs w:val="24"/>
          <w:lang w:val="hy-AM"/>
        </w:rPr>
        <w:lastRenderedPageBreak/>
        <w:t>հոդվածներով նախատեսված մաքսանենգության ճանապարհով Հայաստանի Հանրապետության սահմանով տեղափոխված մաքսանենգության առարկա է.</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5) առկա է ողջամիտ ենթադրություն այն մասին, որ այդ գույքը կարող է օտարվել, թաքցվել, վնասվել, ոչնչացվել կամ սպառվել:</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3. Սույն հոդվածի 2-րդ մասի 1-4-րդ կետերով նախատեսված գույքի բացակայության դեպքում կարող է արգելադրվել դրան համարժեք գույք»:</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ՀՀ քրեական դատավարության օրենսգրքի 132-րդ հոդվածի համաձայն՝</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«1. Սույն օրենսգրքի 131-րդ հոդվածի 2-րդ մասի 1-4-րդ կետերով և 3-րդ մասով նախատեսված հիմքերով կարող է արգելադրվել ցանկացած անձի գույքը, իսկ սույն օրենսգրքի 131-րդ հոդվածի 2-րդ մասի 5-րդ կետով նախատեսված հիմքով արգելադրվել կարող է մեղադրյալի կամ նրա գործողությունների համար գույքային պատասխանատվություն կրող անձի գույքը, ներառյալ ընդհանուր սեփականության իրավունքով պատկանող գույքը՝ անկախ գույքի տեսակից և այն տիրապետողից: Ընդհանուր բաժնային սեփականության դեպքում կարող է արգելադրվել միայն համապատասխան բաժինը:</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2. Մի քանի մեղադրյալներից կամ նրանց գործողությունների համար գույքային պատասխանատվություն կրող անձանցից յուրաքանչյուրի՝ արգելադրման ենթակա գույքի բաժինը որոշելիս վարույթն իրականացնող մարմինը հաշվի է առնում ենթադրյալ հանցագործությանը մեղադրյալներից յուրաքանչյուրի դերը և մասնակցության աստիճանը:</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3. Արգելադրման ենթակա չէ`</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1) այն գույքը, որի վրա օրենքի համաձայն չի կարող բռնագանձում կամ բռնագրավում տարածվել.</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2) իրեղեն ապացույց ճանաչված գույքը»:</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 xml:space="preserve">Գույքի արգելադրումը քրեական վարույթի ընթացքում անձի սեփականության իրավունքը, այսինքն՝ իր հայեցողությամբ իր գույքը տիրապետելու, օգտագործելու և </w:t>
      </w:r>
      <w:r w:rsidRPr="007E7516">
        <w:rPr>
          <w:rFonts w:ascii="GHEA Grapalat" w:eastAsia="Calibri" w:hAnsi="GHEA Grapalat" w:cs="Sylfaen"/>
          <w:sz w:val="24"/>
          <w:szCs w:val="24"/>
          <w:lang w:val="hy-AM"/>
        </w:rPr>
        <w:lastRenderedPageBreak/>
        <w:t>տնօրինելու հնարավորությունը սահմանափակող հիմնական և առավել խիստ միջոցն է։</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Վերոգրյալ իրավական նորմերի համադրված վերլուծությունից բխում է, որ օրենսդիրը գույքի արգելադրման հիմքերը հաստատելու համար նախատեսել է ապացուցման երկու շեմ՝ ապացույցների գերակշռություն և ողջամիտ ենթադրություն։</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Ապացուցման շեմն այն չափանիշն է, որի հիման վրա գնահատվում են ապացույցները և հաստատվում (կամ հերքվում) են փաստերը։ Ապացույցների գերակշռությունը նշանակում է, որ մի կողմը ներկայացրել է իր պնդումների իրավացիությունը հաստատող թեկուզև մի փոքր ավելի ծանրակշիռ (սակայն ամենևին ոչ բացարձակ համոզիչ) ապացույցներ, քան մյուս կողմը։ Այլ կերպ ասած՝ ապացուցման այս չափանիշով որոշում կայացնելուց հետևություն է արվում, որ առաջ քաշված թեզը կամ արված պնդումն ավելի հավանական է, քան թե՝ ոչ (օրինակ՝ խարդախության համար մեղադրվող անձն իրեն վերագրվող արարքի հետ համընկնող ժամանակահատվածում ձեռք է բերել մոտավորապես այն գումարին համարաժեք անշարժ գույք, որը նա ենթադրաբար հափշտակել է, ուստի կարելի է պնդել, որ այն ստացվել է հանցագործության արդյունքում)։</w:t>
      </w:r>
    </w:p>
    <w:p w:rsid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Ինչ վերաբերում է ողջամիտ ենթադրությանը, ապա այն ապացուցման ավելի թեթև բեռ է սահմանում։ Վերջինս կարելի է բնութագրել որպես որոշակի փաստերի վրա հիմնված տրամ</w:t>
      </w:r>
      <w:r w:rsidR="00EB0457">
        <w:rPr>
          <w:rFonts w:ascii="GHEA Grapalat" w:eastAsia="Calibri" w:hAnsi="GHEA Grapalat" w:cs="Sylfaen"/>
          <w:sz w:val="24"/>
          <w:szCs w:val="24"/>
          <w:lang w:val="hy-AM"/>
        </w:rPr>
        <w:t>ա</w:t>
      </w:r>
      <w:r w:rsidRPr="007E7516">
        <w:rPr>
          <w:rFonts w:ascii="GHEA Grapalat" w:eastAsia="Calibri" w:hAnsi="GHEA Grapalat" w:cs="Sylfaen"/>
          <w:sz w:val="24"/>
          <w:szCs w:val="24"/>
          <w:lang w:val="hy-AM"/>
        </w:rPr>
        <w:t>բանական, խելամիտ եզրահանգում առ այն, որ կանխատեսվող գործողությունը կամ իրադարձությունը միանգամա</w:t>
      </w:r>
      <w:r w:rsidR="00EB0457">
        <w:rPr>
          <w:rFonts w:ascii="GHEA Grapalat" w:eastAsia="Calibri" w:hAnsi="GHEA Grapalat" w:cs="Sylfaen"/>
          <w:sz w:val="24"/>
          <w:szCs w:val="24"/>
          <w:lang w:val="hy-AM"/>
        </w:rPr>
        <w:t>յ</w:t>
      </w:r>
      <w:r w:rsidRPr="007E7516">
        <w:rPr>
          <w:rFonts w:ascii="GHEA Grapalat" w:eastAsia="Calibri" w:hAnsi="GHEA Grapalat" w:cs="Sylfaen"/>
          <w:sz w:val="24"/>
          <w:szCs w:val="24"/>
          <w:lang w:val="hy-AM"/>
        </w:rPr>
        <w:t>ն հնարավոր է կամ կարող է տեղի ունենալ (օրինակ՝ մեղադրյալի գործողությունների համար գույքային պատասխանատվություն կրող անձը՝ նրա ծնողը, քրեական վարույթի ընթացքում օտարել է իրեն սեփականության իրավունքով պատկանող երկու տրանսպորտային միջոցներից մեկը, ինչից կարելի է ողջամտորեն ենթադրել, որ նա կարող է օտարել կամ թաքցնել նաև երկրորդը)։</w:t>
      </w:r>
    </w:p>
    <w:p w:rsidR="00757F61" w:rsidRPr="00757F61" w:rsidRDefault="00757F61" w:rsidP="00757F61">
      <w:pPr>
        <w:tabs>
          <w:tab w:val="left" w:pos="851"/>
        </w:tabs>
        <w:spacing w:line="360" w:lineRule="auto"/>
        <w:ind w:firstLine="567"/>
        <w:jc w:val="both"/>
        <w:rPr>
          <w:rFonts w:ascii="GHEA Grapalat" w:eastAsia="Calibri" w:hAnsi="GHEA Grapalat" w:cs="Sylfaen"/>
          <w:sz w:val="24"/>
          <w:szCs w:val="24"/>
          <w:lang w:val="hy-AM"/>
        </w:rPr>
      </w:pPr>
      <w:r w:rsidRPr="00757F61">
        <w:rPr>
          <w:rFonts w:ascii="GHEA Grapalat" w:eastAsia="Calibri" w:hAnsi="GHEA Grapalat" w:cs="Sylfaen"/>
          <w:sz w:val="24"/>
          <w:szCs w:val="24"/>
          <w:lang w:val="hy-AM"/>
        </w:rPr>
        <w:lastRenderedPageBreak/>
        <w:t>Հատկանշական է, որ ՀՀ քրեական դատավարության օրենսգիրքը չի բացահայտում այն գույքերի տեսակները, որոնք ենթակա են արգելադրման: Օրենսդիրը գնացել է հարցի կարգավորման հակառակ ճանապարհով` սահմանելով այն գույքը, որը ենթակա չէ արգելադրման: Մասնավորապես, ՀՀ քրեական դատավարության օրենսգրքի 132-րդ հոդվածի 3-րդ մասը սահմանում է, որ  ա</w:t>
      </w:r>
      <w:r w:rsidRPr="00B86041">
        <w:rPr>
          <w:rFonts w:ascii="GHEA Grapalat" w:eastAsia="Calibri" w:hAnsi="GHEA Grapalat" w:cs="Sylfaen"/>
          <w:sz w:val="24"/>
          <w:szCs w:val="24"/>
          <w:lang w:val="hy-AM"/>
        </w:rPr>
        <w:t>րգելադրման ենթակա չէ այն գույքը, որի վրա օրենքի համաձայն չի կարող բռնագանձում կամ բռնագրավում տարածվել կամ իրեղեն ապացույց ճանաչված գույքը:</w:t>
      </w:r>
      <w:r w:rsidRPr="00757F61">
        <w:rPr>
          <w:rFonts w:ascii="GHEA Grapalat" w:eastAsia="Calibri" w:hAnsi="GHEA Grapalat" w:cs="Sylfaen"/>
          <w:sz w:val="24"/>
          <w:szCs w:val="24"/>
          <w:lang w:val="hy-AM"/>
        </w:rPr>
        <w:t xml:space="preserve"> Ասվածից հե</w:t>
      </w:r>
      <w:r w:rsidR="006030B5">
        <w:rPr>
          <w:rFonts w:ascii="GHEA Grapalat" w:eastAsia="Calibri" w:hAnsi="GHEA Grapalat" w:cs="Sylfaen"/>
          <w:sz w:val="24"/>
          <w:szCs w:val="24"/>
          <w:lang w:val="hy-AM"/>
        </w:rPr>
        <w:t>տ</w:t>
      </w:r>
      <w:r w:rsidRPr="00757F61">
        <w:rPr>
          <w:rFonts w:ascii="GHEA Grapalat" w:eastAsia="Calibri" w:hAnsi="GHEA Grapalat" w:cs="Sylfaen"/>
          <w:sz w:val="24"/>
          <w:szCs w:val="24"/>
          <w:lang w:val="hy-AM"/>
        </w:rPr>
        <w:t>ևում է, որ օրենսգրքի իմաստով նշվածից բացի ցանկացած այլ գույք ենթակա է արգելադրման:</w:t>
      </w:r>
    </w:p>
    <w:p w:rsidR="00757F61" w:rsidRPr="00757F61" w:rsidRDefault="00757F61" w:rsidP="00757F61">
      <w:pPr>
        <w:tabs>
          <w:tab w:val="left" w:pos="851"/>
        </w:tabs>
        <w:spacing w:line="360" w:lineRule="auto"/>
        <w:ind w:firstLine="567"/>
        <w:jc w:val="both"/>
        <w:rPr>
          <w:rFonts w:ascii="GHEA Grapalat" w:eastAsia="Calibri" w:hAnsi="GHEA Grapalat" w:cs="Sylfaen"/>
          <w:sz w:val="24"/>
          <w:szCs w:val="24"/>
          <w:lang w:val="hy-AM"/>
        </w:rPr>
      </w:pPr>
      <w:r w:rsidRPr="00757F61">
        <w:rPr>
          <w:rFonts w:ascii="GHEA Grapalat" w:eastAsia="Calibri" w:hAnsi="GHEA Grapalat" w:cs="Sylfaen"/>
          <w:sz w:val="24"/>
          <w:szCs w:val="24"/>
          <w:lang w:val="hy-AM"/>
        </w:rPr>
        <w:t>Միևնույն ժամանակ պետք է նկատել, որ Քրեական դատավարության օրենսգրքում «Գույք» հասկացությունը չունի ինքնավար նշանակություն, հետևաբար, դրա բովանդակությունը պետք է բացահայտել քաղաքացիական օրենսգրքի իրավակարգավորումների լույսի ներքո։</w:t>
      </w:r>
    </w:p>
    <w:p w:rsidR="00757F61" w:rsidRPr="00757F61" w:rsidRDefault="00757F61" w:rsidP="00757F61">
      <w:pPr>
        <w:tabs>
          <w:tab w:val="left" w:pos="851"/>
        </w:tabs>
        <w:spacing w:line="360" w:lineRule="auto"/>
        <w:ind w:firstLine="567"/>
        <w:jc w:val="both"/>
        <w:rPr>
          <w:rFonts w:ascii="GHEA Grapalat" w:eastAsia="Calibri" w:hAnsi="GHEA Grapalat" w:cs="Sylfaen"/>
          <w:sz w:val="24"/>
          <w:szCs w:val="24"/>
          <w:lang w:val="hy-AM"/>
        </w:rPr>
      </w:pPr>
      <w:r w:rsidRPr="00757F61">
        <w:rPr>
          <w:rFonts w:ascii="GHEA Grapalat" w:eastAsia="Calibri" w:hAnsi="GHEA Grapalat" w:cs="Sylfaen"/>
          <w:sz w:val="24"/>
          <w:szCs w:val="24"/>
          <w:lang w:val="hy-AM"/>
        </w:rPr>
        <w:t>ՀՀ քաղաքացիական օրենսգրքի 132-րդ հոդվածի համաձայն՝</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«Քաղաքացիական իրավունքների օբյեկտներն են`</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 xml:space="preserve">1) գույքը` ներառյալ դրամական միջոցները, </w:t>
      </w:r>
      <w:r w:rsidRPr="00757F61">
        <w:rPr>
          <w:rFonts w:ascii="GHEA Grapalat" w:eastAsia="Calibri" w:hAnsi="GHEA Grapalat" w:cs="Sylfaen"/>
          <w:b/>
          <w:i/>
          <w:sz w:val="24"/>
          <w:szCs w:val="24"/>
          <w:lang w:val="hy-AM"/>
        </w:rPr>
        <w:t>արժեթղթերը</w:t>
      </w:r>
      <w:r w:rsidRPr="00757F61">
        <w:rPr>
          <w:rFonts w:ascii="GHEA Grapalat" w:eastAsia="Calibri" w:hAnsi="GHEA Grapalat" w:cs="Sylfaen"/>
          <w:i/>
          <w:sz w:val="24"/>
          <w:szCs w:val="24"/>
          <w:lang w:val="hy-AM"/>
        </w:rPr>
        <w:t xml:space="preserve"> և </w:t>
      </w:r>
      <w:r w:rsidRPr="00757F61">
        <w:rPr>
          <w:rFonts w:ascii="GHEA Grapalat" w:eastAsia="Calibri" w:hAnsi="GHEA Grapalat" w:cs="Sylfaen"/>
          <w:b/>
          <w:i/>
          <w:sz w:val="24"/>
          <w:szCs w:val="24"/>
          <w:lang w:val="hy-AM"/>
        </w:rPr>
        <w:t>գույքային իրավունքները</w:t>
      </w:r>
      <w:r w:rsidRPr="00757F61">
        <w:rPr>
          <w:rFonts w:ascii="GHEA Grapalat" w:eastAsia="Calibri" w:hAnsi="GHEA Grapalat" w:cs="Sylfaen"/>
          <w:i/>
          <w:sz w:val="24"/>
          <w:szCs w:val="24"/>
          <w:lang w:val="hy-AM"/>
        </w:rPr>
        <w:t>.(…)»։</w:t>
      </w:r>
    </w:p>
    <w:p w:rsidR="00757F61" w:rsidRPr="00757F61" w:rsidRDefault="00757F61" w:rsidP="00757F61">
      <w:pPr>
        <w:tabs>
          <w:tab w:val="left" w:pos="851"/>
        </w:tabs>
        <w:spacing w:line="360" w:lineRule="auto"/>
        <w:ind w:firstLine="567"/>
        <w:jc w:val="both"/>
        <w:rPr>
          <w:rFonts w:ascii="GHEA Grapalat" w:eastAsia="Calibri" w:hAnsi="GHEA Grapalat" w:cs="Sylfaen"/>
          <w:sz w:val="24"/>
          <w:szCs w:val="24"/>
          <w:lang w:val="hy-AM"/>
        </w:rPr>
      </w:pPr>
      <w:r w:rsidRPr="00757F61">
        <w:rPr>
          <w:rFonts w:ascii="GHEA Grapalat" w:eastAsia="Calibri" w:hAnsi="GHEA Grapalat" w:cs="Sylfaen"/>
          <w:sz w:val="24"/>
          <w:szCs w:val="24"/>
          <w:lang w:val="hy-AM"/>
        </w:rPr>
        <w:t>Արժեթղթերի շուկայի մասին ՀՀ օրենքի 3-րդ հոդվածի համաձայն՝</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«Սույն օրենքի իմաստով`</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 xml:space="preserve">1) </w:t>
      </w:r>
      <w:r w:rsidRPr="00757F61">
        <w:rPr>
          <w:rFonts w:ascii="GHEA Grapalat" w:eastAsia="Calibri" w:hAnsi="GHEA Grapalat" w:cs="Sylfaen"/>
          <w:b/>
          <w:i/>
          <w:sz w:val="24"/>
          <w:szCs w:val="24"/>
          <w:lang w:val="hy-AM"/>
        </w:rPr>
        <w:t>արժեթղթեր</w:t>
      </w:r>
      <w:r w:rsidRPr="00757F61">
        <w:rPr>
          <w:rFonts w:ascii="GHEA Grapalat" w:eastAsia="Calibri" w:hAnsi="GHEA Grapalat" w:cs="Sylfaen"/>
          <w:i/>
          <w:sz w:val="24"/>
          <w:szCs w:val="24"/>
          <w:lang w:val="hy-AM"/>
        </w:rPr>
        <w:t xml:space="preserve"> են համարվում Հայաստանի Հանրապետության քաղաքացիական օրենսգրքով, ինչպես նաև այլ օրենքներով սահմանված արժեթղթերը (անկախ դրա ձևից՝ թղթային կամ ոչ թղթային), այդ թվում`</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 xml:space="preserve">բ. </w:t>
      </w:r>
      <w:r w:rsidRPr="00757F61">
        <w:rPr>
          <w:rFonts w:ascii="GHEA Grapalat" w:eastAsia="Calibri" w:hAnsi="GHEA Grapalat" w:cs="Sylfaen"/>
          <w:b/>
          <w:i/>
          <w:sz w:val="24"/>
          <w:szCs w:val="24"/>
          <w:lang w:val="hy-AM"/>
        </w:rPr>
        <w:t>պարտատոմսերը</w:t>
      </w:r>
      <w:r w:rsidRPr="00757F61">
        <w:rPr>
          <w:rFonts w:ascii="GHEA Grapalat" w:eastAsia="Calibri" w:hAnsi="GHEA Grapalat" w:cs="Sylfaen"/>
          <w:i/>
          <w:sz w:val="24"/>
          <w:szCs w:val="24"/>
          <w:lang w:val="hy-AM"/>
        </w:rPr>
        <w:t xml:space="preserve"> և պարտքային այլ արժեթղթերը, </w:t>
      </w:r>
      <w:r w:rsidRPr="00757F61">
        <w:rPr>
          <w:rFonts w:ascii="GHEA Grapalat" w:eastAsia="Calibri" w:hAnsi="GHEA Grapalat" w:cs="Sylfaen"/>
          <w:b/>
          <w:i/>
          <w:sz w:val="24"/>
          <w:szCs w:val="24"/>
          <w:lang w:val="hy-AM"/>
        </w:rPr>
        <w:t>բացառությամբ դրամական շուկայի գործիքների</w:t>
      </w:r>
      <w:r w:rsidRPr="00757F61">
        <w:rPr>
          <w:rFonts w:ascii="GHEA Grapalat" w:eastAsia="Calibri" w:hAnsi="GHEA Grapalat" w:cs="Sylfaen"/>
          <w:i/>
          <w:sz w:val="24"/>
          <w:szCs w:val="24"/>
          <w:lang w:val="hy-AM"/>
        </w:rPr>
        <w:t>,</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t>(…)</w:t>
      </w:r>
    </w:p>
    <w:p w:rsidR="00757F61" w:rsidRPr="00757F61" w:rsidRDefault="00757F61" w:rsidP="00757F61">
      <w:pPr>
        <w:tabs>
          <w:tab w:val="left" w:pos="851"/>
        </w:tabs>
        <w:spacing w:line="360" w:lineRule="auto"/>
        <w:ind w:firstLine="567"/>
        <w:jc w:val="both"/>
        <w:rPr>
          <w:rFonts w:ascii="GHEA Grapalat" w:eastAsia="Calibri" w:hAnsi="GHEA Grapalat" w:cs="Sylfaen"/>
          <w:i/>
          <w:sz w:val="24"/>
          <w:szCs w:val="24"/>
          <w:lang w:val="hy-AM"/>
        </w:rPr>
      </w:pPr>
      <w:r w:rsidRPr="00757F61">
        <w:rPr>
          <w:rFonts w:ascii="GHEA Grapalat" w:eastAsia="Calibri" w:hAnsi="GHEA Grapalat" w:cs="Sylfaen"/>
          <w:i/>
          <w:sz w:val="24"/>
          <w:szCs w:val="24"/>
          <w:lang w:val="hy-AM"/>
        </w:rPr>
        <w:lastRenderedPageBreak/>
        <w:t xml:space="preserve">2) </w:t>
      </w:r>
      <w:r w:rsidRPr="00757F61">
        <w:rPr>
          <w:rFonts w:ascii="GHEA Grapalat" w:eastAsia="Calibri" w:hAnsi="GHEA Grapalat" w:cs="Sylfaen"/>
          <w:b/>
          <w:i/>
          <w:sz w:val="24"/>
          <w:szCs w:val="24"/>
          <w:lang w:val="hy-AM"/>
        </w:rPr>
        <w:t>դրամական շուկայի գործիքներ են</w:t>
      </w:r>
      <w:r w:rsidRPr="00757F61">
        <w:rPr>
          <w:rFonts w:ascii="GHEA Grapalat" w:eastAsia="Calibri" w:hAnsi="GHEA Grapalat" w:cs="Sylfaen"/>
          <w:i/>
          <w:sz w:val="24"/>
          <w:szCs w:val="24"/>
          <w:lang w:val="hy-AM"/>
        </w:rPr>
        <w:t xml:space="preserve"> համարվում մինչև մեկ տարի մարման ժամկետ ունեցող պարտքային արժեթղթերը, այդ թվում՝ կարճաժամկետ պարտատոմսերը, բանկային վկայագրերը և այլ կարճաժամկետ պարտքային արժեթղթերը. (…)»։</w:t>
      </w:r>
    </w:p>
    <w:p w:rsidR="00757F61" w:rsidRPr="00757F61" w:rsidRDefault="00757F61" w:rsidP="00757F61">
      <w:pPr>
        <w:tabs>
          <w:tab w:val="left" w:pos="851"/>
        </w:tabs>
        <w:spacing w:line="360" w:lineRule="auto"/>
        <w:ind w:firstLine="567"/>
        <w:jc w:val="both"/>
        <w:rPr>
          <w:rFonts w:ascii="GHEA Grapalat" w:eastAsia="Calibri" w:hAnsi="GHEA Grapalat" w:cs="Sylfaen"/>
          <w:sz w:val="24"/>
          <w:szCs w:val="24"/>
          <w:lang w:val="hy-AM"/>
        </w:rPr>
      </w:pPr>
      <w:r w:rsidRPr="00757F61">
        <w:rPr>
          <w:rFonts w:ascii="GHEA Grapalat" w:eastAsia="Calibri" w:hAnsi="GHEA Grapalat" w:cs="Sylfaen"/>
          <w:sz w:val="24"/>
          <w:szCs w:val="24"/>
          <w:lang w:val="hy-AM"/>
        </w:rPr>
        <w:t>Վերը նշված իրավանորմերի համադրված վերլուծության արդյունքում պարզ է դառնում, որ գույք հասկացությունն, ի թիվս այլնի, իր մեջ</w:t>
      </w:r>
      <w:r w:rsidRPr="00757F61">
        <w:rPr>
          <w:rFonts w:ascii="GHEA Grapalat" w:eastAsia="Calibri" w:hAnsi="GHEA Grapalat" w:cs="Sylfaen"/>
          <w:b/>
          <w:sz w:val="24"/>
          <w:szCs w:val="24"/>
          <w:lang w:val="hy-AM"/>
        </w:rPr>
        <w:t xml:space="preserve"> ներառում է նաև արժեթղթերը և գույքային իրավունքները</w:t>
      </w:r>
      <w:r w:rsidRPr="00757F61">
        <w:rPr>
          <w:rFonts w:ascii="GHEA Grapalat" w:eastAsia="Calibri" w:hAnsi="GHEA Grapalat" w:cs="Sylfaen"/>
          <w:sz w:val="24"/>
          <w:szCs w:val="24"/>
          <w:lang w:val="hy-AM"/>
        </w:rPr>
        <w:t xml:space="preserve">։ Ընդ որում, պարտատոմսերը և պարտքային այլ արժեթղթերը համարվում են արժեթղթեր՝ բացառությամբ կարճաժամկետ պարտատոմսերի։ Ինչ վերաբերում է կարճաժամկետ պարտատոմսերին, ապա հարկ է նշել, որ դրանք համարվում են դրամական շուկայի գործիքներ ու թեև չեն ներառվում արժեթուղթ հասկացության ներքո, այդուհանդերձ </w:t>
      </w:r>
      <w:r w:rsidRPr="00757F61">
        <w:rPr>
          <w:rFonts w:ascii="GHEA Grapalat" w:eastAsia="Calibri" w:hAnsi="GHEA Grapalat" w:cs="Sylfaen"/>
          <w:b/>
          <w:sz w:val="24"/>
          <w:szCs w:val="24"/>
          <w:lang w:val="hy-AM"/>
        </w:rPr>
        <w:t>համարվում են գույքային իրավունքներ</w:t>
      </w:r>
      <w:r w:rsidRPr="00757F61">
        <w:rPr>
          <w:rFonts w:ascii="GHEA Grapalat" w:eastAsia="Calibri" w:hAnsi="GHEA Grapalat" w:cs="Sylfaen"/>
          <w:sz w:val="24"/>
          <w:szCs w:val="24"/>
          <w:lang w:val="hy-AM"/>
        </w:rPr>
        <w:t>։</w:t>
      </w:r>
    </w:p>
    <w:p w:rsidR="00757F61" w:rsidRPr="00757F61" w:rsidRDefault="00757F61" w:rsidP="00757F61">
      <w:pPr>
        <w:tabs>
          <w:tab w:val="left" w:pos="851"/>
        </w:tabs>
        <w:spacing w:line="360" w:lineRule="auto"/>
        <w:ind w:firstLine="567"/>
        <w:jc w:val="both"/>
        <w:rPr>
          <w:rFonts w:ascii="GHEA Grapalat" w:eastAsia="Calibri" w:hAnsi="GHEA Grapalat" w:cs="Sylfaen"/>
          <w:b/>
          <w:sz w:val="24"/>
          <w:szCs w:val="24"/>
          <w:lang w:val="hy-AM"/>
        </w:rPr>
      </w:pPr>
      <w:r w:rsidRPr="00757F61">
        <w:rPr>
          <w:rFonts w:ascii="GHEA Grapalat" w:eastAsia="Calibri" w:hAnsi="GHEA Grapalat" w:cs="Sylfaen"/>
          <w:sz w:val="24"/>
          <w:szCs w:val="24"/>
          <w:lang w:val="hy-AM"/>
        </w:rPr>
        <w:t>Հիմք ընդունելով վերը նշվածը՝ հարկ է փաստել, որ</w:t>
      </w:r>
      <w:r w:rsidRPr="00757F61">
        <w:rPr>
          <w:rFonts w:ascii="GHEA Grapalat" w:eastAsia="Calibri" w:hAnsi="GHEA Grapalat" w:cs="Sylfaen"/>
          <w:b/>
          <w:sz w:val="24"/>
          <w:szCs w:val="24"/>
          <w:lang w:val="hy-AM"/>
        </w:rPr>
        <w:t xml:space="preserve"> քրեադատավարական գործող իրավակարգավորումների պայմաններում քրեական վարույթով </w:t>
      </w:r>
      <w:r w:rsidRPr="00757F61">
        <w:rPr>
          <w:rFonts w:ascii="GHEA Grapalat" w:eastAsia="Calibri" w:hAnsi="GHEA Grapalat" w:cs="Sylfaen"/>
          <w:sz w:val="24"/>
          <w:szCs w:val="24"/>
          <w:lang w:val="hy-AM"/>
        </w:rPr>
        <w:t>ենթադրյալ հանցագործությամբ պատճառված հնարավոր վնասի կամ վարութային հնարավոր ծախսերի հատուցումը, ինչպես նաև գույքի հնարավոր բռնագրավումը կամ բռնագանձումն ապահովելու համար</w:t>
      </w:r>
      <w:r w:rsidRPr="00757F61">
        <w:rPr>
          <w:rFonts w:ascii="GHEA Grapalat" w:eastAsia="Calibri" w:hAnsi="GHEA Grapalat" w:cs="Sylfaen"/>
          <w:b/>
          <w:sz w:val="24"/>
          <w:szCs w:val="24"/>
          <w:lang w:val="hy-AM"/>
        </w:rPr>
        <w:t>, ի թիվս այլնի, կարող է արգելադրվել անձին պատկանող հետևյալ գույքը՝</w:t>
      </w:r>
    </w:p>
    <w:p w:rsidR="00757F61" w:rsidRPr="00757F61" w:rsidRDefault="00757F61" w:rsidP="00757F61">
      <w:pPr>
        <w:tabs>
          <w:tab w:val="left" w:pos="851"/>
        </w:tabs>
        <w:spacing w:line="360" w:lineRule="auto"/>
        <w:ind w:firstLine="567"/>
        <w:jc w:val="both"/>
        <w:rPr>
          <w:rFonts w:ascii="GHEA Grapalat" w:eastAsia="Calibri" w:hAnsi="GHEA Grapalat" w:cs="Sylfaen"/>
          <w:b/>
          <w:sz w:val="24"/>
          <w:szCs w:val="24"/>
          <w:lang w:val="hy-AM"/>
        </w:rPr>
      </w:pPr>
      <w:r w:rsidRPr="00757F61">
        <w:rPr>
          <w:rFonts w:ascii="GHEA Grapalat" w:eastAsia="Calibri" w:hAnsi="GHEA Grapalat" w:cs="Sylfaen"/>
          <w:b/>
          <w:sz w:val="24"/>
          <w:szCs w:val="24"/>
          <w:lang w:val="hy-AM"/>
        </w:rPr>
        <w:t>1. Արժեթղթերը՝ ներառյալ պարտատոսմերը,</w:t>
      </w:r>
    </w:p>
    <w:p w:rsidR="00757F61" w:rsidRPr="00757F61" w:rsidRDefault="00757F61" w:rsidP="00757F61">
      <w:pPr>
        <w:tabs>
          <w:tab w:val="left" w:pos="851"/>
        </w:tabs>
        <w:spacing w:line="360" w:lineRule="auto"/>
        <w:ind w:firstLine="567"/>
        <w:jc w:val="both"/>
        <w:rPr>
          <w:rFonts w:ascii="GHEA Grapalat" w:eastAsia="Calibri" w:hAnsi="GHEA Grapalat" w:cs="Sylfaen"/>
          <w:b/>
          <w:sz w:val="24"/>
          <w:szCs w:val="24"/>
          <w:lang w:val="hy-AM"/>
        </w:rPr>
      </w:pPr>
      <w:r w:rsidRPr="00757F61">
        <w:rPr>
          <w:rFonts w:ascii="GHEA Grapalat" w:eastAsia="Calibri" w:hAnsi="GHEA Grapalat" w:cs="Sylfaen"/>
          <w:b/>
          <w:sz w:val="24"/>
          <w:szCs w:val="24"/>
          <w:lang w:val="hy-AM"/>
        </w:rPr>
        <w:t>2. գույքային իրավունքները՝ ներառյալ դրամական շուկայի գործիքներ համարվող կարճաժամկետ պարտատոմսերը։</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 xml:space="preserve">Քրեական վարույթի ընթացքում գույքի արգելադրման գործիքակազմի կիրառումը խնդիրներ է առաջացնում, երբ տնտեսվարող սուբյեկտի գույքի վրա կիրառված արգելանքը խոչընդոտում կամ խաթարում է վերջինիս գործունեությունը, որի հետևանքով տնտեսվարող սուբյեկտի համար առաջանում են էական գույքային ծախսեր։ </w:t>
      </w:r>
    </w:p>
    <w:p w:rsidR="007E7516" w:rsidRP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lastRenderedPageBreak/>
        <w:t>Այս նպատակով անհրաժեշտություն է առաջացել քննարկել քրեական դատավարության օրենգրքում այլընտրանքային մեխանիզմեր ներդնելու հնարավորությունը։ Մասնավորապես՝ տվյալ դեպքում խոսքը գույքն արգելադրելու փոխարեն դրան համարժեք բանկային երաշխիք տրամադրելու մասին է, որը կիրառելու հնարավորություն գործող քրեադատավարական օրենսդրությունը չի նախատեսում։</w:t>
      </w:r>
    </w:p>
    <w:p w:rsidR="007E7516" w:rsidRDefault="007E7516" w:rsidP="007E7516">
      <w:pPr>
        <w:tabs>
          <w:tab w:val="left" w:pos="851"/>
        </w:tabs>
        <w:spacing w:line="360" w:lineRule="auto"/>
        <w:ind w:firstLine="567"/>
        <w:jc w:val="both"/>
        <w:rPr>
          <w:rFonts w:ascii="GHEA Grapalat" w:eastAsia="Calibri" w:hAnsi="GHEA Grapalat" w:cs="Sylfaen"/>
          <w:sz w:val="24"/>
          <w:szCs w:val="24"/>
          <w:lang w:val="hy-AM"/>
        </w:rPr>
      </w:pPr>
      <w:r w:rsidRPr="007E7516">
        <w:rPr>
          <w:rFonts w:ascii="GHEA Grapalat" w:eastAsia="Calibri" w:hAnsi="GHEA Grapalat" w:cs="Sylfaen"/>
          <w:sz w:val="24"/>
          <w:szCs w:val="24"/>
          <w:lang w:val="hy-AM"/>
        </w:rPr>
        <w:t xml:space="preserve">Վերոգրյալի հիման վրա առաջարկվում է ՀՀ քրեական դատավարության օրենսգրքի 135-րդ հոդվածը լրացնել նոր՝ 2.1 մասով և նախատեսել վարույթի ընթացքում հսկող դատախազի հաստատմամբ՝ քննիչի կամ դատարանի որոշմամբ քրեական դատավարության օրենսգրքի 131-րդ հոդվածի 2-րդ մասի 1-4-րդ կետերով նախատեսված գույքի բացակայության դեպքում դրան համարժեք արգելադրված գույքը կամ 131-րդ հոդվածի 2-րդ մասի 5-րդ կետով նախատեսված հիմքով արգելադրված գույքն արգելանքից հանելու հնարավորություն, եթե գույքի սեփականատերը կամ տիրապետողը ներկայացնում է արգելադրված գույքին համարժեք բանկային երաշխիք։ Հարկ է նշել, որ հիշյալ կարգավորումը բացառում է արգելանքից հանել և շրջանառության մեջ թողնել այն գույքը, որն ապացույցների գերակշռությամբ հիմնավորվել է, որ ուղղակի կամ անուղղակի առաջացել կամ ստացվել է հանցագործության արդյունքում կամ այդ գույքի օգտագործումից ստացված եկամուտն է կամ այլ տեսակի օգուտ, հանցանքի կատարման համար օգտագործված կամ օգտագործման համար նախատեսված գործիք է կամ միջոց, Հայաստանի Հանրապետության քրեական օրենսգրքի 310-րդ հոդվածով նախատեսված ահաբեկչական գործունեությունը ֆինանսավորելուն ուղղված գույք է, այդ գույքի օգտագործումից ստացված եկամուտ կամ այլ տեսակի օգուտ, Հայաստանի Հանրապետության քրեական օրենսգրքի 291-րդ, 292-րդ, 340-րդ կամ 399-րդ հոդվածներով նախատեսված մաքսանենգության ճանապարհով Հայաստանի Հանրապետության սահմանով տեղափոխված մաքսանենգության առարկա է։ </w:t>
      </w:r>
      <w:r w:rsidRPr="007E7516">
        <w:rPr>
          <w:rFonts w:ascii="GHEA Grapalat" w:eastAsia="Calibri" w:hAnsi="GHEA Grapalat" w:cs="Sylfaen"/>
          <w:sz w:val="24"/>
          <w:szCs w:val="24"/>
          <w:lang w:val="hy-AM"/>
        </w:rPr>
        <w:lastRenderedPageBreak/>
        <w:t>Միևնույն ժամանակ, այն դեպքում, երբ նշված գույքի բացակայության դեպքում արգելադրվել է դրան համարժեք օրինական ծագում ունեցող գույք կամ գույքի արգելադրումը կիրառվել է ՀՀ քրեական դատավարության օրենսգրքի 131-րդ հոդվածի 2-րդ մասի 5-րդ կետով նախատեսված հիմքով, այն է՝ առկա է ողջամիտ ենթադրություն այն մասին, որ այդ գույքը կարող է օտարվել, թաքցվել, վնասվել, ոչնչացվել կամ սպառվել, ապա գույքի սեփականատիրոջ կամ տիրապետողի կողմից արգելադրված գույքին համարժեք բանկային երաշխիք ներկայացնելու դեպքում իրավասու մարմնի որոշմամբ այն կարող է հանվել արգելանքից։</w:t>
      </w:r>
    </w:p>
    <w:p w:rsidR="00AC657A" w:rsidRDefault="00AC657A" w:rsidP="00AC657A">
      <w:pPr>
        <w:tabs>
          <w:tab w:val="left" w:pos="851"/>
        </w:tabs>
        <w:spacing w:line="360" w:lineRule="auto"/>
        <w:ind w:firstLine="567"/>
        <w:jc w:val="both"/>
        <w:rPr>
          <w:rFonts w:ascii="GHEA Grapalat" w:hAnsi="GHEA Grapalat" w:cs="GHEA Grapalat"/>
          <w:sz w:val="24"/>
          <w:szCs w:val="24"/>
          <w:lang w:val="hy-AM"/>
        </w:rPr>
      </w:pPr>
      <w:r>
        <w:rPr>
          <w:rFonts w:ascii="GHEA Grapalat" w:eastAsia="Calibri" w:hAnsi="GHEA Grapalat" w:cs="Sylfaen"/>
          <w:b/>
          <w:bCs/>
          <w:sz w:val="24"/>
          <w:szCs w:val="24"/>
          <w:lang w:val="hy-AM"/>
        </w:rPr>
        <w:t>3</w:t>
      </w:r>
      <w:r>
        <w:rPr>
          <w:rFonts w:ascii="Cambria Math" w:eastAsia="Calibri" w:hAnsi="Cambria Math" w:cs="Cambria Math"/>
          <w:b/>
          <w:bCs/>
          <w:sz w:val="24"/>
          <w:szCs w:val="24"/>
          <w:lang w:val="hy-AM"/>
        </w:rPr>
        <w:t>.</w:t>
      </w:r>
      <w:r>
        <w:rPr>
          <w:rFonts w:ascii="GHEA Grapalat" w:eastAsia="Calibri" w:hAnsi="GHEA Grapalat" w:cs="Sylfaen"/>
          <w:b/>
          <w:bCs/>
          <w:sz w:val="24"/>
          <w:szCs w:val="24"/>
          <w:lang w:val="hy-AM"/>
        </w:rPr>
        <w:t xml:space="preserve"> Առաջարկվող</w:t>
      </w:r>
      <w:r>
        <w:rPr>
          <w:rFonts w:ascii="GHEA Grapalat" w:eastAsia="Calibri" w:hAnsi="GHEA Grapalat" w:cs="Sylfaen"/>
          <w:b/>
          <w:bCs/>
          <w:sz w:val="24"/>
          <w:szCs w:val="24"/>
          <w:lang w:val="af-ZA"/>
        </w:rPr>
        <w:t xml:space="preserve"> </w:t>
      </w:r>
      <w:r>
        <w:rPr>
          <w:rFonts w:ascii="GHEA Grapalat" w:eastAsia="Calibri" w:hAnsi="GHEA Grapalat" w:cs="Sylfaen"/>
          <w:b/>
          <w:bCs/>
          <w:sz w:val="24"/>
          <w:szCs w:val="24"/>
          <w:lang w:val="hy-AM"/>
        </w:rPr>
        <w:t>կարգավորման</w:t>
      </w:r>
      <w:r>
        <w:rPr>
          <w:rFonts w:ascii="GHEA Grapalat" w:eastAsia="Calibri" w:hAnsi="GHEA Grapalat" w:cs="Sylfaen"/>
          <w:b/>
          <w:bCs/>
          <w:sz w:val="24"/>
          <w:szCs w:val="24"/>
          <w:lang w:val="af-ZA"/>
        </w:rPr>
        <w:t xml:space="preserve"> </w:t>
      </w:r>
      <w:r>
        <w:rPr>
          <w:rFonts w:ascii="GHEA Grapalat" w:eastAsia="Calibri" w:hAnsi="GHEA Grapalat" w:cs="Sylfaen"/>
          <w:b/>
          <w:bCs/>
          <w:sz w:val="24"/>
          <w:szCs w:val="24"/>
          <w:lang w:val="hy-AM"/>
        </w:rPr>
        <w:t>բնույթը</w:t>
      </w:r>
      <w:r>
        <w:rPr>
          <w:rFonts w:ascii="GHEA Grapalat" w:eastAsia="Calibri" w:hAnsi="GHEA Grapalat" w:cs="Sylfaen"/>
          <w:b/>
          <w:bCs/>
          <w:sz w:val="24"/>
          <w:szCs w:val="24"/>
          <w:lang w:val="af-ZA"/>
        </w:rPr>
        <w:t>.</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af-ZA"/>
        </w:rPr>
      </w:pPr>
      <w:r>
        <w:rPr>
          <w:rFonts w:ascii="GHEA Grapalat" w:eastAsia="Calibri" w:hAnsi="GHEA Grapalat" w:cs="Sylfaen"/>
          <w:sz w:val="24"/>
          <w:szCs w:val="24"/>
          <w:lang w:val="af-ZA"/>
        </w:rPr>
        <w:t xml:space="preserve">Հաշվի առնելով </w:t>
      </w:r>
      <w:r>
        <w:rPr>
          <w:rFonts w:ascii="GHEA Grapalat" w:eastAsia="Calibri" w:hAnsi="GHEA Grapalat" w:cs="Sylfaen"/>
          <w:sz w:val="24"/>
          <w:szCs w:val="24"/>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Pr>
          <w:rFonts w:ascii="GHEA Grapalat" w:eastAsia="Calibri" w:hAnsi="GHEA Grapalat" w:cs="Sylfaen"/>
          <w:sz w:val="24"/>
          <w:szCs w:val="24"/>
          <w:lang w:val="pt-BR"/>
        </w:rPr>
        <w:t xml:space="preserve">, </w:t>
      </w:r>
      <w:r>
        <w:rPr>
          <w:rFonts w:ascii="GHEA Grapalat" w:eastAsia="Calibri" w:hAnsi="GHEA Grapalat" w:cs="Sylfaen"/>
          <w:sz w:val="24"/>
          <w:szCs w:val="24"/>
          <w:lang w:val="hy-AM"/>
        </w:rPr>
        <w:t>մշակվել</w:t>
      </w:r>
      <w:r>
        <w:rPr>
          <w:rFonts w:ascii="GHEA Grapalat" w:eastAsia="Calibri" w:hAnsi="GHEA Grapalat" w:cs="Sylfaen"/>
          <w:sz w:val="24"/>
          <w:szCs w:val="24"/>
          <w:lang w:val="pt-BR"/>
        </w:rPr>
        <w:t xml:space="preserve"> </w:t>
      </w:r>
      <w:r>
        <w:rPr>
          <w:rFonts w:ascii="GHEA Grapalat" w:eastAsia="Calibri" w:hAnsi="GHEA Grapalat" w:cs="Sylfaen"/>
          <w:sz w:val="24"/>
          <w:szCs w:val="24"/>
          <w:lang w:val="hy-AM"/>
        </w:rPr>
        <w:t>են նշված Նախագծերը</w:t>
      </w:r>
      <w:r>
        <w:rPr>
          <w:rFonts w:ascii="GHEA Grapalat" w:eastAsia="Calibri" w:hAnsi="GHEA Grapalat" w:cs="Sylfaen"/>
          <w:sz w:val="24"/>
          <w:szCs w:val="24"/>
          <w:lang w:val="af-ZA"/>
        </w:rPr>
        <w:t>:</w:t>
      </w:r>
    </w:p>
    <w:p w:rsidR="00AC657A" w:rsidRDefault="00AC657A" w:rsidP="00AC657A">
      <w:pPr>
        <w:tabs>
          <w:tab w:val="left" w:pos="851"/>
        </w:tabs>
        <w:spacing w:line="360" w:lineRule="auto"/>
        <w:jc w:val="both"/>
        <w:rPr>
          <w:rFonts w:ascii="GHEA Grapalat" w:eastAsia="Calibri" w:hAnsi="GHEA Grapalat" w:cs="Sylfaen"/>
          <w:b/>
          <w:sz w:val="24"/>
          <w:szCs w:val="24"/>
          <w:lang w:val="hy-AM"/>
        </w:rPr>
      </w:pPr>
      <w:r>
        <w:rPr>
          <w:rFonts w:ascii="GHEA Grapalat" w:eastAsia="Calibri" w:hAnsi="GHEA Grapalat" w:cs="Sylfaen"/>
          <w:bCs/>
          <w:color w:val="FF0000"/>
          <w:sz w:val="24"/>
          <w:szCs w:val="24"/>
          <w:lang w:val="hy-AM"/>
        </w:rPr>
        <w:t xml:space="preserve">      </w:t>
      </w:r>
      <w:r>
        <w:rPr>
          <w:rFonts w:ascii="GHEA Grapalat" w:eastAsia="Calibri" w:hAnsi="GHEA Grapalat" w:cs="Sylfaen"/>
          <w:bCs/>
          <w:sz w:val="24"/>
          <w:szCs w:val="24"/>
          <w:lang w:val="hy-AM"/>
        </w:rPr>
        <w:t xml:space="preserve"> </w:t>
      </w:r>
      <w:r>
        <w:rPr>
          <w:rFonts w:ascii="GHEA Grapalat" w:eastAsia="Calibri" w:hAnsi="GHEA Grapalat" w:cs="Sylfaen"/>
          <w:b/>
          <w:sz w:val="24"/>
          <w:szCs w:val="24"/>
          <w:lang w:val="hy-AM"/>
        </w:rPr>
        <w:t>4. Նպատակը և ակնկալվող արդյունքը.</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Նախագծերի ընդունման նպատակն է՝ </w:t>
      </w:r>
    </w:p>
    <w:p w:rsidR="00AC657A" w:rsidRDefault="00AC657A" w:rsidP="00AC657A">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 xml:space="preserve">1) բարձրացնել քրեական պատասխանատվության առաջացման գումարային շեմերը (խոշոր և առանձնապես խոշոր չափերը), </w:t>
      </w:r>
    </w:p>
    <w:p w:rsidR="000567D8" w:rsidRDefault="00AC657A" w:rsidP="00575809">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t>2) հարկային մարմնի վարչական ակտով ձևավորված պարտավորության հիմքով քրեական վարույթ նախաձեռնվի միայն այն դեպքում, երբ վարչական բողոքարկման ընթացակարգերը սպառվել են և ակտը մտել է ուժի մեջ։ Նախատեսել բացառիկ դեպք, երբ վարչական ակտի բացակայությամբ քրեական վարույթ կարող է նախաձեռնվել միայն հարկային մարմնի լիազորված պաշտոնատար անձի հիմնավորված հաղորդման և ապացույցների կորստի վտանգի առկայության դեպքում,</w:t>
      </w:r>
      <w:r w:rsidR="00A12C13">
        <w:rPr>
          <w:rFonts w:ascii="GHEA Grapalat" w:eastAsia="Calibri" w:hAnsi="GHEA Grapalat" w:cs="Sylfaen"/>
          <w:sz w:val="24"/>
          <w:szCs w:val="24"/>
          <w:lang w:val="hy-AM"/>
        </w:rPr>
        <w:t xml:space="preserve"> ինչի արդյունքում</w:t>
      </w:r>
      <w:r>
        <w:rPr>
          <w:rFonts w:ascii="GHEA Grapalat" w:eastAsia="Calibri" w:hAnsi="GHEA Grapalat" w:cs="Sylfaen"/>
          <w:sz w:val="24"/>
          <w:szCs w:val="24"/>
          <w:lang w:val="hy-AM"/>
        </w:rPr>
        <w:t xml:space="preserve"> </w:t>
      </w:r>
      <w:r w:rsidR="00A12C13">
        <w:rPr>
          <w:rFonts w:ascii="GHEA Grapalat" w:eastAsia="Calibri" w:hAnsi="GHEA Grapalat" w:cs="Sylfaen"/>
          <w:sz w:val="24"/>
          <w:szCs w:val="24"/>
          <w:lang w:val="hy-AM"/>
        </w:rPr>
        <w:t>կ</w:t>
      </w:r>
      <w:r>
        <w:rPr>
          <w:rFonts w:ascii="GHEA Grapalat" w:eastAsia="Calibri" w:hAnsi="GHEA Grapalat" w:cs="Sylfaen"/>
          <w:sz w:val="24"/>
          <w:szCs w:val="24"/>
          <w:lang w:val="hy-AM"/>
        </w:rPr>
        <w:t>ապահով</w:t>
      </w:r>
      <w:r w:rsidR="00A12C13">
        <w:rPr>
          <w:rFonts w:ascii="GHEA Grapalat" w:eastAsia="Calibri" w:hAnsi="GHEA Grapalat" w:cs="Sylfaen"/>
          <w:sz w:val="24"/>
          <w:szCs w:val="24"/>
          <w:lang w:val="hy-AM"/>
        </w:rPr>
        <w:t>վի</w:t>
      </w:r>
      <w:r>
        <w:rPr>
          <w:rFonts w:ascii="GHEA Grapalat" w:eastAsia="Calibri" w:hAnsi="GHEA Grapalat" w:cs="Sylfaen"/>
          <w:sz w:val="24"/>
          <w:szCs w:val="24"/>
          <w:lang w:val="hy-AM"/>
        </w:rPr>
        <w:t xml:space="preserve"> հարկային հսկողության իրականացման արդյունավետությունը։</w:t>
      </w:r>
    </w:p>
    <w:p w:rsidR="00AC657A" w:rsidRDefault="000567D8" w:rsidP="00575809">
      <w:pPr>
        <w:tabs>
          <w:tab w:val="left" w:pos="851"/>
        </w:tabs>
        <w:spacing w:line="360" w:lineRule="auto"/>
        <w:ind w:firstLine="567"/>
        <w:jc w:val="both"/>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3</w:t>
      </w:r>
      <w:r w:rsidR="00EB0457" w:rsidRPr="00CB7386">
        <w:rPr>
          <w:rFonts w:ascii="GHEA Grapalat" w:eastAsia="Calibri" w:hAnsi="GHEA Grapalat" w:cs="Sylfaen"/>
          <w:sz w:val="24"/>
          <w:szCs w:val="24"/>
          <w:lang w:val="hy-AM"/>
        </w:rPr>
        <w:t>)</w:t>
      </w:r>
      <w:r w:rsidRPr="00CB7386">
        <w:rPr>
          <w:lang w:val="hy-AM"/>
        </w:rPr>
        <w:t xml:space="preserve"> </w:t>
      </w:r>
      <w:r>
        <w:rPr>
          <w:rFonts w:ascii="GHEA Grapalat" w:eastAsia="Calibri" w:hAnsi="GHEA Grapalat" w:cs="Sylfaen"/>
          <w:sz w:val="24"/>
          <w:szCs w:val="24"/>
          <w:lang w:val="hy-AM"/>
        </w:rPr>
        <w:t>Ա</w:t>
      </w:r>
      <w:r w:rsidRPr="000567D8">
        <w:rPr>
          <w:rFonts w:ascii="GHEA Grapalat" w:eastAsia="Calibri" w:hAnsi="GHEA Grapalat" w:cs="Sylfaen"/>
          <w:sz w:val="24"/>
          <w:szCs w:val="24"/>
          <w:lang w:val="hy-AM"/>
        </w:rPr>
        <w:t>յլընտրանքային մեխանիզմ</w:t>
      </w:r>
      <w:r>
        <w:rPr>
          <w:rFonts w:ascii="GHEA Grapalat" w:eastAsia="Calibri" w:hAnsi="GHEA Grapalat" w:cs="Sylfaen"/>
          <w:sz w:val="24"/>
          <w:szCs w:val="24"/>
          <w:lang w:val="hy-AM"/>
        </w:rPr>
        <w:t xml:space="preserve"> ներդնելով լավարկել </w:t>
      </w:r>
      <w:r w:rsidRPr="000567D8">
        <w:rPr>
          <w:rFonts w:ascii="GHEA Grapalat" w:eastAsia="Calibri" w:hAnsi="GHEA Grapalat" w:cs="Sylfaen"/>
          <w:sz w:val="24"/>
          <w:szCs w:val="24"/>
          <w:lang w:val="hy-AM"/>
        </w:rPr>
        <w:t xml:space="preserve">գույքի արգելադրման քրեադատավարական </w:t>
      </w:r>
      <w:r>
        <w:rPr>
          <w:rFonts w:ascii="GHEA Grapalat" w:eastAsia="Calibri" w:hAnsi="GHEA Grapalat" w:cs="Sylfaen"/>
          <w:sz w:val="24"/>
          <w:szCs w:val="24"/>
          <w:lang w:val="hy-AM"/>
        </w:rPr>
        <w:t>ընթացակարգերը</w:t>
      </w:r>
      <w:r w:rsidRPr="000567D8">
        <w:rPr>
          <w:rFonts w:ascii="GHEA Grapalat" w:eastAsia="Calibri" w:hAnsi="GHEA Grapalat" w:cs="Sylfaen"/>
          <w:sz w:val="24"/>
          <w:szCs w:val="24"/>
          <w:lang w:val="hy-AM"/>
        </w:rPr>
        <w:t>:</w:t>
      </w:r>
      <w:r w:rsidR="00AC657A">
        <w:rPr>
          <w:rFonts w:ascii="GHEA Grapalat" w:eastAsia="Calibri" w:hAnsi="GHEA Grapalat" w:cs="Sylfaen"/>
          <w:sz w:val="24"/>
          <w:szCs w:val="24"/>
          <w:lang w:val="hy-AM"/>
        </w:rPr>
        <w:t xml:space="preserve"> </w:t>
      </w:r>
    </w:p>
    <w:p w:rsidR="00CD7DAD" w:rsidRDefault="00AC657A" w:rsidP="00CD7DAD">
      <w:pPr>
        <w:tabs>
          <w:tab w:val="left" w:pos="851"/>
        </w:tabs>
        <w:spacing w:line="360" w:lineRule="auto"/>
        <w:ind w:firstLine="567"/>
        <w:jc w:val="both"/>
        <w:rPr>
          <w:rFonts w:ascii="GHEA Grapalat" w:hAnsi="GHEA Grapalat" w:cs="Arial"/>
          <w:b/>
          <w:sz w:val="24"/>
          <w:szCs w:val="24"/>
          <w:lang w:val="hy-AM"/>
        </w:rPr>
      </w:pPr>
      <w:r>
        <w:rPr>
          <w:rFonts w:ascii="GHEA Grapalat" w:hAnsi="GHEA Grapalat" w:cs="Arial"/>
          <w:b/>
          <w:sz w:val="24"/>
          <w:szCs w:val="24"/>
          <w:lang w:val="hy-AM"/>
        </w:rPr>
        <w:t>5. «Կապը ռազմավարական փաստաթղթերի հետ. Հայաստանի վերափոխման ռազմավարություն 2050, Կառավարության 2021-2026թթ. ծրագիր, ոլորտային</w:t>
      </w:r>
      <w:r w:rsidR="00CD7DAD">
        <w:rPr>
          <w:rFonts w:ascii="GHEA Grapalat" w:hAnsi="GHEA Grapalat" w:cs="Arial"/>
          <w:b/>
          <w:sz w:val="24"/>
          <w:szCs w:val="24"/>
          <w:lang w:val="hy-AM"/>
        </w:rPr>
        <w:t xml:space="preserve"> և/կամ այլ ռազմավարություններ».</w:t>
      </w:r>
    </w:p>
    <w:p w:rsidR="00AC657A" w:rsidRPr="00CD7DAD" w:rsidRDefault="00AC657A" w:rsidP="00CD7DAD">
      <w:pPr>
        <w:tabs>
          <w:tab w:val="left" w:pos="851"/>
        </w:tabs>
        <w:spacing w:line="360" w:lineRule="auto"/>
        <w:ind w:firstLine="567"/>
        <w:jc w:val="both"/>
        <w:rPr>
          <w:rFonts w:ascii="GHEA Grapalat" w:hAnsi="GHEA Grapalat" w:cs="Arial"/>
          <w:b/>
          <w:sz w:val="24"/>
          <w:szCs w:val="24"/>
          <w:lang w:val="hy-AM"/>
        </w:rPr>
      </w:pPr>
      <w:r>
        <w:rPr>
          <w:rFonts w:ascii="GHEA Grapalat" w:hAnsi="GHEA Grapalat" w:cs="Sylfaen"/>
          <w:bCs/>
          <w:sz w:val="24"/>
          <w:szCs w:val="24"/>
          <w:lang w:val="hy-AM" w:eastAsia="en-US"/>
        </w:rPr>
        <w:t>Նախագծ</w:t>
      </w:r>
      <w:r w:rsidR="00EB0457">
        <w:rPr>
          <w:rFonts w:ascii="GHEA Grapalat" w:hAnsi="GHEA Grapalat" w:cs="Sylfaen"/>
          <w:bCs/>
          <w:sz w:val="24"/>
          <w:szCs w:val="24"/>
          <w:lang w:val="hy-AM" w:eastAsia="en-US"/>
        </w:rPr>
        <w:t>եր</w:t>
      </w:r>
      <w:r>
        <w:rPr>
          <w:rFonts w:ascii="GHEA Grapalat" w:hAnsi="GHEA Grapalat" w:cs="Sylfaen"/>
          <w:bCs/>
          <w:sz w:val="24"/>
          <w:szCs w:val="24"/>
          <w:lang w:val="hy-AM" w:eastAsia="en-US"/>
        </w:rPr>
        <w:t>ի ընդունումը բխում է ՀՀ պետական եկամուտների կոմիտեի նախագահի 2025 թվականի դեկտեմբերի 30-ի թիվ 1833-Լ հրամանի թիվ 2 հավելվածով հաստատված հարկային վարչարարության բարեփոխումների ռազմավարական ծրագրի Հարկային կարգապահության ամրապնդմանն ուղղված հարկային օրենսդրության կատարելագործում նպատակի 1</w:t>
      </w:r>
      <w:r>
        <w:rPr>
          <w:rFonts w:ascii="Cambria Math" w:hAnsi="Cambria Math" w:cs="Cambria Math"/>
          <w:bCs/>
          <w:sz w:val="24"/>
          <w:szCs w:val="24"/>
          <w:lang w:val="hy-AM" w:eastAsia="en-US"/>
        </w:rPr>
        <w:t>․</w:t>
      </w:r>
      <w:r>
        <w:rPr>
          <w:rFonts w:ascii="GHEA Grapalat" w:hAnsi="GHEA Grapalat" w:cs="Sylfaen"/>
          <w:bCs/>
          <w:sz w:val="24"/>
          <w:szCs w:val="24"/>
          <w:lang w:val="hy-AM" w:eastAsia="en-US"/>
        </w:rPr>
        <w:t>1</w:t>
      </w:r>
      <w:r>
        <w:rPr>
          <w:rFonts w:ascii="Cambria Math" w:hAnsi="Cambria Math" w:cs="Cambria Math"/>
          <w:bCs/>
          <w:sz w:val="24"/>
          <w:szCs w:val="24"/>
          <w:lang w:val="hy-AM" w:eastAsia="en-US"/>
        </w:rPr>
        <w:t>․</w:t>
      </w:r>
      <w:r>
        <w:rPr>
          <w:rFonts w:ascii="GHEA Grapalat" w:hAnsi="GHEA Grapalat" w:cs="Sylfaen"/>
          <w:bCs/>
          <w:sz w:val="24"/>
          <w:szCs w:val="24"/>
          <w:lang w:val="hy-AM" w:eastAsia="en-US"/>
        </w:rPr>
        <w:t xml:space="preserve">5 </w:t>
      </w:r>
      <w:r>
        <w:rPr>
          <w:rFonts w:ascii="GHEA Grapalat" w:hAnsi="GHEA Grapalat" w:cs="GHEA Grapalat"/>
          <w:bCs/>
          <w:sz w:val="24"/>
          <w:szCs w:val="24"/>
          <w:lang w:val="hy-AM" w:eastAsia="en-US"/>
        </w:rPr>
        <w:t>կետով</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նախատեսված</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«Հսկողական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գործիքակազմի</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կատարելագործմանն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այդ</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թվում՝</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հանրային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հսկողության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ուժեղացմանն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ուղղված</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օրենսդրական</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փոփոխությունների</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վերաբերյալ</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առաջարկությունների</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ներկայացում»</w:t>
      </w:r>
      <w:r>
        <w:rPr>
          <w:rFonts w:ascii="GHEA Grapalat" w:hAnsi="GHEA Grapalat" w:cs="Sylfaen"/>
          <w:bCs/>
          <w:sz w:val="24"/>
          <w:szCs w:val="24"/>
          <w:lang w:val="hy-AM" w:eastAsia="en-US"/>
        </w:rPr>
        <w:t xml:space="preserve"> </w:t>
      </w:r>
      <w:r>
        <w:rPr>
          <w:rFonts w:ascii="GHEA Grapalat" w:hAnsi="GHEA Grapalat" w:cs="GHEA Grapalat"/>
          <w:bCs/>
          <w:sz w:val="24"/>
          <w:szCs w:val="24"/>
          <w:lang w:val="hy-AM" w:eastAsia="en-US"/>
        </w:rPr>
        <w:t>միջոցառումից</w:t>
      </w:r>
      <w:r w:rsidR="000567D8">
        <w:rPr>
          <w:rFonts w:ascii="GHEA Grapalat" w:hAnsi="GHEA Grapalat" w:cs="GHEA Grapalat"/>
          <w:bCs/>
          <w:sz w:val="24"/>
          <w:szCs w:val="24"/>
          <w:lang w:val="hy-AM" w:eastAsia="en-US"/>
        </w:rPr>
        <w:t xml:space="preserve">, </w:t>
      </w:r>
      <w:r w:rsidR="000567D8" w:rsidRPr="000567D8">
        <w:rPr>
          <w:rFonts w:ascii="GHEA Grapalat" w:hAnsi="GHEA Grapalat" w:cs="GHEA Grapalat"/>
          <w:bCs/>
          <w:sz w:val="24"/>
          <w:szCs w:val="24"/>
          <w:lang w:val="hy-AM" w:eastAsia="en-US"/>
        </w:rPr>
        <w:t>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w:t>
      </w:r>
      <w:r w:rsidR="00AB3F1F">
        <w:rPr>
          <w:rFonts w:ascii="GHEA Grapalat" w:hAnsi="GHEA Grapalat" w:cs="GHEA Grapalat"/>
          <w:bCs/>
          <w:sz w:val="24"/>
          <w:szCs w:val="24"/>
          <w:lang w:val="hy-AM" w:eastAsia="en-US"/>
        </w:rPr>
        <w:t>դիրները վեր հանելու պահանջներից</w:t>
      </w:r>
      <w:r>
        <w:rPr>
          <w:rFonts w:ascii="GHEA Grapalat" w:eastAsia="Calibri" w:hAnsi="GHEA Grapalat" w:cs="Sylfaen"/>
          <w:b/>
          <w:sz w:val="24"/>
          <w:szCs w:val="24"/>
          <w:lang w:val="hy-AM"/>
        </w:rPr>
        <w:t>։</w:t>
      </w:r>
    </w:p>
    <w:p w:rsidR="00AC657A" w:rsidRDefault="00AC657A" w:rsidP="00AC657A">
      <w:pPr>
        <w:tabs>
          <w:tab w:val="left" w:pos="567"/>
        </w:tabs>
        <w:spacing w:line="360" w:lineRule="auto"/>
        <w:ind w:right="-327"/>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ab/>
        <w:t>6. Պետական բյուջեի եկամուտներում և ծախսերում սպասվելիք փոփոխությունների վերաբերյալ.</w:t>
      </w:r>
    </w:p>
    <w:p w:rsidR="00AC657A" w:rsidRDefault="00AC657A" w:rsidP="00FE4361">
      <w:pPr>
        <w:tabs>
          <w:tab w:val="left" w:pos="851"/>
        </w:tabs>
        <w:spacing w:line="360" w:lineRule="auto"/>
        <w:ind w:firstLine="567"/>
        <w:jc w:val="both"/>
        <w:rPr>
          <w:rFonts w:ascii="GHEA Grapalat" w:hAnsi="GHEA Grapalat" w:cs="GHEA Grapalat"/>
          <w:sz w:val="24"/>
          <w:szCs w:val="24"/>
          <w:lang w:val="hy-AM"/>
        </w:rPr>
      </w:pPr>
      <w:r>
        <w:rPr>
          <w:rFonts w:ascii="GHEA Grapalat" w:eastAsia="Calibri" w:hAnsi="GHEA Grapalat" w:cs="Sylfaen"/>
          <w:sz w:val="24"/>
          <w:szCs w:val="24"/>
          <w:lang w:val="hy-AM"/>
        </w:rPr>
        <w:t>Նախագծերի ընդունման կապակցությամբ պետական կամ տեղական ինքնակառավարման մարմնի բյուջեում եկամուտների և ծախսերի ավելացում կամ նվազեցում չի նախատեսվում:</w:t>
      </w:r>
      <w:bookmarkStart w:id="0" w:name="_GoBack"/>
      <w:bookmarkEnd w:id="0"/>
    </w:p>
    <w:p w:rsidR="00B237E0" w:rsidRPr="00AC657A" w:rsidRDefault="00B237E0">
      <w:pPr>
        <w:rPr>
          <w:lang w:val="hy-AM"/>
        </w:rPr>
      </w:pPr>
    </w:p>
    <w:sectPr w:rsidR="00B237E0" w:rsidRPr="00AC65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15AF4"/>
    <w:multiLevelType w:val="hybridMultilevel"/>
    <w:tmpl w:val="EF38EA4A"/>
    <w:lvl w:ilvl="0" w:tplc="AD24C7C8">
      <w:start w:val="1"/>
      <w:numFmt w:val="decimal"/>
      <w:lvlText w:val="%1."/>
      <w:lvlJc w:val="left"/>
      <w:pPr>
        <w:ind w:left="90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EC4"/>
    <w:rsid w:val="000567D8"/>
    <w:rsid w:val="000837AF"/>
    <w:rsid w:val="000A3F4B"/>
    <w:rsid w:val="000B22B1"/>
    <w:rsid w:val="000D1AF6"/>
    <w:rsid w:val="000F4527"/>
    <w:rsid w:val="001C6EF2"/>
    <w:rsid w:val="00301645"/>
    <w:rsid w:val="003F31AE"/>
    <w:rsid w:val="005702D8"/>
    <w:rsid w:val="00575809"/>
    <w:rsid w:val="006030B5"/>
    <w:rsid w:val="00757F61"/>
    <w:rsid w:val="007865F0"/>
    <w:rsid w:val="007E7516"/>
    <w:rsid w:val="008020E7"/>
    <w:rsid w:val="008343C6"/>
    <w:rsid w:val="008E36BF"/>
    <w:rsid w:val="009A31E8"/>
    <w:rsid w:val="00A12C13"/>
    <w:rsid w:val="00AB3F1F"/>
    <w:rsid w:val="00AC657A"/>
    <w:rsid w:val="00AE43DD"/>
    <w:rsid w:val="00B237E0"/>
    <w:rsid w:val="00B35B5D"/>
    <w:rsid w:val="00B86041"/>
    <w:rsid w:val="00BD0A46"/>
    <w:rsid w:val="00C04EA5"/>
    <w:rsid w:val="00C31EC4"/>
    <w:rsid w:val="00CB7386"/>
    <w:rsid w:val="00CD7DAD"/>
    <w:rsid w:val="00EB0457"/>
    <w:rsid w:val="00F65D37"/>
    <w:rsid w:val="00F76D63"/>
    <w:rsid w:val="00FE4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7DD3BD-BB56-4222-B888-35ECCF6F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57A"/>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57A"/>
    <w:pPr>
      <w:ind w:left="720"/>
      <w:contextualSpacing/>
    </w:pPr>
    <w:rPr>
      <w:rFonts w:ascii="Times New Roman" w:hAnsi="Times New Roman"/>
      <w:sz w:val="24"/>
      <w:szCs w:val="24"/>
      <w:lang w:val="ru-RU"/>
    </w:rPr>
  </w:style>
  <w:style w:type="paragraph" w:styleId="BalloonText">
    <w:name w:val="Balloon Text"/>
    <w:basedOn w:val="Normal"/>
    <w:link w:val="BalloonTextChar"/>
    <w:uiPriority w:val="99"/>
    <w:semiHidden/>
    <w:unhideWhenUsed/>
    <w:rsid w:val="00A12C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C1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3387</Words>
  <Characters>19307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Papoyan</dc:creator>
  <cp:keywords>https://mul2.gov.am/tasks/1297280/oneclick?token=62e1dcad5bcc87f11e599aac527d7962</cp:keywords>
  <dc:description/>
  <cp:lastModifiedBy>Hasmik Manukyan</cp:lastModifiedBy>
  <cp:revision>37</cp:revision>
  <dcterms:created xsi:type="dcterms:W3CDTF">2026-02-24T12:59:00Z</dcterms:created>
  <dcterms:modified xsi:type="dcterms:W3CDTF">2026-03-13T11:56:00Z</dcterms:modified>
</cp:coreProperties>
</file>