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76" w:before="0" w:after="0"/>
        <w:ind w:hanging="0" w:left="0" w:right="270"/>
        <w:jc w:val="right"/>
        <w:rPr>
          <w:rFonts w:ascii="GHEA Grapalat" w:hAnsi="GHEA Grapalat"/>
          <w:b/>
          <w:bCs/>
          <w:sz w:val="24"/>
          <w:szCs w:val="24"/>
          <w:shd w:fill="auto" w:val="clear"/>
        </w:rPr>
      </w:pPr>
      <w:r>
        <w:rPr>
          <w:b/>
          <w:bCs/>
          <w:sz w:val="24"/>
          <w:szCs w:val="24"/>
          <w:shd w:fill="auto" w:val="clear"/>
        </w:rPr>
      </w:r>
    </w:p>
    <w:p>
      <w:pPr>
        <w:pStyle w:val="Normal"/>
        <w:bidi w:val="0"/>
        <w:spacing w:lineRule="auto" w:line="276" w:before="0" w:after="0"/>
        <w:ind w:hanging="0" w:left="0" w:right="270"/>
        <w:jc w:val="center"/>
        <w:rPr>
          <w:sz w:val="24"/>
          <w:szCs w:val="24"/>
        </w:rPr>
      </w:pPr>
      <w:r>
        <w:rPr>
          <w:rFonts w:cs="Sylfaen"/>
          <w:b/>
          <w:bCs/>
          <w:sz w:val="24"/>
          <w:szCs w:val="24"/>
          <w:shd w:fill="auto" w:val="clear"/>
          <w:lang w:val="hy-AM"/>
        </w:rPr>
        <w:t>ԱՄՓՈՓԱԹԵՐԹ</w:t>
      </w:r>
    </w:p>
    <w:p>
      <w:pPr>
        <w:pStyle w:val="Normal"/>
        <w:bidi w:val="0"/>
        <w:spacing w:lineRule="auto" w:line="276"/>
        <w:jc w:val="center"/>
        <w:rPr>
          <w:sz w:val="24"/>
          <w:szCs w:val="24"/>
        </w:rPr>
      </w:pPr>
      <w:r>
        <w:rPr>
          <w:rFonts w:eastAsia="Calibri" w:cs="Sylfaen"/>
          <w:b/>
          <w:bCs/>
          <w:i w:val="false"/>
          <w:caps w:val="false"/>
          <w:smallCaps w:val="false"/>
          <w:color w:val="000000"/>
          <w:spacing w:val="0"/>
          <w:kern w:val="0"/>
          <w:sz w:val="24"/>
          <w:szCs w:val="24"/>
          <w:shd w:fill="auto" w:val="clear"/>
          <w:lang w:val="hy-AM" w:eastAsia="en-US" w:bidi="ar-SA"/>
        </w:rPr>
        <w:t>«</w:t>
      </w:r>
      <w:r>
        <w:rPr>
          <w:rFonts w:eastAsia="Calibri" w:cs="GHEA Grapalat"/>
          <w:b/>
          <w:bCs/>
          <w:i w:val="false"/>
          <w:caps w:val="false"/>
          <w:smallCaps w:val="false"/>
          <w:color w:val="000000"/>
          <w:spacing w:val="0"/>
          <w:kern w:val="0"/>
          <w:sz w:val="24"/>
          <w:szCs w:val="24"/>
          <w:shd w:fill="auto" w:val="clear"/>
          <w:lang w:val="hy-AM" w:eastAsia="ru-RU" w:bidi="ar-SA"/>
        </w:rPr>
        <w:t>ԱՐՏԱՔԻՆ ՀԵՏԱԽՈՒԶԱԿԱՆ ԳՈՐԾՈՒՆԵՈՒԹՅԱՆ ԵՎ ԱՐՏԱՔԻՆ ՀԵՏԱԽՈՒԶՈՒԹՅԱՆ ԾԱՌԱՅՈՒԹՅԱՆ ՄԱՍԻՆ» ՕՐԵՆՔՈՒՄ ՓՈՓՈԽՈՒԹՅՈՒՆՆԵՐ ԵՎ ԼՐԱՑՈՒՄՆԵՐ ԿԱՏԱՐԵԼՈՒ ՄԱՍԻՆ» ՕՐԵՆՔԻ ԵՎ ՀԱՐԱԿԻՑ ՕՐԵՆՔՆԵՐԻ ՆԱԽԱԳԾԵՐԻ</w:t>
      </w:r>
      <w:r>
        <w:rPr>
          <w:rFonts w:cs="Sylfaen"/>
          <w:b/>
          <w:bCs/>
          <w:i w:val="false"/>
          <w:caps w:val="false"/>
          <w:smallCaps w:val="false"/>
          <w:color w:val="000000"/>
          <w:spacing w:val="0"/>
          <w:sz w:val="24"/>
          <w:szCs w:val="24"/>
          <w:shd w:fill="auto" w:val="clear"/>
          <w:lang w:val="hy-AM"/>
        </w:rPr>
        <w:t xml:space="preserve"> ՎԵՐԱԲԵՐՅԱԼ</w:t>
      </w:r>
    </w:p>
    <w:p>
      <w:pPr>
        <w:pStyle w:val="Normal"/>
        <w:bidi w:val="0"/>
        <w:spacing w:lineRule="auto" w:line="276"/>
        <w:jc w:val="center"/>
        <w:rPr>
          <w:rFonts w:ascii="GHEA Grapalat" w:hAnsi="GHEA Grapalat" w:cs="Sylfaen"/>
          <w:b/>
          <w:bCs/>
          <w:i w:val="false"/>
          <w:i w:val="false"/>
          <w:caps w:val="false"/>
          <w:smallCaps w:val="false"/>
          <w:color w:val="000000"/>
          <w:spacing w:val="0"/>
          <w:sz w:val="24"/>
          <w:szCs w:val="24"/>
          <w:shd w:fill="auto" w:val="clear"/>
          <w:lang w:val="hy-AM"/>
        </w:rPr>
      </w:pPr>
      <w:r>
        <w:rPr>
          <w:rFonts w:cs="Sylfaen"/>
          <w:b/>
          <w:bCs/>
          <w:i w:val="false"/>
          <w:caps w:val="false"/>
          <w:smallCaps w:val="false"/>
          <w:color w:val="000000"/>
          <w:spacing w:val="0"/>
          <w:sz w:val="24"/>
          <w:szCs w:val="24"/>
          <w:shd w:fill="auto" w:val="clear"/>
          <w:lang w:val="hy-AM"/>
        </w:rPr>
      </w:r>
    </w:p>
    <w:tbl>
      <w:tblPr>
        <w:tblW w:w="14691" w:type="dxa"/>
        <w:jc w:val="left"/>
        <w:tblInd w:w="-5" w:type="dxa"/>
        <w:tblLayout w:type="fixed"/>
        <w:tblCellMar>
          <w:top w:w="0" w:type="dxa"/>
          <w:left w:w="108" w:type="dxa"/>
          <w:bottom w:w="0" w:type="dxa"/>
          <w:right w:w="108" w:type="dxa"/>
        </w:tblCellMar>
      </w:tblPr>
      <w:tblGrid>
        <w:gridCol w:w="9656"/>
        <w:gridCol w:w="5034"/>
      </w:tblGrid>
      <w:tr>
        <w:trPr/>
        <w:tc>
          <w:tcPr>
            <w:tcW w:w="9656" w:type="dxa"/>
            <w:vMerge w:val="restart"/>
            <w:tcBorders>
              <w:top w:val="single" w:sz="4" w:space="0" w:color="000000"/>
              <w:left w:val="single" w:sz="4" w:space="0" w:color="000000"/>
              <w:bottom w:val="single" w:sz="4" w:space="0" w:color="000000"/>
              <w:right w:val="single" w:sz="4" w:space="0" w:color="000000"/>
            </w:tcBorders>
            <w:shd w:fill="DDE8CB" w:val="clear"/>
          </w:tcPr>
          <w:p>
            <w:pPr>
              <w:pStyle w:val="Normal"/>
              <w:widowControl w:val="false"/>
              <w:suppressAutoHyphens w:val="true"/>
              <w:bidi w:val="0"/>
              <w:spacing w:lineRule="auto" w:line="276" w:before="0" w:after="0"/>
              <w:jc w:val="center"/>
              <w:rPr>
                <w:sz w:val="24"/>
                <w:szCs w:val="24"/>
              </w:rPr>
            </w:pPr>
            <w:r>
              <w:rPr>
                <w:rFonts w:eastAsia="Calibri"/>
                <w:b/>
                <w:kern w:val="0"/>
                <w:sz w:val="24"/>
                <w:szCs w:val="24"/>
                <w:lang w:val="hy-AM" w:eastAsia="en-US" w:bidi="ar-SA"/>
              </w:rPr>
              <w:t>1․ ՀՀ Նախագահի աշխատակազմ</w:t>
            </w:r>
          </w:p>
        </w:tc>
        <w:tc>
          <w:tcPr>
            <w:tcW w:w="5034" w:type="dxa"/>
            <w:tcBorders>
              <w:top w:val="single" w:sz="4" w:space="0" w:color="000000"/>
              <w:left w:val="single" w:sz="4" w:space="0" w:color="000000"/>
              <w:bottom w:val="single" w:sz="4" w:space="0" w:color="000000"/>
              <w:right w:val="single" w:sz="4" w:space="0" w:color="000000"/>
            </w:tcBorders>
            <w:shd w:fill="DDE8CB" w:val="clear"/>
          </w:tcPr>
          <w:p>
            <w:pPr>
              <w:pStyle w:val="Normal"/>
              <w:widowControl w:val="false"/>
              <w:suppressAutoHyphens w:val="true"/>
              <w:bidi w:val="0"/>
              <w:spacing w:lineRule="auto" w:line="276" w:before="0" w:after="0"/>
              <w:jc w:val="center"/>
              <w:rPr>
                <w:sz w:val="24"/>
                <w:szCs w:val="24"/>
              </w:rPr>
            </w:pPr>
            <w:r>
              <w:rPr>
                <w:b/>
                <w:sz w:val="24"/>
                <w:szCs w:val="24"/>
                <w:lang w:val="hy-AM"/>
              </w:rPr>
              <w:t>18․07․2025</w:t>
            </w:r>
          </w:p>
        </w:tc>
      </w:tr>
      <w:tr>
        <w:trPr/>
        <w:tc>
          <w:tcPr>
            <w:tcW w:w="9656" w:type="dxa"/>
            <w:vMerge w:val="continue"/>
            <w:tcBorders>
              <w:top w:val="single" w:sz="4" w:space="0" w:color="000000"/>
              <w:left w:val="single" w:sz="4" w:space="0" w:color="000000"/>
              <w:bottom w:val="single" w:sz="4" w:space="0" w:color="000000"/>
              <w:right w:val="single" w:sz="4" w:space="0" w:color="000000"/>
            </w:tcBorders>
            <w:shd w:fill="DDE8CB" w:val="clear"/>
          </w:tcPr>
          <w:p>
            <w:pPr>
              <w:pStyle w:val="Normal"/>
              <w:bidi w:val="0"/>
              <w:spacing w:lineRule="auto" w:line="276"/>
              <w:jc w:val="left"/>
              <w:rPr>
                <w:rFonts w:ascii="GHEA Grapalat" w:hAnsi="GHEA Grapalat"/>
                <w:sz w:val="24"/>
                <w:szCs w:val="24"/>
              </w:rPr>
            </w:pPr>
            <w:r>
              <w:rPr>
                <w:sz w:val="24"/>
                <w:szCs w:val="24"/>
              </w:rPr>
            </w:r>
          </w:p>
        </w:tc>
        <w:tc>
          <w:tcPr>
            <w:tcW w:w="5034" w:type="dxa"/>
            <w:tcBorders>
              <w:top w:val="single" w:sz="4" w:space="0" w:color="000000"/>
              <w:left w:val="single" w:sz="4" w:space="0" w:color="000000"/>
              <w:bottom w:val="single" w:sz="4" w:space="0" w:color="000000"/>
              <w:right w:val="single" w:sz="4" w:space="0" w:color="000000"/>
            </w:tcBorders>
            <w:shd w:fill="DDE8CB" w:val="clear"/>
          </w:tcPr>
          <w:p>
            <w:pPr>
              <w:pStyle w:val="Normal"/>
              <w:widowControl w:val="false"/>
              <w:suppressAutoHyphens w:val="true"/>
              <w:bidi w:val="0"/>
              <w:spacing w:lineRule="auto" w:line="276" w:before="0" w:after="0"/>
              <w:jc w:val="center"/>
              <w:rPr>
                <w:sz w:val="24"/>
                <w:szCs w:val="24"/>
              </w:rPr>
            </w:pPr>
            <w:r>
              <w:rPr>
                <w:b/>
                <w:sz w:val="24"/>
                <w:szCs w:val="24"/>
                <w:lang w:val="hy-AM"/>
              </w:rPr>
              <w:t>N ԱՂ֊607֊2025</w:t>
            </w:r>
          </w:p>
        </w:tc>
      </w:tr>
      <w:tr>
        <w:trPr>
          <w:trHeight w:val="703" w:hRule="atLeast"/>
        </w:trPr>
        <w:tc>
          <w:tcPr>
            <w:tcW w:w="96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lineRule="auto" w:line="276" w:before="0" w:after="0"/>
              <w:jc w:val="center"/>
              <w:rPr>
                <w:sz w:val="24"/>
                <w:szCs w:val="24"/>
              </w:rPr>
            </w:pPr>
            <w:r>
              <w:rPr>
                <w:sz w:val="24"/>
                <w:szCs w:val="24"/>
              </w:rPr>
              <w:t>Առաջարկություններ և դիտողություններ չկան</w:t>
            </w:r>
          </w:p>
        </w:tc>
        <w:tc>
          <w:tcPr>
            <w:tcW w:w="503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lineRule="auto" w:line="276" w:before="0" w:after="0"/>
              <w:jc w:val="left"/>
              <w:rPr>
                <w:rFonts w:ascii="GHEA Grapalat" w:hAnsi="GHEA Grapalat"/>
                <w:b/>
                <w:bCs/>
                <w:sz w:val="24"/>
                <w:szCs w:val="24"/>
                <w:lang w:val="hy-AM"/>
              </w:rPr>
            </w:pPr>
            <w:r>
              <w:rPr>
                <w:b/>
                <w:bCs/>
                <w:sz w:val="24"/>
                <w:szCs w:val="24"/>
                <w:lang w:val="hy-AM"/>
              </w:rPr>
            </w:r>
          </w:p>
          <w:p>
            <w:pPr>
              <w:pStyle w:val="Normal"/>
              <w:widowControl w:val="false"/>
              <w:tabs>
                <w:tab w:val="clear" w:pos="709"/>
                <w:tab w:val="left" w:pos="4775" w:leader="none"/>
              </w:tabs>
              <w:suppressAutoHyphens w:val="true"/>
              <w:bidi w:val="0"/>
              <w:spacing w:lineRule="auto" w:line="276" w:before="0" w:after="0"/>
              <w:jc w:val="both"/>
              <w:rPr>
                <w:rFonts w:ascii="GHEA Grapalat" w:hAnsi="GHEA Grapalat" w:eastAsia="Times New Roman" w:cs="Times New Roman"/>
                <w:b/>
                <w:bCs/>
                <w:i w:val="false"/>
                <w:i w:val="false"/>
                <w:caps w:val="false"/>
                <w:smallCaps w:val="false"/>
                <w:color w:val="000000"/>
                <w:spacing w:val="0"/>
                <w:sz w:val="24"/>
                <w:szCs w:val="24"/>
                <w:lang w:val="hy-AM"/>
              </w:rPr>
            </w:pPr>
            <w:r>
              <w:rPr>
                <w:rFonts w:eastAsia="Times New Roman" w:cs="Times New Roman"/>
                <w:b/>
                <w:bCs/>
                <w:i w:val="false"/>
                <w:caps w:val="false"/>
                <w:smallCaps w:val="false"/>
                <w:color w:val="000000"/>
                <w:spacing w:val="0"/>
                <w:sz w:val="24"/>
                <w:szCs w:val="24"/>
                <w:lang w:val="hy-AM"/>
              </w:rPr>
            </w:r>
          </w:p>
        </w:tc>
      </w:tr>
      <w:tr>
        <w:trPr>
          <w:trHeight w:val="450" w:hRule="atLeast"/>
        </w:trPr>
        <w:tc>
          <w:tcPr>
            <w:tcW w:w="9656" w:type="dxa"/>
            <w:vMerge w:val="restart"/>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2․ ՀՀ ներքին գործերի նախարարություն</w:t>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before="0" w:after="103"/>
              <w:jc w:val="center"/>
              <w:rPr>
                <w:sz w:val="24"/>
                <w:szCs w:val="24"/>
              </w:rPr>
            </w:pPr>
            <w:r>
              <w:rPr>
                <w:b/>
                <w:bCs/>
                <w:sz w:val="24"/>
                <w:szCs w:val="24"/>
              </w:rPr>
              <w:t>21․07․2025</w:t>
            </w:r>
          </w:p>
        </w:tc>
      </w:tr>
      <w:tr>
        <w:trPr>
          <w:trHeight w:val="400" w:hRule="atLeast"/>
        </w:trPr>
        <w:tc>
          <w:tcPr>
            <w:tcW w:w="9656" w:type="dxa"/>
            <w:vMerge w:val="continue"/>
            <w:tcBorders>
              <w:left w:val="single" w:sz="4" w:space="0" w:color="000000"/>
              <w:bottom w:val="single" w:sz="4" w:space="0" w:color="000000"/>
              <w:right w:val="single" w:sz="4" w:space="0" w:color="000000"/>
            </w:tcBorders>
            <w:shd w:fill="DDE8CB" w:val="clear"/>
          </w:tcPr>
          <w:p>
            <w:pPr>
              <w:pStyle w:val="Normal"/>
              <w:bidi w:val="0"/>
              <w:spacing w:lineRule="auto" w:line="276"/>
              <w:jc w:val="left"/>
              <w:rPr>
                <w:rFonts w:ascii="GHEA Grapalat" w:hAnsi="GHEA Grapalat"/>
                <w:sz w:val="24"/>
                <w:szCs w:val="24"/>
              </w:rPr>
            </w:pPr>
            <w:r>
              <w:rPr>
                <w:sz w:val="24"/>
                <w:szCs w:val="24"/>
              </w:rPr>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before="0" w:after="103"/>
              <w:jc w:val="center"/>
              <w:rPr>
                <w:sz w:val="24"/>
                <w:szCs w:val="24"/>
              </w:rPr>
            </w:pPr>
            <w:r>
              <w:rPr>
                <w:b/>
                <w:bCs/>
                <w:sz w:val="24"/>
                <w:szCs w:val="24"/>
              </w:rPr>
              <w:t>N 43/6/192058-25</w:t>
            </w:r>
          </w:p>
        </w:tc>
      </w:tr>
      <w:tr>
        <w:trPr>
          <w:trHeight w:val="577" w:hRule="atLeast"/>
        </w:trPr>
        <w:tc>
          <w:tcPr>
            <w:tcW w:w="9656" w:type="dxa"/>
            <w:tcBorders>
              <w:left w:val="single" w:sz="4" w:space="0" w:color="000000"/>
              <w:bottom w:val="single" w:sz="4" w:space="0" w:color="000000"/>
              <w:right w:val="single" w:sz="4" w:space="0" w:color="000000"/>
            </w:tcBorders>
          </w:tcPr>
          <w:p>
            <w:pPr>
              <w:pStyle w:val="Normal"/>
              <w:widowControl w:val="false"/>
              <w:bidi w:val="0"/>
              <w:spacing w:lineRule="auto" w:line="276" w:before="0" w:after="0"/>
              <w:jc w:val="center"/>
              <w:rPr>
                <w:sz w:val="24"/>
                <w:szCs w:val="24"/>
              </w:rPr>
            </w:pPr>
            <w:r>
              <w:rPr>
                <w:b w:val="false"/>
                <w:bCs w:val="false"/>
                <w:sz w:val="24"/>
                <w:szCs w:val="24"/>
                <w:lang w:val="hy-AM"/>
              </w:rPr>
              <w:t>Առաջարկություններ և առարկություններ չկան</w:t>
            </w:r>
          </w:p>
        </w:tc>
        <w:tc>
          <w:tcPr>
            <w:tcW w:w="5034" w:type="dxa"/>
            <w:tcBorders>
              <w:left w:val="single" w:sz="4" w:space="0" w:color="000000"/>
              <w:bottom w:val="single" w:sz="4" w:space="0" w:color="000000"/>
              <w:right w:val="single" w:sz="4" w:space="0" w:color="000000"/>
            </w:tcBorders>
          </w:tcPr>
          <w:p>
            <w:pPr>
              <w:pStyle w:val="Normal"/>
              <w:widowControl w:val="false"/>
              <w:bidi w:val="0"/>
              <w:spacing w:lineRule="auto" w:line="276" w:before="0" w:after="0"/>
              <w:jc w:val="center"/>
              <w:rPr>
                <w:rFonts w:ascii="GHEA Grapalat" w:hAnsi="GHEA Grapalat" w:cs="GHEA Grapalat"/>
                <w:b/>
                <w:bCs/>
                <w:color w:val="000000"/>
                <w:sz w:val="24"/>
                <w:szCs w:val="24"/>
                <w:shd w:fill="auto" w:val="clear"/>
                <w:lang w:eastAsia="ru-RU"/>
              </w:rPr>
            </w:pPr>
            <w:r>
              <w:rPr>
                <w:rFonts w:cs="GHEA Grapalat"/>
                <w:b/>
                <w:bCs/>
                <w:color w:val="000000"/>
                <w:sz w:val="24"/>
                <w:szCs w:val="24"/>
                <w:shd w:fill="auto" w:val="clear"/>
                <w:lang w:eastAsia="ru-RU"/>
              </w:rPr>
            </w:r>
          </w:p>
        </w:tc>
      </w:tr>
      <w:tr>
        <w:trPr>
          <w:trHeight w:val="450" w:hRule="atLeast"/>
        </w:trPr>
        <w:tc>
          <w:tcPr>
            <w:tcW w:w="9656" w:type="dxa"/>
            <w:vMerge w:val="restart"/>
            <w:tcBorders>
              <w:left w:val="single" w:sz="4" w:space="0" w:color="000000"/>
              <w:bottom w:val="single" w:sz="4" w:space="0" w:color="000000"/>
            </w:tcBorders>
            <w:shd w:fill="DDE8CB" w:val="clear"/>
          </w:tcPr>
          <w:p>
            <w:pPr>
              <w:pStyle w:val="Normal"/>
              <w:bidi w:val="0"/>
              <w:spacing w:lineRule="auto" w:line="276"/>
              <w:jc w:val="center"/>
              <w:rPr>
                <w:sz w:val="24"/>
                <w:szCs w:val="24"/>
              </w:rPr>
            </w:pPr>
            <w:r>
              <w:rPr>
                <w:b/>
                <w:bCs/>
                <w:sz w:val="24"/>
                <w:szCs w:val="24"/>
              </w:rPr>
              <w:t>3.  ՀՀ պաշտպանության նախարարություն</w:t>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28․07․2025</w:t>
            </w:r>
          </w:p>
        </w:tc>
      </w:tr>
      <w:tr>
        <w:trPr>
          <w:trHeight w:val="498" w:hRule="atLeast"/>
        </w:trPr>
        <w:tc>
          <w:tcPr>
            <w:tcW w:w="9656" w:type="dxa"/>
            <w:vMerge w:val="continue"/>
            <w:tcBorders>
              <w:left w:val="single" w:sz="4" w:space="0" w:color="000000"/>
              <w:bottom w:val="single" w:sz="4" w:space="0" w:color="000000"/>
            </w:tcBorders>
            <w:shd w:fill="DDE8CB" w:val="clear"/>
          </w:tcPr>
          <w:p>
            <w:pPr>
              <w:pStyle w:val="Normal"/>
              <w:bidi w:val="0"/>
              <w:spacing w:lineRule="auto" w:line="276"/>
              <w:jc w:val="left"/>
              <w:rPr>
                <w:rFonts w:ascii="GHEA Grapalat" w:hAnsi="GHEA Grapalat"/>
                <w:sz w:val="24"/>
                <w:szCs w:val="24"/>
              </w:rPr>
            </w:pPr>
            <w:r>
              <w:rPr>
                <w:sz w:val="24"/>
                <w:szCs w:val="24"/>
              </w:rPr>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N ՊՆ/01/8813</w:t>
            </w:r>
          </w:p>
        </w:tc>
      </w:tr>
      <w:tr>
        <w:trPr>
          <w:trHeight w:val="812" w:hRule="atLeast"/>
        </w:trPr>
        <w:tc>
          <w:tcPr>
            <w:tcW w:w="9656" w:type="dxa"/>
            <w:tcBorders>
              <w:left w:val="single" w:sz="4" w:space="0" w:color="000000"/>
              <w:bottom w:val="single" w:sz="4" w:space="0" w:color="000000"/>
              <w:right w:val="single" w:sz="4" w:space="0" w:color="000000"/>
            </w:tcBorders>
          </w:tcPr>
          <w:p>
            <w:pPr>
              <w:pStyle w:val="Normal"/>
              <w:widowControl w:val="false"/>
              <w:bidi w:val="0"/>
              <w:spacing w:lineRule="auto" w:line="276" w:before="0" w:after="0"/>
              <w:jc w:val="center"/>
              <w:rPr>
                <w:sz w:val="24"/>
                <w:szCs w:val="24"/>
              </w:rPr>
            </w:pPr>
            <w:r>
              <w:rPr>
                <w:b w:val="false"/>
                <w:bCs w:val="false"/>
                <w:sz w:val="24"/>
                <w:szCs w:val="24"/>
                <w:lang w:val="hy-AM"/>
              </w:rPr>
              <w:t xml:space="preserve"> </w:t>
            </w:r>
            <w:r>
              <w:rPr>
                <w:b w:val="false"/>
                <w:bCs w:val="false"/>
                <w:sz w:val="24"/>
                <w:szCs w:val="24"/>
                <w:lang w:val="hy-AM"/>
              </w:rPr>
              <w:t>Առաջարկություններ և դիտողություններ չկան</w:t>
            </w:r>
          </w:p>
        </w:tc>
        <w:tc>
          <w:tcPr>
            <w:tcW w:w="5034" w:type="dxa"/>
            <w:tcBorders>
              <w:left w:val="single" w:sz="4" w:space="0" w:color="000000"/>
              <w:bottom w:val="single" w:sz="4" w:space="0" w:color="000000"/>
              <w:right w:val="single" w:sz="4" w:space="0" w:color="000000"/>
            </w:tcBorders>
          </w:tcPr>
          <w:p>
            <w:pPr>
              <w:pStyle w:val="Normal"/>
              <w:widowControl w:val="false"/>
              <w:bidi w:val="0"/>
              <w:spacing w:lineRule="auto" w:line="276" w:before="0" w:after="0"/>
              <w:jc w:val="both"/>
              <w:rPr>
                <w:rFonts w:ascii="GHEA Grapalat" w:hAnsi="GHEA Grapalat"/>
                <w:b w:val="false"/>
                <w:bCs w:val="false"/>
                <w:sz w:val="24"/>
                <w:szCs w:val="24"/>
                <w:lang w:val="hy-AM"/>
              </w:rPr>
            </w:pPr>
            <w:r>
              <w:rPr>
                <w:b w:val="false"/>
                <w:bCs w:val="false"/>
                <w:sz w:val="24"/>
                <w:szCs w:val="24"/>
                <w:lang w:val="hy-AM"/>
              </w:rPr>
            </w:r>
          </w:p>
        </w:tc>
      </w:tr>
      <w:tr>
        <w:trPr>
          <w:trHeight w:val="341" w:hRule="atLeast"/>
        </w:trPr>
        <w:tc>
          <w:tcPr>
            <w:tcW w:w="9656" w:type="dxa"/>
            <w:vMerge w:val="restart"/>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4․ ՀՀ ազգային անվտանգության ծառայություն</w:t>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23․10․2025</w:t>
            </w:r>
          </w:p>
        </w:tc>
      </w:tr>
      <w:tr>
        <w:trPr>
          <w:trHeight w:val="301" w:hRule="atLeast"/>
        </w:trPr>
        <w:tc>
          <w:tcPr>
            <w:tcW w:w="9656" w:type="dxa"/>
            <w:vMerge w:val="continue"/>
            <w:tcBorders>
              <w:left w:val="single" w:sz="4" w:space="0" w:color="000000"/>
              <w:bottom w:val="single" w:sz="4" w:space="0" w:color="000000"/>
              <w:right w:val="single" w:sz="4" w:space="0" w:color="000000"/>
            </w:tcBorders>
            <w:shd w:fill="DDE8CB" w:val="clear"/>
          </w:tcPr>
          <w:p>
            <w:pPr>
              <w:pStyle w:val="Normal"/>
              <w:bidi w:val="0"/>
              <w:spacing w:lineRule="auto" w:line="276"/>
              <w:jc w:val="left"/>
              <w:rPr>
                <w:rFonts w:ascii="GHEA Grapalat" w:hAnsi="GHEA Grapalat"/>
                <w:sz w:val="24"/>
                <w:szCs w:val="24"/>
              </w:rPr>
            </w:pPr>
            <w:r>
              <w:rPr>
                <w:sz w:val="24"/>
                <w:szCs w:val="24"/>
              </w:rPr>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N 11/359</w:t>
            </w:r>
          </w:p>
        </w:tc>
      </w:tr>
      <w:tr>
        <w:trPr>
          <w:trHeight w:val="597" w:hRule="atLeast"/>
        </w:trPr>
        <w:tc>
          <w:tcPr>
            <w:tcW w:w="9656" w:type="dxa"/>
            <w:tcBorders>
              <w:left w:val="single" w:sz="4" w:space="0" w:color="000000"/>
              <w:bottom w:val="single" w:sz="4" w:space="0" w:color="000000"/>
              <w:right w:val="single" w:sz="4" w:space="0" w:color="000000"/>
            </w:tcBorders>
          </w:tcPr>
          <w:p>
            <w:pPr>
              <w:pStyle w:val="Normal"/>
              <w:bidi w:val="0"/>
              <w:spacing w:lineRule="auto" w:line="276"/>
              <w:jc w:val="center"/>
              <w:rPr>
                <w:sz w:val="24"/>
                <w:szCs w:val="24"/>
              </w:rPr>
            </w:pPr>
            <w:r>
              <w:rPr>
                <w:sz w:val="24"/>
                <w:szCs w:val="24"/>
                <w:shd w:fill="auto" w:val="clear"/>
              </w:rPr>
              <w:t>Առաջարկություններ չկան</w:t>
            </w:r>
          </w:p>
          <w:p>
            <w:pPr>
              <w:pStyle w:val="Normal"/>
              <w:bidi w:val="0"/>
              <w:spacing w:lineRule="auto" w:line="276"/>
              <w:jc w:val="center"/>
              <w:rPr>
                <w:rFonts w:ascii="GHEA Grapalat" w:hAnsi="GHEA Grapalat"/>
                <w:sz w:val="24"/>
                <w:szCs w:val="24"/>
                <w:shd w:fill="auto" w:val="clear"/>
              </w:rPr>
            </w:pPr>
            <w:r>
              <w:rPr>
                <w:sz w:val="24"/>
                <w:szCs w:val="24"/>
                <w:shd w:fill="auto" w:val="clear"/>
              </w:rPr>
            </w:r>
          </w:p>
        </w:tc>
        <w:tc>
          <w:tcPr>
            <w:tcW w:w="5034" w:type="dxa"/>
            <w:tcBorders>
              <w:left w:val="single" w:sz="4" w:space="0" w:color="000000"/>
              <w:bottom w:val="single" w:sz="4" w:space="0" w:color="000000"/>
              <w:right w:val="single" w:sz="4" w:space="0" w:color="000000"/>
            </w:tcBorders>
          </w:tcPr>
          <w:p>
            <w:pPr>
              <w:pStyle w:val="Normal"/>
              <w:widowControl w:val="false"/>
              <w:bidi w:val="0"/>
              <w:spacing w:lineRule="auto" w:line="276" w:before="0" w:after="0"/>
              <w:jc w:val="center"/>
              <w:rPr>
                <w:rFonts w:ascii="GHEA Grapalat" w:hAnsi="GHEA Grapalat"/>
                <w:b/>
                <w:bCs/>
                <w:sz w:val="24"/>
                <w:szCs w:val="24"/>
                <w:lang w:val="hy-AM"/>
              </w:rPr>
            </w:pPr>
            <w:r>
              <w:rPr>
                <w:b/>
                <w:bCs/>
                <w:sz w:val="24"/>
                <w:szCs w:val="24"/>
                <w:lang w:val="hy-AM"/>
              </w:rPr>
            </w:r>
          </w:p>
        </w:tc>
      </w:tr>
      <w:tr>
        <w:trPr>
          <w:trHeight w:val="368" w:hRule="atLeast"/>
        </w:trPr>
        <w:tc>
          <w:tcPr>
            <w:tcW w:w="9656" w:type="dxa"/>
            <w:vMerge w:val="restart"/>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5․ ՀՀ արդարադատության նախարարություն</w:t>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31․10․2025</w:t>
            </w:r>
          </w:p>
        </w:tc>
      </w:tr>
      <w:tr>
        <w:trPr>
          <w:trHeight w:val="503" w:hRule="atLeast"/>
        </w:trPr>
        <w:tc>
          <w:tcPr>
            <w:tcW w:w="9656" w:type="dxa"/>
            <w:vMerge w:val="continue"/>
            <w:tcBorders>
              <w:left w:val="single" w:sz="4" w:space="0" w:color="000000"/>
              <w:bottom w:val="single" w:sz="4" w:space="0" w:color="000000"/>
              <w:right w:val="single" w:sz="4" w:space="0" w:color="000000"/>
            </w:tcBorders>
            <w:shd w:fill="DDE8CB" w:val="clear"/>
          </w:tcPr>
          <w:p>
            <w:pPr>
              <w:pStyle w:val="Normal"/>
              <w:bidi w:val="0"/>
              <w:spacing w:lineRule="auto" w:line="276"/>
              <w:jc w:val="left"/>
              <w:rPr>
                <w:rFonts w:ascii="GHEA Grapalat" w:hAnsi="GHEA Grapalat"/>
                <w:sz w:val="24"/>
                <w:szCs w:val="24"/>
              </w:rPr>
            </w:pPr>
            <w:r>
              <w:rPr>
                <w:sz w:val="24"/>
                <w:szCs w:val="24"/>
              </w:rPr>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N //27․0․1/48277֊2025</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rPr>
              <w:t>««Արտաքին հետախուզական գործունեության և արտաքին հետախուզության ծառայության մասին» օրենքում փոփոխություններ և լրացումներ կատարելու մասին»</w:t>
            </w:r>
            <w:r>
              <w:rPr>
                <w:rFonts w:cs="GHEA Grapalat" w:ascii="GHEA Grapalat" w:hAnsi="GHEA Grapalat"/>
                <w:bCs/>
                <w:sz w:val="24"/>
                <w:szCs w:val="24"/>
                <w:lang w:val="hy-AM"/>
              </w:rPr>
              <w:t xml:space="preserve"> օրենքի նախագծի (այսուհետ՝ Նախագիծ) վերաբերյալ հայտնում ենք հետևյալը՝</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1․ Նախագծի 3-րդ հոդվածով լրացվող Օրենքի  12֊րդ հոդվածի 4-րդ մասի համաձայն՝ Օտարերկրյա պետություններ, այդ թվում՝ Հայաստանի Հանրապետության ներկայացուցչություններ </w:t>
            </w:r>
            <w:r>
              <w:rPr>
                <w:rFonts w:cs="GHEA Grapalat" w:ascii="GHEA Grapalat" w:hAnsi="GHEA Grapalat"/>
                <w:b/>
                <w:bCs/>
                <w:sz w:val="24"/>
                <w:szCs w:val="24"/>
                <w:lang w:val="hy-AM"/>
              </w:rPr>
              <w:t>գործուղված ծառայողները սեփական անվտանգության ապահովմանն ուղղված գործառույթներից բացի իրականացում են նաև արտաքին հակահետախուզական գործառույթներ</w:t>
            </w:r>
            <w:r>
              <w:rPr>
                <w:rFonts w:cs="GHEA Grapalat" w:ascii="GHEA Grapalat" w:hAnsi="GHEA Grapalat"/>
                <w:bCs/>
                <w:sz w:val="24"/>
                <w:szCs w:val="24"/>
                <w:lang w:val="hy-AM"/>
              </w:rPr>
              <w:t>՝ Վարչապետի որոշմամբ սահմանված դեպքերում և կարգով համագործակցելով ՀՀ ազգային անվտանգության ծառայության հետ։»։ Առաջարկում ենք վերանայել նշված կետը, քանի որ ստացվում է, որ ծառայողը գործուղվում է սեփական անվտանգության ապահովմանն ուղղված գործառույթներ իրականացնելու նպատակով և միաժամանակ իրականացնում արտաքին հակահետախուզական գործառույթներ, այնինչ կարծում ենք գործուղման բուն նպատակը պետք է լինի արտաքին հակահետախուզական գործառույթների իրականացումը։</w:t>
            </w:r>
          </w:p>
        </w:tc>
        <w:tc>
          <w:tcPr>
            <w:tcW w:w="5034" w:type="dxa"/>
            <w:tcBorders>
              <w:left w:val="single" w:sz="4" w:space="0" w:color="000000"/>
              <w:bottom w:val="single" w:sz="4" w:space="0" w:color="000000"/>
              <w:right w:val="single" w:sz="4" w:space="0" w:color="000000"/>
            </w:tcBorders>
          </w:tcPr>
          <w:p>
            <w:pPr>
              <w:pStyle w:val="voroshmanbody"/>
              <w:widowControl/>
              <w:numPr>
                <w:ilvl w:val="0"/>
                <w:numId w:val="0"/>
              </w:numPr>
              <w:suppressAutoHyphens w:val="true"/>
              <w:bidi w:val="0"/>
              <w:spacing w:lineRule="auto" w:line="276"/>
              <w:ind w:hanging="0" w:left="0"/>
              <w:jc w:val="center"/>
              <w:rPr>
                <w:sz w:val="24"/>
                <w:szCs w:val="24"/>
              </w:rPr>
            </w:pPr>
            <w:r>
              <w:rPr>
                <w:rFonts w:cs="GHEA Grapalat" w:ascii="GHEA Grapalat" w:hAnsi="GHEA Grapalat"/>
                <w:b/>
                <w:bCs/>
                <w:color w:val="auto"/>
                <w:sz w:val="24"/>
                <w:szCs w:val="24"/>
                <w:lang w:val="hy-AM" w:bidi="hi-IN"/>
              </w:rPr>
              <w:t>1․ Ընդունվել է ի գիտություն</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Նախագծի 3֊րդ հոդվածով լրացվող 20․1 կետով արդեն իսկ նշվել է, թե ինչ ծավալով է Ծառայությունն իրականացնելու հակահետախուզական գործառույթ, իսկ 4֊րդ մասում հստակ նշվել է, որ օտարերկրյա պետություն գործուղված ԱՀԾ ծառայողը արտաքին հակահետախուզական գործառույթն իրականացնում է համագործակցելով ՀՀ ազգային անվտանգության ծառայության հետ, որի իրականացման դեպքերն ու կարգը կսահմանվեն Վարչապետի որոշմամբ (գաղտնի ընթացակարգով)։</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2․Նախագծի 4-րդ հոդվածով նոր լրացվող Օրենքի 13-րդ հոդվածի 8-րդ մասի համաձայն՝ </w:t>
            </w:r>
            <w:r>
              <w:rPr>
                <w:rFonts w:cs="GHEA Grapalat" w:ascii="GHEA Grapalat" w:hAnsi="GHEA Grapalat"/>
                <w:b/>
                <w:bCs/>
                <w:i/>
                <w:sz w:val="24"/>
                <w:szCs w:val="24"/>
                <w:lang w:val="hy-AM"/>
              </w:rPr>
              <w:t>ծառայության զենքերի և հատուկ միջոցների ցանկը, դրանց հաշվառման, հատկացման, կրման և պահելու կարգը</w:t>
            </w:r>
            <w:r>
              <w:rPr>
                <w:rFonts w:cs="GHEA Grapalat" w:ascii="GHEA Grapalat" w:hAnsi="GHEA Grapalat"/>
                <w:bCs/>
                <w:sz w:val="24"/>
                <w:szCs w:val="24"/>
                <w:lang w:val="hy-AM"/>
              </w:rPr>
              <w:t xml:space="preserve"> սահմանում է Ծառայության պետը։ Նախագծին կից ներկայացված հիմնավորման համաձայն՝ «Զենքի շրջանառության մասին» օրենքի հիման վրա ընդունված  ՀՀ կառավարության 2023 թվականի հունիսի 1-ի թիվ  889-Ն որոշմամբ սահմանվում է պետական ռազմականացված կազմակերպություններում (որպիսին հանդիսանում է նաև ԱՀԾ-ն) զենքի շրջանառության կարգը։ Նշված նորմատիվ իրավական ակտով սահմանվել են նաև, թե վերջինիս հիման վրա ինչ իրավական ակտեր պետք է ընդունեն համապատասխան մարմինների ղեկավարները։ Եվ չնայած նրան, որ պետական ռազմականացված կազմակերպությունների զենքի շրջանառությունը կարգավորող օրենսդրության շրջանակներում արդեն իսկ մարմնի ղեկավարի կողմից համապատասխան իրավական ակտեր ընդունելու իրավական հիմքեր սահմանվել են, սակայն բաց են մնացել զենքի կրման կարգի և դրանց գործադրման (կիրառման) դեպքերը։</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Այս կապակցությամբ հայտնում ենք, որ «Զենքը պահելու պայմաններին և կրելու կարգին վերաբերող պահանջները, զենքի հավաքածու կազմելու և զենքի հավաքածու ցուցադրելու կանոնները, վաճառքի, փոխանցելու, ձեռք բերելու, ցուցադրելու, պահելու եվ փոխադրելու կարգը սահմանելու, ինչպես նաև հայաստանի հանրապետության կառավարության 1999 թվականի հոկտեմբերի 26-ի N 673 որոշումն ուժը կորցրած ճանաչելու մասին» ՀՀ կառավարության 2023 թվականի հունիսի 1-ի N 896-Ն որոշման 1-ին և 2-րդ հավելվածներով սահմանվել են զենքը պահելու պայմաններին վերաբերող պահանջները և զենքը կրելու կարգին վերաբերող պահանջները։</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Իսկ Նախագծով նոր լրացվող լիազորող նորմում հաշվառման վերաբերյալ դրույթի վերաբերյալ՝ հայտնում ենք, որ «Զենքի շրջանառության մասին» օրենքի 31-րդ հոդվածի համաձայն՝ Հայաստանի Հանրապետությունում շրջանառվող քաղաքացիական և ծառայողական բոլոր զենքերը ենթակա են հաշվառման Հայաստանի Հանրապետության ոստիկանությունում` քաղաքացիական և ծառայողական զենքերի հաշվառման միասնական էլեկտրոնային շտեմարանում և թղթային տարբերակով, որոնց կարգը սահմանում է Կառավարությունը: Նշված հոդվածի հիման վրա ընդունվել է ՀՀ կառավարության 2023 թվականի  մայիսի 4-ի թիվ  N 679-Ն որոշումը։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sz w:val="24"/>
                <w:szCs w:val="24"/>
              </w:rPr>
              <w:t>2․ Ընդունվել է ի գիտություն</w:t>
            </w:r>
          </w:p>
          <w:p>
            <w:pPr>
              <w:pStyle w:val="Normal"/>
              <w:spacing w:lineRule="auto" w:line="276"/>
              <w:jc w:val="both"/>
              <w:rPr>
                <w:sz w:val="24"/>
                <w:szCs w:val="24"/>
              </w:rPr>
            </w:pPr>
            <w:r>
              <w:rPr>
                <w:b w:val="false"/>
                <w:bCs w:val="false"/>
                <w:sz w:val="24"/>
                <w:szCs w:val="24"/>
              </w:rPr>
              <w:t xml:space="preserve">«Զենքի շրջանառության կարգավորման մասին» </w:t>
            </w:r>
            <w:r>
              <w:rPr>
                <w:b/>
                <w:bCs/>
                <w:sz w:val="24"/>
                <w:szCs w:val="24"/>
              </w:rPr>
              <w:t>օրենքի 15֊րդ հոդվածի</w:t>
            </w:r>
            <w:r>
              <w:rPr>
                <w:b w:val="false"/>
                <w:bCs w:val="false"/>
                <w:sz w:val="24"/>
                <w:szCs w:val="24"/>
              </w:rPr>
              <w:t xml:space="preserve"> համաձայն՝ պետական ռազմականացված կազմակերպություններում (որպիսին, օրենքի 2֊րդ հոդվածի 15֊րդ կետի համաձայն, հանդիսանում է նաև ԱՀԾ֊ն) զենքի շրջանառության կարգը սահմանում է կառավարությունը։ Նույն օրենքի 2֊րդ հոդվածի համաձայն՝ </w:t>
            </w:r>
            <w:r>
              <w:rPr>
                <w:b/>
                <w:bCs/>
                <w:sz w:val="24"/>
                <w:szCs w:val="24"/>
              </w:rPr>
              <w:t>զենքի շրջանառություն է</w:t>
            </w:r>
            <w:r>
              <w:rPr>
                <w:b w:val="false"/>
                <w:bCs w:val="false"/>
                <w:sz w:val="24"/>
                <w:szCs w:val="24"/>
              </w:rPr>
              <w:t xml:space="preserve"> համարվում զենքի արտադրությունը, առևտուրը, վաճառքը, հարդարումը, նորոգումը, փոխանցումը, ձեռքբերումը, հավաքածուների կազմումը և դրանց ցուցադրումը, </w:t>
            </w:r>
            <w:r>
              <w:rPr>
                <w:b/>
                <w:bCs/>
                <w:sz w:val="24"/>
                <w:szCs w:val="24"/>
              </w:rPr>
              <w:t>հաշվառումը, պահպանումը, պահումը, կրումը,</w:t>
            </w:r>
            <w:r>
              <w:rPr>
                <w:b w:val="false"/>
                <w:bCs w:val="false"/>
                <w:sz w:val="24"/>
                <w:szCs w:val="24"/>
              </w:rPr>
              <w:t xml:space="preserve"> տեղափոխումը/փոխադրումը, օգտագործումը․․․։</w:t>
            </w:r>
          </w:p>
          <w:p>
            <w:pPr>
              <w:pStyle w:val="Normal"/>
              <w:spacing w:lineRule="auto" w:line="276"/>
              <w:jc w:val="both"/>
              <w:rPr>
                <w:sz w:val="24"/>
                <w:szCs w:val="24"/>
              </w:rPr>
            </w:pPr>
            <w:r>
              <w:rPr>
                <w:b/>
                <w:bCs/>
                <w:sz w:val="24"/>
                <w:szCs w:val="24"/>
              </w:rPr>
              <w:t>Սույն օրենքի 31֊րդ հոդվածի</w:t>
            </w:r>
            <w:r>
              <w:rPr>
                <w:b w:val="false"/>
                <w:bCs w:val="false"/>
                <w:sz w:val="24"/>
                <w:szCs w:val="24"/>
              </w:rPr>
              <w:t xml:space="preserve"> 4֊րդ մասով սահմանվում է, որ ՀՀ֊ում շրջանառվող քաղաքացիական և ծառայողական բոլոր զենքերը ենթակա են հաշվառման ՀՀ ոստիկանությունում՝ քաղաքացիական և ծառայողական զենքերի հաշվառման միասնական էլեկտրոնային շտեմարանում և թղթային տարբերակով, որոնց կարգը ևս սահմանում է Կառավարությունը։</w:t>
            </w:r>
          </w:p>
          <w:p>
            <w:pPr>
              <w:pStyle w:val="Normal"/>
              <w:spacing w:lineRule="auto" w:line="276"/>
              <w:jc w:val="both"/>
              <w:rPr>
                <w:sz w:val="24"/>
                <w:szCs w:val="24"/>
              </w:rPr>
            </w:pPr>
            <w:r>
              <w:rPr>
                <w:b/>
                <w:bCs/>
                <w:sz w:val="24"/>
                <w:szCs w:val="24"/>
              </w:rPr>
              <w:t>Օրենքի 25֊րդ հոդվածով</w:t>
            </w:r>
            <w:r>
              <w:rPr>
                <w:b w:val="false"/>
                <w:bCs w:val="false"/>
                <w:sz w:val="24"/>
                <w:szCs w:val="24"/>
              </w:rPr>
              <w:t xml:space="preserve"> կարգավորվում են քաղաքացիական և ծառայողական զենք և դրանց փամփուշտներ պահելու, կրելու և օգտագործելու շուրջ առաջացող հարաբերությունները, որի սուբյեկտային կազմում, համաձայն սույն հոդվածի, ներառվում են ֆիզիկական և իրավաբանական անձինք։ Սույն հոդվածով միաժամանակ իրավական հիմք է նախատեսվում զենքը պահելու պայմաններին և կրելու կարգին վերաբերող պահանջները Կառավարության կողմից սահմանելու վերաբերյալ (հոդվածի իմաստաբանական վերլուծությունը թույլ է տալիս ասել, որ Կառավարությունը սահմանում է ֆիզիկական և իրավաբանական անձանց (որի մեջ չեն ներառվում պետական ռազմականացված կազմակերպությունները) կողմից զենքը պահելու և կրելու պահանջները)։</w:t>
            </w:r>
          </w:p>
          <w:p>
            <w:pPr>
              <w:pStyle w:val="Normal"/>
              <w:spacing w:lineRule="auto" w:line="276"/>
              <w:jc w:val="both"/>
              <w:rPr>
                <w:sz w:val="24"/>
                <w:szCs w:val="24"/>
              </w:rPr>
            </w:pPr>
            <w:r>
              <w:rPr>
                <w:b w:val="false"/>
                <w:bCs w:val="false"/>
                <w:sz w:val="24"/>
                <w:szCs w:val="24"/>
              </w:rPr>
              <w:tab/>
              <w:t>Վերոգրյալում նշված հոդվածներից յուրաքանչյուրի հիման վրա Կառավարության կողմից ընդունվել է 3 ենթաօրենսդրական նորմատիվ իրավական ակտ․</w:t>
            </w:r>
          </w:p>
          <w:p>
            <w:pPr>
              <w:pStyle w:val="Normal"/>
              <w:spacing w:lineRule="auto" w:line="276"/>
              <w:jc w:val="both"/>
              <w:rPr>
                <w:sz w:val="24"/>
                <w:szCs w:val="24"/>
              </w:rPr>
            </w:pPr>
            <w:r>
              <w:rPr>
                <w:b w:val="false"/>
                <w:bCs w:val="false"/>
                <w:sz w:val="24"/>
                <w:szCs w:val="24"/>
              </w:rPr>
              <w:tab/>
              <w:t xml:space="preserve">֊ Օրենքի 15֊րդ հոդվածի հիման վրա ընդունվել է ՀՀ կառավարության 2023 թվականի հունիսի 1֊ի 889֊Ն որոշումը, որով </w:t>
            </w:r>
            <w:r>
              <w:rPr>
                <w:b/>
                <w:bCs/>
                <w:sz w:val="24"/>
                <w:szCs w:val="24"/>
              </w:rPr>
              <w:t>սահմանվում է պետական ռազմականացված կազմակերպությունների</w:t>
            </w:r>
            <w:r>
              <w:rPr>
                <w:b w:val="false"/>
                <w:bCs w:val="false"/>
                <w:sz w:val="24"/>
                <w:szCs w:val="24"/>
              </w:rPr>
              <w:t xml:space="preserve"> (այդ թվում՝ ԱՀԾ֊ի) զենքի </w:t>
            </w:r>
            <w:r>
              <w:rPr>
                <w:b/>
                <w:bCs/>
                <w:sz w:val="24"/>
                <w:szCs w:val="24"/>
              </w:rPr>
              <w:t>շրջանառության կարգը</w:t>
            </w:r>
            <w:r>
              <w:rPr>
                <w:b w:val="false"/>
                <w:bCs w:val="false"/>
                <w:sz w:val="24"/>
                <w:szCs w:val="24"/>
              </w:rPr>
              <w:t>,</w:t>
            </w:r>
          </w:p>
          <w:p>
            <w:pPr>
              <w:pStyle w:val="Normal"/>
              <w:spacing w:lineRule="auto" w:line="276"/>
              <w:jc w:val="both"/>
              <w:rPr>
                <w:sz w:val="24"/>
                <w:szCs w:val="24"/>
              </w:rPr>
            </w:pPr>
            <w:r>
              <w:rPr>
                <w:b w:val="false"/>
                <w:bCs w:val="false"/>
                <w:sz w:val="24"/>
                <w:szCs w:val="24"/>
              </w:rPr>
              <w:tab/>
              <w:t>֊ 31֊րդ հոդվածի հիման վրա ընդունվել է ՀՀ կառավարության 2023 թվականի մայիսի 4֊ի թիվ N 679-Ն որոշումը, որով սահմանվել է «Հայաստանի Հանրապետության ոստիկանության կողմից Հայաստանի Հանրապետությունում շրջանառվող քաղաքացիական և ծառայողական զենքերի հաշվառման կարգը» և որի հիման վրա առաջացող իրավահարաբերությունների սուբյեկտ են հանդիսանում ֆիզիկական և իրավաբանական անձինք,</w:t>
            </w:r>
          </w:p>
          <w:p>
            <w:pPr>
              <w:pStyle w:val="Normal"/>
              <w:spacing w:lineRule="auto" w:line="276"/>
              <w:jc w:val="both"/>
              <w:rPr>
                <w:sz w:val="24"/>
                <w:szCs w:val="24"/>
              </w:rPr>
            </w:pPr>
            <w:r>
              <w:rPr>
                <w:b w:val="false"/>
                <w:bCs w:val="false"/>
                <w:sz w:val="24"/>
                <w:szCs w:val="24"/>
              </w:rPr>
              <w:tab/>
              <w:t>֊ 25֊րդ հոդվածի հիման վրա ընդունվել է ՀՀ կառավարության 01․06․2023 թվականի 896֊Ն որոշումը, որում որպես կարգի հիման վրա առաջացող իրավահարաբերությունների սուբյեկտային կազմ կրկին նշվել են ֆիզիկական և իրավաբանական անձինք, ավելին՝ սույն որոշման 1֊ին հավելվածի 19֊րդ կետով նշվում է, որ հատուկ պետական պաշտպնության ենթակա անձինք, պետական ռազմականացված կազմակերպությունների աշխատողները, զենքն ու դրա փամփուշտները (այդ թվում՝ մարտական զենքը) պահում են իրենց բնակության վայրում՝ սույն կարգի 11֊րդ կետով նախատեսված կարգով։</w:t>
            </w:r>
          </w:p>
          <w:p>
            <w:pPr>
              <w:pStyle w:val="Normal"/>
              <w:spacing w:lineRule="auto" w:line="276"/>
              <w:jc w:val="both"/>
              <w:rPr>
                <w:sz w:val="24"/>
                <w:szCs w:val="24"/>
              </w:rPr>
            </w:pPr>
            <w:r>
              <w:rPr>
                <w:b w:val="false"/>
                <w:bCs w:val="false"/>
                <w:sz w:val="24"/>
                <w:szCs w:val="24"/>
              </w:rPr>
              <w:tab/>
            </w:r>
            <w:r>
              <w:rPr>
                <w:b w:val="false"/>
                <w:bCs w:val="false"/>
                <w:i/>
                <w:iCs/>
                <w:sz w:val="24"/>
                <w:szCs w:val="24"/>
              </w:rPr>
              <w:t>Ըստ էության, առկա է 3 տարբեր իրավիճակ․</w:t>
            </w:r>
          </w:p>
          <w:p>
            <w:pPr>
              <w:pStyle w:val="Normal"/>
              <w:spacing w:lineRule="auto" w:line="276"/>
              <w:jc w:val="both"/>
              <w:rPr>
                <w:sz w:val="24"/>
                <w:szCs w:val="24"/>
              </w:rPr>
            </w:pPr>
            <w:r>
              <w:rPr>
                <w:b w:val="false"/>
                <w:bCs w:val="false"/>
                <w:sz w:val="24"/>
                <w:szCs w:val="24"/>
              </w:rPr>
              <w:tab/>
              <w:t xml:space="preserve">֊ մի դեպքում </w:t>
            </w:r>
            <w:r>
              <w:rPr>
                <w:b/>
                <w:bCs/>
                <w:sz w:val="24"/>
                <w:szCs w:val="24"/>
              </w:rPr>
              <w:t>(04․05․2023թ․ թիվ 679֊Ն որոշմամբ)</w:t>
            </w:r>
            <w:r>
              <w:rPr>
                <w:b w:val="false"/>
                <w:bCs w:val="false"/>
                <w:sz w:val="24"/>
                <w:szCs w:val="24"/>
              </w:rPr>
              <w:t xml:space="preserve"> առկա է ընդհանրական կարգավորում, որի հասցեատեր հանդիսանում են ֆիզիկական և իրավաբանական անձինք, որոնց կողմից շրջանառվող քաղաքացիական և ծառայողական զենքերը ենթակա են հաշվառման ոստիկանությունում,</w:t>
            </w:r>
          </w:p>
          <w:p>
            <w:pPr>
              <w:pStyle w:val="Normal"/>
              <w:spacing w:lineRule="auto" w:line="276"/>
              <w:jc w:val="both"/>
              <w:rPr>
                <w:sz w:val="24"/>
                <w:szCs w:val="24"/>
              </w:rPr>
            </w:pPr>
            <w:r>
              <w:rPr>
                <w:b w:val="false"/>
                <w:bCs w:val="false"/>
                <w:sz w:val="24"/>
                <w:szCs w:val="24"/>
              </w:rPr>
              <w:tab/>
              <w:t xml:space="preserve">֊ մյուս դեպքում ևս ունենք ընդհանրական կարգավորում </w:t>
            </w:r>
            <w:r>
              <w:rPr>
                <w:b/>
                <w:bCs/>
                <w:sz w:val="24"/>
                <w:szCs w:val="24"/>
              </w:rPr>
              <w:t>(ՀՀ կառավարության 01․06․2023թ․ թիվ 896֊Ն որոշմամբ),</w:t>
            </w:r>
            <w:r>
              <w:rPr>
                <w:b w:val="false"/>
                <w:bCs w:val="false"/>
                <w:sz w:val="24"/>
                <w:szCs w:val="24"/>
              </w:rPr>
              <w:t xml:space="preserve"> որի շրջանակում առկա է նաև առանձնահատկություն (հատուկ կարգավորում) սահմանող դրույթ առ այն, թե սույն որոշմամբ հաստատված կարգի որ կետն է կիրառելի պետական ռազմականացված կազմակերպությունների նկատմամբ, այլ կերպ ասած, եթե նշված որոշումը տարածվեր նաև պետական ռազմականացված կազմակերպությունների, այդ թվում՝ ԱՀԾ նկատմամբ, չէր նախատեսվի առանձնահատկություն սահմանող դրույթ,</w:t>
            </w:r>
          </w:p>
          <w:p>
            <w:pPr>
              <w:pStyle w:val="Normal"/>
              <w:spacing w:lineRule="auto" w:line="276"/>
              <w:jc w:val="both"/>
              <w:rPr>
                <w:sz w:val="24"/>
                <w:szCs w:val="24"/>
              </w:rPr>
            </w:pPr>
            <w:r>
              <w:rPr>
                <w:b w:val="false"/>
                <w:bCs w:val="false"/>
                <w:sz w:val="24"/>
                <w:szCs w:val="24"/>
              </w:rPr>
              <w:tab/>
              <w:t>֊ Եվ որպես վերոգրյալ կետում նշվածի տրամաբանական շարունակություն, ունենք Կառավարության կողմից ընդունված մեկ այլ հատուկ կարգավորում սահմանող ՀՀ կառավարության 01․06․2023թ․ թիվ 889֊Ն որոշում, որը տարածվում է միայն և բացառապես պետական ռազմականացված կազմակերպությունների նկատմամբ և որով, ի թիվս այլնի, սահմանվում է նաև, թե ինչպես կամ ինչ իրավական ակտով պետք է կարգավորվեն տվյալ կազմակերպությունների զենքը պահելու, զենքի կրումը, հաշվառումը և զենքի շրջանառության հետ կապված այլ հարցերը։ Ն</w:t>
            </w:r>
            <w:r>
              <w:rPr>
                <w:b w:val="false"/>
                <w:bCs w:val="false"/>
                <w:i w:val="false"/>
                <w:iCs w:val="false"/>
                <w:sz w:val="24"/>
                <w:szCs w:val="24"/>
                <w:u w:val="none"/>
              </w:rPr>
              <w:t>շված նորմատիվ իրավական ակտով, սահմանվել է նաև, թե վերջինիս հիման վրա ինչ իրավական ակտեր պետք է ընդունեն համապատասխան մարմինների ղեկավարները, օրինակ՝ ո</w:t>
            </w:r>
            <w:r>
              <w:rPr>
                <w:b w:val="false"/>
                <w:bCs w:val="false"/>
                <w:sz w:val="24"/>
                <w:szCs w:val="24"/>
              </w:rPr>
              <w:t xml:space="preserve">րոշման N 1 հավելվածի 11֊րդ կետի համաձայն՝ կազմակերպությունները (այդ թվում՝ ԱՀԾ֊ն) պարտավոր են իրականացնել </w:t>
            </w:r>
            <w:r>
              <w:rPr>
                <w:b/>
                <w:bCs/>
                <w:sz w:val="24"/>
                <w:szCs w:val="24"/>
              </w:rPr>
              <w:t>զենքի հաշվառում՝ համապատասխան կազմակերպության ղեկավարի սահմանած կարգով կամ</w:t>
            </w:r>
            <w:r>
              <w:rPr>
                <w:b w:val="false"/>
                <w:bCs w:val="false"/>
                <w:color w:val="000000"/>
                <w:sz w:val="24"/>
                <w:szCs w:val="24"/>
                <w:shd w:fill="auto" w:val="clear"/>
              </w:rPr>
              <w:t xml:space="preserve"> որոշման 14֊րդ կետի համաձայն՝ </w:t>
            </w:r>
            <w:r>
              <w:rPr>
                <w:b/>
                <w:bCs/>
                <w:color w:val="000000"/>
                <w:sz w:val="24"/>
                <w:szCs w:val="24"/>
                <w:shd w:fill="auto" w:val="clear"/>
              </w:rPr>
              <w:t>ըստ զենքի նշանակության՝ դրանք պահելու պահաջները սահմանվում են կազմակերպության ղեկավարի հրամանով, կամ՝</w:t>
            </w:r>
            <w:r>
              <w:rPr>
                <w:b w:val="false"/>
                <w:bCs w:val="false"/>
                <w:color w:val="000000"/>
                <w:sz w:val="24"/>
                <w:szCs w:val="24"/>
                <w:shd w:fill="auto" w:val="clear"/>
              </w:rPr>
              <w:t xml:space="preserve"> որոշման 16 և 18֊րդ կետերի համաձայն՝ հափշտակված կամ կորած զենքը կազմակերպություններում հաշվառումից դուրս է գրվում կազմակերպության ղեկավարի հրամանով սահմանված կարգով և այլն։</w:t>
            </w:r>
          </w:p>
          <w:p>
            <w:pPr>
              <w:pStyle w:val="Normal"/>
              <w:spacing w:lineRule="auto" w:line="276"/>
              <w:jc w:val="both"/>
              <w:rPr>
                <w:sz w:val="24"/>
                <w:szCs w:val="24"/>
              </w:rPr>
            </w:pPr>
            <w:r>
              <w:rPr>
                <w:b w:val="false"/>
                <w:bCs w:val="false"/>
                <w:sz w:val="24"/>
                <w:szCs w:val="24"/>
              </w:rPr>
              <w:tab/>
              <w:t>Հետևաբար դիտարկումն այն մասին, որ ԱՀԾ զենքի հետ կապված հարաբերություններն արդեն իսկ կարգավորված են ՀՀ կառավարության 2023թ․ հունիսի 1֊ի N 896֊Ն և 2023թ․ մայիսի 4֊ի N 679-Ն որոշմամբ ընդունելի չէ՝ հաշվի առնելով վերոգրյալում նկարագրվածը։</w:t>
            </w:r>
          </w:p>
          <w:p>
            <w:pPr>
              <w:pStyle w:val="Normal"/>
              <w:spacing w:lineRule="auto" w:line="276"/>
              <w:jc w:val="both"/>
              <w:rPr>
                <w:sz w:val="24"/>
                <w:szCs w:val="24"/>
              </w:rPr>
            </w:pPr>
            <w:r>
              <w:rPr>
                <w:b w:val="false"/>
                <w:bCs w:val="false"/>
                <w:sz w:val="24"/>
                <w:szCs w:val="24"/>
              </w:rPr>
              <w:tab/>
              <w:t xml:space="preserve">Միաժամանակ նշենք, որ ի լրումն ՀՀ կառավարության 01․06․2023թ․ թիվ 889֊Ն որոշման կարգավորումների՝ սույն օրենքի նախագծով առաջարկվում է իրավական հիմք նախատեսել՝ ԱՀԾ պետի կողմից </w:t>
            </w:r>
            <w:r>
              <w:rPr>
                <w:b/>
                <w:bCs/>
                <w:sz w:val="24"/>
                <w:szCs w:val="24"/>
              </w:rPr>
              <w:t>մեկ իրավական ակտով սահմանելու</w:t>
            </w:r>
            <w:r>
              <w:rPr>
                <w:b w:val="false"/>
                <w:bCs w:val="false"/>
                <w:sz w:val="24"/>
                <w:szCs w:val="24"/>
              </w:rPr>
              <w:t xml:space="preserve"> ԱՀԾ</w:t>
            </w:r>
            <w:r>
              <w:rPr>
                <w:b/>
                <w:bCs/>
                <w:sz w:val="24"/>
                <w:szCs w:val="24"/>
              </w:rPr>
              <w:t xml:space="preserve"> զենքերի և հատուկ միջոցների</w:t>
            </w:r>
            <w:r>
              <w:rPr>
                <w:b w:val="false"/>
                <w:bCs w:val="false"/>
                <w:sz w:val="24"/>
                <w:szCs w:val="24"/>
              </w:rPr>
              <w:t xml:space="preserve"> հատկացման գործընթացը, ծառայողների կողմից կրման և պահելու հարաբերությունների շրջանակը՝ առաջնորդվելով նաև իրավական որոշակիության ապահովման սկզբունքով։</w:t>
            </w:r>
          </w:p>
        </w:tc>
      </w:tr>
      <w:tr>
        <w:trPr>
          <w:trHeight w:val="835"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highlight w:val="none"/>
                <w:shd w:fill="auto" w:val="clear"/>
              </w:rPr>
            </w:pPr>
            <w:r>
              <w:rPr>
                <w:rFonts w:cs="GHEA Grapalat" w:ascii="GHEA Grapalat" w:hAnsi="GHEA Grapalat"/>
                <w:bCs/>
                <w:sz w:val="24"/>
                <w:szCs w:val="24"/>
                <w:shd w:fill="auto" w:val="clear"/>
                <w:lang w:val="hy-AM"/>
              </w:rPr>
              <w:t xml:space="preserve">     </w:t>
            </w:r>
            <w:r>
              <w:rPr>
                <w:rFonts w:cs="GHEA Grapalat" w:ascii="GHEA Grapalat" w:hAnsi="GHEA Grapalat"/>
                <w:bCs/>
                <w:sz w:val="24"/>
                <w:szCs w:val="24"/>
                <w:shd w:fill="auto" w:val="clear"/>
                <w:lang w:val="hy-AM"/>
              </w:rPr>
              <w:t>3․ Նախագծի 6-րդ հոդվածով նախատեսված է հետևյալը</w:t>
            </w:r>
            <w:r>
              <w:rPr>
                <w:rFonts w:ascii="GHEA Grapalat" w:hAnsi="GHEA Grapalat"/>
                <w:bCs/>
                <w:sz w:val="24"/>
                <w:szCs w:val="24"/>
                <w:shd w:fill="auto" w:val="clear"/>
                <w:lang w:val="hy-AM"/>
              </w:rPr>
              <w:t>․</w:t>
            </w:r>
          </w:p>
          <w:p>
            <w:pPr>
              <w:pStyle w:val="voroshmanbody"/>
              <w:numPr>
                <w:ilvl w:val="0"/>
                <w:numId w:val="0"/>
              </w:numPr>
              <w:spacing w:lineRule="auto" w:line="276"/>
              <w:ind w:hanging="0" w:left="0"/>
              <w:rPr>
                <w:highlight w:val="none"/>
                <w:shd w:fill="auto" w:val="clear"/>
              </w:rPr>
            </w:pPr>
            <w:r>
              <w:rPr>
                <w:rFonts w:cs="GHEA Grapalat" w:ascii="GHEA Grapalat" w:hAnsi="GHEA Grapalat"/>
                <w:bCs/>
                <w:sz w:val="24"/>
                <w:szCs w:val="24"/>
                <w:shd w:fill="auto" w:val="clear"/>
                <w:lang w:val="hy-AM"/>
              </w:rPr>
              <w:t xml:space="preserve">   </w:t>
            </w:r>
            <w:r>
              <w:rPr>
                <w:rFonts w:cs="GHEA Grapalat" w:ascii="GHEA Grapalat" w:hAnsi="GHEA Grapalat"/>
                <w:bCs/>
                <w:sz w:val="24"/>
                <w:szCs w:val="24"/>
                <w:shd w:fill="auto" w:val="clear"/>
                <w:lang w:val="hy-AM"/>
              </w:rPr>
              <w:t>Օրենքի 14֊րդ հոդվածի 2֊րդ մասը «պետական գաղտնիք» բառերից հետո լրացնել «, եթե սույն օրենքի 43֊րդ հոդվածի 3֊րդ մասի հիման վրա ընդունված վարչապետի որոշմամբ այլ բան նախատեսված չէ» բառերով։։</w:t>
            </w:r>
          </w:p>
          <w:p>
            <w:pPr>
              <w:pStyle w:val="voroshmanbody"/>
              <w:numPr>
                <w:ilvl w:val="0"/>
                <w:numId w:val="0"/>
              </w:numPr>
              <w:spacing w:lineRule="auto" w:line="276"/>
              <w:ind w:hanging="0" w:left="0"/>
              <w:rPr>
                <w:highlight w:val="none"/>
                <w:shd w:fill="auto" w:val="clear"/>
              </w:rPr>
            </w:pPr>
            <w:r>
              <w:rPr>
                <w:rFonts w:cs="GHEA Grapalat" w:ascii="GHEA Grapalat" w:hAnsi="GHEA Grapalat"/>
                <w:bCs/>
                <w:sz w:val="24"/>
                <w:szCs w:val="24"/>
                <w:shd w:fill="auto" w:val="clear"/>
                <w:lang w:val="hy-AM"/>
              </w:rPr>
              <w:t xml:space="preserve"> </w:t>
            </w:r>
            <w:r>
              <w:rPr>
                <w:rFonts w:cs="GHEA Grapalat" w:ascii="GHEA Grapalat" w:hAnsi="GHEA Grapalat"/>
                <w:bCs/>
                <w:sz w:val="24"/>
                <w:szCs w:val="24"/>
                <w:shd w:fill="auto" w:val="clear"/>
                <w:lang w:val="hy-AM"/>
              </w:rPr>
              <w:t>Նշված փոփոխության արդյունքում ստացվում է, որ Ծառայության կառուցվածքի, անձնակազմի քանակի, հաստիքացուցակի և անվանացանկի վերաբերյալ տեղեկատվությունը հանդիսանում է պետական գաղտնիք, եթե սույն օրենքի 43֊րդ հոդվածի 3֊րդ մասի հիման վրա ընդունված վարչապետի որոշմամբ այլ բան նախատեսված չէ:</w:t>
            </w:r>
          </w:p>
          <w:p>
            <w:pPr>
              <w:pStyle w:val="voroshmanbody"/>
              <w:numPr>
                <w:ilvl w:val="0"/>
                <w:numId w:val="0"/>
              </w:numPr>
              <w:spacing w:lineRule="auto" w:line="276"/>
              <w:ind w:hanging="0" w:left="0"/>
              <w:rPr>
                <w:highlight w:val="none"/>
                <w:shd w:fill="auto" w:val="clear"/>
              </w:rPr>
            </w:pPr>
            <w:r>
              <w:rPr>
                <w:rFonts w:cs="GHEA Grapalat" w:ascii="GHEA Grapalat" w:hAnsi="GHEA Grapalat"/>
                <w:bCs/>
                <w:sz w:val="24"/>
                <w:szCs w:val="24"/>
                <w:shd w:fill="auto" w:val="clear"/>
                <w:lang w:val="hy-AM"/>
              </w:rPr>
              <w:t xml:space="preserve">    </w:t>
            </w:r>
            <w:r>
              <w:rPr>
                <w:rFonts w:cs="GHEA Grapalat" w:ascii="GHEA Grapalat" w:hAnsi="GHEA Grapalat"/>
                <w:bCs/>
                <w:sz w:val="24"/>
                <w:szCs w:val="24"/>
                <w:shd w:fill="auto" w:val="clear"/>
                <w:lang w:val="hy-AM"/>
              </w:rPr>
              <w:t>Այս առումով հարկ է նշել, որ նման ձևակերպման պայմաններում ստացվում է, որ օրենքով նախատեսված պետական գաղտնիք հանդիսացող տեղեկատվության բնույթն ու ծավալը կարող է փոփոխվել՝ վարչապետի որոշմամբ, հետևապես՝ առաջարկում ենք վերանայել սույն կետի ձևակերպումը։ Ինչպես նաև վերոնշյալ դիտարկումը առաջարկում ենք վերանայել «Պետական գաղտնիքի մասին» օրենքի 7-րդ հոդվածի 2-րդ մասի 7-րդ կետի համատեքստում, որի համաձայն՝ Կառավարությունը սահմանում է տեղեկությունների գաղտնագրման, գաղտնիության աստիճանի որոշման, գաղտնիության դրոշմագրեր շնորհելու, դրանք փոփոխելու, ինչպես նաև գաղտնագրման ենթակա տեղեկությունների ընդլայնված գերատեսչական ցանկերը մշակելու և հաստատելու կարգը։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highlight w:val="none"/>
                <w:shd w:fill="auto" w:val="clear"/>
              </w:rPr>
            </w:pPr>
            <w:r>
              <w:rPr>
                <w:b/>
                <w:bCs/>
                <w:sz w:val="24"/>
                <w:szCs w:val="24"/>
                <w:shd w:fill="auto" w:val="clear"/>
              </w:rPr>
              <w:t>3․ Ընդունվել և նախագծում կատարվել է համապատասխան փոփոխություն</w:t>
            </w:r>
          </w:p>
          <w:p>
            <w:pPr>
              <w:pStyle w:val="Normal"/>
              <w:spacing w:lineRule="auto" w:line="276"/>
              <w:jc w:val="both"/>
              <w:rPr>
                <w:highlight w:val="none"/>
                <w:shd w:fill="auto" w:val="clear"/>
              </w:rPr>
            </w:pPr>
            <w:r>
              <w:rPr>
                <w:shd w:fill="auto" w:val="clear"/>
              </w:rPr>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bookmarkStart w:id="0" w:name="_GoBack"/>
            <w:bookmarkEnd w:id="0"/>
            <w:r>
              <w:rPr>
                <w:rFonts w:eastAsia="Times New Roman" w:cs="GHEA Grapalat" w:ascii="GHEA Grapalat" w:hAnsi="GHEA Grapalat"/>
                <w:bCs/>
                <w:color w:val="191919"/>
                <w:sz w:val="24"/>
                <w:szCs w:val="24"/>
                <w:lang w:val="hy-AM"/>
              </w:rPr>
              <w:t xml:space="preserve">     </w:t>
            </w:r>
            <w:r>
              <w:rPr>
                <w:rFonts w:eastAsia="Times New Roman" w:cs="GHEA Grapalat" w:ascii="GHEA Grapalat" w:hAnsi="GHEA Grapalat"/>
                <w:bCs/>
                <w:color w:val="191919"/>
                <w:sz w:val="24"/>
                <w:szCs w:val="24"/>
                <w:lang w:val="hy-AM"/>
              </w:rPr>
              <w:t>4․ Նախագծի 7-րդ հոդվածով Օրենքի 15-րդ հոդվածի 2-րդ մասում լրացվող 12․2-րդ կետի համաձայն՝ Ծառայության պետը վարչապետի հաստատմանն է ներկայացնում Ծառայությունում քաղաքացիական աշխատանք և տեխնիկական սպասարկում իրականացնող անձանց հիմնական և լրացուցիչ աշխատավարձերի չափերը և վարձատրության հետ կապված հարաբերությունները սահմանող որոշումը։ Տվյալ դեպքում որոշակիության ապահովման տեսանկյունից վերանայման կարիք ունի «վարձատրության հետ կապված հարաբերությունները սահմանող որոշումը» ձևակերպումը, քանի որ Սահմանադրության 6-րդ հոդվածի համաձայն՝ լիազորող նորմերը պետք է համապատասխանեն իրավական որոշակիության սկզբունքին:</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sz w:val="24"/>
                <w:szCs w:val="24"/>
                <w:shd w:fill="auto" w:val="clear"/>
              </w:rPr>
              <w:t>4․ Ընդունվել և կատարվել է համապատասխան փոփոխություն</w:t>
            </w:r>
          </w:p>
        </w:tc>
      </w:tr>
      <w:tr>
        <w:trPr>
          <w:trHeight w:val="4043"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5․ Նախագծի 8-րդ հոդվածով Օրենքի 16-րդ հոդվածում լրացվող 3․1-րդ մասի համաձայն՝ Ծառայության պետի և Ծառայության պետի տեղակալների պաշտոններ կարող են զբաղեցնել միայն Հայաստանի Հանրապետության քաղաքացի հանդիսացող անձինք։</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Նկատի ունենալով Ծառայության առանձնահատկությունները, ինպես նաև այն, որ ՀՀ օրենսդրությանն համաձայն՝ երկքաղաքացին ևս հանդիսանում է ՀՀ քաղաքացի, առաջարկում ենք հստակեցնել արդյոք երկքաղաքացի համարվող ՀՀ քաղաքացին նույնպես կարող է զբաղեցնել նշված պաշտոնները։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sz w:val="24"/>
                <w:szCs w:val="24"/>
              </w:rPr>
              <w:t>5․ Չի ընդունվել</w:t>
            </w:r>
          </w:p>
          <w:p>
            <w:pPr>
              <w:pStyle w:val="Normal"/>
              <w:spacing w:lineRule="auto" w:line="276"/>
              <w:jc w:val="both"/>
              <w:rPr>
                <w:sz w:val="24"/>
                <w:szCs w:val="24"/>
              </w:rPr>
            </w:pPr>
            <w:r>
              <w:rPr>
                <w:b w:val="false"/>
                <w:bCs w:val="false"/>
                <w:sz w:val="24"/>
                <w:szCs w:val="24"/>
              </w:rPr>
              <w:t xml:space="preserve">Նախագծում հստակ նշվել է՝ </w:t>
            </w:r>
            <w:r>
              <w:rPr>
                <w:b/>
                <w:bCs/>
                <w:sz w:val="24"/>
                <w:szCs w:val="24"/>
              </w:rPr>
              <w:t>«միայն</w:t>
            </w:r>
            <w:r>
              <w:rPr>
                <w:b w:val="false"/>
                <w:bCs w:val="false"/>
                <w:sz w:val="24"/>
                <w:szCs w:val="24"/>
              </w:rPr>
              <w:t xml:space="preserve"> </w:t>
            </w:r>
            <w:r>
              <w:rPr>
                <w:b w:val="false"/>
                <w:bCs w:val="false"/>
                <w:i w:val="false"/>
                <w:iCs w:val="false"/>
                <w:sz w:val="24"/>
                <w:szCs w:val="24"/>
              </w:rPr>
              <w:t>Հայաստանի Հանրապետության քաղաքացի հանդիսացող»</w:t>
            </w:r>
          </w:p>
        </w:tc>
      </w:tr>
      <w:tr>
        <w:trPr>
          <w:trHeight w:val="735"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 xml:space="preserve">6․ Նախագծի 11-րդ հոդվածի համաձայն Օրենքը լրացվում է նոր 19․1-ին հոդվածով, որի 3-րդ մասի համաձայն՝ Այլ հավասարազոր պաշտոնի կամ զբաղեցրած պաշտոնների խմբի այլ ենթախմբում ծառայողը պաշտոն զբացնում է համաձայնության առկայության դեպքում և եթե բարարում է տվյալ պաշտոնին ներկայացվող պահանջները։ </w:t>
            </w:r>
            <w:r>
              <w:rPr>
                <w:rFonts w:cs="GHEA Grapalat" w:ascii="GHEA Grapalat" w:hAnsi="GHEA Grapalat"/>
                <w:b/>
                <w:bCs/>
                <w:sz w:val="24"/>
                <w:szCs w:val="24"/>
                <w:lang w:val="hy-AM"/>
              </w:rPr>
              <w:t>Ծառայողի համաձայնությունը կարող է չպահանջվել ծառայողական անհրաժեշտությամբ պայմանավորված՝ Ծառայության պետի հրամանով սահմանված դեպքերում։</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Այս առումով հարկ է նկատի ունենալ ՀՀ Սահմանադրության 57-րդ հոդվածի պահանջները, որոնց համաձայն՝ Յուրաքանչյուր ոք ունի աշխատանքի ազատ ընտրության իրավունք:</w:t>
            </w:r>
            <w:r>
              <w:rPr>
                <w:rFonts w:ascii="GHEA Grapalat" w:hAnsi="GHEA Grapalat"/>
                <w:sz w:val="24"/>
                <w:szCs w:val="24"/>
              </w:rPr>
              <w:t xml:space="preserve"> </w:t>
            </w:r>
            <w:r>
              <w:rPr>
                <w:rFonts w:cs="GHEA Grapalat" w:ascii="GHEA Grapalat" w:hAnsi="GHEA Grapalat"/>
                <w:bCs/>
                <w:sz w:val="24"/>
                <w:szCs w:val="24"/>
                <w:lang w:val="hy-AM"/>
              </w:rPr>
              <w:t>Պարտադիր կամ հարկադիր աշխատանքն արգելվում է:</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Ելնելով վերոգրյալից՝ հիշյալ կարգավորումն անհրաժեշտ է վերանայել՝ համապատասխանեցնելով ՀՀ Սահմանադրության պահանջներին։</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rPr>
              <w:t>6․ Չի ընդունվել</w:t>
            </w:r>
          </w:p>
          <w:p>
            <w:pPr>
              <w:pStyle w:val="Normal"/>
              <w:spacing w:lineRule="auto" w:line="276"/>
              <w:jc w:val="both"/>
              <w:rPr>
                <w:sz w:val="24"/>
                <w:szCs w:val="24"/>
              </w:rPr>
            </w:pPr>
            <w:r>
              <w:rPr>
                <w:sz w:val="24"/>
                <w:szCs w:val="24"/>
              </w:rPr>
              <w:t>Հայտնում ենք</w:t>
            </w:r>
            <w:r>
              <w:rPr>
                <w:b w:val="false"/>
                <w:bCs w:val="false"/>
                <w:i w:val="false"/>
                <w:iCs w:val="false"/>
                <w:sz w:val="24"/>
                <w:szCs w:val="24"/>
              </w:rPr>
              <w:t>, որ օրենքում լրացվող նոր 19․1 հոդվածի 2֊րդ մասով հստակ նշվում է, թե ինչ հիմքերի առկայության դեպքում կարող է ծառայողը</w:t>
            </w:r>
            <w:r>
              <w:rPr>
                <w:b w:val="false"/>
                <w:bCs w:val="false"/>
                <w:i w:val="false"/>
                <w:iCs w:val="false"/>
                <w:sz w:val="24"/>
                <w:szCs w:val="24"/>
                <w:shd w:fill="auto" w:val="clear"/>
              </w:rPr>
              <w:t xml:space="preserve"> նշանակվել ա</w:t>
            </w:r>
            <w:r>
              <w:rPr>
                <w:b w:val="false"/>
                <w:bCs w:val="false"/>
                <w:i w:val="false"/>
                <w:iCs w:val="false"/>
                <w:sz w:val="24"/>
                <w:szCs w:val="24"/>
              </w:rPr>
              <w:t xml:space="preserve">յլ հավասարազոր պաշտոնի։ Այնուհետև նույն հոդվածի 3֊րդ մասով նշվում է, որ ծառայողի համաձայնությունը կարող է չպահանջվել նույն հոդվածի 2֊րդ մասում թվարկված հիմքերից միայն մեկի, այն է՝ </w:t>
            </w:r>
            <w:r>
              <w:rPr>
                <w:b/>
                <w:bCs/>
                <w:i w:val="false"/>
                <w:iCs w:val="false"/>
                <w:sz w:val="24"/>
                <w:szCs w:val="24"/>
              </w:rPr>
              <w:t>ծառայողական անհրաժեշտությամբ պայմանավորված լինելու հիմքով՝</w:t>
            </w:r>
            <w:r>
              <w:rPr>
                <w:b w:val="false"/>
                <w:bCs w:val="false"/>
                <w:i w:val="false"/>
                <w:iCs w:val="false"/>
                <w:sz w:val="24"/>
                <w:szCs w:val="24"/>
              </w:rPr>
              <w:t xml:space="preserve"> Ծառայության պետի հրամանով սահմանված դեպքերում։</w:t>
            </w:r>
          </w:p>
          <w:p>
            <w:pPr>
              <w:pStyle w:val="Normal"/>
              <w:spacing w:lineRule="auto" w:line="276"/>
              <w:jc w:val="center"/>
              <w:rPr>
                <w:sz w:val="24"/>
                <w:szCs w:val="24"/>
              </w:rPr>
            </w:pPr>
            <w:r>
              <w:rPr>
                <w:b w:val="false"/>
                <w:bCs w:val="false"/>
                <w:i w:val="false"/>
                <w:iCs w:val="false"/>
                <w:sz w:val="24"/>
                <w:szCs w:val="24"/>
              </w:rPr>
              <w:t>Միաժամանակ հայտնում ենք, որ՝</w:t>
            </w:r>
          </w:p>
          <w:p>
            <w:pPr>
              <w:pStyle w:val="Normal"/>
              <w:spacing w:lineRule="auto" w:line="276"/>
              <w:jc w:val="both"/>
              <w:rPr>
                <w:sz w:val="24"/>
                <w:szCs w:val="24"/>
              </w:rPr>
            </w:pPr>
            <w:r>
              <w:rPr>
                <w:b w:val="false"/>
                <w:bCs w:val="false"/>
                <w:i w:val="false"/>
                <w:iCs w:val="false"/>
                <w:sz w:val="24"/>
                <w:szCs w:val="24"/>
              </w:rPr>
              <w:t>1․ «Հանրային ծառայության մասին օրենքի» 2֊րդ հոդվածի 3֊րդ մասի համաձայն՝ հանրային ծառայության առանձին տեսակների կազմակերպման և գործունեության առանձնահատկությունները սահմանվում են համապատասխան օրենքներով։ Հանրային ծառայության առանձին տեսակ է Արտաքին հետախուզության ծառայությունում ծառայությունը, որի առանձնահատկությունները սահմանվում են կամ կարող են սահմանվել «Արտաքին հետախուզական գործունեության և արտաքին հետախուզության ծառայության մասին» օրենքով,</w:t>
            </w:r>
          </w:p>
          <w:p>
            <w:pPr>
              <w:pStyle w:val="Normal"/>
              <w:spacing w:lineRule="auto" w:line="276"/>
              <w:jc w:val="both"/>
              <w:rPr>
                <w:sz w:val="24"/>
                <w:szCs w:val="24"/>
              </w:rPr>
            </w:pPr>
            <w:r>
              <w:rPr>
                <w:b w:val="false"/>
                <w:bCs w:val="false"/>
                <w:i w:val="false"/>
                <w:iCs w:val="false"/>
                <w:sz w:val="24"/>
                <w:szCs w:val="24"/>
              </w:rPr>
              <w:t>2․ Աշխատանքային օրենսգրքի 2֊րդ հոդվածի 3֊րդ մասի համաձայն՝ հանրային ծառայության առանձին տեսակների կազմակերպման և գործունեության առանձնահատկությունները սահմանվում են համապատասխան օրենքներով, իսկ 7֊րդ հոդվածի 7֊րդ մասի համաձայն՝ հանրային պաշտոնների և հանրային ծառայության պաշտոններ զբաղեցնող անձանց աշխատանքային/ծառայողական հարաբերությունները կարգավորվում են սույն օրենսգրքով, եթե համապատասխան օրենքներով այլ բան նախատեսված չէ,</w:t>
            </w:r>
          </w:p>
          <w:p>
            <w:pPr>
              <w:pStyle w:val="Normal"/>
              <w:spacing w:lineRule="auto" w:line="276"/>
              <w:jc w:val="both"/>
              <w:rPr>
                <w:sz w:val="24"/>
                <w:szCs w:val="24"/>
              </w:rPr>
            </w:pPr>
            <w:r>
              <w:rPr>
                <w:b w:val="false"/>
                <w:bCs w:val="false"/>
                <w:i w:val="false"/>
                <w:iCs w:val="false"/>
                <w:sz w:val="24"/>
                <w:szCs w:val="24"/>
              </w:rPr>
              <w:t>3․ Միաժամանակ նշենք, որ Սահմանադրությամբ սահմանվում է ոչ միայն յուրաքանչյուրի աշխատանքի ազատ ընտրության իրավունքը, այլ նաև առանձին հոդվածով (49֊րդ) սահմանվում է, որ յուրաքանչյուր քաղաքացի ունի ընդհանուր հիմունքներով հանրային ծառայության անցնելու իրավունք, իսկ մանրամասները սահմանվում են օրենքով։</w:t>
            </w:r>
          </w:p>
          <w:p>
            <w:pPr>
              <w:pStyle w:val="Normal"/>
              <w:spacing w:lineRule="auto" w:line="276"/>
              <w:jc w:val="both"/>
              <w:rPr>
                <w:sz w:val="24"/>
                <w:szCs w:val="24"/>
              </w:rPr>
            </w:pPr>
            <w:r>
              <w:rPr>
                <w:b w:val="false"/>
                <w:bCs w:val="false"/>
                <w:i w:val="false"/>
                <w:iCs w:val="false"/>
                <w:sz w:val="24"/>
                <w:szCs w:val="24"/>
              </w:rPr>
              <w:t>Նշված հարցերին անդրադարձել է նաև Սահմանադրական դատարանը․</w:t>
            </w:r>
          </w:p>
          <w:p>
            <w:pPr>
              <w:pStyle w:val="Normal"/>
              <w:spacing w:lineRule="auto" w:line="276"/>
              <w:jc w:val="both"/>
              <w:rPr>
                <w:sz w:val="24"/>
                <w:szCs w:val="24"/>
              </w:rPr>
            </w:pPr>
            <w:r>
              <w:rPr>
                <w:b w:val="false"/>
                <w:bCs w:val="false"/>
                <w:i w:val="false"/>
                <w:iCs w:val="false"/>
                <w:sz w:val="24"/>
                <w:szCs w:val="24"/>
              </w:rPr>
              <w:t>3․1․ Սահմանադրական դատարանն իր 2024 թվականի հոկտեմբերի 15֊ի ՍԴՈ֊1757 որոշմաբ հայտնել է, որ «աշխատանքի ընտրության ազատությունը յուրաքանչյուր անհատի համար ապահովում է առանց խտրականության աշխատանքային հարաբերությունների մեջ մտնելու և իր մասնագիտական ու այլ ընդունակություններն ազատ դրսևորելու հավասար հնարավորություն։</w:t>
            </w:r>
            <w:r>
              <w:rPr>
                <w:b w:val="false"/>
                <w:bCs w:val="false"/>
                <w:i/>
                <w:iCs/>
                <w:sz w:val="24"/>
                <w:szCs w:val="24"/>
              </w:rPr>
              <w:t xml:space="preserve"> Միաժամանակ, այն չի խոչընդոտում օրենսդրին աշխատանքային հարաբերությունն իրավական կարգավորման ենթարկելիս սահմանել անձանց իրավական տարբեր կարգավիճակներ՝ </w:t>
            </w:r>
            <w:r>
              <w:rPr>
                <w:b w:val="false"/>
                <w:bCs w:val="false"/>
                <w:i w:val="false"/>
                <w:iCs w:val="false"/>
                <w:sz w:val="24"/>
                <w:szCs w:val="24"/>
              </w:rPr>
              <w:t xml:space="preserve">կապված աշխատանքային պայմանների, անմիջական պայմանագրային պարատակությունների, գործունեության բնագավառի հետ, և </w:t>
            </w:r>
            <w:r>
              <w:rPr>
                <w:b w:val="false"/>
                <w:bCs w:val="false"/>
                <w:i/>
                <w:iCs/>
                <w:sz w:val="24"/>
                <w:szCs w:val="24"/>
              </w:rPr>
              <w:t>նույնիսկ նախատեսել առանձին պաշտոններ զբաղեցնելու և պաշտոններից ազատելու առանձնատուկ դեպքեր, եթե դրանք օբյեկտիվորեն արդարացված են և ունեն սահմանադրաիրավական համապատասխան հիմնավորում</w:t>
            </w:r>
            <w:r>
              <w:rPr>
                <w:b w:val="false"/>
                <w:bCs w:val="false"/>
                <w:i w:val="false"/>
                <w:iCs w:val="false"/>
                <w:sz w:val="24"/>
                <w:szCs w:val="24"/>
              </w:rPr>
              <w:t>»։</w:t>
            </w:r>
          </w:p>
          <w:p>
            <w:pPr>
              <w:pStyle w:val="Normal"/>
              <w:spacing w:lineRule="auto" w:line="276"/>
              <w:jc w:val="both"/>
              <w:rPr>
                <w:sz w:val="24"/>
                <w:szCs w:val="24"/>
              </w:rPr>
            </w:pPr>
            <w:r>
              <w:rPr>
                <w:b w:val="false"/>
                <w:bCs w:val="false"/>
                <w:i w:val="false"/>
                <w:iCs w:val="false"/>
                <w:sz w:val="24"/>
                <w:szCs w:val="24"/>
              </w:rPr>
              <w:t xml:space="preserve">Ինչ վերաբերում է պարտադիր կամ հարկադիր աշխատանքի արգելքին, հայտնում ենք, որ Նախագծում ներկայացված առաջարկը ենթադրում է ոչ թե պարտադիր կամ հարկադիր աշխատանքի կատարում, այլ Ծառայության առանձնահատկությունների հաշվառմամբ և ծառայողական անհրաժեշտությամբ պայմանավորված ծառայությունում այլ պաշտոնի փոխադրման իրավական հնարավորություն, իսկ համաձայնության բացակայությունը ենթադրում </w:t>
            </w:r>
            <w:r>
              <w:rPr>
                <w:b w:val="false"/>
                <w:bCs w:val="false"/>
                <w:i w:val="false"/>
                <w:iCs w:val="false"/>
                <w:sz w:val="24"/>
                <w:szCs w:val="24"/>
                <w:shd w:fill="auto" w:val="clear"/>
              </w:rPr>
              <w:t>է ծառայողին  պաշտոնից ազատում։</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7․ Նույն հոդվածի 4-րդ մասի համաձայն՝ Ծառայողը նշանակվում է ցածր պաշտոնի՝</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1) կազմակերպչական֊հաստիքային միջոցառումների կապակցությամբ, եթե հնարավոր չէ նշանակել հավասարազոր պաշտոնի․</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2) ընտանեկան պայմաններից ելնելով՝ իր դիմումի համաձայն,</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3) առողջական  վիճակով պայմանավորված՝ բժշկական կազմակերպության կողմից տրված եզրակացության համաձայն,</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4) իր դիմումի համաձայն,</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5) «Պաշտոնի իջեցում մեկ աստիճանով» կարգապահական տույժ ստանալու դեպքում,</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6) ատեստավորման կարգով՝ ավելի ցածր պաշտոնի նշանակվելու դեպքում:</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Այս կապակցությամբ առաջարկում ենք հստակեցնել օրինակ եթե կազմակերպչական֊հաստիքային միջոցառումների կապակցությամբ ծառայողը նշանակվում է ցածր պաշտոնի՝ աշխատավարձի պահպանում իրականացվում է, թե ոչ։</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rPr>
              <w:t>7․</w:t>
            </w:r>
            <w:r>
              <w:rPr>
                <w:b w:val="false"/>
                <w:bCs w:val="false"/>
                <w:i w:val="false"/>
                <w:iCs w:val="false"/>
                <w:sz w:val="24"/>
                <w:szCs w:val="24"/>
              </w:rPr>
              <w:t xml:space="preserve"> </w:t>
            </w:r>
            <w:r>
              <w:rPr>
                <w:b/>
                <w:bCs/>
                <w:i w:val="false"/>
                <w:iCs w:val="false"/>
                <w:sz w:val="24"/>
                <w:szCs w:val="24"/>
              </w:rPr>
              <w:t>Ընդունվել է ի գիտություն</w:t>
            </w:r>
          </w:p>
          <w:p>
            <w:pPr>
              <w:pStyle w:val="Normal"/>
              <w:spacing w:lineRule="auto" w:line="276"/>
              <w:jc w:val="both"/>
              <w:rPr>
                <w:sz w:val="24"/>
                <w:szCs w:val="24"/>
              </w:rPr>
            </w:pPr>
            <w:r>
              <w:rPr>
                <w:b w:val="false"/>
                <w:bCs w:val="false"/>
                <w:i w:val="false"/>
                <w:iCs w:val="false"/>
                <w:sz w:val="24"/>
                <w:szCs w:val="24"/>
              </w:rPr>
              <w:t>Կազմակերպչական֊հաստիքային միջոցառումների կապակցությամբ ցածր պաշտոնի նշանակվելու դեպքում՝ աշխատավարձը հատկացվում է ըստ տվյալ (ցածր) պաշտոնի համար նախատեսված պաշտոնային դրույքաչափի։</w:t>
            </w:r>
          </w:p>
          <w:p>
            <w:pPr>
              <w:pStyle w:val="Normal"/>
              <w:spacing w:lineRule="auto" w:line="276"/>
              <w:jc w:val="both"/>
              <w:rPr>
                <w:rFonts w:ascii="GHEA Grapalat" w:hAnsi="GHEA Grapalat"/>
                <w:i w:val="false"/>
                <w:i w:val="false"/>
                <w:iCs w:val="false"/>
                <w:sz w:val="24"/>
                <w:szCs w:val="24"/>
              </w:rPr>
            </w:pPr>
            <w:r>
              <w:rPr>
                <w:i w:val="false"/>
                <w:iCs w:val="false"/>
                <w:sz w:val="24"/>
                <w:szCs w:val="24"/>
              </w:rPr>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8․ Նույն հոդվածի 6-րդ մասի համաձայն՝ Ծառայողական անհրաժեշտությունից ելնելով՝ ծառայողը կարող է փոխադրվել հավասարազոր կամ բարձր պաշտոնի պարտականությունների ժամանակավոր կատարող հետևյալ դեպքերում՝</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1) հղիության և ծննդաբերության արձակուրդի դեպքում,</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2) մինչև 3 տարեկան երեխայի խնամքի համար տրամադրվող արձակուրդի դեպքում,</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3) պարտադիր զինծառայության զորակոչվելու դեպքում․</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4) ծառայողի կողմից իր ծառայողական պարտականությունները կատարելու ժամանակավոր անհնարինության դեպքում։</w:t>
            </w:r>
          </w:p>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 xml:space="preserve"> </w:t>
            </w:r>
            <w:r>
              <w:rPr>
                <w:rFonts w:cs="GHEA Grapalat" w:ascii="GHEA Grapalat" w:hAnsi="GHEA Grapalat"/>
                <w:bCs/>
                <w:color w:val="auto"/>
                <w:sz w:val="24"/>
                <w:szCs w:val="24"/>
                <w:lang w:val="hy-AM" w:bidi="hi-IN"/>
              </w:rPr>
              <w:t>Տվյալ դեպքում պարզ չէ նախատեսված կարգավորումների տրամաբանությունը, մասնավորապես՝ կարգավորման համաձայն ստացվում է, որ  հղիության և ծննդաբերության արձակուրդի դեպքում ծառայողը կարող է փոխադրվել բարձր պաշտոնի պարտականությունների ժամանակավոր կատարող, ուստի գտնում ենք սույն կարգավորման ձևակերպումներն ունեն վերանայման կարիք։</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rPr>
              <w:t>8․</w:t>
            </w:r>
            <w:r>
              <w:rPr>
                <w:b w:val="false"/>
                <w:bCs w:val="false"/>
                <w:i w:val="false"/>
                <w:iCs w:val="false"/>
                <w:sz w:val="24"/>
                <w:szCs w:val="24"/>
              </w:rPr>
              <w:t xml:space="preserve"> </w:t>
            </w:r>
            <w:r>
              <w:rPr>
                <w:b/>
                <w:bCs/>
                <w:i w:val="false"/>
                <w:iCs w:val="false"/>
                <w:sz w:val="24"/>
                <w:szCs w:val="24"/>
              </w:rPr>
              <w:t>Ընդունվել  և նախագծում դրույթը հստակեցվել է</w:t>
            </w:r>
          </w:p>
          <w:p>
            <w:pPr>
              <w:pStyle w:val="Normal"/>
              <w:spacing w:lineRule="auto" w:line="276"/>
              <w:jc w:val="both"/>
              <w:rPr>
                <w:sz w:val="24"/>
                <w:szCs w:val="24"/>
              </w:rPr>
            </w:pPr>
            <w:r>
              <w:rPr>
                <w:b w:val="false"/>
                <w:bCs w:val="false"/>
                <w:i w:val="false"/>
                <w:iCs w:val="false"/>
                <w:sz w:val="24"/>
                <w:szCs w:val="24"/>
              </w:rPr>
              <w:t>Նշված դրույթը հստակեցվել է՝ տարընկալումից խուսափելու նպատակով։</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9․ Նախագծի 15-րդ հոդվածով խմբագրվող 23-րդ հոդվածի 3-րդ մասի համաձայն՝ Ծառայության գաղտնի հաստիքային ծառայողներին բարձրագույն դասային աստիճան շնորհելու մասին Հանրապետության նախագահի հրամանագիրն ուժի մեջ է մտնում տվյալ հրամանագիրը ծառայողին տեղեկացնելու օրվան հաջորդող օրվանից։</w:t>
            </w:r>
          </w:p>
          <w:p>
            <w:pPr>
              <w:pStyle w:val="voroshmanbody"/>
              <w:numPr>
                <w:ilvl w:val="0"/>
                <w:numId w:val="0"/>
              </w:numPr>
              <w:spacing w:lineRule="auto" w:line="276"/>
              <w:ind w:hanging="0" w:left="0"/>
              <w:rPr>
                <w:sz w:val="24"/>
                <w:szCs w:val="24"/>
              </w:rPr>
            </w:pPr>
            <w:r>
              <w:rPr>
                <w:rFonts w:ascii="GHEA Grapalat" w:hAnsi="GHEA Grapalat"/>
                <w:sz w:val="24"/>
                <w:szCs w:val="24"/>
              </w:rPr>
              <w:t xml:space="preserve">   </w:t>
            </w:r>
            <w:r>
              <w:rPr>
                <w:rFonts w:ascii="GHEA Grapalat" w:hAnsi="GHEA Grapalat"/>
                <w:sz w:val="24"/>
                <w:szCs w:val="24"/>
              </w:rPr>
              <w:t>Այս առումով հարկ է նշել, որ տվյալ դեպքում խոսքը անհատական ակտի ուժի մեջ մտնելու մասին է, իսկ նշված հարաբերություններն արդեն իսկ կարգավորված են «Նորմատիվ իրավական ակտերի մասին» օրենքի 23-րդ հոդվածով, ուստի այն առաջարկում ենք հանել։ Բացի այդ նշված դրույթը դուրս է հոդվածի կարգավորման առարկայի շրջանակներից։</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rPr>
              <w:t>9․ Չի ընդունվել</w:t>
            </w:r>
          </w:p>
          <w:p>
            <w:pPr>
              <w:pStyle w:val="Normal"/>
              <w:spacing w:lineRule="auto" w:line="276"/>
              <w:jc w:val="both"/>
              <w:rPr>
                <w:sz w:val="24"/>
                <w:szCs w:val="24"/>
              </w:rPr>
            </w:pPr>
            <w:r>
              <w:rPr>
                <w:b w:val="false"/>
                <w:bCs w:val="false"/>
                <w:i w:val="false"/>
                <w:iCs w:val="false"/>
                <w:sz w:val="24"/>
                <w:szCs w:val="24"/>
              </w:rPr>
              <w:t>Նախագծի 15֊րդ հոդվածով խմբագրվող 23֊րդ հոդվածում նշվում է, որ բարձրագույն դասային աստիճանները շնորհվում են «Հանրային ծառայության մասին» օրենքով, որի 52֊րդ հոդվածով էլ սահմանվում է բարձրագույն դասային աստիճանների շնորհման կարգը, այդ թվում՝ որպես առանձնահատկություն նշվում է իրավունքի ուժով Նախագահի հրամանագիրն ուժի մեջ մտնելու և դրա մասին համապատասխան հայտարարություն տարածելու մասին։</w:t>
            </w:r>
          </w:p>
          <w:p>
            <w:pPr>
              <w:pStyle w:val="Normal"/>
              <w:spacing w:lineRule="auto" w:line="276"/>
              <w:jc w:val="both"/>
              <w:rPr>
                <w:sz w:val="24"/>
                <w:szCs w:val="24"/>
              </w:rPr>
            </w:pPr>
            <w:r>
              <w:rPr>
                <w:b w:val="false"/>
                <w:bCs w:val="false"/>
                <w:i w:val="false"/>
                <w:iCs w:val="false"/>
                <w:sz w:val="24"/>
                <w:szCs w:val="24"/>
              </w:rPr>
              <w:t>Նախագծով ներկայացված առաջարկը ոչ միայն չի հակասում «Նորմատիվ իրավական ակտերի մասին» օրենքի կարգավորումներին, այլ նաև՝ ապահվում է իրավական որոշակիություն և գործնական կիրառության ժամանակ տարընկալումների բացառում։</w:t>
            </w:r>
          </w:p>
          <w:p>
            <w:pPr>
              <w:pStyle w:val="Normal"/>
              <w:spacing w:lineRule="auto" w:line="276"/>
              <w:jc w:val="both"/>
              <w:rPr>
                <w:rFonts w:ascii="GHEA Grapalat" w:hAnsi="GHEA Grapalat"/>
                <w:i w:val="false"/>
                <w:i w:val="false"/>
                <w:iCs w:val="false"/>
                <w:sz w:val="24"/>
                <w:szCs w:val="24"/>
              </w:rPr>
            </w:pPr>
            <w:r>
              <w:rPr>
                <w:i w:val="false"/>
                <w:iCs w:val="false"/>
                <w:sz w:val="24"/>
                <w:szCs w:val="24"/>
              </w:rPr>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ascii="GHEA Grapalat" w:hAnsi="GHEA Grapalat"/>
                <w:sz w:val="24"/>
                <w:szCs w:val="24"/>
              </w:rPr>
              <w:t xml:space="preserve">  </w:t>
            </w:r>
            <w:r>
              <w:rPr>
                <w:rFonts w:ascii="GHEA Grapalat" w:hAnsi="GHEA Grapalat"/>
                <w:sz w:val="24"/>
                <w:szCs w:val="24"/>
              </w:rPr>
              <w:t xml:space="preserve">10․ Նույն հոդվածի 7-րդ մասում առաջարկում ենք վերանայել օրենսդրությամբ սահմանված </w:t>
            </w:r>
            <w:r>
              <w:rPr>
                <w:rFonts w:ascii="GHEA Grapalat" w:hAnsi="GHEA Grapalat"/>
                <w:b/>
                <w:sz w:val="24"/>
                <w:szCs w:val="24"/>
              </w:rPr>
              <w:t>դեպքերում</w:t>
            </w:r>
            <w:r>
              <w:rPr>
                <w:rFonts w:ascii="GHEA Grapalat" w:hAnsi="GHEA Grapalat"/>
                <w:sz w:val="24"/>
                <w:szCs w:val="24"/>
              </w:rPr>
              <w:t xml:space="preserve"> և կարգով դասային աստիճանից զրկելու վերաբերյալ կարգավորումը, քանի որ օրենսդրությունն օրենսդրական և ենթաօրենսդրական նորմատիվ իրավական ակտերի ամբողջություն է, իսկ դեպքերը պետք է սահմանվեն օրենքով։</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shd w:fill="auto" w:val="clear"/>
              </w:rPr>
              <w:t>10․</w:t>
            </w:r>
            <w:r>
              <w:rPr>
                <w:b w:val="false"/>
                <w:bCs w:val="false"/>
                <w:i w:val="false"/>
                <w:iCs w:val="false"/>
                <w:sz w:val="24"/>
                <w:szCs w:val="24"/>
                <w:shd w:fill="auto" w:val="clear"/>
              </w:rPr>
              <w:t xml:space="preserve"> </w:t>
            </w:r>
            <w:r>
              <w:rPr>
                <w:b/>
                <w:bCs/>
                <w:i w:val="false"/>
                <w:iCs w:val="false"/>
                <w:sz w:val="24"/>
                <w:szCs w:val="24"/>
                <w:shd w:fill="auto" w:val="clear"/>
              </w:rPr>
              <w:t>Ընդունվել և կատարվել է համապատասխան փոփոխություն</w:t>
            </w:r>
          </w:p>
          <w:p>
            <w:pPr>
              <w:pStyle w:val="Normal"/>
              <w:spacing w:lineRule="auto" w:line="276"/>
              <w:jc w:val="both"/>
              <w:rPr>
                <w:rFonts w:ascii="GHEA Grapalat" w:hAnsi="GHEA Grapalat"/>
                <w:b w:val="false"/>
                <w:bCs w:val="false"/>
                <w:i w:val="false"/>
                <w:i w:val="false"/>
                <w:iCs w:val="false"/>
                <w:sz w:val="24"/>
                <w:szCs w:val="24"/>
                <w:highlight w:val="none"/>
                <w:shd w:fill="FFFF00" w:val="clear"/>
              </w:rPr>
            </w:pPr>
            <w:r>
              <w:rPr>
                <w:b w:val="false"/>
                <w:bCs w:val="false"/>
                <w:i w:val="false"/>
                <w:iCs w:val="false"/>
                <w:sz w:val="24"/>
                <w:szCs w:val="24"/>
                <w:shd w:fill="FFFF00" w:val="clear"/>
              </w:rPr>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
                <w:bCs/>
                <w:sz w:val="24"/>
                <w:szCs w:val="24"/>
                <w:lang w:val="hy-AM"/>
              </w:rPr>
              <w:t xml:space="preserve">  </w:t>
            </w:r>
            <w:r>
              <w:rPr>
                <w:rFonts w:cs="GHEA Grapalat" w:ascii="GHEA Grapalat" w:hAnsi="GHEA Grapalat"/>
                <w:b/>
                <w:bCs/>
                <w:sz w:val="24"/>
                <w:szCs w:val="24"/>
                <w:lang w:val="hy-AM"/>
              </w:rPr>
              <w:t>11</w:t>
            </w:r>
            <w:r>
              <w:rPr>
                <w:rFonts w:cs="GHEA Grapalat" w:ascii="GHEA Grapalat" w:hAnsi="GHEA Grapalat"/>
                <w:bCs/>
                <w:sz w:val="24"/>
                <w:szCs w:val="24"/>
                <w:lang w:val="hy-AM"/>
              </w:rPr>
              <w:t>․</w:t>
            </w:r>
            <w:r>
              <w:rPr>
                <w:rFonts w:cs="GHEA Grapalat" w:ascii="GHEA Grapalat" w:hAnsi="GHEA Grapalat"/>
                <w:b/>
                <w:bCs/>
                <w:sz w:val="24"/>
                <w:szCs w:val="24"/>
                <w:lang w:val="hy-AM"/>
              </w:rPr>
              <w:t xml:space="preserve"> </w:t>
            </w:r>
            <w:r>
              <w:rPr>
                <w:rFonts w:cs="GHEA Grapalat" w:ascii="GHEA Grapalat" w:hAnsi="GHEA Grapalat"/>
                <w:bCs/>
                <w:sz w:val="24"/>
                <w:szCs w:val="24"/>
                <w:lang w:val="hy-AM"/>
              </w:rPr>
              <w:t>Նախագծի 15-րդ հոդվածով Օրենքի 8-րդ գլուխը շարադրվում է նոր խմբագրությամբ։ Այնուհետև Նախագծի 16-րդ հոդվածով Օրենքը լրացվում է նոր 23․1 և 23․2 հոդվածներով, որոնք ըստ էության պետք է ներառվեն 8-րդ գլխի մեջ։ Նախագիծը ներկայացված տարբերակով ինկորպորացվելու պարագայում 8-րդ գլուխը ունենալու է մեկ հոդված, իսկ նոր լրացվող 23․1 և 23․2 հոդվածները դուրս են մնալու։</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Ուստի առաջարկում ենք Նախագծից հանել հոդված 16-ը և համապատասխան «» նշանով ընդգծել 8-րդ գլխում ներառվող դրույթները։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shd w:fill="auto" w:val="clear"/>
              </w:rPr>
              <w:t>11․  Ընդունվել և կատարվել է համապատասխան փոփոխություն</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12</w:t>
            </w:r>
            <w:r>
              <w:rPr>
                <w:rFonts w:cs="Cambria Math" w:ascii="GHEA Grapalat" w:hAnsi="GHEA Grapalat"/>
                <w:bCs/>
                <w:sz w:val="24"/>
                <w:szCs w:val="24"/>
                <w:lang w:val="hy-AM"/>
              </w:rPr>
              <w:t>․</w:t>
            </w:r>
            <w:r>
              <w:rPr>
                <w:rFonts w:cs="GHEA Grapalat" w:ascii="GHEA Grapalat" w:hAnsi="GHEA Grapalat"/>
                <w:bCs/>
                <w:sz w:val="24"/>
                <w:szCs w:val="24"/>
                <w:lang w:val="hy-AM"/>
              </w:rPr>
              <w:t xml:space="preserve"> Նախագծի 19-րդ հոդվածի համաձայն Ծառայության ծառայողներին, ըստ ծառայության ստաժի, տրվում է լրացուցիչ արձակուրդ։</w:t>
            </w:r>
          </w:p>
          <w:p>
            <w:pPr>
              <w:pStyle w:val="voroshmanbody"/>
              <w:numPr>
                <w:ilvl w:val="0"/>
                <w:numId w:val="0"/>
              </w:numPr>
              <w:spacing w:lineRule="auto" w:line="276"/>
              <w:ind w:hanging="0" w:left="0"/>
              <w:rPr>
                <w:sz w:val="24"/>
                <w:szCs w:val="24"/>
              </w:rPr>
            </w:pPr>
            <w:r>
              <w:rPr>
                <w:rFonts w:ascii="GHEA Grapalat" w:hAnsi="GHEA Grapalat"/>
                <w:sz w:val="24"/>
                <w:szCs w:val="24"/>
              </w:rPr>
              <w:t xml:space="preserve"> </w:t>
            </w:r>
            <w:r>
              <w:rPr>
                <w:rFonts w:ascii="GHEA Grapalat" w:hAnsi="GHEA Grapalat"/>
                <w:sz w:val="24"/>
                <w:szCs w:val="24"/>
              </w:rPr>
              <w:t>Այս կապակցությամբ առաջարկում ենք հստակեցնել, որ համապատասխան ստաժ ունենալու դեպքում ծառայողները տրամադրված լրացուցիչ արձակուրդը կարող են օգտագործել  միայն մեկ անգամ, թե որպես ամենամյա լրացուցիչ արձակուրդ։</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shd w:fill="auto" w:val="clear"/>
              </w:rPr>
              <w:t>12․ Ընդունվել է ի գիտություն</w:t>
            </w:r>
          </w:p>
          <w:p>
            <w:pPr>
              <w:pStyle w:val="Normal"/>
              <w:spacing w:lineRule="auto" w:line="276"/>
              <w:jc w:val="both"/>
              <w:rPr>
                <w:sz w:val="24"/>
                <w:szCs w:val="24"/>
              </w:rPr>
            </w:pPr>
            <w:r>
              <w:rPr>
                <w:b w:val="false"/>
                <w:bCs w:val="false"/>
                <w:i w:val="false"/>
                <w:iCs w:val="false"/>
                <w:sz w:val="24"/>
                <w:szCs w:val="24"/>
                <w:shd w:fill="auto" w:val="clear"/>
              </w:rPr>
              <w:t>Ծառայության ծառայողներին ըստ ծառայության ստաժի տրվող լրացուցիչ արձակուրդը կարող է օգտագործվել որպես ամենամյա լրացուցիչ արձակուրդ։</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ascii="GHEA Grapalat" w:hAnsi="GHEA Grapalat"/>
                <w:sz w:val="24"/>
                <w:szCs w:val="24"/>
              </w:rPr>
              <w:t xml:space="preserve">    </w:t>
            </w:r>
            <w:r>
              <w:rPr>
                <w:rFonts w:ascii="GHEA Grapalat" w:hAnsi="GHEA Grapalat"/>
                <w:sz w:val="24"/>
                <w:szCs w:val="24"/>
              </w:rPr>
              <w:t>13․Նախագծի 23-րդ հոդվածի 1-ին մասի 2-րդ ենթակետում «մասով» բառն անհրաժեշտ է փոխարինել «կետով» բառով։ Անհրաժեշտ է վերանայել նաև 3-րդ կետից հետո շարադրված կետի համարակալումը։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shd w:fill="auto" w:val="clear"/>
              </w:rPr>
              <w:t>13․ Ընդունվել և կատարվել է համապատասխան փոփոխություն</w:t>
            </w:r>
          </w:p>
        </w:tc>
      </w:tr>
      <w:tr>
        <w:trPr>
          <w:trHeight w:val="4065"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ascii="GHEA Grapalat" w:hAnsi="GHEA Grapalat"/>
                <w:sz w:val="24"/>
                <w:szCs w:val="24"/>
              </w:rPr>
              <w:t xml:space="preserve">     </w:t>
            </w:r>
            <w:r>
              <w:rPr>
                <w:rFonts w:ascii="GHEA Grapalat" w:hAnsi="GHEA Grapalat"/>
                <w:sz w:val="24"/>
                <w:szCs w:val="24"/>
              </w:rPr>
              <w:t>14․ Նախագծի 24-րդ հոդվածով խմբագրվող 41-րդ հոդվածի 3-րդ մասում անհրաժեշտ է հստակեցնել, թե ինչ կարգով և երբ է ներգրավվում Ծառայության պաշտոնական ներկայացուցիչը։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b/>
                <w:bCs/>
                <w:i w:val="false"/>
                <w:iCs w:val="false"/>
                <w:sz w:val="24"/>
                <w:szCs w:val="24"/>
                <w:shd w:fill="auto" w:val="clear"/>
              </w:rPr>
              <w:t>14․ Ընդունվել է ի գիտություն</w:t>
            </w:r>
          </w:p>
          <w:p>
            <w:pPr>
              <w:pStyle w:val="Normal"/>
              <w:spacing w:lineRule="auto" w:line="276"/>
              <w:jc w:val="both"/>
              <w:rPr>
                <w:sz w:val="24"/>
                <w:szCs w:val="24"/>
              </w:rPr>
            </w:pPr>
            <w:r>
              <w:rPr>
                <w:rFonts w:eastAsia="Times New Roman" w:cs="Calibri"/>
                <w:b w:val="false"/>
                <w:bCs w:val="false"/>
                <w:i w:val="false"/>
                <w:iCs w:val="false"/>
                <w:color w:val="000000"/>
                <w:sz w:val="24"/>
                <w:szCs w:val="24"/>
                <w:u w:val="none"/>
                <w:shd w:fill="auto" w:val="clear"/>
              </w:rPr>
              <w:t>Ծառայության պաշտոնական ներկայացուցիչը ներգրավվում է Ծառայության աշխատողին բերման ենթարկելու, ձերբակալելու, խուզարկելու, անձի, իրերի, անձնական և ծառայողական օգտագործման տրանսպորտային միջոցների զննության ժամանակ, իսկ առանձին կարգ սահմանելու անհրաժեշտություն չկա, քանի որ ըստ իրավիճակի, ներգրավման եղանակները, ժամկետներն ու գործընթացը կարող են տարբեր լինել։ Նշենք նաև, որ նմանաբնույթ կարգավորում է նախատեսված նաև «Ազգային անվտանգության մարմինների մասին» օրենքով։</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15․ Նախագծի 27-րդ հոդվածի 2-րդ մասի համաձայն՝ Սույն օրենքի գործողությունը տարածվում է նաև մինչև սույն օրենքն ուժի մեջ մտնելը Ծառայությունում համապատասխան պաշտոնի նշանակված անձանց վրա։</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Նշված կարգավաորումներն ահնրաժեշտ է վերանայել՝ նկատի ունենալով, որ «Նորմատիվ իրավական ակտերի մասին» օրենքի 28-րդ հոդվածի համաձայն՝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Նույն դիտողությունը վերաբերում է նաև ««Պաշտոնատար անձանց գործունեության ապահովման, սպասարկման և սոցիալական երաշխիքների մասին» օրենքում լրացումներ և փոփոխություններ կատարելու մասին» օրենքի նախագծի 4-րդ հոդվածի 2-րդ մասին։</w:t>
            </w:r>
          </w:p>
          <w:p>
            <w:pPr>
              <w:pStyle w:val="voroshmanbody"/>
              <w:numPr>
                <w:ilvl w:val="0"/>
                <w:numId w:val="0"/>
              </w:numPr>
              <w:spacing w:lineRule="auto" w:line="276"/>
              <w:ind w:hanging="0" w:left="0"/>
              <w:rPr>
                <w:sz w:val="24"/>
                <w:szCs w:val="24"/>
              </w:rPr>
            </w:pPr>
            <w:r>
              <w:rPr>
                <w:rFonts w:ascii="GHEA Grapalat" w:hAnsi="GHEA Grapalat"/>
                <w:sz w:val="24"/>
                <w:szCs w:val="24"/>
              </w:rPr>
              <w:t xml:space="preserve">    </w:t>
            </w:r>
            <w:r>
              <w:rPr>
                <w:rFonts w:ascii="GHEA Grapalat" w:hAnsi="GHEA Grapalat"/>
                <w:sz w:val="24"/>
                <w:szCs w:val="24"/>
              </w:rPr>
              <w:t>Բացի այդ, նույն հոդվածի 4-րդ մասով նախատեսված կարգավորումն անավարտ է, ուստի վերանայման կարիք ունի։</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rFonts w:eastAsia="Times New Roman" w:cs="Calibri"/>
                <w:b/>
                <w:bCs/>
                <w:i w:val="false"/>
                <w:iCs w:val="false"/>
                <w:color w:val="000000"/>
                <w:sz w:val="24"/>
                <w:szCs w:val="24"/>
                <w:u w:val="none"/>
                <w:shd w:fill="auto" w:val="clear"/>
                <w:lang w:val="hy-AM"/>
              </w:rPr>
              <w:t>15․ Ընդունվել և նախագծում կատարվել է համապատասխան փոփոխություն</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widowControl/>
              <w:numPr>
                <w:ilvl w:val="0"/>
                <w:numId w:val="0"/>
              </w:numPr>
              <w:suppressAutoHyphens w:val="true"/>
              <w:bidi w:val="0"/>
              <w:spacing w:lineRule="auto" w:line="276"/>
              <w:ind w:hanging="0" w:left="0"/>
              <w:rPr>
                <w:sz w:val="24"/>
                <w:szCs w:val="24"/>
              </w:rPr>
            </w:pPr>
            <w:r>
              <w:rPr>
                <w:rFonts w:cs="GHEA Grapalat" w:ascii="GHEA Grapalat" w:hAnsi="GHEA Grapalat"/>
                <w:bCs/>
                <w:color w:val="auto"/>
                <w:sz w:val="24"/>
                <w:szCs w:val="24"/>
                <w:lang w:val="hy-AM" w:bidi="hi-IN"/>
              </w:rPr>
              <w:t>16․ ««Պաշտոնատար անձանց գործունեության ապահովման, սպասարկման և սոցիալական երաշխիքների մասին» օրենքում լրացումներ և փոփոխություններ կատարելու մասին» օրենքի նախագծի առաջին հոդվածով նախատեսվում է Օրենքի 2-րդ հոդվածի 1-ին մասի 12․1-րդ կետը շարադրել նոր խմբագրութմաբ, ինչի արդյունքում ի տարբերություն Օրենքի գործող կարգավորման, կենսաթոշակ ստանալու իրավունքից զրկվում են այն ծառայողները, որոնց ծառայությունը դադարեցվել է «Արտաքին հետախուզական գործունեության և արտաքին հետախուզության ծառայության մասին» օրենքի 38-րդ հոդվածի 1-ին մասի 3-րդ  (դատական կարգով սահմանափակ գործունակ ճանաչվելու դեպքում.), մինչդեռ Նախագծի հիմնավորմամբ ներկայացված չէ ինչով է պայմանավրված նման փոփոխություն կատարելու հանգամանքը։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rFonts w:eastAsia="Times New Roman" w:cs="Calibri"/>
                <w:b/>
                <w:bCs/>
                <w:i w:val="false"/>
                <w:iCs w:val="false"/>
                <w:color w:val="000000"/>
                <w:sz w:val="24"/>
                <w:szCs w:val="24"/>
                <w:u w:val="none"/>
                <w:shd w:fill="auto" w:val="clear"/>
                <w:lang w:val="hy-AM"/>
              </w:rPr>
              <w:t>16․ Ընդունվել է ի գիտություն</w:t>
            </w:r>
          </w:p>
          <w:p>
            <w:pPr>
              <w:pStyle w:val="Normal"/>
              <w:spacing w:lineRule="auto" w:line="276"/>
              <w:jc w:val="both"/>
              <w:rPr>
                <w:sz w:val="24"/>
                <w:szCs w:val="24"/>
              </w:rPr>
            </w:pPr>
            <w:r>
              <w:rPr>
                <w:rFonts w:eastAsia="Times New Roman" w:cs="Calibri"/>
                <w:b w:val="false"/>
                <w:bCs w:val="false"/>
                <w:i w:val="false"/>
                <w:iCs w:val="false"/>
                <w:color w:val="000000"/>
                <w:sz w:val="24"/>
                <w:szCs w:val="24"/>
                <w:u w:val="none"/>
                <w:shd w:fill="auto" w:val="clear"/>
              </w:rPr>
              <w:t>Նախագծի հիմնավորման շրջանակում ներկայացվել է, թե ինչով է պայմանավորված համապատասխան փոփոխությունը, մասնավորապես՝ հիմնավորման «</w:t>
            </w:r>
            <w:r>
              <w:rPr>
                <w:rFonts w:eastAsia="Times New Roman" w:cs="Calibri"/>
                <w:b/>
                <w:bCs/>
                <w:i w:val="false"/>
                <w:iCs w:val="false"/>
                <w:color w:val="000000"/>
                <w:sz w:val="24"/>
                <w:szCs w:val="24"/>
                <w:u w:val="none"/>
                <w:shd w:fill="auto" w:val="clear"/>
              </w:rPr>
              <w:t xml:space="preserve">ՆԱԽԱԳԾԻ ԿԱՐԳԱՎՈՐՄԱՆ ՆՊԱՏԱԿԸ, ԱՌԱՋԱՐԿՎՈՂ ԿԱՐԳԱՎՈՐՄԱՆ ԲՆՈՒՅԹԸ» </w:t>
            </w:r>
            <w:r>
              <w:rPr>
                <w:rFonts w:eastAsia="Times New Roman" w:cs="Calibri"/>
                <w:b w:val="false"/>
                <w:bCs w:val="false"/>
                <w:i w:val="false"/>
                <w:iCs w:val="false"/>
                <w:color w:val="000000"/>
                <w:sz w:val="24"/>
                <w:szCs w:val="24"/>
                <w:u w:val="none"/>
                <w:shd w:fill="auto" w:val="clear"/>
              </w:rPr>
              <w:t>վերտառությամբ գլխի 14֊րդ կետի շրջանակներում:</w:t>
            </w:r>
          </w:p>
        </w:tc>
      </w:tr>
      <w:tr>
        <w:trPr>
          <w:trHeight w:val="812" w:hRule="atLeast"/>
        </w:trPr>
        <w:tc>
          <w:tcPr>
            <w:tcW w:w="9656" w:type="dxa"/>
            <w:tcBorders>
              <w:left w:val="single" w:sz="4" w:space="0" w:color="000000"/>
              <w:bottom w:val="single" w:sz="4" w:space="0" w:color="000000"/>
              <w:right w:val="single" w:sz="4" w:space="0" w:color="000000"/>
            </w:tcBorders>
          </w:tcPr>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17․ ««Պետական պաշտոններ և պետական ծառայության պաշտոններ զբաղեցնող անձանց վարձատրության մասին» օրենքում լրացումներ կատարելու մասին» օրենքի նախագծի լրացումներ են կատարվում Օրենքի Պետական պաշտոն և պետական ծառայության պաշտոն զբաղեցնող անձանց տրամադրվող սոցիալական փաթեթը վերտառությամբ 26-րդ հոդվածում, նախատեսելով Արտաքին հետախութության ծառայողների համար այլ կարագավորումներ։</w:t>
            </w:r>
          </w:p>
          <w:p>
            <w:pPr>
              <w:pStyle w:val="voroshmanbody"/>
              <w:numPr>
                <w:ilvl w:val="0"/>
                <w:numId w:val="0"/>
              </w:numPr>
              <w:spacing w:lineRule="auto" w:line="276"/>
              <w:ind w:hanging="0" w:left="0"/>
              <w:rPr>
                <w:sz w:val="24"/>
                <w:szCs w:val="24"/>
              </w:rPr>
            </w:pPr>
            <w:r>
              <w:rPr>
                <w:rFonts w:cs="GHEA Grapalat" w:ascii="GHEA Grapalat" w:hAnsi="GHEA Grapalat"/>
                <w:bCs/>
                <w:sz w:val="24"/>
                <w:szCs w:val="24"/>
                <w:lang w:val="hy-AM"/>
              </w:rPr>
              <w:t xml:space="preserve">   </w:t>
            </w:r>
            <w:r>
              <w:rPr>
                <w:rFonts w:cs="GHEA Grapalat" w:ascii="GHEA Grapalat" w:hAnsi="GHEA Grapalat"/>
                <w:bCs/>
                <w:sz w:val="24"/>
                <w:szCs w:val="24"/>
                <w:lang w:val="hy-AM"/>
              </w:rPr>
              <w:t>««Պետական պաշտոններ և պետական ծառայության պաշտոններ զբաղեցնող անձանց վարձատրության մասին» օրենքում լրացումներ և փոփոխություններ կատարելու մասին» ՀՕ-604-Ն օրենքի Եզրափակիչ մաս և անցումային դրույթներ 6-րդ հոդվածի 2-րդ մասի համաձայն՝ Օրենքի 26-րդ հոդվածի 1-ին մասը Արտաքին հետախուզության ծառայության պետական պաշտոն և պետական ծառայության պաշտոն զբաղեցնող անձանց և (կամ) նրանց ընտանիքների անմիջական անդամների վրա տարածվում է 2024 թվականի հունվարի 1-ից։</w:t>
            </w:r>
          </w:p>
          <w:p>
            <w:pPr>
              <w:pStyle w:val="voroshmanbody"/>
              <w:numPr>
                <w:ilvl w:val="0"/>
                <w:numId w:val="0"/>
              </w:numPr>
              <w:spacing w:lineRule="auto" w:line="276"/>
              <w:ind w:hanging="0" w:left="0"/>
              <w:rPr>
                <w:sz w:val="24"/>
                <w:szCs w:val="24"/>
              </w:rPr>
            </w:pPr>
            <w:r>
              <w:rPr>
                <w:rFonts w:ascii="GHEA Grapalat" w:hAnsi="GHEA Grapalat"/>
                <w:sz w:val="24"/>
                <w:szCs w:val="24"/>
              </w:rPr>
              <w:t xml:space="preserve">  </w:t>
            </w:r>
            <w:r>
              <w:rPr>
                <w:rFonts w:ascii="GHEA Grapalat" w:hAnsi="GHEA Grapalat"/>
                <w:sz w:val="24"/>
                <w:szCs w:val="24"/>
              </w:rPr>
              <w:t>Ուստի անհամապատասխանությունից խուսափելու համար՝ առաջարկում ենք ուժը կորցրած ճանաչել ««Պետական պաշտոններ և պետական ծառայության պաշտոններ զբաղեցնող անձանց վարձատրության մասին» օրենքում լրացումներ և փոփոխություններ կատարելու մասին»  ՀՕ-604-Ն օրենքի 6-րդ հոդվածի 2-րդ մասը։</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rFonts w:eastAsia="Times New Roman" w:cs="Calibri"/>
                <w:b/>
                <w:bCs/>
                <w:i w:val="false"/>
                <w:iCs w:val="false"/>
                <w:color w:val="000000"/>
                <w:sz w:val="24"/>
                <w:szCs w:val="24"/>
                <w:u w:val="none"/>
                <w:shd w:fill="auto" w:val="clear"/>
                <w:lang w:val="hy-AM"/>
              </w:rPr>
              <w:t>17. Ընդունվել և կատարվել է համապատասխան փոփոխություն</w:t>
            </w:r>
          </w:p>
        </w:tc>
      </w:tr>
      <w:tr>
        <w:trPr>
          <w:trHeight w:val="311" w:hRule="atLeast"/>
        </w:trPr>
        <w:tc>
          <w:tcPr>
            <w:tcW w:w="9656" w:type="dxa"/>
            <w:vMerge w:val="restart"/>
            <w:tcBorders>
              <w:left w:val="single" w:sz="4" w:space="0" w:color="000000"/>
              <w:bottom w:val="single" w:sz="4" w:space="0" w:color="000000"/>
            </w:tcBorders>
            <w:shd w:fill="DDE8CB" w:val="clear"/>
          </w:tcPr>
          <w:p>
            <w:pPr>
              <w:pStyle w:val="Normal"/>
              <w:bidi w:val="0"/>
              <w:spacing w:lineRule="auto" w:line="276"/>
              <w:jc w:val="center"/>
              <w:rPr>
                <w:sz w:val="24"/>
                <w:szCs w:val="24"/>
              </w:rPr>
            </w:pPr>
            <w:r>
              <w:rPr>
                <w:b/>
                <w:bCs/>
                <w:sz w:val="24"/>
                <w:szCs w:val="24"/>
              </w:rPr>
              <w:t>6․ ՀՀ ֆինանսների նախարարություն</w:t>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shd w:fill="auto" w:val="clear"/>
              </w:rPr>
              <w:t>10․11․2025</w:t>
            </w:r>
          </w:p>
        </w:tc>
      </w:tr>
      <w:tr>
        <w:trPr>
          <w:trHeight w:val="345" w:hRule="atLeast"/>
        </w:trPr>
        <w:tc>
          <w:tcPr>
            <w:tcW w:w="9656" w:type="dxa"/>
            <w:vMerge w:val="continue"/>
            <w:tcBorders>
              <w:left w:val="single" w:sz="4" w:space="0" w:color="000000"/>
              <w:bottom w:val="single" w:sz="4" w:space="0" w:color="000000"/>
            </w:tcBorders>
            <w:shd w:fill="DDE8CB" w:val="clear"/>
          </w:tcPr>
          <w:p>
            <w:pPr>
              <w:pStyle w:val="Normal"/>
              <w:bidi w:val="0"/>
              <w:spacing w:lineRule="auto" w:line="276"/>
              <w:jc w:val="left"/>
              <w:rPr>
                <w:rFonts w:ascii="GHEA Grapalat" w:hAnsi="GHEA Grapalat"/>
                <w:sz w:val="24"/>
                <w:szCs w:val="24"/>
              </w:rPr>
            </w:pPr>
            <w:r>
              <w:rPr>
                <w:sz w:val="24"/>
                <w:szCs w:val="24"/>
              </w:rPr>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shd w:fill="auto" w:val="clear"/>
              </w:rPr>
              <w:t>N 01/11֊4/25236֊2025</w:t>
            </w:r>
          </w:p>
        </w:tc>
      </w:tr>
      <w:tr>
        <w:trPr>
          <w:trHeight w:val="627" w:hRule="atLeast"/>
        </w:trPr>
        <w:tc>
          <w:tcPr>
            <w:tcW w:w="9656" w:type="dxa"/>
            <w:tcBorders>
              <w:left w:val="single" w:sz="4" w:space="0" w:color="000000"/>
              <w:bottom w:val="single" w:sz="4" w:space="0" w:color="000000"/>
              <w:right w:val="single" w:sz="4" w:space="0" w:color="000000"/>
            </w:tcBorders>
          </w:tcPr>
          <w:p>
            <w:pPr>
              <w:pStyle w:val="Normal"/>
              <w:tabs>
                <w:tab w:val="left" w:pos="0" w:leader="none"/>
                <w:tab w:val="left" w:pos="426" w:leader="none"/>
                <w:tab w:val="left" w:pos="709" w:leader="none"/>
              </w:tabs>
              <w:spacing w:lineRule="auto" w:line="276" w:before="0" w:after="0"/>
              <w:ind w:right="-28"/>
              <w:contextualSpacing/>
              <w:jc w:val="both"/>
              <w:rPr>
                <w:sz w:val="24"/>
                <w:szCs w:val="24"/>
              </w:rPr>
            </w:pPr>
            <w:r>
              <w:rPr>
                <w:rFonts w:cs="Calibri"/>
                <w:sz w:val="24"/>
                <w:szCs w:val="24"/>
                <w:lang w:val="hy-AM"/>
              </w:rPr>
              <w:t>ՀՀ ֆինանսների նախարարությունն ուսումնասիրել է ««Արտաքին հետախուզական գործունեության և արտաքին հետախուզության ծառայության մասին» օրենքում փոփոխություն և լրացում կատարելու մասին» ՀՀ օրենքի (այսուհետ՝ Նախագիծ 1), ««Պաշտոնատար անձանց գործունեության ապահովման, սպասարկման եւ սոցիալական երաշխիքների մասին» օրենքում լրացումներ և փոփոխություններ կատարելու մասին» ՀՀ օրենքի (այսուհետ՝ Նախագիծ 2), ««Պետական կենսաթոշակների մասին օրենքում» լրացում կատարելու մասին» ՀՀ օրենքի (այսուհետ՝ Նախագիծ 3), ««Օպերատիվ֊հետախուզական գործունեության մասին» օրենքում լրացումներ և փոփոխություններ կատարելու մասին» ՀՀ օրենքի (այսուհետ՝ Նախագիծ 4), և ««Պետական պաշտոններ և պետական ծառայության պաշտոններ զբաղեցնող անձանց վարձատրության մասին» օրենքում լրացումներ կատարելու մասին» ՀՀ օրենքի (այսուհետ՝ Նախագիծ 5) լրամշակված նախագծերը և հայտնում է հետևյալը.</w:t>
            </w:r>
          </w:p>
          <w:p>
            <w:pPr>
              <w:pStyle w:val="Normal"/>
              <w:tabs>
                <w:tab w:val="left" w:pos="0" w:leader="none"/>
                <w:tab w:val="left" w:pos="426" w:leader="none"/>
                <w:tab w:val="left" w:pos="709" w:leader="none"/>
              </w:tabs>
              <w:spacing w:lineRule="auto" w:line="276" w:before="0" w:after="0"/>
              <w:ind w:right="-28"/>
              <w:contextualSpacing/>
              <w:jc w:val="both"/>
              <w:rPr>
                <w:sz w:val="24"/>
                <w:szCs w:val="24"/>
              </w:rPr>
            </w:pPr>
            <w:r>
              <w:rPr>
                <w:rFonts w:cs="Calibri"/>
                <w:sz w:val="24"/>
                <w:szCs w:val="24"/>
                <w:lang w:val="hy-AM"/>
              </w:rPr>
              <w:tab/>
              <w:tab/>
              <w:t>1. Նախագիծ 1-ի 7-րդ հոդվածի 1-ին մասով նախատեսվում է օրենքի 15֊րդ հոդվածում՝ 2֊րդ մասը լրացնել հետևյալ բովանդակությամբ՝ նոր 12</w:t>
            </w:r>
            <w:r>
              <w:rPr>
                <w:rFonts w:cs="Cambria Math"/>
                <w:sz w:val="24"/>
                <w:szCs w:val="24"/>
                <w:lang w:val="hy-AM"/>
              </w:rPr>
              <w:t>․</w:t>
            </w:r>
            <w:r>
              <w:rPr>
                <w:rFonts w:cs="Calibri"/>
                <w:sz w:val="24"/>
                <w:szCs w:val="24"/>
                <w:lang w:val="hy-AM"/>
              </w:rPr>
              <w:t>1-12</w:t>
            </w:r>
            <w:r>
              <w:rPr>
                <w:rFonts w:cs="Cambria Math"/>
                <w:sz w:val="24"/>
                <w:szCs w:val="24"/>
                <w:lang w:val="hy-AM"/>
              </w:rPr>
              <w:t>․</w:t>
            </w:r>
            <w:r>
              <w:rPr>
                <w:rFonts w:cs="Calibri"/>
                <w:sz w:val="24"/>
                <w:szCs w:val="24"/>
                <w:lang w:val="hy-AM"/>
              </w:rPr>
              <w:t>6 կետերով</w:t>
            </w:r>
            <w:r>
              <w:rPr>
                <w:rFonts w:cs="Cambria Math"/>
                <w:sz w:val="24"/>
                <w:szCs w:val="24"/>
                <w:lang w:val="hy-AM"/>
              </w:rPr>
              <w:t>․</w:t>
            </w:r>
          </w:p>
          <w:p>
            <w:pPr>
              <w:pStyle w:val="Normal"/>
              <w:tabs>
                <w:tab w:val="left" w:pos="0" w:leader="none"/>
                <w:tab w:val="left" w:pos="426" w:leader="none"/>
                <w:tab w:val="left" w:pos="709" w:leader="none"/>
              </w:tabs>
              <w:spacing w:lineRule="auto" w:line="276" w:before="0" w:after="0"/>
              <w:ind w:right="-28"/>
              <w:contextualSpacing/>
              <w:jc w:val="both"/>
              <w:rPr>
                <w:sz w:val="24"/>
                <w:szCs w:val="24"/>
              </w:rPr>
            </w:pPr>
            <w:r>
              <w:rPr>
                <w:rFonts w:cs="Calibri"/>
                <w:sz w:val="24"/>
                <w:szCs w:val="24"/>
                <w:lang w:val="hy-AM"/>
              </w:rPr>
              <w:tab/>
              <w:tab/>
              <w:t>«12</w:t>
            </w:r>
            <w:r>
              <w:rPr>
                <w:rFonts w:cs="Cambria Math"/>
                <w:sz w:val="24"/>
                <w:szCs w:val="24"/>
                <w:lang w:val="hy-AM"/>
              </w:rPr>
              <w:t>․</w:t>
            </w:r>
            <w:r>
              <w:rPr>
                <w:rFonts w:cs="Calibri"/>
                <w:sz w:val="24"/>
                <w:szCs w:val="24"/>
                <w:lang w:val="hy-AM"/>
              </w:rPr>
              <w:t>1) վարչապետի հաստատմանն է ներկայացնում այն պայմանները, որոնց համապատասխանող Ծառայության հետ համագործակցող անձինք Ծառայության պետի հրամանով սահմանված կարգով օգտվում են Ծառայության ծառայողների համար սահմանված սոցիալական երաշխիքներից և որոնց համագործակցության ժամանակահատվածը համարվում է որպես ծառայության ստաժ</w:t>
            </w:r>
            <w:r>
              <w:rPr>
                <w:rFonts w:cs="Cambria Math"/>
                <w:sz w:val="24"/>
                <w:szCs w:val="24"/>
                <w:lang w:val="hy-AM"/>
              </w:rPr>
              <w:t>․</w:t>
            </w:r>
          </w:p>
          <w:p>
            <w:pPr>
              <w:pStyle w:val="Normal"/>
              <w:tabs>
                <w:tab w:val="left" w:pos="0" w:leader="none"/>
                <w:tab w:val="left" w:pos="426" w:leader="none"/>
                <w:tab w:val="left" w:pos="709" w:leader="none"/>
              </w:tabs>
              <w:spacing w:lineRule="auto" w:line="276" w:before="0" w:after="0"/>
              <w:ind w:right="-28"/>
              <w:contextualSpacing/>
              <w:jc w:val="both"/>
              <w:rPr>
                <w:sz w:val="24"/>
                <w:szCs w:val="24"/>
              </w:rPr>
            </w:pPr>
            <w:r>
              <w:rPr>
                <w:rFonts w:cs="Calibri"/>
                <w:sz w:val="24"/>
                <w:szCs w:val="24"/>
                <w:lang w:val="hy-AM"/>
              </w:rPr>
              <w:tab/>
              <w:tab/>
              <w:t>12.4) սահմանում է Ծառայության կողմից շահագործվող համակարգչային սարքավորումներին ներկայացվող նվազագույն տեխնիկական պահանջները, շահագործման կարգը և ժամկետները</w:t>
            </w:r>
            <w:r>
              <w:rPr>
                <w:rFonts w:cs="Cambria Math"/>
                <w:sz w:val="24"/>
                <w:szCs w:val="24"/>
                <w:lang w:val="hy-AM"/>
              </w:rPr>
              <w:t>․</w:t>
            </w:r>
          </w:p>
          <w:p>
            <w:pPr>
              <w:pStyle w:val="Normal"/>
              <w:tabs>
                <w:tab w:val="left" w:pos="0" w:leader="none"/>
                <w:tab w:val="left" w:pos="426" w:leader="none"/>
                <w:tab w:val="left" w:pos="709" w:leader="none"/>
              </w:tabs>
              <w:spacing w:lineRule="auto" w:line="276" w:before="0" w:after="0"/>
              <w:ind w:right="-28"/>
              <w:contextualSpacing/>
              <w:jc w:val="both"/>
              <w:rPr>
                <w:sz w:val="24"/>
                <w:szCs w:val="24"/>
              </w:rPr>
            </w:pPr>
            <w:r>
              <w:rPr>
                <w:rFonts w:cs="Calibri"/>
                <w:sz w:val="24"/>
                <w:szCs w:val="24"/>
                <w:lang w:val="hy-AM"/>
              </w:rPr>
              <w:tab/>
              <w:tab/>
              <w:t>«Արտաքին հետախուզական գործունեության և արտաքին հետախուզության ծառայության մասին» ՀՀ օրենքի 10-րդ հոդվածի 1-ին մասի համաձայն՝ արտաքին հետախուզական գործունեություն իրականացնող մարմինները կարող են հատուցմամբ կամ անհատույց, պայմանագրով կամ առանց դրա համագործակցային հարաբերություններ հաստատել չափահաս գործունակ անձանց հետ, որոնք համաձայնություն են տվել ցուցաբերելու գաղտնի աջակցություն արտաքին հետախուզական գործունեություն իրականացնող մարմիններին: Սույն մասում նշված անձանց հետ պայմանագրային կամ առանց դրա համագործակցային հարաբերություններ հաստատելու հիմքերն ու կարգը, պայմանագրի կնքման, վերջիններիս իրավունքներն ու պարտականությունները, նրանց կողմից իրականացվող միջոցառումների շրջանակն ու իրականացման կարգը հաստատում է վարչապետը:</w:t>
            </w:r>
          </w:p>
          <w:p>
            <w:pPr>
              <w:pStyle w:val="Normal"/>
              <w:tabs>
                <w:tab w:val="left" w:pos="0" w:leader="none"/>
                <w:tab w:val="left" w:pos="426" w:leader="none"/>
                <w:tab w:val="left" w:pos="709" w:leader="none"/>
              </w:tabs>
              <w:spacing w:lineRule="auto" w:line="276" w:before="0" w:after="0"/>
              <w:ind w:right="-28"/>
              <w:contextualSpacing/>
              <w:jc w:val="both"/>
              <w:rPr>
                <w:sz w:val="24"/>
                <w:szCs w:val="24"/>
              </w:rPr>
            </w:pPr>
            <w:r>
              <w:rPr>
                <w:rFonts w:cs="Calibri"/>
                <w:sz w:val="24"/>
                <w:szCs w:val="24"/>
                <w:lang w:val="hy-AM"/>
              </w:rPr>
              <w:tab/>
              <w:tab/>
              <w:t>Նախագծերին կից ներկայացված հիմնավորմամբ պարզաբանված չեն Ծառայության ծառայողների համար սահմանված սոցիալական երաշխիքներից Ծառայության հետ համագործակցող անձանց շրջանակը սահմանելու նպատակը, արդյունավետությունը, թիրախային և արդյունքային ցուցանիշները: Ընդ որում, առաջարկը խնդրահարույց է նաև հանրային ծառայողների սոցիալական երաշխիքների տրամադրման նպատակների իրացման տեսանկյունից: Հանրային ծառայողների համար սոցիալական երաշխիքների սահմանումը միաժամանակ ունի իրավական, սոցիալական և կազմակերպական նպատակներ</w:t>
            </w:r>
            <w:r>
              <w:rPr>
                <w:rFonts w:cs="Cambria Math"/>
                <w:sz w:val="24"/>
                <w:szCs w:val="24"/>
                <w:lang w:val="hy-AM"/>
              </w:rPr>
              <w:t>․</w:t>
            </w:r>
          </w:p>
          <w:p>
            <w:pPr>
              <w:pStyle w:val="Normal"/>
              <w:spacing w:lineRule="auto" w:line="276" w:before="0" w:after="0"/>
              <w:ind w:firstLine="630"/>
              <w:jc w:val="both"/>
              <w:rPr>
                <w:sz w:val="24"/>
                <w:szCs w:val="24"/>
              </w:rPr>
            </w:pPr>
            <w:r>
              <w:rPr>
                <w:rFonts w:cs="Calibri"/>
                <w:sz w:val="24"/>
                <w:szCs w:val="24"/>
                <w:lang w:val="hy-AM"/>
              </w:rPr>
              <w:t>1. Ապահովել հանրային ծառայության կայունությունը և արդյունավետությունը. սոցիալական երաշխիքները (վարձատրություն, արձակուրդներ, կենսաթոշակային ապահովագրություն, բժշկական սպասարկում և այլն) նպաստում են նրան, որ ծառայողները չփնտրեն աշխատանքի ավելի ապահով կամ եկամտաբեր այլ ոլորտներ։</w:t>
            </w:r>
          </w:p>
          <w:p>
            <w:pPr>
              <w:pStyle w:val="Normal"/>
              <w:spacing w:lineRule="auto" w:line="276" w:before="0" w:after="0"/>
              <w:ind w:firstLine="630"/>
              <w:jc w:val="both"/>
              <w:rPr>
                <w:sz w:val="24"/>
                <w:szCs w:val="24"/>
              </w:rPr>
            </w:pPr>
            <w:r>
              <w:rPr>
                <w:rFonts w:cs="Calibri"/>
                <w:sz w:val="24"/>
                <w:szCs w:val="24"/>
                <w:lang w:val="hy-AM"/>
              </w:rPr>
              <w:t>2. Ապահովել հանրային ծառայողի անկախությունը և չեզոքությունը. սոցիալական պաշտպանված լինելը նվազեցնում է կոռուպցիոն ռիսկերն ու արտաքին ճնշումների ենթարկվելու հավանականությունը։ Եթե ապահովված են հանրային ծառայողի և նրա ընտանիքի նվազագույն սոցիալական կարիքները, ապա նրա համար հեշտ է գործել օրենքի և հանրային շահի շրջանակում։</w:t>
            </w:r>
          </w:p>
          <w:p>
            <w:pPr>
              <w:pStyle w:val="Normal"/>
              <w:spacing w:lineRule="auto" w:line="276" w:before="0" w:after="0"/>
              <w:ind w:firstLine="630"/>
              <w:jc w:val="both"/>
              <w:rPr>
                <w:sz w:val="24"/>
                <w:szCs w:val="24"/>
              </w:rPr>
            </w:pPr>
            <w:r>
              <w:rPr>
                <w:rFonts w:cs="Calibri"/>
                <w:sz w:val="24"/>
                <w:szCs w:val="24"/>
                <w:lang w:val="hy-AM"/>
              </w:rPr>
              <w:t>3. Պետական ծառայության հեղինակության բարձրացում. մրցունակ սոցիալական փաթեթը նպաստում է որակյալ կադրերի ներգրավմանը պետական կառավարման համակարգ։</w:t>
            </w:r>
          </w:p>
          <w:p>
            <w:pPr>
              <w:pStyle w:val="Normal"/>
              <w:spacing w:lineRule="auto" w:line="276" w:before="0" w:after="0"/>
              <w:ind w:firstLine="630"/>
              <w:jc w:val="both"/>
              <w:rPr>
                <w:sz w:val="24"/>
                <w:szCs w:val="24"/>
              </w:rPr>
            </w:pPr>
            <w:r>
              <w:rPr>
                <w:rFonts w:cs="Calibri"/>
                <w:sz w:val="24"/>
                <w:szCs w:val="24"/>
                <w:lang w:val="hy-AM"/>
              </w:rPr>
              <w:t>4. Սոցիալական արդարության ապահովում – հանրային ծառայողը սահմանափակված է որոշ ազատություններում (օր.՝ քաղաքական զսպվածություն, գույքի և եկամուտների հայտարարագրում, շահերի բախման սահմանափակումներ, չնորմավորված աշխատաժամանակ, գործունեության հանրային բնույթով պայմանավորված քննադատություն և այլն), և դրա փոխհատուցումն է սոցիալական երաշխիքների ապահովումը։</w:t>
            </w:r>
          </w:p>
          <w:p>
            <w:pPr>
              <w:pStyle w:val="Normal"/>
              <w:spacing w:lineRule="auto" w:line="276" w:before="0" w:after="0"/>
              <w:ind w:firstLine="630"/>
              <w:jc w:val="both"/>
              <w:rPr>
                <w:sz w:val="24"/>
                <w:szCs w:val="24"/>
              </w:rPr>
            </w:pPr>
            <w:r>
              <w:rPr>
                <w:rFonts w:cs="Calibri"/>
                <w:sz w:val="24"/>
                <w:szCs w:val="24"/>
                <w:lang w:val="hy-AM"/>
              </w:rPr>
              <w:t>Չնայած այն հանգամանքին, որ Նախագիծը խմբագրվել է, այդուհանդերձ,  Ծառայության հետ համագործակցող անձանց պարագայում ևս սոցիալական երաշխիքների իրացումն օբյեկտիվորեն խնդրահարույց է, ուստի կրկին հայտնում ենք, որ այս առաջարկը լրացուցիչ հիմնավորման կարիք ունի վերոնշյալ նկատառումների համատեքստում:</w:t>
            </w:r>
          </w:p>
          <w:p>
            <w:pPr>
              <w:pStyle w:val="Normal"/>
              <w:spacing w:lineRule="auto" w:line="276" w:before="0" w:after="0"/>
              <w:ind w:firstLine="630"/>
              <w:jc w:val="both"/>
              <w:rPr>
                <w:sz w:val="24"/>
                <w:szCs w:val="24"/>
              </w:rPr>
            </w:pPr>
            <w:r>
              <w:rPr>
                <w:rFonts w:cs="Calibri"/>
                <w:sz w:val="24"/>
                <w:szCs w:val="24"/>
                <w:lang w:val="hy-AM"/>
              </w:rPr>
              <w:t>Նշվածը հավասարապես վերաբերում է նաև Նախագիծ 1-ի 8-րդ հոդվածի 3-րդ մասով օրենքի 16֊րդ հոդվածի 5֊րդ մասում նախատեսվող փոփոխությանը, որի համաձայն՝ Ծառայության ծառայողների համար սահմանված իրավունքները, պարտականությունները և սոցիալական երաշխիքները տարածվում են պայմանագրային հիմունքներով քաղաքացիական աշխատանք կատարող և տեխնիկական սպասարկում իրականացնող անձանց վրա, իսկ Ծառայությունում իրականացված աշխատանքը Ծառայության ծառայողի ստաժ է համարվում միայն օրենքով սահմանված կարգով կենսաթոշակ հաշվարկելու դեպքում:</w:t>
            </w:r>
          </w:p>
          <w:p>
            <w:pPr>
              <w:pStyle w:val="Normal"/>
              <w:spacing w:lineRule="auto" w:line="276" w:before="0" w:after="0"/>
              <w:ind w:firstLine="720"/>
              <w:jc w:val="both"/>
              <w:rPr>
                <w:sz w:val="24"/>
                <w:szCs w:val="24"/>
              </w:rPr>
            </w:pPr>
            <w:r>
              <w:rPr>
                <w:rFonts w:cs="Calibri"/>
                <w:sz w:val="24"/>
                <w:szCs w:val="24"/>
                <w:lang w:val="hy-AM"/>
              </w:rPr>
              <w:t>Բացի այդ, մեր կողմից ներկայացված այն դիտարկմանը, որ հանրային հատվածի կազմակերպություններում նոր հիմնական միջոցների մաշվածության հաշվարկման նորմատիվային օգտակար ծառայության ժամկետները սահմանվում են ՀՀ ֆինանսների նախարարի 2016 թվականի N 3 հրամանով (այսուհետ՝ Հրաման), Ծառայության կողմից ներկայացված ամփոփաթերթով (այսուհետ՝ Ամփոփաթերթ) որպես պարզաբանում նշվել է, որ Հրամանի 1֊ին հավելվածով հիմնական միջոցների մաշվածության հաշվարկման համար սահմանված նորմատիվային օգտակար ծառայության ժամկետները չեն տարածվում ռազմական տեխնիկայի և փոքրարժեք կամ արագամաշ առարկաների վրա։ Մինչդեռ, համակարգչային սարքավորումները չեն կարող վերագրվել վերը նշված ապրանքատեսակներին:</w:t>
            </w:r>
          </w:p>
          <w:p>
            <w:pPr>
              <w:pStyle w:val="Normal"/>
              <w:suppressAutoHyphens w:val="false"/>
              <w:spacing w:lineRule="auto" w:line="276" w:before="0" w:after="0"/>
              <w:ind w:firstLine="720"/>
              <w:jc w:val="both"/>
              <w:rPr>
                <w:sz w:val="24"/>
                <w:szCs w:val="24"/>
              </w:rPr>
            </w:pPr>
            <w:r>
              <w:rPr>
                <w:rFonts w:cs="Calibri"/>
                <w:sz w:val="24"/>
                <w:szCs w:val="24"/>
                <w:lang w:val="hy-AM"/>
              </w:rPr>
              <w:t>Հաշվի առնելով վերոգրյալը՝ առաջարկում ենք ժամկետների կարգավորման մասը հանել:</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rFonts w:eastAsia="Times New Roman" w:cs="Calibri"/>
                <w:b/>
                <w:bCs/>
                <w:i w:val="false"/>
                <w:iCs w:val="false"/>
                <w:color w:val="000000"/>
                <w:sz w:val="24"/>
                <w:szCs w:val="24"/>
                <w:u w:val="none"/>
                <w:shd w:fill="auto" w:val="clear"/>
                <w:lang w:val="hy-AM"/>
              </w:rPr>
              <w:t>1․ Ընդունվել է մասնակի</w:t>
            </w:r>
          </w:p>
          <w:p>
            <w:pPr>
              <w:pStyle w:val="Normal"/>
              <w:spacing w:lineRule="auto" w:line="276"/>
              <w:jc w:val="both"/>
              <w:rPr>
                <w:sz w:val="24"/>
                <w:szCs w:val="24"/>
              </w:rPr>
            </w:pPr>
            <w:r>
              <w:rPr>
                <w:rFonts w:eastAsia="Times New Roman" w:cs="Calibri"/>
                <w:b w:val="false"/>
                <w:bCs w:val="false"/>
                <w:i w:val="false"/>
                <w:iCs w:val="false"/>
                <w:color w:val="000000"/>
                <w:sz w:val="24"/>
                <w:szCs w:val="24"/>
                <w:u w:val="none"/>
                <w:shd w:fill="auto" w:val="clear"/>
                <w:lang w:val="hy-AM"/>
              </w:rPr>
              <w:t>Համագործակցող անձինք ներգրավվում են Ծառայության կողմից իրականացվող գործունեության շրջանակում համապատասխան աջակցություն տրամադրելու նպատակով, ինչը բխում է Ծառայության գործունեությանը բնորոշ առանձնատկություններից։ Ե՛վ Ծառայության ծառայողի, և՛ համագործակցող անձի կատարած աշխատանքը բխում է բացառապես Ծառայության նպատականերից, խնդիրներից և Ծառայությանը վերապահված լիազորությունների պատշաճ իրականացումն ապահովելու անհրաժեշտությունից։ Այսինքն անկախ նրանից, թե անձը տվյալ պահին ինչ կարգավիճակով է հանդես գալիս (Ծառայության ծառայող, թե համագործակցող անձ), ամեն դեպքում իրականացնում է Ծառայությանը վերապահված լիազորություններից բխող այնպիսի բովանդակությամբ աշխատանք կամ ծառայություն կամ հանձնարարական, որը ենթադրում է ռիսկեր, անվտանգության պահպանման կանոններ և այլ սահմանափակումներ, որոնց համարժեք սոցիալական երաշխիքների տրամադրումը առավել քան արդարացված է և անհրաժեշտ։ Միաժամանակ գտնում ենք, որ «սոցիալական երաշխիք» ստանալու իրավունքը չպետք է միայն հանրային ծառայողի կարգավիճակ ունենալու հետ կապել և սույն դեպքում, սոցիալական երաշխիքը տրամադրվում է ոչ թե կարգավիճակի, այլ՝ որպես Ծառայության գործունեությանը աջակցություն ցուցաբերելու շրջանակում կատարված և կատարվելիք աշխատանքի դիմաց համարժեք «փոխհատուցում»։ Նշենք նաև, որ մի փոքր այլ, բայց առանձնահատուկ կարգավորում է առկա նաև «Ազգային անվտանգության մարմինների մասին» օրենքով, որի 23֊րդ հոդվածի համաձայն՝ ազգային անվտանգության մարմինները կարող են առանձին անձանց, նրանց համաձայնությամբ, ներգրավվել ազգային անվտանգության մարմինների վրա դրված պարտականությունների կատարման գործում, ընդ որում, նաև որպես արտահաստիքային աշխատակիցներ, որոնց գործունեության կարգը սահմանվում է լիազորված մարմնի իրավական ակտերով։ Վերջիններիս իրավունքների մեջ նշվում է նաև պարգևատրում և առողջության կամ գույքին պատճառված վնասի փոխհատուցում ստանալու իրավունքի մասին։ Հատկանշական է նաև այն հանգամանքը, որ Ծառայության ծառայողների համար սահմանված սոցիալական երաշխիքներից օգտվելու իրավունք կունենան ոչ թե բոլոր, այլ Վարչապետի որոշմամբ սահմանված պայմաններին բավարարող համագործակցող անձինք։</w:t>
            </w:r>
          </w:p>
          <w:p>
            <w:pPr>
              <w:pStyle w:val="Normal"/>
              <w:spacing w:lineRule="auto" w:line="276"/>
              <w:jc w:val="both"/>
              <w:rPr/>
            </w:pPr>
            <w:r>
              <w:rPr>
                <w:rFonts w:eastAsia="Times New Roman" w:cs="Calibri"/>
                <w:b w:val="false"/>
                <w:bCs w:val="false"/>
                <w:i w:val="false"/>
                <w:iCs w:val="false"/>
                <w:color w:val="000000"/>
                <w:sz w:val="24"/>
                <w:szCs w:val="24"/>
                <w:u w:val="none"/>
                <w:shd w:fill="auto" w:val="clear"/>
                <w:lang w:val="hy-AM"/>
              </w:rPr>
              <w:t xml:space="preserve">  </w:t>
            </w:r>
            <w:r>
              <w:rPr>
                <w:rFonts w:eastAsia="Times New Roman" w:cs="Calibri"/>
                <w:b w:val="false"/>
                <w:bCs w:val="false"/>
                <w:i w:val="false"/>
                <w:iCs w:val="false"/>
                <w:color w:val="000000"/>
                <w:sz w:val="24"/>
                <w:szCs w:val="24"/>
                <w:u w:val="none"/>
                <w:shd w:fill="auto" w:val="clear"/>
                <w:lang w:val="hy-AM"/>
              </w:rPr>
              <w:t xml:space="preserve">Ինչ վերաբերում է քաղաքացիական աշխատանք կատարող և տեխնիկական սպասարկում իրականացնող անձանց, ապա ի լրումն վերոգրյալում նկարագրված լրացուցիչ հիմնավորումների, հայտնում ենք, որ </w:t>
            </w:r>
            <w:r>
              <w:rPr>
                <w:rStyle w:val="StrongEmphasis"/>
                <w:rFonts w:eastAsia="Times New Roman" w:cs="Times New Roman"/>
                <w:b w:val="false"/>
                <w:bCs w:val="false"/>
                <w:i w:val="false"/>
                <w:iCs w:val="false"/>
                <w:color w:val="000000"/>
                <w:kern w:val="2"/>
                <w:sz w:val="24"/>
                <w:szCs w:val="24"/>
                <w:u w:val="none"/>
                <w:shd w:fill="auto" w:val="clear"/>
                <w:lang w:val="hy-AM" w:eastAsia="zh-CN" w:bidi="hi-IN"/>
              </w:rPr>
              <w:t>առաջարկվում է սոցիալական երաշխիքները տարածել նաև Ծառայությունում քաղաքացիական աշխատանք և տեխնիկական սպասարկում իրականացնող անձանց վրա, հիմք ընդունելով հետևյալը․</w:t>
            </w:r>
          </w:p>
          <w:p>
            <w:pPr>
              <w:pStyle w:val="Normal"/>
              <w:spacing w:lineRule="auto" w:line="276"/>
              <w:jc w:val="both"/>
              <w:rPr/>
            </w:pPr>
            <w:r>
              <w:rPr>
                <w:rStyle w:val="StrongEmphasis"/>
                <w:rFonts w:eastAsia="Times New Roman" w:cs="Times New Roman"/>
                <w:b w:val="false"/>
                <w:bCs w:val="false"/>
                <w:i w:val="false"/>
                <w:iCs w:val="false"/>
                <w:color w:val="000000"/>
                <w:kern w:val="2"/>
                <w:sz w:val="24"/>
                <w:szCs w:val="24"/>
                <w:u w:val="none"/>
                <w:shd w:fill="auto" w:val="clear"/>
                <w:lang w:val="hy-AM" w:eastAsia="zh-CN" w:bidi="hi-IN"/>
              </w:rPr>
              <w:t>֊ Գործող օրենքի 4֊րդ հոդվածով սահմանված արտաքին հետախուզական գործունեության հիմնական սկզբունքները (այդ թվում՝ գաղտնիության) վերաբերում են բոլոր աշխատակիցներին (օրենքում հենց «աշխատակից» ձևակերպումն է կիրառվում), այդ թվում՝ քաղաքացիական աշխատանք և տեխնիկական սպասարկում իրականացնող անձանց, կամ՝ 14֊րդ հոդվածով սահմանվում է, որ Ծառայության կառուցվածքը հանդիսանում է պետական գաղտնիք, այսինքն քաղաքացիական աշխատանք կատարողի և տեխնիկական սպասարկում իրականացնողի պաշտոններ զբաղեցնող անձինք համարվում են հաստիքային գաղտնի աշխատողներ և վերջիններիս ևս ներկայացվում են այն անվտանգային պահանջները, ռիսկերը, սահմանափակումները, դրանց խախտման արդյունքում առաջացող հետևանքները և այլն, որոնք կիրառվում են Ծառայության հանրային ծառայողների նկատմամբ։ Հետևաբար վերջիններս (կիրառվող սահմանափակումները) հակակշռելու համար անհրաժեշտ է նաև համարժեք սոցիալական երաշխիքների նախատեսում, որն էլ նախագծով առաջարկվում է սահմանել։</w:t>
            </w:r>
          </w:p>
          <w:p>
            <w:pPr>
              <w:pStyle w:val="Normal"/>
              <w:spacing w:lineRule="auto" w:line="276"/>
              <w:jc w:val="both"/>
              <w:rPr>
                <w:sz w:val="24"/>
                <w:szCs w:val="24"/>
              </w:rPr>
            </w:pPr>
            <w:r>
              <w:rPr>
                <w:rFonts w:eastAsia="Times New Roman" w:cs="Calibri"/>
                <w:b w:val="false"/>
                <w:bCs w:val="false"/>
                <w:i w:val="false"/>
                <w:iCs w:val="false"/>
                <w:color w:val="000000"/>
                <w:sz w:val="24"/>
                <w:szCs w:val="24"/>
                <w:u w:val="none"/>
                <w:shd w:fill="auto" w:val="clear"/>
                <w:lang w:val="hy-AM"/>
              </w:rPr>
              <w:t>Ինչ վերաբերում է համակարգչային սարքավորումների շահագործման ժամկետների վերաբերյալ դիտարկմանը՝ վերջինիս վերաբերյալ հայտնում ենք, որ ամփոփաթերթի շրջանակում ոչ թե/ոչ միայն նշվել է, որ Ֆինանսների նախարարի 2016թ․ N 3 հրամանի 1֊ին հավելվածով հիմնական միջոցերի մաշվածության հաշվարկման համար սահմանված նորմատիվային օգտակար ծառայության ժամկետները չեն տարածվոււմ ռազմական տեխնիկայի և փոքրարժեք կամ արագամաշ առարկաների վրա, այլ, ամփոփաթերթում մեջբերվելով նշված կետի կարգավորումը, նշվել է նաև, որ սույն հրամանով արդեն իսկ առանձնահատկություն նախատեսված է, ուստի նախագծով առաջարկվում է իրավական հիմք նախատեսել՝ Ծառայության պետի հրամանով կարգավորելու շահագործման ժամկետները՝ պայմանավորված Ծառայության առանձնահատկություններով, իսկ Նախագծում իրավական հիմքի նախատեսման արդյունքում (այսինքն օրենքի նախագծի ընդունումից հետո) համապատասխան լրացում իրականացնել Ֆինանսների նախարարի հրամանում, մասնավորապես՝ սահմանելով, որ հրամանով սահմանված նորմատիվային օգտակար ծառայության ժամկետները չեն տարածվում ՀՀ արտաքին հետախուզության ծառայության կողմից շահագործվող համակարգչային սարքավորումների վրա։</w:t>
            </w:r>
          </w:p>
        </w:tc>
      </w:tr>
      <w:tr>
        <w:trPr>
          <w:trHeight w:val="812" w:hRule="atLeast"/>
        </w:trPr>
        <w:tc>
          <w:tcPr>
            <w:tcW w:w="9656" w:type="dxa"/>
            <w:tcBorders>
              <w:left w:val="single" w:sz="4" w:space="0" w:color="000000"/>
              <w:bottom w:val="single" w:sz="4" w:space="0" w:color="000000"/>
              <w:right w:val="single" w:sz="4" w:space="0" w:color="000000"/>
            </w:tcBorders>
          </w:tcPr>
          <w:p>
            <w:pPr>
              <w:pStyle w:val="Normal"/>
              <w:suppressAutoHyphens w:val="false"/>
              <w:spacing w:lineRule="auto" w:line="276" w:before="0" w:after="0"/>
              <w:ind w:firstLine="720"/>
              <w:contextualSpacing/>
              <w:jc w:val="both"/>
              <w:rPr>
                <w:sz w:val="24"/>
                <w:szCs w:val="24"/>
              </w:rPr>
            </w:pPr>
            <w:r>
              <w:rPr>
                <w:rFonts w:cs="Calibri"/>
                <w:b/>
                <w:sz w:val="24"/>
                <w:szCs w:val="24"/>
                <w:lang w:val="hy-AM"/>
              </w:rPr>
              <w:t>2.</w:t>
            </w:r>
            <w:r>
              <w:rPr>
                <w:rFonts w:cs="Calibri"/>
                <w:sz w:val="24"/>
                <w:szCs w:val="24"/>
                <w:lang w:val="hy-AM"/>
              </w:rPr>
              <w:t xml:space="preserve"> Նախագիծ 1-ի 8-րդ հոդվածի 1-ին մասով նախատեսվում է </w:t>
            </w:r>
            <w:r>
              <w:rPr>
                <w:sz w:val="24"/>
                <w:szCs w:val="24"/>
                <w:lang w:val="hy-AM"/>
              </w:rPr>
              <w:t>Օրենքի 16֊րդ հոդվածը</w:t>
            </w:r>
            <w:r>
              <w:rPr>
                <w:rFonts w:cs="Calibri"/>
                <w:sz w:val="24"/>
                <w:szCs w:val="24"/>
                <w:lang w:val="hy-AM"/>
              </w:rPr>
              <w:t xml:space="preserve"> </w:t>
            </w:r>
            <w:r>
              <w:rPr>
                <w:sz w:val="24"/>
                <w:szCs w:val="24"/>
                <w:lang w:val="hy-AM"/>
              </w:rPr>
              <w:t>լրացնել հետևյալ բովանդակությամբ նոր 3</w:t>
            </w:r>
            <w:r>
              <w:rPr>
                <w:rFonts w:cs="Cambria Math"/>
                <w:sz w:val="24"/>
                <w:szCs w:val="24"/>
                <w:lang w:val="hy-AM"/>
              </w:rPr>
              <w:t>․</w:t>
            </w:r>
            <w:r>
              <w:rPr>
                <w:sz w:val="24"/>
                <w:szCs w:val="24"/>
                <w:lang w:val="hy-AM"/>
              </w:rPr>
              <w:t>1</w:t>
            </w:r>
            <w:r>
              <w:rPr>
                <w:rFonts w:cs="Cambria Math"/>
                <w:sz w:val="24"/>
                <w:szCs w:val="24"/>
                <w:lang w:val="hy-AM"/>
              </w:rPr>
              <w:t>․</w:t>
            </w:r>
            <w:r>
              <w:rPr>
                <w:sz w:val="24"/>
                <w:szCs w:val="24"/>
                <w:lang w:val="hy-AM"/>
              </w:rPr>
              <w:t xml:space="preserve"> և 3</w:t>
            </w:r>
            <w:r>
              <w:rPr>
                <w:rFonts w:cs="Cambria Math"/>
                <w:sz w:val="24"/>
                <w:szCs w:val="24"/>
                <w:lang w:val="hy-AM"/>
              </w:rPr>
              <w:t>․</w:t>
            </w:r>
            <w:r>
              <w:rPr>
                <w:sz w:val="24"/>
                <w:szCs w:val="24"/>
                <w:lang w:val="hy-AM"/>
              </w:rPr>
              <w:t>2</w:t>
            </w:r>
            <w:r>
              <w:rPr>
                <w:rFonts w:cs="Cambria Math"/>
                <w:sz w:val="24"/>
                <w:szCs w:val="24"/>
                <w:lang w:val="hy-AM"/>
              </w:rPr>
              <w:t>․</w:t>
            </w:r>
            <w:r>
              <w:rPr>
                <w:sz w:val="24"/>
                <w:szCs w:val="24"/>
                <w:lang w:val="hy-AM"/>
              </w:rPr>
              <w:t xml:space="preserve"> մասերով</w:t>
            </w:r>
            <w:r>
              <w:rPr>
                <w:rFonts w:cs="Cambria Math"/>
                <w:sz w:val="24"/>
                <w:szCs w:val="24"/>
                <w:lang w:val="hy-AM"/>
              </w:rPr>
              <w:t>․</w:t>
            </w:r>
            <w:r>
              <w:rPr>
                <w:rFonts w:cs="Calibri"/>
                <w:sz w:val="24"/>
                <w:szCs w:val="24"/>
                <w:lang w:val="hy-AM"/>
              </w:rPr>
              <w:t xml:space="preserve"> «3</w:t>
            </w:r>
            <w:r>
              <w:rPr>
                <w:rFonts w:cs="Cambria Math"/>
                <w:sz w:val="24"/>
                <w:szCs w:val="24"/>
                <w:lang w:val="hy-AM"/>
              </w:rPr>
              <w:t>․</w:t>
            </w:r>
            <w:r>
              <w:rPr>
                <w:rFonts w:cs="Calibri"/>
                <w:sz w:val="24"/>
                <w:szCs w:val="24"/>
                <w:lang w:val="hy-AM"/>
              </w:rPr>
              <w:t>2</w:t>
            </w:r>
            <w:r>
              <w:rPr>
                <w:rFonts w:cs="Cambria Math"/>
                <w:sz w:val="24"/>
                <w:szCs w:val="24"/>
                <w:lang w:val="hy-AM"/>
              </w:rPr>
              <w:t>․</w:t>
            </w:r>
            <w:r>
              <w:rPr>
                <w:rFonts w:cs="Calibri"/>
                <w:sz w:val="24"/>
                <w:szCs w:val="24"/>
                <w:lang w:val="hy-AM"/>
              </w:rPr>
              <w:t xml:space="preserve"> Սույն օրենքով Ծառայության ծառայողի համար նախատեսված իրավունքները, պարտականությունները և սոցիալական երաշխիքները, այդ թվում՝ կենսաթոշակային ապահովությունը, տարածվում են Ծառայության պետի, նրա տեղակալների, ինչպես նաև Ծառայությունում այլ հանրային պաշտոն զբաղեցնող անձանց վրա, իսկ սույն օրենքով սահմանված այլ նորմերը նշված անձանց (այդ թվում՝ Ծառայության պետի և տեղակալի) վրա տարածվում են միայն սույն օրենքով ուղղակիորեն նախատեսված դեպքերում։»</w:t>
            </w:r>
            <w:r>
              <w:rPr>
                <w:rFonts w:cs="Cambria Math"/>
                <w:sz w:val="24"/>
                <w:szCs w:val="24"/>
                <w:lang w:val="hy-AM"/>
              </w:rPr>
              <w:t>:</w:t>
            </w:r>
          </w:p>
          <w:p>
            <w:pPr>
              <w:pStyle w:val="Normal"/>
              <w:suppressAutoHyphens w:val="false"/>
              <w:spacing w:lineRule="auto" w:line="276" w:before="0" w:after="0"/>
              <w:ind w:firstLine="720"/>
              <w:contextualSpacing/>
              <w:jc w:val="both"/>
              <w:rPr>
                <w:sz w:val="24"/>
                <w:szCs w:val="24"/>
              </w:rPr>
            </w:pPr>
            <w:r>
              <w:rPr>
                <w:rFonts w:cs="Calibri"/>
                <w:sz w:val="24"/>
                <w:szCs w:val="24"/>
                <w:lang w:val="hy-AM"/>
              </w:rPr>
              <w:t>Հայտնում ենք, որ Ծառայության ոլորտի նմանատիպ գործառույթներ իրականացնող մարմինների (մասնավորապես՝ ՀՀ պաշտպանության նախարարության և ՀՀ ազգային անվտանգության ծառայության) ղեկավարի և տեղակալի պաշտոն զբաղեցնող անձանց վրա ծառայողների սոցիալական երաշխիքները չեն տարածվում, ինչից ելնելով առաջարկում ենք նշված դրույթը հանել Նախագծից:</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rFonts w:eastAsia="Times New Roman" w:cs="Calibri"/>
                <w:b/>
                <w:bCs/>
                <w:i w:val="false"/>
                <w:iCs w:val="false"/>
                <w:color w:val="000000"/>
                <w:sz w:val="24"/>
                <w:szCs w:val="24"/>
                <w:u w:val="none"/>
                <w:shd w:fill="auto" w:val="clear"/>
                <w:lang w:val="hy-AM"/>
              </w:rPr>
              <w:t>2․ Չի ընդունվել</w:t>
            </w:r>
          </w:p>
          <w:p>
            <w:pPr>
              <w:pStyle w:val="Normal"/>
              <w:widowControl w:val="false"/>
              <w:spacing w:lineRule="auto" w:line="276" w:before="0" w:after="0"/>
              <w:jc w:val="both"/>
              <w:rPr>
                <w:sz w:val="24"/>
                <w:szCs w:val="24"/>
              </w:rPr>
            </w:pPr>
            <w:r>
              <w:rPr>
                <w:b w:val="false"/>
                <w:bCs w:val="false"/>
                <w:sz w:val="24"/>
                <w:szCs w:val="24"/>
                <w:shd w:fill="auto" w:val="clear"/>
                <w:lang w:val="hy-AM"/>
              </w:rPr>
              <w:t>Պետական ծառայությանը բնորոշ առանձնահատկություններով պայմանավորված՝ համանման կարգավորումներ նախատեսված են նաև այլ  պետական մարմինների դեպքում (վարչական պաշտոն զբաղեցնող անձանց մասով), օրինակ՝ «Հարկային ծառայության մասին», «Մաքսային ծառայության մասին», «Փրկարար ծառայության մասին» օրենքներով։</w:t>
            </w:r>
          </w:p>
          <w:p>
            <w:pPr>
              <w:pStyle w:val="Normal"/>
              <w:spacing w:lineRule="auto" w:line="276"/>
              <w:jc w:val="both"/>
              <w:rPr>
                <w:sz w:val="24"/>
                <w:szCs w:val="24"/>
              </w:rPr>
            </w:pPr>
            <w:r>
              <w:rPr>
                <w:rFonts w:eastAsia="Times New Roman" w:cs="Calibri"/>
                <w:b w:val="false"/>
                <w:bCs w:val="false"/>
                <w:i w:val="false"/>
                <w:iCs w:val="false"/>
                <w:color w:val="000000"/>
                <w:sz w:val="24"/>
                <w:szCs w:val="24"/>
                <w:u w:val="none"/>
                <w:shd w:fill="auto" w:val="clear"/>
                <w:lang w:val="hy-AM"/>
              </w:rPr>
              <w:t>Միաժամանակ կարծում ենք, որ համեմատություն պետք է անցկացնել, ոչ թե Պաշտպանության նախարարի, որը քաղաքական պաշտոն զբաղեցնող անձ է, այլ՝ առաջարկները դիտարկել՝ նշված մարմինների և Ծառայության կողմից իրականացվող գործառույթային առանձնահատկությունների և համապատասխան պաշտոնը զբաղեցնող անձանց ներկայացվող սահմանափակումներին, անվտանգային և այլ պահանջներին ու ռիսկերին հակակշռող և համարժեք սոցիալական երաշխիքներ նախատեսելու հարթության մեջ։</w:t>
            </w:r>
          </w:p>
        </w:tc>
      </w:tr>
      <w:tr>
        <w:trPr>
          <w:trHeight w:val="812" w:hRule="atLeast"/>
        </w:trPr>
        <w:tc>
          <w:tcPr>
            <w:tcW w:w="9656" w:type="dxa"/>
            <w:tcBorders>
              <w:left w:val="single" w:sz="4" w:space="0" w:color="000000"/>
              <w:bottom w:val="single" w:sz="4" w:space="0" w:color="000000"/>
              <w:right w:val="single" w:sz="4" w:space="0" w:color="000000"/>
            </w:tcBorders>
          </w:tcPr>
          <w:p>
            <w:pPr>
              <w:pStyle w:val="Normal"/>
              <w:suppressAutoHyphens w:val="false"/>
              <w:spacing w:lineRule="auto" w:line="276" w:before="0" w:after="0"/>
              <w:ind w:firstLine="720"/>
              <w:contextualSpacing/>
              <w:jc w:val="both"/>
              <w:rPr>
                <w:sz w:val="24"/>
                <w:szCs w:val="24"/>
              </w:rPr>
            </w:pPr>
            <w:r>
              <w:rPr>
                <w:rFonts w:cs="Calibri"/>
                <w:b/>
                <w:sz w:val="24"/>
                <w:szCs w:val="24"/>
                <w:lang w:val="hy-AM"/>
              </w:rPr>
              <w:t>3.</w:t>
            </w:r>
            <w:r>
              <w:rPr>
                <w:rFonts w:cs="Calibri"/>
                <w:sz w:val="24"/>
                <w:szCs w:val="24"/>
                <w:lang w:val="hy-AM"/>
              </w:rPr>
              <w:t xml:space="preserve"> Նախագիծ 1-ի 15-րդ հոդվածով նախատեսվում է </w:t>
            </w:r>
            <w:r>
              <w:rPr>
                <w:rFonts w:eastAsia="Noto Serif CJK SC" w:cs="Lohit Devanagari"/>
                <w:color w:val="auto"/>
                <w:kern w:val="2"/>
                <w:sz w:val="24"/>
                <w:szCs w:val="24"/>
                <w:lang w:val="hy-AM" w:eastAsia="zh-CN" w:bidi="hi-IN"/>
              </w:rPr>
              <w:t xml:space="preserve">Օրենքի 8-րդ գլուխը շարադրել նոր խմբագրությամբ. </w:t>
            </w:r>
            <w:r>
              <w:rPr>
                <w:rFonts w:cs="Calibri"/>
                <w:sz w:val="24"/>
                <w:szCs w:val="24"/>
                <w:lang w:val="hy-AM"/>
              </w:rPr>
              <w:t>«Գլուխ. 8 Ծառայության ծառայողների դասային աստիճանները, դրանց շնորհման կարգը ու պայմանները»:</w:t>
            </w:r>
          </w:p>
          <w:p>
            <w:pPr>
              <w:pStyle w:val="Normal"/>
              <w:suppressAutoHyphens w:val="false"/>
              <w:spacing w:lineRule="auto" w:line="276" w:before="0" w:after="0"/>
              <w:ind w:firstLine="720"/>
              <w:contextualSpacing/>
              <w:jc w:val="both"/>
              <w:rPr>
                <w:sz w:val="24"/>
                <w:szCs w:val="24"/>
              </w:rPr>
            </w:pPr>
            <w:r>
              <w:rPr>
                <w:rFonts w:cs="Calibri"/>
                <w:sz w:val="24"/>
                <w:szCs w:val="24"/>
                <w:lang w:val="hy-AM"/>
              </w:rPr>
              <w:t>Առաջարկվող փոփոխությամբ նախատեսվում է Ծառայության ծառայողների կոչումների շնորհման մեխանիզմը փոխարինել դասային աստիճանների շնորհման մեխանիզմով:</w:t>
            </w:r>
          </w:p>
          <w:p>
            <w:pPr>
              <w:pStyle w:val="Normal"/>
              <w:suppressAutoHyphens w:val="false"/>
              <w:spacing w:lineRule="auto" w:line="276" w:before="0" w:after="0"/>
              <w:ind w:firstLine="720"/>
              <w:contextualSpacing/>
              <w:jc w:val="both"/>
              <w:rPr>
                <w:sz w:val="24"/>
                <w:szCs w:val="24"/>
              </w:rPr>
            </w:pPr>
            <w:r>
              <w:rPr>
                <w:rFonts w:cs="Calibri"/>
                <w:sz w:val="24"/>
                <w:szCs w:val="24"/>
                <w:lang w:val="hy-AM"/>
              </w:rPr>
              <w:t>Հարկ ենք համարում նշել, որ «Պետական պաշտոններ և պետական ծառայության պաշտոններ զբաղեցնող անձանց վարձատրության մասին» օրենքի 7-րդ հոդվածի 3-րդ մասի համաձայն դասային աստիճանի համար սահմանվում է հավելավճար: Հաշվի առնելով վերոգրյալը՝ հայտնում ենք, որ նշված փոփոխությունը հավելյալ ծախսեր կառաջացնի, միևնույն ժամանակ կխախտի համանման աշխատանքի դիմաց վարձատրության կիրառման միասնական սկզբունքը, ուստի, առաջարկում ենք նշված դրույթը Նախագծից հանել:</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rFonts w:eastAsia="Times New Roman" w:cs="Calibri"/>
                <w:b/>
                <w:bCs/>
                <w:i w:val="false"/>
                <w:iCs w:val="false"/>
                <w:color w:val="000000"/>
                <w:sz w:val="24"/>
                <w:szCs w:val="24"/>
                <w:u w:val="none"/>
                <w:shd w:fill="auto" w:val="clear"/>
                <w:lang w:val="hy-AM"/>
              </w:rPr>
              <w:t>3․ Չի ընդունվել</w:t>
            </w:r>
          </w:p>
          <w:p>
            <w:pPr>
              <w:pStyle w:val="Normal"/>
              <w:spacing w:lineRule="auto" w:line="276"/>
              <w:jc w:val="both"/>
              <w:rPr>
                <w:sz w:val="24"/>
                <w:szCs w:val="24"/>
              </w:rPr>
            </w:pPr>
            <w:r>
              <w:rPr>
                <w:rFonts w:eastAsia="Times New Roman" w:cs="Calibri"/>
                <w:b w:val="false"/>
                <w:bCs w:val="false"/>
                <w:i w:val="false"/>
                <w:iCs w:val="false"/>
                <w:color w:val="000000"/>
                <w:sz w:val="24"/>
                <w:szCs w:val="24"/>
                <w:u w:val="none"/>
                <w:shd w:fill="auto" w:val="clear"/>
                <w:lang w:val="hy-AM"/>
              </w:rPr>
              <w:t>Նախագծով ոչ թե նոր կարգավորում է նախատեսվում (այդ թվում՝ հավելավճարի հաշվարկման մասով), այլ՝ օրենքով ներկայումս սահմանված կոչումները փոխարինվում են դասային աստիճաններով։</w:t>
            </w:r>
          </w:p>
        </w:tc>
      </w:tr>
      <w:tr>
        <w:trPr>
          <w:trHeight w:val="812" w:hRule="atLeast"/>
        </w:trPr>
        <w:tc>
          <w:tcPr>
            <w:tcW w:w="9656" w:type="dxa"/>
            <w:tcBorders>
              <w:left w:val="single" w:sz="4" w:space="0" w:color="000000"/>
              <w:bottom w:val="single" w:sz="4" w:space="0" w:color="000000"/>
              <w:right w:val="single" w:sz="4" w:space="0" w:color="000000"/>
            </w:tcBorders>
          </w:tcPr>
          <w:p>
            <w:pPr>
              <w:pStyle w:val="Normal"/>
              <w:suppressAutoHyphens w:val="false"/>
              <w:spacing w:lineRule="auto" w:line="276" w:before="0" w:after="0"/>
              <w:ind w:firstLine="720"/>
              <w:contextualSpacing/>
              <w:jc w:val="both"/>
              <w:rPr>
                <w:sz w:val="24"/>
                <w:szCs w:val="24"/>
              </w:rPr>
            </w:pPr>
            <w:r>
              <w:rPr>
                <w:rFonts w:cs="Calibri"/>
                <w:b/>
                <w:sz w:val="24"/>
                <w:szCs w:val="24"/>
                <w:lang w:val="hy-AM"/>
              </w:rPr>
              <w:t>4.</w:t>
            </w:r>
            <w:r>
              <w:rPr>
                <w:rFonts w:cs="Calibri"/>
                <w:sz w:val="24"/>
                <w:szCs w:val="24"/>
                <w:lang w:val="hy-AM"/>
              </w:rPr>
              <w:t xml:space="preserve"> Նախագիծ 1-ի 25-րդ հոդվածով նախատեսվում է Օրենքը լրացնել 41.1-ին հոդվածով, որով սահմանվում են Ծառայության ծառայողների և նրանց ընտանիքի անդամների սոցիալական երաշխիքները: Նշված հոդվածի 1-ին մասի 3-րդ կետի համաձայն՝ </w:t>
            </w:r>
            <w:r>
              <w:rPr>
                <w:rFonts w:eastAsia="Times New Roman" w:cs="Calibri"/>
                <w:color w:val="000000"/>
                <w:kern w:val="2"/>
                <w:sz w:val="24"/>
                <w:szCs w:val="24"/>
                <w:shd w:fill="FFFFFF" w:val="clear"/>
                <w:lang w:val="hy-AM" w:eastAsia="zh-CN" w:bidi="hi-IN"/>
              </w:rPr>
              <w:t>«Պաշտոնատար անձանց գործունեության ապահովման, սպասարկման և սոցիալական երաշխիքների մասին» օրենքի հիման վրա կենսաթոշակի անցնելու կամ Ծառայության մեջ գտնվելու սահմանային տարիքը լրանալու կամ աշխատողի հետ կնքված պայմանագրի ժամկետը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ազատվելիս ծառայողներին ըստ ծառայության տարիների վճարվում է հետևյալ չափով միանվագ նպաստ</w:t>
            </w:r>
            <w:r>
              <w:rPr>
                <w:rFonts w:eastAsia="Times New Roman" w:cs="Cambria Math"/>
                <w:color w:val="000000"/>
                <w:kern w:val="2"/>
                <w:sz w:val="24"/>
                <w:szCs w:val="24"/>
                <w:shd w:fill="FFFFFF" w:val="clear"/>
                <w:lang w:val="hy-AM" w:eastAsia="zh-CN" w:bidi="hi-IN"/>
              </w:rPr>
              <w:t>․</w:t>
            </w:r>
          </w:p>
          <w:p>
            <w:pPr>
              <w:pStyle w:val="Normal"/>
              <w:suppressAutoHyphens w:val="false"/>
              <w:spacing w:lineRule="auto" w:line="276" w:before="0" w:after="0"/>
              <w:ind w:firstLine="720"/>
              <w:contextualSpacing/>
              <w:jc w:val="both"/>
              <w:rPr>
                <w:sz w:val="24"/>
                <w:szCs w:val="24"/>
              </w:rPr>
            </w:pPr>
            <w:r>
              <w:rPr>
                <w:rFonts w:eastAsia="Times New Roman" w:cs="Calibri"/>
                <w:color w:val="000000"/>
                <w:kern w:val="2"/>
                <w:sz w:val="24"/>
                <w:szCs w:val="24"/>
                <w:shd w:fill="FFFFFF" w:val="clear"/>
                <w:lang w:val="hy-AM" w:eastAsia="zh-CN" w:bidi="hi-IN"/>
              </w:rPr>
              <w:t>ա</w:t>
            </w:r>
            <w:r>
              <w:rPr>
                <w:rFonts w:eastAsia="Times New Roman" w:cs="Cambria Math"/>
                <w:color w:val="000000"/>
                <w:kern w:val="2"/>
                <w:sz w:val="24"/>
                <w:szCs w:val="24"/>
                <w:shd w:fill="FFFFFF" w:val="clear"/>
                <w:lang w:val="hy-AM" w:eastAsia="zh-CN" w:bidi="hi-IN"/>
              </w:rPr>
              <w:t>․</w:t>
            </w:r>
            <w:r>
              <w:rPr>
                <w:rFonts w:eastAsia="Times New Roman" w:cs="Calibri"/>
                <w:color w:val="000000"/>
                <w:kern w:val="2"/>
                <w:sz w:val="24"/>
                <w:szCs w:val="24"/>
                <w:shd w:fill="FFFFFF" w:val="clear"/>
                <w:lang w:val="hy-AM" w:eastAsia="zh-CN" w:bidi="hi-IN"/>
              </w:rPr>
              <w:t xml:space="preserve"> 5 </w:t>
            </w:r>
            <w:r>
              <w:rPr>
                <w:rFonts w:eastAsia="Times New Roman" w:cs="GHEA Grapalat"/>
                <w:color w:val="000000"/>
                <w:kern w:val="2"/>
                <w:sz w:val="24"/>
                <w:szCs w:val="24"/>
                <w:shd w:fill="FFFFFF" w:val="clear"/>
                <w:lang w:val="hy-AM" w:eastAsia="zh-CN" w:bidi="hi-IN"/>
              </w:rPr>
              <w:t>տարուց</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մինչև</w:t>
            </w:r>
            <w:r>
              <w:rPr>
                <w:rFonts w:eastAsia="Times New Roman" w:cs="Calibri"/>
                <w:color w:val="000000"/>
                <w:kern w:val="2"/>
                <w:sz w:val="24"/>
                <w:szCs w:val="24"/>
                <w:shd w:fill="FFFFFF" w:val="clear"/>
                <w:lang w:val="hy-AM" w:eastAsia="zh-CN" w:bidi="hi-IN"/>
              </w:rPr>
              <w:t xml:space="preserve"> 10 </w:t>
            </w:r>
            <w:r>
              <w:rPr>
                <w:rFonts w:eastAsia="Times New Roman" w:cs="GHEA Grapalat"/>
                <w:color w:val="000000"/>
                <w:kern w:val="2"/>
                <w:sz w:val="24"/>
                <w:szCs w:val="24"/>
                <w:shd w:fill="FFFFFF" w:val="clear"/>
                <w:lang w:val="hy-AM" w:eastAsia="zh-CN" w:bidi="hi-IN"/>
              </w:rPr>
              <w:t>տարի</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ծառայության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համար՝</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պաշտոնային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դրույքաչափի</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չափով</w:t>
            </w:r>
            <w:r>
              <w:rPr>
                <w:rFonts w:eastAsia="Times New Roman" w:cs="Cambria Math"/>
                <w:color w:val="000000"/>
                <w:kern w:val="2"/>
                <w:sz w:val="24"/>
                <w:szCs w:val="24"/>
                <w:shd w:fill="FFFFFF" w:val="clear"/>
                <w:lang w:val="hy-AM" w:eastAsia="zh-CN" w:bidi="hi-IN"/>
              </w:rPr>
              <w:t>․</w:t>
            </w:r>
          </w:p>
          <w:p>
            <w:pPr>
              <w:pStyle w:val="Normal"/>
              <w:suppressAutoHyphens w:val="false"/>
              <w:spacing w:lineRule="auto" w:line="276" w:before="0" w:after="0"/>
              <w:ind w:firstLine="720"/>
              <w:contextualSpacing/>
              <w:jc w:val="both"/>
              <w:rPr>
                <w:sz w:val="24"/>
                <w:szCs w:val="24"/>
              </w:rPr>
            </w:pPr>
            <w:r>
              <w:rPr>
                <w:rFonts w:eastAsia="Times New Roman" w:cs="Calibri"/>
                <w:color w:val="000000"/>
                <w:kern w:val="2"/>
                <w:sz w:val="24"/>
                <w:szCs w:val="24"/>
                <w:shd w:fill="FFFFFF" w:val="clear"/>
                <w:lang w:val="hy-AM" w:eastAsia="zh-CN" w:bidi="hi-IN"/>
              </w:rPr>
              <w:t>բ</w:t>
            </w:r>
            <w:r>
              <w:rPr>
                <w:rFonts w:eastAsia="Times New Roman" w:cs="Cambria Math"/>
                <w:color w:val="000000"/>
                <w:kern w:val="2"/>
                <w:sz w:val="24"/>
                <w:szCs w:val="24"/>
                <w:shd w:fill="FFFFFF" w:val="clear"/>
                <w:lang w:val="hy-AM" w:eastAsia="zh-CN" w:bidi="hi-IN"/>
              </w:rPr>
              <w:t>․</w:t>
            </w:r>
            <w:r>
              <w:rPr>
                <w:rFonts w:eastAsia="Times New Roman" w:cs="Calibri"/>
                <w:color w:val="000000"/>
                <w:kern w:val="2"/>
                <w:sz w:val="24"/>
                <w:szCs w:val="24"/>
                <w:shd w:fill="FFFFFF" w:val="clear"/>
                <w:lang w:val="hy-AM" w:eastAsia="zh-CN" w:bidi="hi-IN"/>
              </w:rPr>
              <w:t xml:space="preserve"> 10 </w:t>
            </w:r>
            <w:r>
              <w:rPr>
                <w:rFonts w:eastAsia="Times New Roman" w:cs="GHEA Grapalat"/>
                <w:color w:val="000000"/>
                <w:kern w:val="2"/>
                <w:sz w:val="24"/>
                <w:szCs w:val="24"/>
                <w:shd w:fill="FFFFFF" w:val="clear"/>
                <w:lang w:val="hy-AM" w:eastAsia="zh-CN" w:bidi="hi-IN"/>
              </w:rPr>
              <w:t>տարուց</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մինչև</w:t>
            </w:r>
            <w:r>
              <w:rPr>
                <w:rFonts w:eastAsia="Times New Roman" w:cs="Calibri"/>
                <w:color w:val="000000"/>
                <w:kern w:val="2"/>
                <w:sz w:val="24"/>
                <w:szCs w:val="24"/>
                <w:shd w:fill="FFFFFF" w:val="clear"/>
                <w:lang w:val="hy-AM" w:eastAsia="zh-CN" w:bidi="hi-IN"/>
              </w:rPr>
              <w:t xml:space="preserve"> 20 </w:t>
            </w:r>
            <w:r>
              <w:rPr>
                <w:rFonts w:eastAsia="Times New Roman" w:cs="GHEA Grapalat"/>
                <w:color w:val="000000"/>
                <w:kern w:val="2"/>
                <w:sz w:val="24"/>
                <w:szCs w:val="24"/>
                <w:shd w:fill="FFFFFF" w:val="clear"/>
                <w:lang w:val="hy-AM" w:eastAsia="zh-CN" w:bidi="hi-IN"/>
              </w:rPr>
              <w:t>տարի</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ծառայության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համար՝</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օրենքի</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հիման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վրա</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ծառայողին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հատկացվող</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հավելման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և</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պաշտոնային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դրույ</w:t>
            </w:r>
            <w:r>
              <w:rPr>
                <w:rFonts w:eastAsia="Times New Roman" w:cs="Calibri"/>
                <w:color w:val="000000"/>
                <w:kern w:val="2"/>
                <w:sz w:val="24"/>
                <w:szCs w:val="24"/>
                <w:shd w:fill="FFFFFF" w:val="clear"/>
                <w:lang w:val="hy-AM" w:eastAsia="zh-CN" w:bidi="hi-IN"/>
              </w:rPr>
              <w:t>քաչափի հանրագումարի չափով</w:t>
            </w:r>
            <w:r>
              <w:rPr>
                <w:rFonts w:eastAsia="Times New Roman" w:cs="Cambria Math"/>
                <w:color w:val="000000"/>
                <w:kern w:val="2"/>
                <w:sz w:val="24"/>
                <w:szCs w:val="24"/>
                <w:shd w:fill="FFFFFF" w:val="clear"/>
                <w:lang w:val="hy-AM" w:eastAsia="zh-CN" w:bidi="hi-IN"/>
              </w:rPr>
              <w:t>․</w:t>
            </w:r>
          </w:p>
          <w:p>
            <w:pPr>
              <w:pStyle w:val="Normal"/>
              <w:suppressAutoHyphens w:val="false"/>
              <w:spacing w:lineRule="auto" w:line="276" w:before="0" w:after="0"/>
              <w:ind w:firstLine="720"/>
              <w:contextualSpacing/>
              <w:jc w:val="both"/>
              <w:rPr>
                <w:sz w:val="24"/>
                <w:szCs w:val="24"/>
              </w:rPr>
            </w:pPr>
            <w:r>
              <w:rPr>
                <w:rFonts w:eastAsia="Times New Roman" w:cs="Calibri"/>
                <w:color w:val="000000"/>
                <w:kern w:val="2"/>
                <w:sz w:val="24"/>
                <w:szCs w:val="24"/>
                <w:shd w:fill="FFFFFF" w:val="clear"/>
                <w:lang w:val="hy-AM" w:eastAsia="zh-CN" w:bidi="hi-IN"/>
              </w:rPr>
              <w:t>գ</w:t>
            </w:r>
            <w:r>
              <w:rPr>
                <w:rFonts w:eastAsia="Times New Roman" w:cs="Cambria Math"/>
                <w:color w:val="000000"/>
                <w:kern w:val="2"/>
                <w:sz w:val="24"/>
                <w:szCs w:val="24"/>
                <w:shd w:fill="FFFFFF" w:val="clear"/>
                <w:lang w:val="hy-AM" w:eastAsia="zh-CN" w:bidi="hi-IN"/>
              </w:rPr>
              <w:t>․</w:t>
            </w:r>
            <w:r>
              <w:rPr>
                <w:rFonts w:eastAsia="Times New Roman" w:cs="Calibri"/>
                <w:color w:val="000000"/>
                <w:kern w:val="2"/>
                <w:sz w:val="24"/>
                <w:szCs w:val="24"/>
                <w:shd w:fill="FFFFFF" w:val="clear"/>
                <w:lang w:val="hy-AM" w:eastAsia="zh-CN" w:bidi="hi-IN"/>
              </w:rPr>
              <w:t xml:space="preserve"> 20 </w:t>
            </w:r>
            <w:r>
              <w:rPr>
                <w:rFonts w:eastAsia="Times New Roman" w:cs="GHEA Grapalat"/>
                <w:color w:val="000000"/>
                <w:kern w:val="2"/>
                <w:sz w:val="24"/>
                <w:szCs w:val="24"/>
                <w:shd w:fill="FFFFFF" w:val="clear"/>
                <w:lang w:val="hy-AM" w:eastAsia="zh-CN" w:bidi="hi-IN"/>
              </w:rPr>
              <w:t>և</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ավելի</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տարի</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ծառայության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համար՝</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միջին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ամսական</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աշխատավարձի</w:t>
            </w:r>
            <w:r>
              <w:rPr>
                <w:rFonts w:eastAsia="Times New Roman" w:cs="Calibri"/>
                <w:color w:val="000000"/>
                <w:kern w:val="2"/>
                <w:sz w:val="24"/>
                <w:szCs w:val="24"/>
                <w:shd w:fill="FFFFFF" w:val="clear"/>
                <w:lang w:val="hy-AM" w:eastAsia="zh-CN" w:bidi="hi-IN"/>
              </w:rPr>
              <w:t xml:space="preserve"> </w:t>
            </w:r>
            <w:r>
              <w:rPr>
                <w:rFonts w:eastAsia="Times New Roman" w:cs="GHEA Grapalat"/>
                <w:color w:val="000000"/>
                <w:kern w:val="2"/>
                <w:sz w:val="24"/>
                <w:szCs w:val="24"/>
                <w:shd w:fill="FFFFFF" w:val="clear"/>
                <w:lang w:val="hy-AM" w:eastAsia="zh-CN" w:bidi="hi-IN"/>
              </w:rPr>
              <w:t>չափով</w:t>
            </w:r>
            <w:r>
              <w:rPr>
                <w:rFonts w:eastAsia="Times New Roman" w:cs="Calibri"/>
                <w:color w:val="000000"/>
                <w:kern w:val="2"/>
                <w:sz w:val="24"/>
                <w:szCs w:val="24"/>
                <w:shd w:fill="FFFFFF" w:val="clear"/>
                <w:lang w:val="hy-AM" w:eastAsia="zh-CN" w:bidi="hi-IN"/>
              </w:rPr>
              <w:t>։</w:t>
            </w:r>
          </w:p>
          <w:p>
            <w:pPr>
              <w:pStyle w:val="Normal"/>
              <w:suppressAutoHyphens w:val="false"/>
              <w:spacing w:lineRule="auto" w:line="276" w:before="0" w:after="0"/>
              <w:ind w:firstLine="720"/>
              <w:contextualSpacing/>
              <w:jc w:val="both"/>
              <w:rPr>
                <w:sz w:val="24"/>
                <w:szCs w:val="24"/>
              </w:rPr>
            </w:pPr>
            <w:r>
              <w:rPr>
                <w:rFonts w:cs="Cambria Math"/>
                <w:sz w:val="24"/>
                <w:szCs w:val="24"/>
                <w:lang w:val="hy-AM"/>
              </w:rPr>
              <w:t>Հարկ ենք համարում նշել, որ ՀՀ պաշտպանության, ՀՀ ազգային անվտանգության, ՀՀ պետական պահպանության, ՀՀ ոստիկանության համակարգերում զինվորական ծառայության պաշտոն զբաղեցնողներին, քրեակատարողական ծառայության և փրկարար ծառայության ծառայողներին դրամական օգնություններ տալու կարգը, չափերը և պայմանները սահմանվում են ՀՀ կառավարության 2024 թվականի սեպտեմբերի 25-ի N 1119-Ն որոշմամբ:</w:t>
            </w:r>
          </w:p>
          <w:p>
            <w:pPr>
              <w:pStyle w:val="Normal"/>
              <w:suppressAutoHyphens w:val="false"/>
              <w:spacing w:lineRule="auto" w:line="276" w:before="0" w:after="0"/>
              <w:ind w:firstLine="720"/>
              <w:contextualSpacing/>
              <w:jc w:val="both"/>
              <w:rPr>
                <w:sz w:val="24"/>
                <w:szCs w:val="24"/>
              </w:rPr>
            </w:pPr>
            <w:r>
              <w:rPr>
                <w:rFonts w:cs="Cambria Math"/>
                <w:sz w:val="24"/>
                <w:szCs w:val="24"/>
                <w:lang w:val="hy-AM"/>
              </w:rPr>
              <w:t>Հաշվի առնելով վերոգրյալը՝ առաջարկում ենք Ծառայության համար նշված իրավակարգավորումները սահմանել ՀՀ վարչապետի որոշմամբ՝ վերը նշված որոշմամբ դրամական օգնություն սահմանվող մեխանիզմին համապատասխան (հստակ չափաքանակներով): Միաժամանակ, առաջարկում ենք դրամական օգնության չափերը սահմանել նման գործառույթներ իրականացնող մարմինների համար սահմանված չափերին համադրելի, ինչը առաջարկվող փոփոխությամբ ապահոված չէ:</w:t>
            </w:r>
          </w:p>
          <w:p>
            <w:pPr>
              <w:pStyle w:val="Normal"/>
              <w:suppressAutoHyphens w:val="false"/>
              <w:spacing w:lineRule="auto" w:line="276" w:before="0" w:after="0"/>
              <w:ind w:firstLine="720"/>
              <w:jc w:val="both"/>
              <w:rPr>
                <w:sz w:val="24"/>
                <w:szCs w:val="24"/>
              </w:rPr>
            </w:pPr>
            <w:r>
              <w:rPr>
                <w:rFonts w:cs="Calibri"/>
                <w:sz w:val="24"/>
                <w:szCs w:val="24"/>
                <w:lang w:val="hy-AM"/>
              </w:rPr>
              <w:t>Միաժամանակ, Նախագիծ 1-ի ընդունման դեպքում պետական բյուջեից լրացուցիչ ֆինանսական միջոցների հատկացման անհրաժեշտություն կառաջանա, որի ֆինանսական գնահատականի վերաբերյալ տեղեկատվությունը ներկայացվել է առանց հիմնավորող հաշվարկների:</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sz w:val="24"/>
                <w:szCs w:val="24"/>
              </w:rPr>
            </w:pPr>
            <w:r>
              <w:rPr>
                <w:rFonts w:eastAsia="Times New Roman" w:cs="Calibri"/>
                <w:b/>
                <w:bCs/>
                <w:i w:val="false"/>
                <w:iCs w:val="false"/>
                <w:color w:val="000000"/>
                <w:sz w:val="24"/>
                <w:szCs w:val="24"/>
                <w:u w:val="none"/>
                <w:shd w:fill="auto" w:val="clear"/>
                <w:lang w:val="hy-AM"/>
              </w:rPr>
              <w:t>4․ Չի ընդունվել</w:t>
            </w:r>
          </w:p>
          <w:p>
            <w:pPr>
              <w:pStyle w:val="Normal"/>
              <w:widowControl w:val="false"/>
              <w:spacing w:lineRule="auto" w:line="276" w:before="0" w:after="0"/>
              <w:jc w:val="both"/>
              <w:rPr>
                <w:sz w:val="24"/>
                <w:szCs w:val="24"/>
              </w:rPr>
            </w:pPr>
            <w:r>
              <w:rPr>
                <w:b w:val="false"/>
                <w:bCs w:val="false"/>
                <w:sz w:val="24"/>
                <w:szCs w:val="24"/>
                <w:shd w:fill="auto" w:val="clear"/>
                <w:lang w:val="hy-AM"/>
              </w:rPr>
              <w:t xml:space="preserve">Նախագծում արդեն իսկ սահմանվում է, թե ինչքան է կազմելու Ծառայողին վճարվելիք միանվագ նպաստը, ինչը կանխատեսելի և հստակ կարգավորում է։ Դեռ ավելին, ի տարբերություն </w:t>
            </w:r>
            <w:r>
              <w:rPr>
                <w:rFonts w:cs="Cambria Math"/>
                <w:b w:val="false"/>
                <w:bCs w:val="false"/>
                <w:color w:val="00000A"/>
                <w:sz w:val="24"/>
                <w:szCs w:val="24"/>
                <w:shd w:fill="auto" w:val="clear"/>
                <w:lang w:val="hy-AM"/>
              </w:rPr>
              <w:t>ՀՀ կառավարության 25.09.2014 թվականի N 1119-Ն որոշման, որով հնարավորություն է տրվում միանվագ նպաստ հատկացել մինչև 3 և 3 տարի ու ավելի ծառայած լինելու դեպքերում, ապա համապատասխան հիմքերով Ծառայությունից ազատվելու դեպքում միանվագ նպաստը հատկացվում է 5 տարի ծառայած լինելու դեպքում։</w:t>
            </w:r>
          </w:p>
          <w:p>
            <w:pPr>
              <w:pStyle w:val="Normal"/>
              <w:widowControl w:val="false"/>
              <w:spacing w:lineRule="auto" w:line="276" w:before="0" w:after="0"/>
              <w:jc w:val="both"/>
              <w:rPr>
                <w:sz w:val="24"/>
                <w:szCs w:val="24"/>
              </w:rPr>
            </w:pPr>
            <w:r>
              <w:rPr>
                <w:rFonts w:cs="Cambria Math"/>
                <w:b w:val="false"/>
                <w:bCs w:val="false"/>
                <w:color w:val="00000A"/>
                <w:sz w:val="24"/>
                <w:szCs w:val="24"/>
                <w:shd w:fill="auto" w:val="clear"/>
                <w:lang w:val="hy-AM"/>
              </w:rPr>
              <w:t>Այն որ նախագծի ընդունումն առաջացնելու է ծախսեր, հիմնավորման մեջ նշվել է, այդ թվում նշվել է, որ այն ըստ իրագործման կպլանավորվի Ծառայությանը հատկացվելիք տարեկան պետական բյուջեի շրջանակներում։ Քանի որ ներկա պահի դրությամբ նախագծում նկարագրված հիմքերով (այդ թվում՝ հաշվի առնելով, որ ԱՀԾ֊ն, որպես պետական մարմին, նոր է կազմավորվել) միանվագ նպաստ ստանալու պոտենցիալ շահառուներ չկան՝ հետևաբար, հստակ թվային ցուցանիշներ այս պահին օբյեկտիվորեն հնարավոր չէ ներկայացնել։</w:t>
            </w:r>
          </w:p>
        </w:tc>
      </w:tr>
      <w:tr>
        <w:trPr>
          <w:trHeight w:val="812" w:hRule="atLeast"/>
        </w:trPr>
        <w:tc>
          <w:tcPr>
            <w:tcW w:w="9656" w:type="dxa"/>
            <w:tcBorders>
              <w:left w:val="single" w:sz="4" w:space="0" w:color="000000"/>
              <w:bottom w:val="single" w:sz="4" w:space="0" w:color="000000"/>
              <w:right w:val="single" w:sz="4" w:space="0" w:color="000000"/>
            </w:tcBorders>
          </w:tcPr>
          <w:p>
            <w:pPr>
              <w:pStyle w:val="Normal"/>
              <w:suppressAutoHyphens w:val="false"/>
              <w:spacing w:lineRule="auto" w:line="276" w:before="0" w:after="0"/>
              <w:ind w:firstLine="720"/>
              <w:jc w:val="both"/>
              <w:rPr>
                <w:sz w:val="24"/>
                <w:szCs w:val="24"/>
              </w:rPr>
            </w:pPr>
            <w:r>
              <w:rPr>
                <w:rFonts w:cs="Calibri"/>
                <w:b/>
                <w:sz w:val="24"/>
                <w:szCs w:val="24"/>
                <w:lang w:val="hy-AM"/>
              </w:rPr>
              <w:t>5.</w:t>
            </w:r>
            <w:r>
              <w:rPr>
                <w:rFonts w:cs="Calibri"/>
                <w:sz w:val="24"/>
                <w:szCs w:val="24"/>
                <w:lang w:val="hy-AM"/>
              </w:rPr>
              <w:t xml:space="preserve"> Նախագիծ 2-ի 1-ին հոդվածով առաջարկվում է «Պաշտոնատար անձանց գործունեության ապահովման, սպասարկման և սոցիալական երաշխիքների մասին» օրենքի Հոդված 2-ի 1-ին մասի 12.1 կետը շարադրել նոր խմբագրությամբ</w:t>
            </w:r>
            <w:r>
              <w:rPr>
                <w:rFonts w:cs="Cambria Math"/>
                <w:sz w:val="24"/>
                <w:szCs w:val="24"/>
                <w:lang w:val="hy-AM"/>
              </w:rPr>
              <w:t>․</w:t>
            </w:r>
          </w:p>
          <w:p>
            <w:pPr>
              <w:pStyle w:val="Normal"/>
              <w:suppressAutoHyphens w:val="false"/>
              <w:spacing w:lineRule="auto" w:line="276" w:before="0" w:after="0"/>
              <w:ind w:firstLine="720"/>
              <w:jc w:val="both"/>
              <w:rPr>
                <w:sz w:val="24"/>
                <w:szCs w:val="24"/>
              </w:rPr>
            </w:pPr>
            <w:r>
              <w:rPr>
                <w:rFonts w:cs="Calibri"/>
                <w:sz w:val="24"/>
                <w:szCs w:val="24"/>
                <w:lang w:val="hy-AM"/>
              </w:rPr>
              <w:t>12</w:t>
            </w:r>
            <w:r>
              <w:rPr>
                <w:rFonts w:cs="Cambria Math"/>
                <w:sz w:val="24"/>
                <w:szCs w:val="24"/>
                <w:lang w:val="hy-AM"/>
              </w:rPr>
              <w:t>․</w:t>
            </w:r>
            <w:r>
              <w:rPr>
                <w:rFonts w:cs="Calibri"/>
                <w:sz w:val="24"/>
                <w:szCs w:val="24"/>
                <w:lang w:val="hy-AM"/>
              </w:rPr>
              <w:t>1) Արտաքին հետախուզության ծառայությունում պաշտոն զբաղեցրած անձը՝</w:t>
            </w:r>
          </w:p>
          <w:p>
            <w:pPr>
              <w:pStyle w:val="Normal"/>
              <w:suppressAutoHyphens w:val="false"/>
              <w:spacing w:lineRule="auto" w:line="276" w:before="0" w:after="0"/>
              <w:ind w:firstLine="720"/>
              <w:jc w:val="both"/>
              <w:rPr>
                <w:sz w:val="24"/>
                <w:szCs w:val="24"/>
              </w:rPr>
            </w:pPr>
            <w:r>
              <w:rPr>
                <w:rFonts w:cs="Calibri"/>
                <w:sz w:val="24"/>
                <w:szCs w:val="24"/>
                <w:lang w:val="hy-AM"/>
              </w:rPr>
              <w:t>ա</w:t>
            </w:r>
            <w:r>
              <w:rPr>
                <w:rFonts w:cs="Cambria Math"/>
                <w:sz w:val="24"/>
                <w:szCs w:val="24"/>
                <w:lang w:val="hy-AM"/>
              </w:rPr>
              <w:t>․</w:t>
            </w:r>
            <w:r>
              <w:rPr>
                <w:rFonts w:cs="Calibri"/>
                <w:sz w:val="24"/>
                <w:szCs w:val="24"/>
                <w:lang w:val="hy-AM"/>
              </w:rPr>
              <w:t xml:space="preserve"> որը պաշտոնից ազատվելու օրվա դրությամբ ունի առնվազն 20 տարվա ծառայության ստաժ, կամ</w:t>
            </w:r>
          </w:p>
          <w:p>
            <w:pPr>
              <w:pStyle w:val="Normal"/>
              <w:suppressAutoHyphens w:val="false"/>
              <w:spacing w:lineRule="auto" w:line="276" w:before="0" w:after="0"/>
              <w:ind w:firstLine="720"/>
              <w:jc w:val="both"/>
              <w:rPr>
                <w:sz w:val="24"/>
                <w:szCs w:val="24"/>
              </w:rPr>
            </w:pPr>
            <w:r>
              <w:rPr>
                <w:rFonts w:cs="Calibri"/>
                <w:sz w:val="24"/>
                <w:szCs w:val="24"/>
                <w:lang w:val="hy-AM"/>
              </w:rPr>
              <w:t>բ</w:t>
            </w:r>
            <w:r>
              <w:rPr>
                <w:rFonts w:cs="Cambria Math"/>
                <w:sz w:val="24"/>
                <w:szCs w:val="24"/>
                <w:lang w:val="hy-AM"/>
              </w:rPr>
              <w:t>․</w:t>
            </w:r>
            <w:r>
              <w:rPr>
                <w:rFonts w:cs="Calibri"/>
                <w:sz w:val="24"/>
                <w:szCs w:val="24"/>
                <w:lang w:val="hy-AM"/>
              </w:rPr>
              <w:t xml:space="preserve"> որի ծառայությունը դադարեցվել է դատական կարգով անգործունակ ճանաչվելու կամ «Արտաքին հետախուզական գործունեության և արտաքին հետախուզության ծառայության մասին» օրենքի 38֊րդ հոդվածի 11֊րդ կետով նախատեսված հիմքով։</w:t>
            </w:r>
          </w:p>
          <w:p>
            <w:pPr>
              <w:pStyle w:val="Normal"/>
              <w:suppressAutoHyphens w:val="false"/>
              <w:spacing w:lineRule="auto" w:line="276" w:before="0" w:after="0"/>
              <w:ind w:firstLine="720"/>
              <w:jc w:val="both"/>
              <w:rPr/>
            </w:pPr>
            <w:r>
              <w:rPr>
                <w:rFonts w:cs="Calibri"/>
                <w:sz w:val="24"/>
                <w:szCs w:val="24"/>
                <w:lang w:val="hy-AM"/>
              </w:rPr>
              <w:t xml:space="preserve">Միաժամանակ, Նախագիծ 2-ի 4-րդ հոդվածի 2-րդ մասով սահմանվում է, որ </w:t>
            </w:r>
            <w:r>
              <w:rPr>
                <w:rStyle w:val="StrongEmphasisWW"/>
                <w:rFonts w:eastAsia="Times New Roman" w:cs="Times New Roman"/>
                <w:color w:val="000000"/>
                <w:kern w:val="2"/>
                <w:sz w:val="24"/>
                <w:szCs w:val="24"/>
                <w:lang w:val="hy-AM" w:eastAsia="zh-CN" w:bidi="hi-IN"/>
              </w:rPr>
              <w:t>սույն օրենքը տարածվում է նաև սույն օրենքն ուժի մեջ մտնելուց առաջ Արտաքին հետախուզության ծառայությունում պաշտոնի նշանակված անձանց վրա։</w:t>
            </w:r>
          </w:p>
          <w:p>
            <w:pPr>
              <w:pStyle w:val="Normal"/>
              <w:suppressAutoHyphens w:val="false"/>
              <w:spacing w:lineRule="auto" w:line="276" w:before="0" w:after="0"/>
              <w:ind w:firstLine="720"/>
              <w:jc w:val="both"/>
              <w:rPr>
                <w:sz w:val="24"/>
                <w:szCs w:val="24"/>
              </w:rPr>
            </w:pPr>
            <w:r>
              <w:rPr>
                <w:rFonts w:cs="Calibri"/>
                <w:sz w:val="24"/>
                <w:szCs w:val="24"/>
                <w:lang w:val="hy-AM"/>
              </w:rPr>
              <w:t xml:space="preserve">Նախագիծ 3-ի 1-ին հոդվածով առաջարկվում է </w:t>
            </w:r>
            <w:r>
              <w:rPr>
                <w:rFonts w:cs="Calibri"/>
                <w:bCs/>
                <w:sz w:val="24"/>
                <w:szCs w:val="24"/>
                <w:lang w:val="hy-AM"/>
              </w:rPr>
              <w:t>«Պետական կենսաթոշակների մասին» 2010 թվականի դեկտեմբերի 22-ի ՀՕ-243֊Ն օրենքի 10-րդ հոդվածը լրացնել հետևյալ բովանդակությամբ 6-րդ մասով</w:t>
            </w:r>
            <w:r>
              <w:rPr>
                <w:rFonts w:cs="Cambria Math"/>
                <w:bCs/>
                <w:sz w:val="24"/>
                <w:szCs w:val="24"/>
                <w:lang w:val="hy-AM"/>
              </w:rPr>
              <w:t>․</w:t>
            </w:r>
            <w:r>
              <w:rPr>
                <w:rFonts w:cs="Calibri"/>
                <w:sz w:val="24"/>
                <w:szCs w:val="24"/>
                <w:lang w:val="hy-AM"/>
              </w:rPr>
              <w:t xml:space="preserve"> «6</w:t>
            </w:r>
            <w:r>
              <w:rPr>
                <w:rFonts w:cs="Cambria Math"/>
                <w:sz w:val="24"/>
                <w:szCs w:val="24"/>
                <w:lang w:val="hy-AM"/>
              </w:rPr>
              <w:t>․</w:t>
            </w:r>
            <w:r>
              <w:rPr>
                <w:rFonts w:cs="Calibri"/>
                <w:sz w:val="24"/>
                <w:szCs w:val="24"/>
                <w:lang w:val="hy-AM"/>
              </w:rPr>
              <w:t xml:space="preserve"> Արտոնյալ պայմաններով կենսաթոշակ նշանակվում է նաև ՀՀ արտաքին հետախուզության ծառայությունում աշխատանքից ազատվելու օրվա դրությամբ քաղաքացիական աշխատանք կամ տեխնիկական սպասարկում իրականացրած անձին, եթե լրացել է նրա 55 տարին և նա ունի առնվազն 25 օրացուցային տարվա աշխատանքային ստաժ, որից առնվազն 15 տարին աշխատել է Հայաստանի Հանրապետության արտաքին հետախուզության ծառայությունում։»։</w:t>
            </w:r>
          </w:p>
          <w:p>
            <w:pPr>
              <w:pStyle w:val="Normal"/>
              <w:suppressAutoHyphens w:val="false"/>
              <w:spacing w:lineRule="auto" w:line="276" w:before="0" w:after="0"/>
              <w:ind w:firstLine="720"/>
              <w:jc w:val="both"/>
              <w:rPr/>
            </w:pPr>
            <w:r>
              <w:rPr>
                <w:rFonts w:cs="Calibri"/>
                <w:sz w:val="24"/>
                <w:szCs w:val="24"/>
                <w:lang w:val="hy-AM"/>
              </w:rPr>
              <w:t xml:space="preserve">Նախագիծ 3-ի 2-րդ հոդվածի 2-րդ մասով սահմանվում է, որ </w:t>
            </w:r>
            <w:r>
              <w:rPr>
                <w:rStyle w:val="StrongEmphasisWW"/>
                <w:rFonts w:eastAsia="Times New Roman" w:cs="Times New Roman"/>
                <w:color w:val="000000"/>
                <w:kern w:val="2"/>
                <w:sz w:val="24"/>
                <w:szCs w:val="24"/>
                <w:lang w:val="hy-AM" w:eastAsia="zh-CN" w:bidi="hi-IN"/>
              </w:rPr>
              <w:t>սույն օրենքը տարածվում է նաև սույն օրենքն ուժի մեջ մտնելուց առաջ Արտաքին հետախուզության ծառայությունում աշխատանքի ընդունված քաղաքացիական աշխատանք կամ տեխնիկական սպասարկում իրականացնող անձանց վրա։</w:t>
            </w:r>
          </w:p>
          <w:p>
            <w:pPr>
              <w:pStyle w:val="Normal"/>
              <w:suppressAutoHyphens w:val="false"/>
              <w:spacing w:lineRule="auto" w:line="276" w:before="0" w:after="0"/>
              <w:ind w:firstLine="720"/>
              <w:jc w:val="both"/>
              <w:rPr>
                <w:sz w:val="24"/>
                <w:szCs w:val="24"/>
              </w:rPr>
            </w:pPr>
            <w:r>
              <w:rPr>
                <w:rFonts w:cs="Calibri"/>
                <w:sz w:val="24"/>
                <w:szCs w:val="24"/>
                <w:lang w:val="hy-AM"/>
              </w:rPr>
              <w:t>Հարկ ենք համարում նշել, որ Նախագծին կից ներկայացված հիմնավորմամբ բացահայտված և հիմնավորված չէ Ծառայությունում քաղաքացիական աշխատանք կամ տեխնիկական սպասարկում իրականացրած անձանց համար 55 տարեկանից արտոնյալ կենսաթոշակ սահմանելու անհրաժեշտությունը։ Մասնավորապես՝ գործող օրենսդրությամբ արտոնյալ պայմաններով կենսաթոշակ է սահմանվում այն անձանց համար, ովքեր աշխատել են ծանր, վնասակար կամ առանձնապես բարդ պայմաններում (օրինակ՝ ստորգետնյա, թռիչքային, հատուկ ծառայության մարտական կազմ և այլն)։ Ներկայացված չեն փաստարկներ, որ Ծառայությունում քաղաքացիական կամ տեխնիկական սպասարկման աշխատանքային պայմանները համարժեք են այդպիսի արտոնություն տրամադրելու համար։</w:t>
            </w:r>
          </w:p>
          <w:p>
            <w:pPr>
              <w:pStyle w:val="Normal"/>
              <w:suppressAutoHyphens w:val="false"/>
              <w:spacing w:lineRule="auto" w:line="276" w:before="0" w:after="0"/>
              <w:ind w:firstLine="720"/>
              <w:jc w:val="both"/>
              <w:rPr>
                <w:sz w:val="24"/>
                <w:szCs w:val="24"/>
              </w:rPr>
            </w:pPr>
            <w:r>
              <w:rPr>
                <w:rFonts w:cs="Calibri"/>
                <w:sz w:val="24"/>
                <w:szCs w:val="24"/>
                <w:lang w:val="hy-AM"/>
              </w:rPr>
              <w:t>Անհրաժեշտ է ընդգծել, որ սոցիալական հավասարության և արդարության սկզբունքների տեսանկյունից նման արտոնություն տրամադրելը կարող է անհամաչափություն առաջացնել կենսաթոշակային համակարգում՝ խախտելով շահառուների նկատմամբ հավասար վերաբերմունքի տրամաբանությունը։ Հավելենք նաև, որ Նախագծի ընդունման արդյունքում ընդլայնվելու է արտոնյալ կենսաթոշակ ստացող շահառուների թիվը (հաշվի առնելով նաև օրենքի հետադարձ ուժ ունենալու դրույթը):</w:t>
            </w:r>
          </w:p>
          <w:p>
            <w:pPr>
              <w:pStyle w:val="Normal"/>
              <w:suppressAutoHyphens w:val="false"/>
              <w:spacing w:lineRule="auto" w:line="276" w:before="0" w:after="0"/>
              <w:ind w:firstLine="720"/>
              <w:jc w:val="both"/>
              <w:rPr>
                <w:sz w:val="24"/>
                <w:szCs w:val="24"/>
              </w:rPr>
            </w:pPr>
            <w:r>
              <w:rPr>
                <w:rFonts w:cs="Calibri"/>
                <w:sz w:val="24"/>
                <w:szCs w:val="24"/>
                <w:lang w:val="hy-AM"/>
              </w:rPr>
              <w:t>Հարկ ենք համարում նշել, որ Նախագիծ 2-ով և Նախագիծ 3-ով առաջարկվող վերոնշյալ փոփոխություններն ակնհայտորեն հանգեցնելու են շահառուների թվաքանակի աճի, ինչը հանգեցնելու է լրացուցիչ ծախսերի տրամադրման անհրաժեշտության, որի չափը հնարավոր չէ գնահատել համապատասխան տեղեկատվության բացակայությամբ պայմանավորված: Հետևաբար՝ առաջարկում ենք, հարկաբյուջետային սահմանափակ հնարավորությունների պայմաններում, ձեռնպահ մնալ ՀՀ պետական բյուջեում լրացուցիչ և չհիմնավորված ծախսերի հանգեցնող նախաձեռնություններից։ Միաժամանակ, կարևորում ենք նաև ոլորտի քաղաքականությունը մշակող լիազոր մարմնի՝ ՀՀ ԱՍՀՆ-ի կարծիքը։</w:t>
            </w:r>
          </w:p>
        </w:tc>
        <w:tc>
          <w:tcPr>
            <w:tcW w:w="5034" w:type="dxa"/>
            <w:tcBorders>
              <w:left w:val="single" w:sz="4" w:space="0" w:color="000000"/>
              <w:bottom w:val="single" w:sz="4" w:space="0" w:color="000000"/>
              <w:right w:val="single" w:sz="4" w:space="0" w:color="000000"/>
            </w:tcBorders>
          </w:tcPr>
          <w:p>
            <w:pPr>
              <w:pStyle w:val="Normal"/>
              <w:widowControl w:val="false"/>
              <w:spacing w:lineRule="auto" w:line="276" w:before="0" w:after="0"/>
              <w:jc w:val="center"/>
              <w:rPr>
                <w:sz w:val="24"/>
                <w:szCs w:val="24"/>
              </w:rPr>
            </w:pPr>
            <w:r>
              <w:rPr>
                <w:rFonts w:cs="Cambria Math"/>
                <w:b/>
                <w:bCs/>
                <w:color w:val="00000A"/>
                <w:sz w:val="24"/>
                <w:szCs w:val="24"/>
                <w:shd w:fill="auto" w:val="clear"/>
                <w:lang w:val="hy-AM"/>
              </w:rPr>
              <w:t>5․ Չի ընդունվել</w:t>
            </w:r>
          </w:p>
          <w:p>
            <w:pPr>
              <w:pStyle w:val="Normal"/>
              <w:widowControl w:val="false"/>
              <w:spacing w:lineRule="auto" w:line="276" w:before="0" w:after="0"/>
              <w:jc w:val="both"/>
              <w:rPr>
                <w:sz w:val="24"/>
                <w:szCs w:val="24"/>
              </w:rPr>
            </w:pPr>
            <w:r>
              <w:rPr>
                <w:rFonts w:cs="Cambria Math"/>
                <w:b w:val="false"/>
                <w:bCs w:val="false"/>
                <w:color w:val="00000A"/>
                <w:sz w:val="24"/>
                <w:szCs w:val="24"/>
                <w:shd w:fill="auto" w:val="clear"/>
                <w:lang w:val="hy-AM"/>
              </w:rPr>
              <w:t xml:space="preserve">«Պետական կենսաթոշակների մասին» օրենքի 10֊րդ հոդվածը հանվել է՝ հաշվի առնելով </w:t>
            </w:r>
            <w:r>
              <w:rPr>
                <w:rFonts w:cs="Cambria Math"/>
                <w:b w:val="false"/>
                <w:bCs w:val="false"/>
                <w:color w:val="00000A"/>
                <w:sz w:val="24"/>
                <w:szCs w:val="24"/>
                <w:shd w:fill="auto" w:val="clear"/>
                <w:lang w:val="hy-AM"/>
              </w:rPr>
              <w:t>03․02․2026թ․ պետաիրավական նախարարական կոմիտեի նիստի քննարկման արդյունքները։</w:t>
            </w:r>
          </w:p>
          <w:p>
            <w:pPr>
              <w:pStyle w:val="Normal"/>
              <w:widowControl w:val="false"/>
              <w:spacing w:lineRule="auto" w:line="276" w:before="0" w:after="0"/>
              <w:jc w:val="both"/>
              <w:rPr/>
            </w:pPr>
            <w:r>
              <w:rPr>
                <w:rStyle w:val="StrongEmphasis"/>
                <w:rFonts w:eastAsia="Times New Roman" w:cs="Times New Roman"/>
                <w:b w:val="false"/>
                <w:bCs w:val="false"/>
                <w:i w:val="false"/>
                <w:iCs w:val="false"/>
                <w:color w:val="000000"/>
                <w:kern w:val="2"/>
                <w:sz w:val="24"/>
                <w:szCs w:val="24"/>
                <w:u w:val="none"/>
                <w:shd w:fill="auto" w:val="clear"/>
                <w:lang w:val="hy-AM" w:eastAsia="zh-CN" w:bidi="hi-IN"/>
              </w:rPr>
              <w:t>Լրացուցիչ ծախսերի վերաբերյալ ներկայացված դիտարկումն ընդունվել է ի գիտություն (հիմնավորման մեջ և՛ առաջարկներին, և՛ ֆինանսական հետևանքին արդեն իսկ անդրադարձ կատարվել է)։</w:t>
            </w:r>
          </w:p>
        </w:tc>
      </w:tr>
      <w:tr>
        <w:trPr>
          <w:trHeight w:val="812" w:hRule="atLeast"/>
        </w:trPr>
        <w:tc>
          <w:tcPr>
            <w:tcW w:w="9656" w:type="dxa"/>
            <w:tcBorders>
              <w:left w:val="single" w:sz="4" w:space="0" w:color="000000"/>
              <w:bottom w:val="single" w:sz="4" w:space="0" w:color="000000"/>
              <w:right w:val="single" w:sz="4" w:space="0" w:color="000000"/>
            </w:tcBorders>
          </w:tcPr>
          <w:p>
            <w:pPr>
              <w:pStyle w:val="Normal"/>
              <w:suppressAutoHyphens w:val="false"/>
              <w:spacing w:lineRule="auto" w:line="276" w:before="0" w:after="0"/>
              <w:ind w:firstLine="720"/>
              <w:jc w:val="both"/>
              <w:rPr>
                <w:sz w:val="24"/>
                <w:szCs w:val="24"/>
              </w:rPr>
            </w:pPr>
            <w:r>
              <w:rPr>
                <w:rFonts w:eastAsia="Times New Roman" w:cs="Sylfaen"/>
                <w:b/>
                <w:color w:val="auto"/>
                <w:sz w:val="24"/>
                <w:szCs w:val="24"/>
                <w:lang w:val="hy-AM" w:eastAsia="x-none"/>
              </w:rPr>
              <w:t>6.</w:t>
            </w:r>
            <w:r>
              <w:rPr>
                <w:rFonts w:eastAsia="Times New Roman" w:cs="Sylfaen"/>
                <w:color w:val="auto"/>
                <w:sz w:val="24"/>
                <w:szCs w:val="24"/>
                <w:lang w:val="hy-AM" w:eastAsia="x-none"/>
              </w:rPr>
              <w:t xml:space="preserve"> </w:t>
            </w:r>
            <w:r>
              <w:rPr>
                <w:rFonts w:eastAsia="Noto Serif CJK SC" w:cs="Lohit Devanagari"/>
                <w:color w:val="auto"/>
                <w:kern w:val="2"/>
                <w:sz w:val="24"/>
                <w:szCs w:val="24"/>
                <w:lang w:val="hy-AM" w:eastAsia="zh-CN" w:bidi="hi-IN"/>
              </w:rPr>
              <w:t>Նախագիծ 4-ի հոդված 1-ով առաջարկվում է «Օպերատիվ-հետախուզական գործունեության մասին» 2007 թվականի հոկտեմբերի 22-ի ՀՕ-223-Ն օրենքի (այսուհետ՝ Օրենք) 9-րդ հոդվածը լրացնել նոր 5-րդ մասով</w:t>
            </w:r>
            <w:r>
              <w:rPr>
                <w:rFonts w:eastAsia="Noto Serif CJK SC" w:cs="Cambria Math"/>
                <w:color w:val="auto"/>
                <w:kern w:val="2"/>
                <w:sz w:val="24"/>
                <w:szCs w:val="24"/>
                <w:lang w:val="hy-AM" w:eastAsia="zh-CN" w:bidi="hi-IN"/>
              </w:rPr>
              <w:t>․</w:t>
            </w:r>
            <w:r>
              <w:rPr>
                <w:rFonts w:eastAsia="Noto Serif CJK SC" w:cs="Lohit Devanagari"/>
                <w:color w:val="auto"/>
                <w:kern w:val="2"/>
                <w:sz w:val="24"/>
                <w:szCs w:val="24"/>
                <w:lang w:val="hy-AM" w:eastAsia="zh-CN" w:bidi="hi-IN"/>
              </w:rPr>
              <w:t xml:space="preserve"> «5</w:t>
            </w:r>
            <w:r>
              <w:rPr>
                <w:rFonts w:eastAsia="Noto Serif CJK SC" w:cs="Cambria Math"/>
                <w:color w:val="auto"/>
                <w:kern w:val="2"/>
                <w:sz w:val="24"/>
                <w:szCs w:val="24"/>
                <w:lang w:val="hy-AM" w:eastAsia="zh-CN" w:bidi="hi-IN"/>
              </w:rPr>
              <w:t>․</w:t>
            </w:r>
            <w:r>
              <w:rPr>
                <w:rFonts w:eastAsia="Noto Serif CJK SC" w:cs="Lohit Devanagari"/>
                <w:color w:val="auto"/>
                <w:kern w:val="2"/>
                <w:sz w:val="24"/>
                <w:szCs w:val="24"/>
                <w:lang w:val="hy-AM" w:eastAsia="zh-CN" w:bidi="hi-IN"/>
              </w:rPr>
              <w:t xml:space="preserve"> ՀՀ արտաքին հետախուզության ծառայության օպերատիվ֊տեխնիկական ստորաբաժանումը հեռահաղորդակցության օպերատորի մոտ ապահովում է համապատասխան օպերատիվ-տեխնիկական անհրաժեշտ պայմաններ՝ թվային, այդ թվում՝ հեռախոսային հաղորդակցության վերահսկում </w:t>
              <w:br/>
              <w:t>օպերատիվ-հետախուզական միջոցառումն իրականացնելու համար։»։</w:t>
            </w:r>
          </w:p>
          <w:p>
            <w:pPr>
              <w:pStyle w:val="Normal"/>
              <w:spacing w:lineRule="auto" w:line="276" w:before="0" w:after="0"/>
              <w:ind w:firstLine="720"/>
              <w:jc w:val="both"/>
              <w:rPr>
                <w:sz w:val="24"/>
                <w:szCs w:val="24"/>
              </w:rPr>
            </w:pPr>
            <w:r>
              <w:rPr>
                <w:rFonts w:eastAsia="Noto Serif CJK SC" w:cs="Lohit Devanagari"/>
                <w:color w:val="auto"/>
                <w:kern w:val="2"/>
                <w:sz w:val="24"/>
                <w:szCs w:val="24"/>
                <w:lang w:val="hy-AM" w:eastAsia="zh-CN" w:bidi="hi-IN"/>
              </w:rPr>
              <w:t xml:space="preserve"> </w:t>
            </w:r>
            <w:r>
              <w:rPr>
                <w:rFonts w:eastAsia="Noto Serif CJK SC" w:cs="Lohit Devanagari"/>
                <w:color w:val="auto"/>
                <w:kern w:val="2"/>
                <w:sz w:val="24"/>
                <w:szCs w:val="24"/>
                <w:lang w:val="hy-AM" w:eastAsia="zh-CN" w:bidi="hi-IN"/>
              </w:rPr>
              <w:t>Այդ կապակցությամբ հայտնում ենք, որ նշված փոփոխությունը ևս կհանգեցնի պետական բյուջեից լրացուցիչ ֆինանսական միջոցների հատկացման անհրաժեշտության, որի ֆինանսական գնահատականի վերաբերյալ տեղեկատվություն ներկայացված չէ:</w:t>
            </w:r>
          </w:p>
        </w:tc>
        <w:tc>
          <w:tcPr>
            <w:tcW w:w="5034" w:type="dxa"/>
            <w:tcBorders>
              <w:left w:val="single" w:sz="4" w:space="0" w:color="000000"/>
              <w:bottom w:val="single" w:sz="4" w:space="0" w:color="000000"/>
              <w:right w:val="single" w:sz="4" w:space="0" w:color="000000"/>
            </w:tcBorders>
          </w:tcPr>
          <w:p>
            <w:pPr>
              <w:pStyle w:val="Normal"/>
              <w:widowControl w:val="false"/>
              <w:spacing w:lineRule="auto" w:line="276" w:before="0" w:after="0"/>
              <w:jc w:val="center"/>
              <w:rPr/>
            </w:pPr>
            <w:r>
              <w:rPr>
                <w:rStyle w:val="StrongEmphasis"/>
                <w:rFonts w:eastAsia="Times New Roman" w:cs="Times New Roman"/>
                <w:b/>
                <w:bCs/>
                <w:i w:val="false"/>
                <w:iCs w:val="false"/>
                <w:color w:val="000000"/>
                <w:kern w:val="2"/>
                <w:sz w:val="24"/>
                <w:szCs w:val="24"/>
                <w:u w:val="none"/>
                <w:shd w:fill="auto" w:val="clear"/>
                <w:lang w:val="hy-AM" w:eastAsia="zh-CN" w:bidi="hi-IN"/>
              </w:rPr>
              <w:t>6․ Ընդունվել է ի գիտություն։</w:t>
            </w:r>
          </w:p>
        </w:tc>
      </w:tr>
      <w:tr>
        <w:trPr>
          <w:trHeight w:val="451" w:hRule="atLeast"/>
        </w:trPr>
        <w:tc>
          <w:tcPr>
            <w:tcW w:w="9656" w:type="dxa"/>
            <w:vMerge w:val="restart"/>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7․ ՀՀ աշխատանքի և սոցիալական հարցերի նախարարություն</w:t>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jc w:val="center"/>
              <w:rPr>
                <w:sz w:val="24"/>
                <w:szCs w:val="24"/>
              </w:rPr>
            </w:pPr>
            <w:r>
              <w:rPr>
                <w:b/>
                <w:bCs/>
                <w:sz w:val="24"/>
                <w:szCs w:val="24"/>
              </w:rPr>
              <w:t>12․11․2025</w:t>
            </w:r>
          </w:p>
        </w:tc>
      </w:tr>
      <w:tr>
        <w:trPr>
          <w:trHeight w:val="653" w:hRule="atLeast"/>
        </w:trPr>
        <w:tc>
          <w:tcPr>
            <w:tcW w:w="9656" w:type="dxa"/>
            <w:vMerge w:val="continue"/>
            <w:tcBorders>
              <w:left w:val="single" w:sz="4" w:space="0" w:color="000000"/>
              <w:bottom w:val="single" w:sz="4" w:space="0" w:color="000000"/>
              <w:right w:val="single" w:sz="4" w:space="0" w:color="000000"/>
            </w:tcBorders>
            <w:shd w:fill="DDE8CB" w:val="clear"/>
          </w:tcPr>
          <w:p>
            <w:pPr>
              <w:pStyle w:val="Normal"/>
              <w:bidi w:val="0"/>
              <w:spacing w:lineRule="auto" w:line="276"/>
              <w:jc w:val="left"/>
              <w:rPr>
                <w:rFonts w:ascii="GHEA Grapalat" w:hAnsi="GHEA Grapalat"/>
                <w:sz w:val="24"/>
                <w:szCs w:val="24"/>
              </w:rPr>
            </w:pPr>
            <w:r>
              <w:rPr>
                <w:sz w:val="24"/>
                <w:szCs w:val="24"/>
              </w:rPr>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before="0" w:after="0"/>
              <w:jc w:val="center"/>
              <w:rPr>
                <w:sz w:val="24"/>
                <w:szCs w:val="24"/>
              </w:rPr>
            </w:pPr>
            <w:bookmarkStart w:id="1" w:name="_GoBack_Copy_1_Copy_1"/>
            <w:bookmarkEnd w:id="1"/>
            <w:r>
              <w:rPr>
                <w:rFonts w:eastAsia="Times New Roman" w:cs="Times New Roman"/>
                <w:b/>
                <w:bCs/>
                <w:spacing w:val="-20"/>
                <w:sz w:val="24"/>
                <w:szCs w:val="24"/>
                <w:lang w:val="hy-AM" w:eastAsia="ru-RU"/>
              </w:rPr>
              <w:t>N ԱԹ/ԱԳ֊1/32765֊2025</w:t>
            </w:r>
          </w:p>
        </w:tc>
      </w:tr>
      <w:tr>
        <w:trPr>
          <w:trHeight w:val="897" w:hRule="atLeast"/>
        </w:trPr>
        <w:tc>
          <w:tcPr>
            <w:tcW w:w="9656" w:type="dxa"/>
            <w:tcBorders>
              <w:left w:val="single" w:sz="4" w:space="0" w:color="000000"/>
              <w:bottom w:val="single" w:sz="4" w:space="0" w:color="000000"/>
              <w:right w:val="single" w:sz="4" w:space="0" w:color="000000"/>
            </w:tcBorders>
          </w:tcPr>
          <w:p>
            <w:pPr>
              <w:pStyle w:val="Normal"/>
              <w:spacing w:lineRule="auto" w:line="276" w:before="0" w:after="280"/>
              <w:ind w:firstLine="720"/>
              <w:jc w:val="both"/>
              <w:rPr>
                <w:highlight w:val="none"/>
                <w:shd w:fill="auto" w:val="clear"/>
              </w:rPr>
            </w:pPr>
            <w:r>
              <w:rPr>
                <w:sz w:val="24"/>
                <w:szCs w:val="24"/>
                <w:shd w:fill="auto" w:val="clear"/>
                <w:lang w:val="hy-AM"/>
              </w:rPr>
              <w:t>«Արտաքին հետախուզական գործունեության և արտաքին հետախուզության ծառայության մասին» օրենքով և դրանում փոփոխություն նախատեսող նախագծի դրույթների հաշվառմամբ ԱՀԾ աշխատակիցների պաշտոնները կարելի դասակարգել՝</w:t>
            </w:r>
          </w:p>
          <w:p>
            <w:pPr>
              <w:pStyle w:val="ListParagraph"/>
              <w:numPr>
                <w:ilvl w:val="0"/>
                <w:numId w:val="1"/>
              </w:numPr>
              <w:spacing w:lineRule="auto" w:line="276" w:before="0" w:after="0"/>
              <w:contextualSpacing/>
              <w:rPr>
                <w:sz w:val="24"/>
                <w:szCs w:val="24"/>
              </w:rPr>
            </w:pPr>
            <w:r>
              <w:rPr>
                <w:sz w:val="24"/>
                <w:szCs w:val="24"/>
                <w:lang w:val="hy-AM"/>
              </w:rPr>
              <w:t>ԱՀԾ ծառայողներ</w:t>
            </w:r>
          </w:p>
          <w:p>
            <w:pPr>
              <w:pStyle w:val="ListParagraph"/>
              <w:numPr>
                <w:ilvl w:val="0"/>
                <w:numId w:val="1"/>
              </w:numPr>
              <w:spacing w:lineRule="auto" w:line="276" w:before="0" w:after="0"/>
              <w:contextualSpacing/>
              <w:rPr>
                <w:sz w:val="24"/>
                <w:szCs w:val="24"/>
              </w:rPr>
            </w:pPr>
            <w:r>
              <w:rPr>
                <w:sz w:val="24"/>
                <w:szCs w:val="24"/>
                <w:lang w:val="hy-AM"/>
              </w:rPr>
              <w:t>այլ պետական մարմիններում կամ կազմակերպություններում պաշտոն զբաղեցնող Ծառայության աշխատակիցներ</w:t>
            </w:r>
          </w:p>
          <w:p>
            <w:pPr>
              <w:pStyle w:val="ListParagraph"/>
              <w:numPr>
                <w:ilvl w:val="0"/>
                <w:numId w:val="1"/>
              </w:numPr>
              <w:spacing w:lineRule="auto" w:line="276" w:before="0" w:after="0"/>
              <w:contextualSpacing/>
              <w:rPr>
                <w:sz w:val="24"/>
                <w:szCs w:val="24"/>
              </w:rPr>
            </w:pPr>
            <w:r>
              <w:rPr>
                <w:sz w:val="24"/>
                <w:szCs w:val="24"/>
                <w:lang w:val="hy-AM"/>
              </w:rPr>
              <w:t>Ծառայության պետի, նրա տեղակալների, ինչպես նաև Ծառայությունում այլ հանրային պաշտոն զբաղեցնող անձինք</w:t>
            </w:r>
          </w:p>
          <w:p>
            <w:pPr>
              <w:pStyle w:val="ListParagraph"/>
              <w:numPr>
                <w:ilvl w:val="0"/>
                <w:numId w:val="1"/>
              </w:numPr>
              <w:spacing w:lineRule="auto" w:line="276" w:before="0" w:after="280"/>
              <w:contextualSpacing/>
              <w:rPr>
                <w:sz w:val="24"/>
                <w:szCs w:val="24"/>
              </w:rPr>
            </w:pPr>
            <w:r>
              <w:rPr>
                <w:sz w:val="24"/>
                <w:szCs w:val="24"/>
                <w:lang w:val="hy-AM"/>
              </w:rPr>
              <w:t>ԱՀԾ հետ համագործակցող և քաղաքացիական աշխատանք ու տեխնիկական սպասարկում իրականացնող այն անձինք</w:t>
            </w:r>
          </w:p>
          <w:p>
            <w:pPr>
              <w:pStyle w:val="Normal"/>
              <w:spacing w:lineRule="auto" w:line="276" w:before="0" w:after="0"/>
              <w:ind w:firstLine="720"/>
              <w:jc w:val="both"/>
              <w:rPr>
                <w:sz w:val="24"/>
                <w:szCs w:val="24"/>
              </w:rPr>
            </w:pPr>
            <w:r>
              <w:rPr>
                <w:sz w:val="24"/>
                <w:szCs w:val="24"/>
                <w:lang w:val="hy-AM"/>
              </w:rPr>
              <w:t xml:space="preserve">Գործող իրավակարգավորումների շրջանակում առաջին երեք խումբ պաշտոններ զբաղեցրած անձինք իրենց կենսաթոշակի իրավունքն իրացնում են </w:t>
            </w:r>
            <w:r>
              <w:rPr>
                <w:rFonts w:eastAsia="Times New Roman" w:cs="Times New Roman"/>
                <w:color w:val="000000"/>
                <w:sz w:val="24"/>
                <w:szCs w:val="24"/>
                <w:lang w:val="hy-AM"/>
              </w:rPr>
              <w:t>«Պաշտոնատար անձանց գործունեության ապահովման, սպասարկման և սոցիալական երաշխիքների մասին» օրենքով (2-րդ հոդվածի 1-ին մասի 12.1-ին կետ)։</w:t>
            </w:r>
          </w:p>
          <w:p>
            <w:pPr>
              <w:pStyle w:val="Normal"/>
              <w:spacing w:lineRule="auto" w:line="276" w:before="0" w:after="0"/>
              <w:ind w:firstLine="720"/>
              <w:jc w:val="both"/>
              <w:rPr>
                <w:sz w:val="24"/>
                <w:szCs w:val="24"/>
              </w:rPr>
            </w:pPr>
            <w:r>
              <w:rPr>
                <w:rFonts w:eastAsia="Times New Roman" w:cs="Times New Roman"/>
                <w:color w:val="000000"/>
                <w:sz w:val="24"/>
                <w:szCs w:val="24"/>
                <w:lang w:val="hy-AM"/>
              </w:rPr>
              <w:t xml:space="preserve">Կենսաթոշակի </w:t>
            </w:r>
            <w:r>
              <w:rPr>
                <w:sz w:val="24"/>
                <w:szCs w:val="24"/>
                <w:lang w:val="hy-AM"/>
              </w:rPr>
              <w:t>իրավունքի իրացման տեսանկյունից լրացուցիչ կարգավորումների կարիք ունեն 4-րդ խումբ աշխատանք կատարողները։</w:t>
            </w:r>
          </w:p>
          <w:p>
            <w:pPr>
              <w:pStyle w:val="Normal"/>
              <w:spacing w:lineRule="auto" w:line="276" w:before="0" w:after="0"/>
              <w:ind w:firstLine="720"/>
              <w:jc w:val="both"/>
              <w:rPr>
                <w:sz w:val="24"/>
                <w:szCs w:val="24"/>
              </w:rPr>
            </w:pPr>
            <w:r>
              <w:rPr>
                <w:sz w:val="24"/>
                <w:szCs w:val="24"/>
                <w:lang w:val="hy-AM"/>
              </w:rPr>
              <w:t>Սույն առաջարկների հիմքում «Պաշտոնատար անձանց գործունեության ապահովման, սպասարկման և սոցիալական երաշխիքների մասին» օրենքի տրամաբանությունն է, ըստ որի՝ օրենքով կենսաթոշակի իրավունք ունեն սահմանադրական ժամկետով պաշտոնավարած (ՍԴ դատավոր, ՄԻՊ և այլ) կամ ինքնավար պաշտոն զբաղեցրած անձինք։ Նշված պաշտոնները հանդիսանում են պետական իշխանության իրականացման առանցքային օղակները, որոնցով ապահովվում է Սահմանադրության գերակայությունը, իրավունքի գերակայության և ժողովրդավարական</w:t>
            </w:r>
            <w:r>
              <w:rPr>
                <w:rFonts w:eastAsia="Times New Roman" w:cs="Times New Roman"/>
                <w:color w:val="000000"/>
                <w:sz w:val="24"/>
                <w:szCs w:val="24"/>
                <w:lang w:val="hy-AM"/>
              </w:rPr>
              <w:t xml:space="preserve"> կառավարման սկզբունքների պաշտպանությունը։ Դրանք ունեն </w:t>
            </w:r>
            <w:r>
              <w:rPr>
                <w:rFonts w:eastAsia="Times New Roman" w:cs="Times New Roman"/>
                <w:b/>
                <w:bCs/>
                <w:color w:val="000000"/>
                <w:sz w:val="24"/>
                <w:szCs w:val="24"/>
                <w:lang w:val="hy-AM"/>
              </w:rPr>
              <w:t>բարձր հանրային և իրավական պատասխանատվություն</w:t>
            </w:r>
            <w:r>
              <w:rPr>
                <w:rFonts w:eastAsia="Times New Roman" w:cs="Times New Roman"/>
                <w:color w:val="000000"/>
                <w:sz w:val="24"/>
                <w:szCs w:val="24"/>
                <w:lang w:val="hy-AM"/>
              </w:rPr>
              <w:t>, քանի որ տվյալ պաշտոններում իրականացվող գործունեությունը ուղղակիորեն առնչվում է քաղաքացիների հիմնարար իրավունքների և ազատությունների երաշխավորմանը, պետական իշխանության թափանցիկ և հաշվետու գործառույթների իրականացմանը, ինչպես նաև տվյալ համակարգի կայունությանն ու անկախությանը։</w:t>
            </w:r>
          </w:p>
          <w:p>
            <w:pPr>
              <w:pStyle w:val="Normal"/>
              <w:spacing w:lineRule="auto" w:line="276" w:before="0" w:after="0"/>
              <w:ind w:firstLine="720"/>
              <w:jc w:val="both"/>
              <w:rPr>
                <w:sz w:val="24"/>
                <w:szCs w:val="24"/>
              </w:rPr>
            </w:pPr>
            <w:r>
              <w:rPr>
                <w:rFonts w:eastAsia="Times New Roman" w:cs="Times New Roman"/>
                <w:color w:val="000000"/>
                <w:sz w:val="24"/>
                <w:szCs w:val="24"/>
                <w:lang w:val="hy-AM"/>
              </w:rPr>
              <w:t xml:space="preserve">Հետևաբար, </w:t>
            </w:r>
            <w:r>
              <w:rPr>
                <w:sz w:val="24"/>
                <w:szCs w:val="24"/>
                <w:lang w:val="hy-AM"/>
              </w:rPr>
              <w:t>այս պաշտոնների առանձնահատկություններից և բարձր հանրային նշանակությունից բխում է այն մոտեցումը, որ այդ պաշտոնները զբաղեցրած անձանց նկատմամբ սահմանվում են հատուկ սոցիալական և իրավական երաշխիքներ, որոնք մի կողմից խթանում են արդյունավետ և բարեխիղճ ծառայությունը, իսկ մյուս կողմից՝ ապահովում պետական իշխանության ինստիտուտների հանդեպ հանրային վստահության պահպանումը։</w:t>
            </w:r>
          </w:p>
          <w:p>
            <w:pPr>
              <w:pStyle w:val="Normal"/>
              <w:spacing w:lineRule="auto" w:line="276" w:before="0" w:after="0"/>
              <w:ind w:firstLine="720"/>
              <w:jc w:val="both"/>
              <w:rPr>
                <w:sz w:val="24"/>
                <w:szCs w:val="24"/>
              </w:rPr>
            </w:pPr>
            <w:r>
              <w:rPr>
                <w:rFonts w:eastAsia="Times New Roman" w:cs="Times New Roman"/>
                <w:color w:val="000000"/>
                <w:sz w:val="24"/>
                <w:szCs w:val="24"/>
                <w:lang w:val="hy-AM"/>
              </w:rPr>
              <w:t xml:space="preserve">Կարևորելով </w:t>
            </w:r>
            <w:r>
              <w:rPr>
                <w:sz w:val="24"/>
                <w:szCs w:val="24"/>
                <w:lang w:val="hy-AM"/>
              </w:rPr>
              <w:t xml:space="preserve">քաղաքացիական աշխատանք ու տեխնիկական սպասարկում իրականացնող ԱՀԾ աշխատակիցների կատարած աշխատանքը, այնուհանդերձ </w:t>
            </w:r>
            <w:r>
              <w:rPr>
                <w:rFonts w:eastAsia="Times New Roman" w:cs="Times New Roman"/>
                <w:color w:val="000000"/>
                <w:sz w:val="24"/>
                <w:szCs w:val="24"/>
                <w:lang w:val="hy-AM"/>
              </w:rPr>
              <w:t>նպատակահարմար չէ այդ անձանց դիտարկել որպես «Պաշտոնատար անձանց գործունեության ապահովման, սպասարկման և սոցիալական երաշխիքների մասին» օրենքի շահառուներ։</w:t>
            </w:r>
          </w:p>
          <w:p>
            <w:pPr>
              <w:pStyle w:val="Normal"/>
              <w:spacing w:lineRule="auto" w:line="276" w:before="0" w:after="0"/>
              <w:ind w:firstLine="720"/>
              <w:jc w:val="both"/>
              <w:rPr>
                <w:sz w:val="24"/>
                <w:szCs w:val="24"/>
              </w:rPr>
            </w:pPr>
            <w:r>
              <w:rPr>
                <w:sz w:val="24"/>
                <w:szCs w:val="24"/>
                <w:lang w:val="hy-AM"/>
              </w:rPr>
              <w:t xml:space="preserve">Այս տեսանկյունից հարկ է նկատի ունենալ, որ չնայած «Պետական կենսաթոշակների մասին» օրենքում լրացում կատարելու մասին» օրենքի նախագծով քաղաքացիական աշխատանք ու տեխնիկական սպասարկում իրականացնող ԱՀԾ աշխատակիցների համար առաջարկվում է սահմանել արտոնյալ կենսաթոշակի իրավունք, այնուհանդերձ փաթեթ ներառված նախագծերի վերլուծությունից հետևում է, որ առանձին դեպքերում նրանք կարող են իրենց կենսաթոշակի իրավունք իրացնել նաև </w:t>
            </w:r>
            <w:r>
              <w:rPr>
                <w:rFonts w:eastAsia="Times New Roman" w:cs="Times New Roman"/>
                <w:color w:val="000000"/>
                <w:sz w:val="24"/>
                <w:szCs w:val="24"/>
                <w:lang w:val="hy-AM"/>
              </w:rPr>
              <w:t>«Պաշտոնատար անձանց գործունեության ապահովման, սպասարկման և սոցիալական երաշխիքների մասին» օրենքով։</w:t>
            </w:r>
          </w:p>
          <w:p>
            <w:pPr>
              <w:pStyle w:val="Normal"/>
              <w:spacing w:lineRule="auto" w:line="276" w:before="0" w:after="0"/>
              <w:ind w:firstLine="720"/>
              <w:jc w:val="both"/>
              <w:rPr>
                <w:sz w:val="24"/>
                <w:szCs w:val="24"/>
              </w:rPr>
            </w:pPr>
            <w:r>
              <w:rPr>
                <w:rFonts w:eastAsia="Times New Roman" w:cs="Times New Roman"/>
                <w:color w:val="000000"/>
                <w:sz w:val="24"/>
                <w:szCs w:val="24"/>
                <w:lang w:val="hy-AM"/>
              </w:rPr>
              <w:t>«Պաշտոնատար անձանց գործունեության ապահովման, սպասարկման և սոցիալական երաշխիքների մասին» օրենքում լրացումներ և փոփոխություններ կատարելու մասին» օրենքի նախագծով առաջարկվում է ներդնել այս օրենքով կենսաթոշակի հաշվարկման նոր մեխանիզմ, որն էականորեն տարբերվում է օրենքով սահանվածներից։</w:t>
            </w:r>
          </w:p>
          <w:p>
            <w:pPr>
              <w:pStyle w:val="Normal"/>
              <w:spacing w:lineRule="auto" w:line="276" w:before="0" w:after="0"/>
              <w:ind w:firstLine="720"/>
              <w:jc w:val="both"/>
              <w:rPr>
                <w:sz w:val="24"/>
                <w:szCs w:val="24"/>
              </w:rPr>
            </w:pPr>
            <w:r>
              <w:rPr>
                <w:rFonts w:eastAsia="Times New Roman" w:cs="Times New Roman"/>
                <w:color w:val="000000"/>
                <w:sz w:val="24"/>
                <w:szCs w:val="24"/>
                <w:lang w:val="hy-AM"/>
              </w:rPr>
              <w:t>Բացի դրանից, փաթեթ ներառված նախագծերի առանձին դրույթներ հստակեցման կարիք ունեն։</w:t>
            </w:r>
          </w:p>
          <w:p>
            <w:pPr>
              <w:pStyle w:val="Normal"/>
              <w:spacing w:lineRule="auto" w:line="276" w:before="0" w:after="280"/>
              <w:ind w:firstLine="720"/>
              <w:rPr>
                <w:sz w:val="24"/>
                <w:szCs w:val="24"/>
              </w:rPr>
            </w:pPr>
            <w:r>
              <w:rPr>
                <w:rFonts w:eastAsia="Times New Roman" w:cs="Times New Roman"/>
                <w:color w:val="000000"/>
                <w:sz w:val="24"/>
                <w:szCs w:val="24"/>
                <w:lang w:val="hy-AM"/>
              </w:rPr>
              <w:t>Վերը նշվածի հաշվառմամբ առաջարկվում է՝</w:t>
            </w:r>
          </w:p>
          <w:p>
            <w:pPr>
              <w:pStyle w:val="ListParagraph"/>
              <w:numPr>
                <w:ilvl w:val="0"/>
                <w:numId w:val="2"/>
              </w:numPr>
              <w:spacing w:lineRule="auto" w:line="276" w:before="0" w:after="280"/>
              <w:contextualSpacing/>
              <w:jc w:val="both"/>
              <w:rPr>
                <w:sz w:val="24"/>
                <w:szCs w:val="24"/>
              </w:rPr>
            </w:pPr>
            <w:r>
              <w:rPr>
                <w:rFonts w:eastAsia="Times New Roman" w:cs="Times New Roman"/>
                <w:b/>
                <w:color w:val="000000"/>
                <w:sz w:val="24"/>
                <w:szCs w:val="24"/>
                <w:lang w:val="hy-AM"/>
              </w:rPr>
              <w:t xml:space="preserve">        </w:t>
            </w:r>
            <w:r>
              <w:rPr>
                <w:rFonts w:eastAsia="Times New Roman" w:cs="Times New Roman"/>
                <w:b/>
                <w:color w:val="000000"/>
                <w:sz w:val="24"/>
                <w:szCs w:val="24"/>
                <w:lang w:val="hy-AM"/>
              </w:rPr>
              <w:t>«Պաշտոնատար անձանց գործունեության ապահովման, սպասարկման և սոցիալական երաշխիքների մասին» օրենքում լրացումներ և փոփոխություններ կատարելու մասին» օրենքի նախագծի (նախագիծ 1) վերաբերյալ</w:t>
            </w:r>
          </w:p>
          <w:p>
            <w:pPr>
              <w:pStyle w:val="ListParagraph"/>
              <w:numPr>
                <w:ilvl w:val="1"/>
                <w:numId w:val="2"/>
              </w:numPr>
              <w:spacing w:lineRule="auto" w:line="276" w:before="0" w:after="280"/>
              <w:ind w:firstLine="810" w:left="-90"/>
              <w:contextualSpacing/>
              <w:jc w:val="both"/>
              <w:rPr>
                <w:sz w:val="24"/>
                <w:szCs w:val="24"/>
              </w:rPr>
            </w:pPr>
            <w:r>
              <w:rPr>
                <w:rFonts w:eastAsia="Times New Roman" w:cs="Times New Roman"/>
                <w:b/>
                <w:color w:val="000000"/>
                <w:sz w:val="24"/>
                <w:szCs w:val="24"/>
                <w:lang w:val="hy-AM"/>
              </w:rPr>
              <w:t>Նախագիծ 1-ի 1-ին հոդվածով խմբագրվող՝ օրենքի 2-րդ հոդվածի 1-ին մասի 12</w:t>
            </w:r>
            <w:r>
              <w:rPr>
                <w:rFonts w:eastAsia="Times New Roman" w:cs="Cambria Math"/>
                <w:b/>
                <w:color w:val="000000"/>
                <w:sz w:val="24"/>
                <w:szCs w:val="24"/>
                <w:lang w:val="hy-AM"/>
              </w:rPr>
              <w:t>․</w:t>
            </w:r>
            <w:r>
              <w:rPr>
                <w:rFonts w:eastAsia="Times New Roman" w:cs="Times New Roman"/>
                <w:b/>
                <w:color w:val="000000"/>
                <w:sz w:val="24"/>
                <w:szCs w:val="24"/>
                <w:lang w:val="hy-AM"/>
              </w:rPr>
              <w:t>1</w:t>
            </w:r>
            <w:r>
              <w:rPr>
                <w:rFonts w:eastAsia="Times New Roman" w:cs="GHEA Grapalat"/>
                <w:b/>
                <w:color w:val="000000"/>
                <w:sz w:val="24"/>
                <w:szCs w:val="24"/>
                <w:lang w:val="hy-AM"/>
              </w:rPr>
              <w:t>֊րդ</w:t>
            </w:r>
            <w:r>
              <w:rPr>
                <w:rFonts w:eastAsia="Times New Roman" w:cs="Times New Roman"/>
                <w:b/>
                <w:color w:val="000000"/>
                <w:sz w:val="24"/>
                <w:szCs w:val="24"/>
                <w:lang w:val="hy-AM"/>
              </w:rPr>
              <w:t xml:space="preserve"> կետի «ա» ենթակետում «ծառայության ստաժ» բառերը փոխարինել «մասնագիտական ստաժ» բառերով</w:t>
            </w:r>
            <w:r>
              <w:rPr>
                <w:rFonts w:eastAsia="Times New Roman" w:cs="Times New Roman"/>
                <w:color w:val="000000"/>
                <w:sz w:val="24"/>
                <w:szCs w:val="24"/>
                <w:lang w:val="hy-AM"/>
              </w:rPr>
              <w:t>, քանի որ ամբողջ նախագծում օգտագործում ենք «մասնագիտական ստաժ» եզրույթը։ Ավելին, օրենքի 5-րդ հոդվածի 10-րդ կետով Կառավարությանը լիազորված է սահմանելու մասնագիտական ստաժը (մասնագիտական ստաժում հաշվառվող ժամանակահատվածները) հաշվարկելու կարգը։ Սա նշանակում է, որ Օրենքն ընդունվելու դեպքում ՀՀ կառավարության 2014 թվականի օգոստոսի 28-ի N 895 որոշմամբ կմասնավորեցվի ԱՀԾ մասով մասնագիտական ստաժում ներառվող ժամանակահատվածները։ Հակառակ դեպքում այս օրենքով Կառավարությանը պիտի լիազորել սահմանելու նաև ծառայության ստաժը (ծառայության ստաժում հաշվառվող ժամանակահատվածները) հաշվարկելու կարգը։ Ընդ որում, ծառայությունների առանձնահատկություններից ելնելով, հարկ կլինի սահմանել, որ, օրինակ, մասնագիտական ստաժում ներառվում են ԱՀԾ ծառայողի ծառայության ստաժը և հակառակը՝ ծառայության ստաժում հաշվառվում են մասնագիտական ստաժի (օրինակ՝ քննիչի, պարտադիր ժամկետային զինվորական ծառայության և այլն) ժամանակահատվածները։</w:t>
            </w:r>
          </w:p>
          <w:p>
            <w:pPr>
              <w:pStyle w:val="ListParagraph"/>
              <w:spacing w:lineRule="auto" w:line="276" w:before="0" w:after="280"/>
              <w:ind w:firstLine="810" w:left="0"/>
              <w:contextualSpacing/>
              <w:jc w:val="both"/>
              <w:rPr>
                <w:sz w:val="24"/>
                <w:szCs w:val="24"/>
              </w:rPr>
            </w:pPr>
            <w:r>
              <w:rPr>
                <w:rFonts w:eastAsia="Times New Roman" w:cs="Times New Roman"/>
                <w:color w:val="000000"/>
                <w:sz w:val="24"/>
                <w:szCs w:val="24"/>
                <w:lang w:val="hy-AM"/>
              </w:rPr>
              <w:t>Այսինքն, «ծառայության ստաժ» եզրույթն Օրենքում կիրառելու դեպքում հարկ կլինի կառավարության որոշմամբ սահմանել նույնաբովանդակ կարգավորումներ մասնագիտական ստաժի և ծառայության ստաժի համար։</w:t>
            </w:r>
          </w:p>
        </w:tc>
        <w:tc>
          <w:tcPr>
            <w:tcW w:w="5034" w:type="dxa"/>
            <w:tcBorders>
              <w:left w:val="single" w:sz="4" w:space="0" w:color="000000"/>
              <w:bottom w:val="single" w:sz="4" w:space="0" w:color="000000"/>
              <w:right w:val="single" w:sz="4" w:space="0" w:color="000000"/>
            </w:tcBorders>
          </w:tcPr>
          <w:p>
            <w:pPr>
              <w:pStyle w:val="Normal"/>
              <w:widowControl w:val="false"/>
              <w:spacing w:lineRule="auto" w:line="276" w:before="0" w:after="0"/>
              <w:jc w:val="center"/>
              <w:rPr/>
            </w:pPr>
            <w:r>
              <w:rPr>
                <w:rStyle w:val="StrongEmphasis"/>
                <w:rFonts w:eastAsia="Times New Roman" w:cs="Times New Roman"/>
                <w:b/>
                <w:bCs/>
                <w:i w:val="false"/>
                <w:iCs w:val="false"/>
                <w:color w:val="000000"/>
                <w:kern w:val="2"/>
                <w:sz w:val="24"/>
                <w:szCs w:val="24"/>
                <w:u w:val="none"/>
                <w:shd w:fill="auto" w:val="clear"/>
                <w:lang w:val="hy-AM" w:eastAsia="zh-CN" w:bidi="hi-IN"/>
              </w:rPr>
              <w:t>1․1․  Չի ընդունվել</w:t>
            </w:r>
          </w:p>
          <w:p>
            <w:pPr>
              <w:pStyle w:val="Normal"/>
              <w:widowControl w:val="false"/>
              <w:spacing w:lineRule="auto" w:line="276" w:before="0" w:after="0"/>
              <w:jc w:val="both"/>
              <w:rPr/>
            </w:pPr>
            <w:r>
              <w:rPr>
                <w:sz w:val="24"/>
                <w:szCs w:val="24"/>
              </w:rPr>
              <w:t xml:space="preserve">Օրենքի գործող կարգավորումը </w:t>
            </w:r>
            <w:r>
              <w:rPr>
                <w:rStyle w:val="StrongEmphasis"/>
                <w:rFonts w:eastAsia="Times New Roman" w:cs="Times New Roman"/>
                <w:b w:val="false"/>
                <w:bCs w:val="false"/>
                <w:i w:val="false"/>
                <w:iCs w:val="false"/>
                <w:color w:val="000000"/>
                <w:kern w:val="2"/>
                <w:sz w:val="24"/>
                <w:szCs w:val="24"/>
                <w:u w:val="none"/>
                <w:shd w:fill="auto" w:val="clear"/>
                <w:lang w:val="hy-AM" w:eastAsia="zh-CN" w:bidi="hi-IN"/>
              </w:rPr>
              <w:t xml:space="preserve">տարընկալման տեղիք է տալիս, քանի որ բաց է մնում այն հարցը, թե ինչ սկզբունքով պետք է սահմանվի կենսաթոշակ Ծառայության այն աշխատակիցների դեպքում, որոնց համար հաշվարկվող ստաժը մասնագիտական չէ։ Կարելի է ենթադրել, որ Ծառայության ծառայողների համար կենսաթոշակի հաշվարկման հիմքերից մեկը նշվել է մասնագիտական համապատասխան չափով ստաժը, այլ ոչ օրինակ ծառայության համապատասխան չափով ստաժը՝ ուղենիշ ընդունելով օրենքի 2֊րդ հոդվածի 9֊11֊րդ կետերում (Ծառայությանը նախորդող կետերում) թվարկված իրավապահ մարմինների դեպքում </w:t>
            </w:r>
            <w:r>
              <w:rPr>
                <w:rStyle w:val="StrongEmphasis"/>
                <w:rFonts w:eastAsia="Times New Roman" w:cs="Times New Roman"/>
                <w:b w:val="false"/>
                <w:bCs w:val="false"/>
                <w:i/>
                <w:iCs/>
                <w:color w:val="000000"/>
                <w:kern w:val="2"/>
                <w:sz w:val="24"/>
                <w:szCs w:val="24"/>
                <w:u w:val="none"/>
                <w:shd w:fill="auto" w:val="clear"/>
                <w:lang w:val="hy-AM" w:eastAsia="zh-CN" w:bidi="hi-IN"/>
              </w:rPr>
              <w:t>մասնագիտական ստաժի հիման</w:t>
            </w:r>
            <w:r>
              <w:rPr>
                <w:rStyle w:val="StrongEmphasis"/>
                <w:rFonts w:eastAsia="Times New Roman" w:cs="Times New Roman"/>
                <w:b w:val="false"/>
                <w:bCs w:val="false"/>
                <w:i w:val="false"/>
                <w:iCs w:val="false"/>
                <w:color w:val="000000"/>
                <w:kern w:val="2"/>
                <w:sz w:val="24"/>
                <w:szCs w:val="24"/>
                <w:u w:val="none"/>
                <w:shd w:fill="auto" w:val="clear"/>
                <w:lang w:val="hy-AM" w:eastAsia="zh-CN" w:bidi="hi-IN"/>
              </w:rPr>
              <w:t xml:space="preserve"> </w:t>
            </w:r>
            <w:r>
              <w:rPr>
                <w:rStyle w:val="StrongEmphasis"/>
                <w:rFonts w:eastAsia="Times New Roman" w:cs="Times New Roman"/>
                <w:b w:val="false"/>
                <w:bCs w:val="false"/>
                <w:i/>
                <w:iCs/>
                <w:color w:val="000000"/>
                <w:kern w:val="2"/>
                <w:sz w:val="24"/>
                <w:szCs w:val="24"/>
                <w:u w:val="none"/>
                <w:shd w:fill="auto" w:val="clear"/>
                <w:lang w:val="hy-AM" w:eastAsia="zh-CN" w:bidi="hi-IN"/>
              </w:rPr>
              <w:t xml:space="preserve">վրա </w:t>
            </w:r>
            <w:r>
              <w:rPr>
                <w:rStyle w:val="StrongEmphasis"/>
                <w:rFonts w:eastAsia="Times New Roman" w:cs="Times New Roman"/>
                <w:b w:val="false"/>
                <w:bCs w:val="false"/>
                <w:i w:val="false"/>
                <w:iCs w:val="false"/>
                <w:color w:val="000000"/>
                <w:kern w:val="2"/>
                <w:sz w:val="24"/>
                <w:szCs w:val="24"/>
                <w:u w:val="none"/>
                <w:shd w:fill="auto" w:val="clear"/>
                <w:lang w:val="hy-AM" w:eastAsia="zh-CN" w:bidi="hi-IN"/>
              </w:rPr>
              <w:t xml:space="preserve">կենսաթոշակ հաշվարկելու մոտեցումը։ Վերջիններիս դեպքում կարգավորումն արդարացված է, քանի որ Դատախազությունում, հակակոռուպցիոն և քննչական կոմիտեներում ծառայության անցնելու համար ոլորտային օրենքների համաձայն որոշակի մասնագիտական կրթության առկայությունը նույնիսկ համարվում է պարտադիր պահանջ, իսկ Ծառայությունում ծառայության անցնելու համար որևէ կոնկրետ մասնագիտական կրթության պահանջ օրենքով նախատեսված չէ, բացի այդ Օրենքի 17֊րդ հոդվածի 3֊րդ մասով նախատեսվում է, որ Ծառայությունում ծառայության կարող են անցնել նաև այլ պետական մարմինների ծառայողներ։ Ըստ էության </w:t>
            </w:r>
            <w:r>
              <w:rPr>
                <w:rStyle w:val="StrongEmphasis"/>
                <w:rFonts w:eastAsia="Times New Roman" w:cs="Times New Roman"/>
                <w:i w:val="false"/>
                <w:iCs w:val="false"/>
                <w:color w:val="000000"/>
                <w:kern w:val="2"/>
                <w:sz w:val="24"/>
                <w:szCs w:val="24"/>
                <w:u w:val="none"/>
                <w:shd w:fill="auto" w:val="clear"/>
                <w:lang w:val="hy-AM" w:eastAsia="zh-CN" w:bidi="hi-IN"/>
              </w:rPr>
              <w:t>օրենքի</w:t>
            </w:r>
            <w:r>
              <w:rPr>
                <w:rStyle w:val="StrongEmphasis"/>
                <w:rFonts w:eastAsia="Times New Roman" w:cs="Times New Roman"/>
                <w:b w:val="false"/>
                <w:bCs w:val="false"/>
                <w:i w:val="false"/>
                <w:iCs w:val="false"/>
                <w:color w:val="000000"/>
                <w:kern w:val="2"/>
                <w:sz w:val="24"/>
                <w:szCs w:val="24"/>
                <w:u w:val="none"/>
                <w:shd w:fill="auto" w:val="clear"/>
                <w:lang w:val="hy-AM" w:eastAsia="zh-CN" w:bidi="hi-IN"/>
              </w:rPr>
              <w:t xml:space="preserve"> համապատասխան հոդվածներում կիրառված կարգավորումներից (օրինակ՝ կենսաթոշակի նշանակումը մասնագիտական ստաժի հիման վրա կամ դրա հաշվարկման մեխանիզմը) կարելի է ենթադրել, որ Ծառայությունում ծառայությունը գերազանցապես հավասարեցվել է իրավապահ մարմինների ծառայությանը և այդ տրամաբանությամբ է սահմանվել կենսաթոշակի նշանակման նշված հիմքը։ Ինչ վերաբերում է ՀՀ կառավարության 2014թ․ օգոստոսի 28֊ի N 895֊Ն որոշմամբ ԱՀԾ ծառայության ստաժի համար նույնաբովանդակ կարգավորումների սահմանմանը, ապա վերջինիս վերաբերյալ հայտնում ենք, որ «Պաշտոնատար անձանց գործունեության ապահովման, սպասարկման և սոցիալական երաշխիքների մասին» օրենքում լրացումներ և փոփոխություններ կատարելու մասին» օրենքի նախագծի 2֊րդ հոդվածի շրջանակներում, մասնավորապես՝ 5֊րդ կետով արդեն իսկ ներառվել է համապատասխան լրացում կատարելու մասին առաջարկություն, ինչի արդյունքում ՀՀ կառավարության նշված որոշմամբ ոչ միայն մասնագիտական ստաժում, այլ նաև ԱՀԾ ծառայության ստաժում հաշվարկվող ժամանակահատվածները կներառվեն։</w:t>
            </w:r>
          </w:p>
        </w:tc>
      </w:tr>
      <w:tr>
        <w:trPr>
          <w:trHeight w:val="897" w:hRule="atLeast"/>
        </w:trPr>
        <w:tc>
          <w:tcPr>
            <w:tcW w:w="9656" w:type="dxa"/>
            <w:tcBorders>
              <w:left w:val="single" w:sz="4" w:space="0" w:color="000000"/>
              <w:bottom w:val="single" w:sz="4" w:space="0" w:color="000000"/>
              <w:right w:val="single" w:sz="4" w:space="0" w:color="000000"/>
            </w:tcBorders>
          </w:tcPr>
          <w:p>
            <w:pPr>
              <w:pStyle w:val="ListParagraph"/>
              <w:numPr>
                <w:ilvl w:val="0"/>
                <w:numId w:val="0"/>
              </w:numPr>
              <w:spacing w:lineRule="auto" w:line="276" w:before="0" w:after="280"/>
              <w:ind w:hanging="0" w:left="0"/>
              <w:contextualSpacing/>
              <w:jc w:val="both"/>
              <w:rPr>
                <w:sz w:val="24"/>
                <w:szCs w:val="24"/>
              </w:rPr>
            </w:pPr>
            <w:r>
              <w:rPr>
                <w:rFonts w:eastAsia="Times New Roman" w:cs="Times New Roman"/>
                <w:b/>
                <w:color w:val="000000"/>
                <w:sz w:val="24"/>
                <w:szCs w:val="24"/>
                <w:lang w:val="hy-AM"/>
              </w:rPr>
              <w:tab/>
              <w:t>1․2․ Նախագիծ 1-ից հանել 2-րդ հոդվածը</w:t>
            </w:r>
            <w:r>
              <w:rPr>
                <w:rFonts w:eastAsia="Times New Roman" w:cs="Times New Roman"/>
                <w:color w:val="000000"/>
                <w:sz w:val="24"/>
                <w:szCs w:val="24"/>
                <w:lang w:val="hy-AM"/>
              </w:rPr>
              <w:t>, որով խմբագրվում են օրենքի 5-րդ հոդվածի՝  կենսաթոշակի չափի հաշվարկման և դրան առնչվող առանձին դրույթներ։ Նախագծի 2-րդ հոդվածով առաջարկվում է ԱՀԾ պաշտուն զբաղեցրած անձի կենսաթոշակը հաշվարկել վերջին պաշտոնից ազատվելու օրվա դրությամբ միջին աշխատավարձից (50 տոկոսից)։</w:t>
            </w:r>
          </w:p>
          <w:p>
            <w:pPr>
              <w:pStyle w:val="ListParagraph"/>
              <w:spacing w:lineRule="auto" w:line="276" w:before="0" w:after="280"/>
              <w:ind w:firstLine="720" w:left="0"/>
              <w:contextualSpacing/>
              <w:jc w:val="both"/>
              <w:rPr>
                <w:sz w:val="24"/>
                <w:szCs w:val="24"/>
              </w:rPr>
            </w:pPr>
            <w:r>
              <w:rPr>
                <w:rFonts w:eastAsia="Times New Roman" w:cs="Times New Roman"/>
                <w:color w:val="000000"/>
                <w:sz w:val="24"/>
                <w:szCs w:val="24"/>
                <w:lang w:val="hy-AM"/>
              </w:rPr>
              <w:t>Նախագիծ 1-ի այս դրույթը քննարկելիս հարկ է նկատի ունենալ, որ Օրենքի 5-րդ հոդվածով սահմանված է կենսաթոշակի չափի հաշվարկման 2 տարբեր եղանակներ՝ հիմնված բացառապես զբաղեցրած պաշտոնի համար «Պետական պաշտոններ և պետական ծառայության պաշտոններ զբաղեցնող անձանց վարձատրության մասին» օրենքով սահմանված պաշտոնային դրույքաչափի (գործակցի) ու հավելավճարի վրա։</w:t>
            </w:r>
          </w:p>
          <w:p>
            <w:pPr>
              <w:pStyle w:val="ListParagraph"/>
              <w:spacing w:lineRule="auto" w:line="276" w:before="0" w:after="280"/>
              <w:ind w:firstLine="720" w:left="0"/>
              <w:contextualSpacing/>
              <w:jc w:val="both"/>
              <w:rPr>
                <w:sz w:val="24"/>
                <w:szCs w:val="24"/>
              </w:rPr>
            </w:pPr>
            <w:r>
              <w:rPr>
                <w:rFonts w:eastAsia="Times New Roman" w:cs="Times New Roman"/>
                <w:color w:val="000000"/>
                <w:sz w:val="24"/>
                <w:szCs w:val="24"/>
                <w:lang w:val="hy-AM"/>
              </w:rPr>
              <w:t>Նախագիծ 1-ի առաջարկն ընդունելու դեպքում կդրսևորվի խտրական մոտեցում՝ նույն օրենքով կենսաթոշակի իրավունք ձեռք բերած անձանց կենսաթոշակների չափերի հաշվարկում առերևույթ և սկզբունքայնորեն տարբեր մոտեցումներ կիրառելու առումով։</w:t>
            </w:r>
          </w:p>
          <w:p>
            <w:pPr>
              <w:pStyle w:val="ListParagraph"/>
              <w:spacing w:lineRule="auto" w:line="276" w:before="0" w:after="280"/>
              <w:ind w:firstLine="720" w:left="0"/>
              <w:contextualSpacing/>
              <w:jc w:val="both"/>
              <w:rPr>
                <w:sz w:val="24"/>
                <w:szCs w:val="24"/>
              </w:rPr>
            </w:pPr>
            <w:r>
              <w:rPr>
                <w:rFonts w:eastAsia="Times New Roman" w:cs="Times New Roman"/>
                <w:color w:val="000000"/>
                <w:sz w:val="24"/>
                <w:szCs w:val="24"/>
                <w:lang w:val="hy-AM"/>
              </w:rPr>
              <w:t>Ընդ որում, «Պետական պաշտոններ և պետական ծառայության պաշտոններ զբաղեցնող անձանց վարձատրության» մասին օրենքով արդեն իսկ սահմանված են ԱՀԾ ծառայողների գործակիցները։</w:t>
            </w:r>
          </w:p>
          <w:p>
            <w:pPr>
              <w:pStyle w:val="ListParagraph"/>
              <w:spacing w:lineRule="auto" w:line="276" w:before="0" w:after="280"/>
              <w:ind w:firstLine="720" w:left="0"/>
              <w:contextualSpacing/>
              <w:jc w:val="both"/>
              <w:rPr>
                <w:sz w:val="24"/>
                <w:szCs w:val="24"/>
              </w:rPr>
            </w:pPr>
            <w:r>
              <w:rPr>
                <w:rFonts w:eastAsia="Times New Roman" w:cs="Times New Roman"/>
                <w:color w:val="000000"/>
                <w:sz w:val="24"/>
                <w:szCs w:val="24"/>
              </w:rPr>
              <w:t>Բաց դրանից, ակնհայտ է, որ օրենքի 5-րդ հոդվածի 1-ին, 3-րդ, 4-րդ մասերով սահմանված կարգով (բանաձևերով) հաշվարկված կենսաթոշակի չափն էականորեն պակաս կլինի միջին աշխատավարձից հաշվարկված չափից։</w:t>
            </w:r>
          </w:p>
        </w:tc>
        <w:tc>
          <w:tcPr>
            <w:tcW w:w="5034" w:type="dxa"/>
            <w:tcBorders>
              <w:left w:val="single" w:sz="4" w:space="0" w:color="000000"/>
              <w:bottom w:val="single" w:sz="4" w:space="0" w:color="000000"/>
              <w:right w:val="single" w:sz="4" w:space="0" w:color="000000"/>
            </w:tcBorders>
          </w:tcPr>
          <w:p>
            <w:pPr>
              <w:pStyle w:val="Normal"/>
              <w:widowControl w:val="false"/>
              <w:spacing w:lineRule="auto" w:line="276" w:before="0" w:after="0"/>
              <w:jc w:val="center"/>
              <w:rPr/>
            </w:pPr>
            <w:r>
              <w:rPr>
                <w:rStyle w:val="StrongEmphasis"/>
                <w:rFonts w:eastAsia="Times New Roman" w:cs="Times New Roman"/>
                <w:b/>
                <w:bCs/>
                <w:i w:val="false"/>
                <w:iCs w:val="false"/>
                <w:color w:val="000000"/>
                <w:kern w:val="2"/>
                <w:sz w:val="24"/>
                <w:szCs w:val="24"/>
                <w:u w:val="none"/>
                <w:shd w:fill="auto" w:val="clear"/>
                <w:lang w:val="hy-AM" w:eastAsia="zh-CN" w:bidi="hi-IN"/>
              </w:rPr>
              <w:t>1․2․ Ընդունվել և նախագծում կատարվել է համապատասխան փոփոխություն</w:t>
            </w:r>
          </w:p>
        </w:tc>
      </w:tr>
      <w:tr>
        <w:trPr>
          <w:trHeight w:val="3615" w:hRule="atLeast"/>
        </w:trPr>
        <w:tc>
          <w:tcPr>
            <w:tcW w:w="9656" w:type="dxa"/>
            <w:tcBorders>
              <w:left w:val="single" w:sz="4" w:space="0" w:color="000000"/>
              <w:bottom w:val="single" w:sz="4" w:space="0" w:color="000000"/>
              <w:right w:val="single" w:sz="4" w:space="0" w:color="000000"/>
            </w:tcBorders>
          </w:tcPr>
          <w:p>
            <w:pPr>
              <w:pStyle w:val="ListParagraph"/>
              <w:numPr>
                <w:ilvl w:val="1"/>
                <w:numId w:val="2"/>
              </w:numPr>
              <w:spacing w:lineRule="auto" w:line="276" w:before="0" w:after="280"/>
              <w:ind w:firstLine="720" w:left="0"/>
              <w:contextualSpacing/>
              <w:jc w:val="both"/>
              <w:rPr>
                <w:sz w:val="24"/>
                <w:szCs w:val="24"/>
              </w:rPr>
            </w:pPr>
            <w:r>
              <w:rPr>
                <w:rFonts w:eastAsia="Times New Roman" w:cs="Times New Roman"/>
                <w:b/>
                <w:color w:val="000000"/>
                <w:sz w:val="24"/>
                <w:szCs w:val="24"/>
                <w:lang w:val="hy-AM"/>
              </w:rPr>
              <w:t>Նախագիծ 1-ից հանել 4-րդ հոդվածի 2-րդ մասը,</w:t>
            </w:r>
            <w:r>
              <w:rPr>
                <w:rFonts w:eastAsia="Times New Roman" w:cs="Times New Roman"/>
                <w:color w:val="000000"/>
                <w:sz w:val="24"/>
                <w:szCs w:val="24"/>
                <w:lang w:val="hy-AM"/>
              </w:rPr>
              <w:t xml:space="preserve"> հաշվի առնելով, որ օրենքով կարգավորվում են ոչ թե աշխատանքային,  այլ կենսաթոշակային հարաբերություններ, հետևաբար «Նորմատիվ իրավական ակտերի մասին» օրենքի 28-րդ հոդվածի 1-ին մասի համաձայն՝ օրենքի գործողությունը տարածվում է դրա ուժի մեջ մտնելուց հետո գործող հարաբերությունների (կենսաթոշակային հարաբերությունների) վրա։ Այսինքն, Օրենքի կիրարկման տեսանկյունից էականը ոչ թե ծառայության կամ աշխատանքային գործունեության ժամանակահատվածն է, այլ կենսաթոշակի իրավունքը ծագելու պահը։ Նույն սկզբունքով «Պետական կեսնաթոշակների մասին» օրենքով իրենց կենսաթոշակի իրավունքն են իրացնում դեռևս ԽՍՀՄ ժամանակահատվածում կամ մինչև 2010 թվականը ՀՀ-ում աշխատանքային գործունեություն իրականացրած կամ զինվորական ծառայություն անցած անձինք, ովքեր նախորդող ժամանակահատվածի աշխատանքային կամ զինվորական ծառայության ստաժով ներայումս ձեռք են բերում աշխատանքային կամ զինվորական կենսաթոշակի իրավունք։</w:t>
            </w:r>
          </w:p>
          <w:p>
            <w:pPr>
              <w:pStyle w:val="ListParagraph"/>
              <w:numPr>
                <w:ilvl w:val="1"/>
                <w:numId w:val="2"/>
              </w:numPr>
              <w:spacing w:lineRule="auto" w:line="276" w:before="0" w:after="280"/>
              <w:ind w:firstLine="720" w:left="0"/>
              <w:contextualSpacing/>
              <w:jc w:val="both"/>
              <w:rPr>
                <w:sz w:val="24"/>
                <w:szCs w:val="24"/>
              </w:rPr>
            </w:pPr>
            <w:r>
              <w:rPr>
                <w:rFonts w:eastAsia="Times New Roman" w:cs="Times New Roman"/>
                <w:color w:val="000000"/>
                <w:sz w:val="24"/>
                <w:szCs w:val="24"/>
                <w:lang w:val="hy-AM"/>
              </w:rPr>
              <w:t>Սույն առաջարկը վերաբերելի է նաև «Պետական կենսաթոշակների մասին» օրենքում լրացում կատարելու մասին» օրենքի նախագծի 2-րդ հոդվածի 2-րդ մասին։</w:t>
            </w:r>
          </w:p>
        </w:tc>
        <w:tc>
          <w:tcPr>
            <w:tcW w:w="5034" w:type="dxa"/>
            <w:tcBorders>
              <w:left w:val="single" w:sz="4" w:space="0" w:color="000000"/>
              <w:bottom w:val="single" w:sz="4" w:space="0" w:color="000000"/>
              <w:right w:val="single" w:sz="4" w:space="0" w:color="000000"/>
            </w:tcBorders>
          </w:tcPr>
          <w:p>
            <w:pPr>
              <w:pStyle w:val="Normal"/>
              <w:spacing w:lineRule="auto" w:line="276"/>
              <w:jc w:val="center"/>
              <w:rPr/>
            </w:pPr>
            <w:r>
              <w:rPr>
                <w:rStyle w:val="StrongEmphasis"/>
                <w:rFonts w:eastAsia="Times New Roman" w:cs="Times New Roman"/>
                <w:b/>
                <w:bCs/>
                <w:i w:val="false"/>
                <w:iCs w:val="false"/>
                <w:color w:val="000000"/>
                <w:kern w:val="2"/>
                <w:sz w:val="24"/>
                <w:szCs w:val="24"/>
                <w:u w:val="none"/>
                <w:shd w:fill="auto" w:val="clear"/>
                <w:lang w:eastAsia="zh-CN" w:bidi="hi-IN"/>
              </w:rPr>
              <w:t>1․3․ Ընդունվել և նախագծում կատարվել է համապատասխան փոփոխություն</w:t>
            </w:r>
          </w:p>
          <w:p>
            <w:pPr>
              <w:pStyle w:val="Normal"/>
              <w:spacing w:lineRule="auto" w:line="276"/>
              <w:jc w:val="center"/>
              <w:rPr>
                <w:rFonts w:ascii="GHEA Grapalat" w:hAnsi="GHEA Grapalat" w:eastAsia="Times New Roman" w:cs="Times New Roman"/>
                <w:b/>
                <w:bCs/>
                <w:i w:val="false"/>
                <w:i w:val="false"/>
                <w:iCs w:val="false"/>
                <w:color w:val="000000"/>
                <w:kern w:val="2"/>
                <w:sz w:val="24"/>
                <w:szCs w:val="24"/>
                <w:u w:val="none"/>
                <w:shd w:fill="auto" w:val="clear"/>
                <w:lang w:eastAsia="zh-CN" w:bidi="hi-IN"/>
              </w:rPr>
            </w:pPr>
            <w:r>
              <w:rPr>
                <w:rFonts w:eastAsia="Times New Roman" w:cs="Times New Roman"/>
                <w:b/>
                <w:bCs/>
                <w:i w:val="false"/>
                <w:iCs w:val="false"/>
                <w:color w:val="000000"/>
                <w:kern w:val="2"/>
                <w:sz w:val="24"/>
                <w:szCs w:val="24"/>
                <w:u w:val="none"/>
                <w:shd w:fill="auto" w:val="clear"/>
                <w:lang w:eastAsia="zh-CN" w:bidi="hi-IN"/>
              </w:rPr>
            </w:r>
          </w:p>
        </w:tc>
      </w:tr>
      <w:tr>
        <w:trPr>
          <w:trHeight w:val="3174" w:hRule="atLeast"/>
        </w:trPr>
        <w:tc>
          <w:tcPr>
            <w:tcW w:w="9656" w:type="dxa"/>
            <w:tcBorders>
              <w:left w:val="single" w:sz="4" w:space="0" w:color="000000"/>
              <w:bottom w:val="single" w:sz="4" w:space="0" w:color="000000"/>
              <w:right w:val="single" w:sz="4" w:space="0" w:color="000000"/>
            </w:tcBorders>
          </w:tcPr>
          <w:p>
            <w:pPr>
              <w:pStyle w:val="ListParagraph"/>
              <w:numPr>
                <w:ilvl w:val="0"/>
                <w:numId w:val="2"/>
              </w:numPr>
              <w:spacing w:lineRule="auto" w:line="276" w:before="0" w:after="280"/>
              <w:contextualSpacing/>
              <w:jc w:val="both"/>
              <w:rPr>
                <w:sz w:val="24"/>
                <w:szCs w:val="24"/>
              </w:rPr>
            </w:pPr>
            <w:r>
              <w:rPr>
                <w:rFonts w:eastAsia="Times New Roman" w:cs="Times New Roman"/>
                <w:b/>
                <w:color w:val="000000"/>
                <w:sz w:val="24"/>
                <w:szCs w:val="24"/>
                <w:lang w:val="hy-AM"/>
              </w:rPr>
              <w:t>«Արտաքին հետախուզական գործունեության և արտաքին հետախուզության ծառայության մասին» օրենքում փոփոխություններ և լրացումներ կատարելու մասին» օրենքի նախագծի վերաբերյալ (Նախագիծ 2)</w:t>
            </w:r>
          </w:p>
          <w:p>
            <w:pPr>
              <w:pStyle w:val="ListParagraph"/>
              <w:numPr>
                <w:ilvl w:val="1"/>
                <w:numId w:val="2"/>
              </w:numPr>
              <w:spacing w:lineRule="auto" w:line="276" w:before="0" w:after="280"/>
              <w:ind w:firstLine="720" w:left="0"/>
              <w:contextualSpacing/>
              <w:jc w:val="both"/>
              <w:rPr>
                <w:sz w:val="24"/>
                <w:szCs w:val="24"/>
              </w:rPr>
            </w:pPr>
            <w:r>
              <w:rPr>
                <w:sz w:val="24"/>
                <w:szCs w:val="24"/>
                <w:lang w:val="hy-AM"/>
              </w:rPr>
              <w:t xml:space="preserve">ԱՀԾ հետ համագործակցող և քաղաքացիական աշխատանք ու տեխնիկական սպասարկում իրականացնող </w:t>
            </w:r>
            <w:r>
              <w:rPr>
                <w:rFonts w:eastAsia="Times New Roman" w:cs="Times New Roman"/>
                <w:color w:val="000000"/>
                <w:sz w:val="24"/>
                <w:szCs w:val="24"/>
                <w:lang w:val="hy-AM"/>
              </w:rPr>
              <w:t>անձանց կենսաթոշակի իրավունքն իրացնել միայն «Պետական կենսաթոշակների մասին» օրենքով։ Այս տեսանկյունից Նախագիծ 2-ի 8-րդ հոդվածով օրենքի 16-րդ հոդվածի 5-րդ մասում կատարվող լրացմամբ ստացվում է, որ՝</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 xml:space="preserve">«5. Ծառայության հաստիքները կարող են համալրվել նաև պայմանագրային հիմունքներով քաղաքացիական աշխատանք կատարող և տեխնիկական սպասարկում իրականացնող անձանց կողմից, </w:t>
            </w:r>
            <w:r>
              <w:rPr>
                <w:rFonts w:eastAsia="Times New Roman" w:cs="Times New Roman"/>
                <w:b/>
                <w:color w:val="000000"/>
                <w:sz w:val="24"/>
                <w:szCs w:val="24"/>
                <w:lang w:val="hy-AM"/>
              </w:rPr>
              <w:t>որոնք ծառայողներ չեն</w:t>
            </w:r>
            <w:r>
              <w:rPr>
                <w:rFonts w:eastAsia="Times New Roman" w:cs="Times New Roman"/>
                <w:color w:val="000000"/>
                <w:sz w:val="24"/>
                <w:szCs w:val="24"/>
                <w:lang w:val="hy-AM"/>
              </w:rPr>
              <w:t>, և նրանց աշխատանքային հարաբերությունները կարգավորվում են Հայաստանի Հանրապետության աշխատանքային օրենսդրությամբ, ինչպես նաև նրանց վրա տարածվում են Ծառայության ծառայողների համար սահմանված իրավունքները, պարտականությունները և սոցիալական երաշխիքները, իսկ Ծառայությունում  իրականացված աշխատանքը Ծառայության ծառայողի ստաժ է համարվում միայն օրենքով սահմանված կարգով կենսաթոշակ հաշվարկելու դեպքում։»։</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Ստացվում է՝ եթե Ծառայության հաստիքը զբաղեցնի, օրինակ, ծառայության ծառայող չհանդիսացող տեխնիկական սպասարկում իրականացնող անձ, ապա նրա վրա տարածվում է Ծառայության ծառայողների համար սահմանված սոցիալական երաշխիքները, մասնավորապես՝ «Պաշտոնատար անձանց գործունեության ապահովման, սպասարկման և սոցիալական երաշխիքների մասին» օրենքով սահմանված կենսաթոշակի իրավունքը։</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Ընդ որում, կենսաթոշակային օրենսդրության մեջ, նույնիսկ փաթեթով առաջարկվող բոլոր փոփոխություններն ընդունելու դեպքում, որևէ կերպ հասկանալի,  կիրառելի, իրականացվելի չէ «Ծառայությունում իրականացված աշխատանքը Ծառայության ծառայողի ստաժ է համարվում միայն օրենքով սահմանված կարգով կենսաթոշակ հաշվարկելու դեպքում» կարգավորումը։</w:t>
            </w:r>
          </w:p>
          <w:p>
            <w:pPr>
              <w:pStyle w:val="ListParagraph"/>
              <w:spacing w:lineRule="auto" w:line="276" w:before="0" w:after="280"/>
              <w:ind w:firstLine="630" w:left="0"/>
              <w:contextualSpacing/>
              <w:jc w:val="both"/>
              <w:rPr>
                <w:sz w:val="24"/>
                <w:szCs w:val="24"/>
              </w:rPr>
            </w:pPr>
            <w:r>
              <w:rPr>
                <w:rFonts w:eastAsia="Times New Roman" w:cs="Times New Roman"/>
                <w:b/>
                <w:color w:val="000000"/>
                <w:sz w:val="24"/>
                <w:szCs w:val="24"/>
                <w:lang w:val="hy-AM"/>
              </w:rPr>
              <w:t>Առաջարկվում է օրենքի 16-րդ հոդվածի 5-րդ մասը շարադրել հետևյալ կերպ․</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«5. Ծառայության պաշտոնները աշխատանքային պայմանագրով համալրած անձինք ծառայողներ չեն, և նրանց աշխատանքային հարաբերությունները կարգավորվում են Հայաստանի Հանրապետության աշխատանքային օրենսդրությամբ։ Նրանց վրա տարածվում են Ծառայության ծառայողների համար սահմանված իրավունքները, պարտականությունները, սոցիալական երաշխիքները։»։</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Այս դեպքում օրենքի ընդունումից հետո ՀՀ կառավարության 2014 թվականի օգոստոսի 28-ի N 895 որոշմամբ կմասնավորեցվի, որ ԱՀԾ մասով մասնագիտական ստաժում ներառվում է աշխատանքային պայմանագրով Ծառայության պաշտոն զբաղեցնելու ժամանակահատվածը։</w:t>
            </w:r>
          </w:p>
          <w:p>
            <w:pPr>
              <w:pStyle w:val="ListParagraph"/>
              <w:spacing w:lineRule="auto" w:line="276" w:before="0" w:after="280"/>
              <w:ind w:firstLine="630" w:left="0"/>
              <w:contextualSpacing/>
              <w:jc w:val="both"/>
              <w:rPr>
                <w:sz w:val="24"/>
                <w:szCs w:val="24"/>
              </w:rPr>
            </w:pPr>
            <w:r>
              <w:rPr>
                <w:rFonts w:eastAsia="Times New Roman" w:cs="Times New Roman"/>
                <w:b/>
                <w:color w:val="000000"/>
                <w:sz w:val="24"/>
                <w:szCs w:val="24"/>
                <w:lang w:val="hy-AM"/>
              </w:rPr>
              <w:t>կամ</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«5. Ծառայության հաստիքները կարող են համալրվել նաև պայմանագրային հիմունքներով քաղաքացիական աշխատանք կատարող և տեխնիկական սպասարկում իրականացնող անձանց կողմից, որոնք ծառայողներ չեն, և նրանց աշխատանքային հարաբերությունները կարգավորվում են Հայաստանի Հանրապետության աշխատանքային օրենսդրությամբ, ինչպես նաև նրանց վրա տարածվում են Ծառայության ծառայողների համար սահմանված իրավունքները, պարտականությունները և սոցիալական երաշխիքները, բացառությամբ կենսաթոշակային ապահովության։»։</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Այս դեպքում հաշվի է առնվել, որ քաղաքացիական աշխատանք կատարող և տեխնիկական սպասարկում իրականացնող անձինք իրենց կենսաթոշակի իրավունքն իրացնում են «Պետական կենսաթոշակների մասին» օրենքով (ունեն արտոնյալ պայմաններով կենսաթոշակի իրավունք)։</w:t>
            </w:r>
          </w:p>
          <w:p>
            <w:pPr>
              <w:pStyle w:val="ListParagraph"/>
              <w:numPr>
                <w:ilvl w:val="0"/>
                <w:numId w:val="0"/>
              </w:numPr>
              <w:spacing w:lineRule="auto" w:line="276" w:before="0" w:after="280"/>
              <w:ind w:hanging="0" w:left="0"/>
              <w:contextualSpacing/>
              <w:jc w:val="both"/>
              <w:rPr>
                <w:rFonts w:ascii="GHEA Grapalat" w:hAnsi="GHEA Grapalat" w:eastAsia="Times New Roman" w:cs="Times New Roman"/>
                <w:color w:val="000000"/>
                <w:sz w:val="24"/>
                <w:szCs w:val="24"/>
                <w:lang w:val="hy-AM"/>
              </w:rPr>
            </w:pPr>
            <w:r>
              <w:rPr>
                <w:rFonts w:eastAsia="Times New Roman" w:cs="Times New Roman"/>
                <w:color w:val="000000"/>
                <w:sz w:val="24"/>
                <w:szCs w:val="24"/>
                <w:lang w:val="hy-AM"/>
              </w:rPr>
            </w:r>
            <w:bookmarkStart w:id="2" w:name="_GoBack_Copy_1"/>
            <w:bookmarkStart w:id="3" w:name="_GoBack_Copy_1"/>
            <w:bookmarkEnd w:id="3"/>
          </w:p>
        </w:tc>
        <w:tc>
          <w:tcPr>
            <w:tcW w:w="5034" w:type="dxa"/>
            <w:tcBorders>
              <w:left w:val="single" w:sz="4" w:space="0" w:color="000000"/>
              <w:bottom w:val="single" w:sz="4" w:space="0" w:color="000000"/>
              <w:right w:val="single" w:sz="4" w:space="0" w:color="000000"/>
            </w:tcBorders>
          </w:tcPr>
          <w:p>
            <w:pPr>
              <w:pStyle w:val="Normal"/>
              <w:spacing w:lineRule="auto" w:line="276"/>
              <w:jc w:val="center"/>
              <w:rPr/>
            </w:pPr>
            <w:r>
              <w:rPr>
                <w:rStyle w:val="StrongEmphasis"/>
                <w:rFonts w:eastAsia="Times New Roman" w:cs="Times New Roman"/>
                <w:b/>
                <w:bCs/>
                <w:i w:val="false"/>
                <w:iCs w:val="false"/>
                <w:color w:val="000000"/>
                <w:kern w:val="2"/>
                <w:sz w:val="24"/>
                <w:szCs w:val="24"/>
                <w:u w:val="none"/>
                <w:shd w:fill="auto" w:val="clear"/>
                <w:lang w:eastAsia="zh-CN" w:bidi="hi-IN"/>
              </w:rPr>
              <w:t>2․ Ընդունվել և նախագծում կատարվել է համապատասխան փոփոխություն</w:t>
            </w:r>
          </w:p>
        </w:tc>
      </w:tr>
      <w:tr>
        <w:trPr>
          <w:trHeight w:val="897" w:hRule="atLeast"/>
        </w:trPr>
        <w:tc>
          <w:tcPr>
            <w:tcW w:w="9656" w:type="dxa"/>
            <w:tcBorders>
              <w:left w:val="single" w:sz="4" w:space="0" w:color="000000"/>
              <w:bottom w:val="single" w:sz="4" w:space="0" w:color="000000"/>
              <w:right w:val="single" w:sz="4" w:space="0" w:color="000000"/>
            </w:tcBorders>
          </w:tcPr>
          <w:p>
            <w:pPr>
              <w:pStyle w:val="ListParagraph"/>
              <w:widowControl/>
              <w:numPr>
                <w:ilvl w:val="1"/>
                <w:numId w:val="2"/>
              </w:numPr>
              <w:bidi w:val="0"/>
              <w:spacing w:lineRule="auto" w:line="276" w:before="0" w:after="280"/>
              <w:ind w:firstLine="630" w:left="0"/>
              <w:contextualSpacing/>
              <w:jc w:val="both"/>
              <w:rPr>
                <w:sz w:val="24"/>
                <w:szCs w:val="24"/>
              </w:rPr>
            </w:pPr>
            <w:r>
              <w:rPr>
                <w:rFonts w:eastAsia="Times New Roman"/>
                <w:color w:val="000000"/>
                <w:kern w:val="2"/>
                <w:sz w:val="24"/>
                <w:szCs w:val="24"/>
                <w:lang w:eastAsia="zh-CN" w:bidi="hi-IN"/>
              </w:rPr>
              <w:t>Նախագիծ 2-ի 25-րդ հոդվածով օրենքում լրացվող 41.1-ին հոդվածի 3-րդ մասն առաջարկվում է համապատասխանեցնել «Պաշտոնատար անձանց գործունեության ապահովման, սպասարկման և սոցիալական երաշխիքների մասին» օրենքի 3-րդ հոդվածի 1-ին մասին, համաձայն որի՝ Արտաքին հետախուզության ծառայության ծառայողի պաշտոն զբաղեցրած անձի կողմից իր պաշտոնեական պարտականությունները կատարելիս կամ դրանք կատարելու առնչությամբ ստացած վնասվածքի պատճառով մահանալու (զոհվելու) դեպքում նրա ընտանիքի անդամն ունի այդ օրենքով սահմանված կենսաթոշակի իրավունք։</w:t>
            </w:r>
          </w:p>
          <w:p>
            <w:pPr>
              <w:pStyle w:val="ListParagraph"/>
              <w:spacing w:lineRule="auto" w:line="276" w:before="0" w:after="280"/>
              <w:ind w:firstLine="630" w:left="0"/>
              <w:contextualSpacing/>
              <w:jc w:val="both"/>
              <w:rPr>
                <w:sz w:val="24"/>
                <w:szCs w:val="24"/>
              </w:rPr>
            </w:pPr>
            <w:r>
              <w:rPr>
                <w:rFonts w:eastAsia="Times New Roman" w:cs="Times New Roman"/>
                <w:color w:val="000000"/>
                <w:sz w:val="24"/>
                <w:szCs w:val="24"/>
                <w:lang w:val="hy-AM"/>
              </w:rPr>
              <w:t xml:space="preserve">Ըստ այդմ, </w:t>
            </w:r>
            <w:r>
              <w:rPr>
                <w:rFonts w:eastAsia="Times New Roman" w:cs="Times New Roman"/>
                <w:b/>
                <w:color w:val="000000"/>
                <w:sz w:val="24"/>
                <w:szCs w:val="24"/>
                <w:lang w:val="hy-AM"/>
              </w:rPr>
              <w:t>առաջարկվում է Նախագիծ 2-ի 25-րդ հոդվածով օրենքում լրացվող 41.1-ին հոդվածի 3-րդ մասը շարադրել հետևյալ խմբագրությամբ</w:t>
            </w:r>
            <w:r>
              <w:rPr>
                <w:rFonts w:eastAsia="Times New Roman" w:cs="Cambria Math"/>
                <w:b/>
                <w:color w:val="000000"/>
                <w:sz w:val="24"/>
                <w:szCs w:val="24"/>
                <w:lang w:val="hy-AM"/>
              </w:rPr>
              <w:t>․</w:t>
            </w:r>
          </w:p>
          <w:p>
            <w:pPr>
              <w:pStyle w:val="ListParagraph"/>
              <w:spacing w:lineRule="auto" w:line="276" w:before="0" w:after="280"/>
              <w:ind w:firstLine="630" w:left="0"/>
              <w:contextualSpacing/>
              <w:jc w:val="both"/>
              <w:rPr>
                <w:sz w:val="24"/>
                <w:szCs w:val="24"/>
              </w:rPr>
            </w:pPr>
            <w:r>
              <w:rPr>
                <w:rFonts w:cs="Times New Roman"/>
                <w:sz w:val="24"/>
                <w:szCs w:val="24"/>
                <w:lang w:val="hy-AM"/>
              </w:rPr>
              <w:t>«3. Ծառայության ծառայողների կենսաթոշակային ապահովությունը, իր պաշտոնեական պարտականությունները կատարելիս կամ դրանք կատարելու առնչությամբ ստացած վնասվածքի պատճառով մահանալու (զոհվելու) դեպքում՝ Ծառայության ծառայողի ընտանիքի անդամների սոցիալական ապահովությունն իրականացվում է «Պաշտոնատար անձանց գործունեության ապահովման, սպասարկման և սոցիալական երաշխիքների մասին» օրենքով սահմանված կարգով։»։</w:t>
            </w:r>
          </w:p>
          <w:p>
            <w:pPr>
              <w:pStyle w:val="ListParagraph"/>
              <w:spacing w:lineRule="auto" w:line="276" w:before="0" w:after="280"/>
              <w:contextualSpacing/>
              <w:jc w:val="both"/>
              <w:rPr>
                <w:rFonts w:ascii="GHEA Grapalat" w:hAnsi="GHEA Grapalat" w:eastAsia="Times New Roman" w:cs="Times New Roman"/>
                <w:color w:val="000000"/>
                <w:sz w:val="24"/>
                <w:szCs w:val="24"/>
                <w:lang w:val="hy-AM"/>
              </w:rPr>
            </w:pPr>
            <w:r>
              <w:rPr>
                <w:rFonts w:eastAsia="Times New Roman" w:cs="Times New Roman"/>
                <w:color w:val="000000"/>
                <w:sz w:val="24"/>
                <w:szCs w:val="24"/>
                <w:lang w:val="hy-AM"/>
              </w:rPr>
            </w:r>
          </w:p>
        </w:tc>
        <w:tc>
          <w:tcPr>
            <w:tcW w:w="5034" w:type="dxa"/>
            <w:tcBorders>
              <w:left w:val="single" w:sz="4" w:space="0" w:color="000000"/>
              <w:bottom w:val="single" w:sz="4" w:space="0" w:color="000000"/>
              <w:right w:val="single" w:sz="4" w:space="0" w:color="000000"/>
            </w:tcBorders>
          </w:tcPr>
          <w:p>
            <w:pPr>
              <w:pStyle w:val="Normal"/>
              <w:shd w:val="clear" w:fill="FFFFFF"/>
              <w:spacing w:lineRule="auto" w:line="276" w:before="0" w:after="0"/>
              <w:ind w:hanging="0" w:left="0" w:right="0"/>
              <w:jc w:val="center"/>
              <w:rPr/>
            </w:pPr>
            <w:r>
              <w:rPr>
                <w:rStyle w:val="StrongEmphasis"/>
                <w:rFonts w:eastAsia="Times New Roman" w:cs="Times New Roman"/>
                <w:b/>
                <w:bCs/>
                <w:i w:val="false"/>
                <w:iCs w:val="false"/>
                <w:color w:val="000000"/>
                <w:kern w:val="2"/>
                <w:sz w:val="24"/>
                <w:szCs w:val="24"/>
                <w:u w:val="none"/>
                <w:shd w:fill="auto" w:val="clear"/>
                <w:lang w:eastAsia="zh-CN" w:bidi="hi-IN"/>
              </w:rPr>
              <w:t>2․2․ Չի ընդունվել</w:t>
            </w:r>
          </w:p>
          <w:p>
            <w:pPr>
              <w:pStyle w:val="Normal"/>
              <w:spacing w:lineRule="auto" w:line="276" w:before="0" w:after="0"/>
              <w:ind w:hanging="0" w:left="0" w:right="0"/>
              <w:jc w:val="both"/>
              <w:rPr/>
            </w:pPr>
            <w:r>
              <w:rPr>
                <w:rStyle w:val="StrongEmphasis"/>
                <w:rFonts w:eastAsia="Times New Roman" w:cs="Times New Roman"/>
                <w:b w:val="false"/>
                <w:bCs w:val="false"/>
                <w:i w:val="false"/>
                <w:iCs w:val="false"/>
                <w:color w:val="000000"/>
                <w:kern w:val="2"/>
                <w:sz w:val="24"/>
                <w:szCs w:val="24"/>
                <w:u w:val="none"/>
                <w:shd w:fill="auto" w:val="clear"/>
                <w:lang w:eastAsia="zh-CN" w:bidi="hi-IN"/>
              </w:rPr>
              <w:t>41․1 հոդվածի 3֊րդ մասում արդեն իսկ հղում է կատարվում «Պաշտոնատար անձանց գործունեության ապահովման, սպասարկման և սոցիալական երաշխքիների մասին» օրենքին, ինչը նշանակում է, որ կենսաթոշակային ապահովությունը, ինչպես նաև ընտանիքի անդամների սոցիալական ապահովությունն իրականացվելու է նշված օրենքով սահմանված կարգով։ Ընդ որում, առաջարկի ընդունումը նպատակահարմար չէ նաև այն պատճառով, որ հետագայում «Պաշտոնատար անձանց գործունեության ապահովման, սպասարկման և սոցիալական երաշխքիների մասին» օրենքով սահմանված դեպքերը կարող են խմբագրվել, փոփոխվել կամ լրացվել, ինչը հանգեցնելու է նաև «Արտաքին հետախուզական գործունեության և արտաքին հետախուզության ծառայության մասին» օրենքի հետ հակասության կամ վերջինիս շրջանակում լրացուցիչ փոփոխություններ կատարելու անհրաժեշտության։</w:t>
            </w:r>
          </w:p>
        </w:tc>
      </w:tr>
      <w:tr>
        <w:trPr>
          <w:trHeight w:val="465" w:hRule="atLeast"/>
        </w:trPr>
        <w:tc>
          <w:tcPr>
            <w:tcW w:w="9656" w:type="dxa"/>
            <w:vMerge w:val="restart"/>
            <w:tcBorders>
              <w:left w:val="single" w:sz="4" w:space="0" w:color="000000"/>
              <w:bottom w:val="single" w:sz="4" w:space="0" w:color="000000"/>
            </w:tcBorders>
            <w:shd w:fill="DDE8CB" w:val="clear"/>
          </w:tcPr>
          <w:p>
            <w:pPr>
              <w:pStyle w:val="Normal"/>
              <w:numPr>
                <w:ilvl w:val="1"/>
                <w:numId w:val="2"/>
              </w:numPr>
              <w:spacing w:lineRule="auto" w:line="276"/>
              <w:jc w:val="center"/>
              <w:rPr>
                <w:sz w:val="24"/>
                <w:szCs w:val="24"/>
              </w:rPr>
            </w:pPr>
            <w:r>
              <w:rPr>
                <w:b/>
                <w:bCs/>
                <w:sz w:val="24"/>
                <w:szCs w:val="24"/>
              </w:rPr>
              <w:t>8․ ՀՀ վարչապետի աշխատակազմ</w:t>
            </w:r>
          </w:p>
        </w:tc>
        <w:tc>
          <w:tcPr>
            <w:tcW w:w="5034" w:type="dxa"/>
            <w:tcBorders>
              <w:left w:val="single" w:sz="4" w:space="0" w:color="000000"/>
              <w:bottom w:val="single" w:sz="4" w:space="0" w:color="000000"/>
              <w:right w:val="single" w:sz="4" w:space="0" w:color="000000"/>
            </w:tcBorders>
            <w:shd w:fill="DDE8CB" w:val="clear"/>
          </w:tcPr>
          <w:p>
            <w:pPr>
              <w:pStyle w:val="Normal"/>
              <w:spacing w:lineRule="auto" w:line="276"/>
              <w:jc w:val="center"/>
              <w:rPr>
                <w:sz w:val="24"/>
                <w:szCs w:val="24"/>
              </w:rPr>
            </w:pPr>
            <w:r>
              <w:rPr>
                <w:b/>
                <w:bCs/>
                <w:sz w:val="24"/>
                <w:szCs w:val="24"/>
              </w:rPr>
              <w:t>25․12․2025</w:t>
            </w:r>
          </w:p>
        </w:tc>
      </w:tr>
      <w:tr>
        <w:trPr>
          <w:trHeight w:val="630" w:hRule="atLeast"/>
        </w:trPr>
        <w:tc>
          <w:tcPr>
            <w:tcW w:w="9656" w:type="dxa"/>
            <w:vMerge w:val="continue"/>
            <w:tcBorders>
              <w:left w:val="single" w:sz="4" w:space="0" w:color="000000"/>
              <w:bottom w:val="single" w:sz="4" w:space="0" w:color="000000"/>
            </w:tcBorders>
            <w:shd w:fill="DDE8CB" w:val="clear"/>
          </w:tcPr>
          <w:p>
            <w:pPr>
              <w:pStyle w:val="Normal"/>
              <w:numPr>
                <w:ilvl w:val="0"/>
                <w:numId w:val="0"/>
              </w:numPr>
              <w:spacing w:lineRule="auto" w:line="276"/>
              <w:ind w:hanging="0" w:left="0"/>
              <w:jc w:val="center"/>
              <w:rPr>
                <w:rFonts w:ascii="GHEA Grapalat" w:hAnsi="GHEA Grapalat"/>
                <w:b/>
                <w:bCs/>
                <w:sz w:val="24"/>
                <w:szCs w:val="24"/>
              </w:rPr>
            </w:pPr>
            <w:r>
              <w:rPr>
                <w:b/>
                <w:bCs/>
                <w:sz w:val="24"/>
                <w:szCs w:val="24"/>
              </w:rPr>
            </w:r>
          </w:p>
        </w:tc>
        <w:tc>
          <w:tcPr>
            <w:tcW w:w="5034" w:type="dxa"/>
            <w:tcBorders>
              <w:left w:val="single" w:sz="4" w:space="0" w:color="000000"/>
              <w:bottom w:val="single" w:sz="4" w:space="0" w:color="000000"/>
              <w:right w:val="single" w:sz="4" w:space="0" w:color="000000"/>
            </w:tcBorders>
            <w:shd w:fill="DDE8CB" w:val="clear"/>
          </w:tcPr>
          <w:p>
            <w:pPr>
              <w:pStyle w:val="Normal"/>
              <w:bidi w:val="0"/>
              <w:spacing w:lineRule="auto" w:line="276" w:before="0" w:after="0"/>
              <w:jc w:val="center"/>
              <w:rPr>
                <w:sz w:val="24"/>
                <w:szCs w:val="24"/>
              </w:rPr>
            </w:pPr>
            <w:bookmarkStart w:id="4" w:name="_GoBack_Copy_1_Copy_1_Copy_1"/>
            <w:bookmarkEnd w:id="4"/>
            <w:r>
              <w:rPr>
                <w:rFonts w:eastAsia="Times New Roman" w:cs="Times New Roman"/>
                <w:b/>
                <w:bCs/>
                <w:spacing w:val="-20"/>
                <w:sz w:val="24"/>
                <w:szCs w:val="24"/>
                <w:lang w:val="hy-AM" w:eastAsia="ru-RU"/>
              </w:rPr>
              <w:t>N 02/10․19/41744֊2025</w:t>
            </w:r>
          </w:p>
        </w:tc>
      </w:tr>
      <w:tr>
        <w:trPr>
          <w:trHeight w:val="897" w:hRule="atLeast"/>
        </w:trPr>
        <w:tc>
          <w:tcPr>
            <w:tcW w:w="9656" w:type="dxa"/>
            <w:tcBorders>
              <w:left w:val="single" w:sz="4" w:space="0" w:color="000000"/>
              <w:bottom w:val="single" w:sz="4" w:space="0" w:color="000000"/>
              <w:right w:val="single" w:sz="4" w:space="0" w:color="000000"/>
            </w:tcBorders>
          </w:tcPr>
          <w:p>
            <w:pPr>
              <w:pStyle w:val="Normal"/>
              <w:numPr>
                <w:ilvl w:val="0"/>
                <w:numId w:val="2"/>
              </w:numPr>
              <w:tabs>
                <w:tab w:val="clear" w:pos="709"/>
                <w:tab w:val="left" w:pos="450" w:leader="none"/>
              </w:tabs>
              <w:spacing w:lineRule="auto" w:line="240" w:before="0" w:after="0"/>
              <w:ind w:firstLine="630" w:left="0" w:right="219"/>
              <w:jc w:val="center"/>
              <w:rPr>
                <w:sz w:val="24"/>
                <w:szCs w:val="24"/>
              </w:rPr>
            </w:pPr>
            <w:r>
              <w:rPr>
                <w:rFonts w:cs="Arial" w:cstheme="majorHAnsi"/>
                <w:b/>
                <w:sz w:val="24"/>
                <w:szCs w:val="24"/>
                <w:lang w:val="hy-AM"/>
              </w:rPr>
              <w:t>Պետաիրավական վարչություն</w:t>
            </w:r>
          </w:p>
          <w:p>
            <w:pPr>
              <w:pStyle w:val="Normal"/>
              <w:numPr>
                <w:ilvl w:val="0"/>
                <w:numId w:val="2"/>
              </w:numPr>
              <w:spacing w:lineRule="auto" w:line="240" w:before="0" w:after="0"/>
              <w:ind w:firstLine="630" w:left="0" w:right="219"/>
              <w:jc w:val="center"/>
              <w:rPr>
                <w:rFonts w:ascii="GHEA Grapalat" w:hAnsi="GHEA Grapalat" w:eastAsia="Times New Roman" w:cs="Arial" w:cstheme="majorHAnsi"/>
                <w:b/>
                <w:sz w:val="24"/>
                <w:szCs w:val="24"/>
                <w:lang w:val="hy-AM"/>
              </w:rPr>
            </w:pPr>
            <w:r>
              <w:rPr>
                <w:rFonts w:eastAsia="Times New Roman" w:cs="Arial" w:cstheme="majorHAnsi"/>
                <w:b/>
                <w:sz w:val="24"/>
                <w:szCs w:val="24"/>
                <w:lang w:val="hy-AM"/>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sz w:val="24"/>
                <w:szCs w:val="24"/>
              </w:rPr>
            </w:pPr>
            <w:r>
              <w:rPr>
                <w:rFonts w:eastAsia="Times New Roman" w:cs="Arial"/>
                <w:b/>
                <w:bCs/>
                <w:sz w:val="24"/>
                <w:szCs w:val="24"/>
                <w:lang w:val="hy-AM" w:eastAsia="ru-RU"/>
              </w:rPr>
              <w:t>1․</w:t>
            </w:r>
            <w:r>
              <w:rPr>
                <w:rFonts w:eastAsia="Times New Roman" w:cs="Arial"/>
                <w:bCs/>
                <w:sz w:val="24"/>
                <w:szCs w:val="24"/>
                <w:lang w:val="hy-AM" w:eastAsia="ru-RU"/>
              </w:rPr>
              <w:t xml:space="preserve"> Նախագծի 7-րդ հոդվածի համաձայն՝ Արտաքին</w:t>
            </w:r>
            <w:r>
              <w:rPr>
                <w:rFonts w:eastAsia="Times New Roman" w:cs="Calibri" w:ascii="Calibri" w:hAnsi="Calibri"/>
                <w:bCs/>
                <w:sz w:val="24"/>
                <w:szCs w:val="24"/>
                <w:lang w:val="hy-AM" w:eastAsia="ru-RU"/>
              </w:rPr>
              <w:t> </w:t>
            </w:r>
            <w:r>
              <w:rPr>
                <w:rFonts w:eastAsia="Times New Roman" w:cs="Arial"/>
                <w:bCs/>
                <w:sz w:val="24"/>
                <w:szCs w:val="24"/>
                <w:lang w:val="hy-AM" w:eastAsia="ru-RU"/>
              </w:rPr>
              <w:t xml:space="preserve">հետախուզության ծառայությունը </w:t>
            </w:r>
            <w:r>
              <w:rPr>
                <w:sz w:val="24"/>
                <w:szCs w:val="24"/>
                <w:lang w:val="hy-AM"/>
              </w:rPr>
              <w:t xml:space="preserve">իրավունք ունի </w:t>
            </w:r>
            <w:r>
              <w:rPr>
                <w:b/>
                <w:sz w:val="24"/>
                <w:szCs w:val="24"/>
                <w:lang w:val="hy-AM"/>
              </w:rPr>
              <w:t xml:space="preserve">ձերբակալել </w:t>
            </w:r>
            <w:r>
              <w:rPr>
                <w:sz w:val="24"/>
                <w:szCs w:val="24"/>
                <w:lang w:val="hy-AM"/>
              </w:rPr>
              <w:t>Ծառայության պահպանության ենթակա տարածքներ և օբյեկտներ ապօրինի մուտք գործած կամ մուտք գործելու փորձ կատարող կամ օրենքով սահմանված այլ դեպքերում հանցանք կատարելու մեջ կասկածվող անձանց, ստուգել նրանց ինքնությունը հավաստող փաստաթղթերը, վերցնել բացատրություններ, կատարել անձնական զննություն, ինչպես նաև այն իրերի ու առարկաների, տրանսպորտային միջոցների զննություն, որոնց միջոցով այդ տարածքները կամ օբյեկտները մուտք են գործել կամ մուտք գործելու փորձ են կատարել</w:t>
            </w:r>
            <w:r>
              <w:rPr>
                <w:rFonts w:cs="Cambria Math"/>
                <w:sz w:val="24"/>
                <w:szCs w:val="24"/>
                <w:lang w:val="hy-AM"/>
              </w:rPr>
              <w:t xml:space="preserve">: </w:t>
            </w:r>
            <w:r>
              <w:rPr>
                <w:rFonts w:cs="Arial"/>
                <w:sz w:val="24"/>
                <w:szCs w:val="24"/>
                <w:lang w:val="hy-AM"/>
              </w:rPr>
              <w:t>Մինչդեռ</w:t>
            </w:r>
            <w:r>
              <w:rPr>
                <w:rFonts w:cs="Cambria Math"/>
                <w:sz w:val="24"/>
                <w:szCs w:val="24"/>
                <w:lang w:val="hy-AM"/>
              </w:rPr>
              <w:t xml:space="preserve">, </w:t>
            </w:r>
            <w:r>
              <w:rPr>
                <w:rFonts w:eastAsia="Calibri" w:cs="Arial"/>
                <w:bCs/>
                <w:sz w:val="24"/>
                <w:szCs w:val="24"/>
                <w:shd w:fill="FFFFFF" w:val="clear"/>
                <w:lang w:val="hy-AM"/>
              </w:rPr>
              <w:t xml:space="preserve">հարկ է նկատել, որ Սահմանադրության 27-րդ հոդվածով հստակորեն կանոնակարգված են այն դեպքերի սպառիչ ցանկը, երբ անձը կարող է զրկվել անձնական ազատությունից, որը, ի թիվս այլնի, ներառում է այն դեպքը, երբ զրկումն իրականացվում է անձին իրավասու մարմին ներկայացնելու նպատակով, երբ առկա է նրա կողմից </w:t>
            </w:r>
            <w:r>
              <w:rPr>
                <w:rFonts w:eastAsia="Calibri" w:cs="Arial"/>
                <w:b/>
                <w:bCs/>
                <w:sz w:val="24"/>
                <w:szCs w:val="24"/>
                <w:shd w:fill="FFFFFF" w:val="clear"/>
                <w:lang w:val="hy-AM"/>
              </w:rPr>
              <w:t>հանցանք</w:t>
            </w:r>
            <w:r>
              <w:rPr>
                <w:rFonts w:eastAsia="Calibri" w:cs="Arial"/>
                <w:bCs/>
                <w:sz w:val="24"/>
                <w:szCs w:val="24"/>
                <w:shd w:fill="FFFFFF" w:val="clear"/>
                <w:lang w:val="hy-AM"/>
              </w:rPr>
              <w:t xml:space="preserve"> կատարած լինելու հիմնավոր կասկած, կամ երբ դա հիմնավոր կերպով անհրաժեշտ է </w:t>
            </w:r>
            <w:r>
              <w:rPr>
                <w:rFonts w:eastAsia="Calibri" w:cs="Arial"/>
                <w:b/>
                <w:bCs/>
                <w:sz w:val="24"/>
                <w:szCs w:val="24"/>
                <w:shd w:fill="FFFFFF" w:val="clear"/>
                <w:lang w:val="hy-AM"/>
              </w:rPr>
              <w:t>հանցանքի</w:t>
            </w:r>
            <w:r>
              <w:rPr>
                <w:rFonts w:eastAsia="Calibri" w:cs="Arial"/>
                <w:bCs/>
                <w:sz w:val="24"/>
                <w:szCs w:val="24"/>
                <w:shd w:fill="FFFFFF" w:val="clear"/>
                <w:lang w:val="hy-AM"/>
              </w:rPr>
              <w:t xml:space="preserve"> կատարումը կամ դա կատարելուց հետո անձի փախուստը կանխելու նպատակով: Այսինքն՝ արարքի կատարումը կանխելու համար վերջինիս անձնական ազատությունից զրկելու հնարավորությունը Սահմանադրությունը կապում է միայն հանցանքի կատարման հետ: Ընդ որում, ստացվում է, որ Ծառայությունը բոլոր այլ դեպքերում ևս հնարավորություն է ունենալու ձերբակալել </w:t>
            </w:r>
            <w:r>
              <w:rPr>
                <w:sz w:val="24"/>
                <w:szCs w:val="24"/>
                <w:lang w:val="hy-AM"/>
              </w:rPr>
              <w:t>անձանց, ստուգել նրանց ինքնությունը հավաստող փաստաթղթերը, վերցնել բացատրություններ, կատարել անձնական զննություն, որն, ըստ էության, ԱՀԾ լիազորությունների տիրույթից դուրս է:</w:t>
            </w:r>
            <w:r>
              <w:rPr>
                <w:rFonts w:eastAsia="Calibri" w:cs="Arial"/>
                <w:bCs/>
                <w:sz w:val="24"/>
                <w:szCs w:val="24"/>
                <w:shd w:fill="FFFFFF" w:val="clear"/>
                <w:lang w:val="hy-AM"/>
              </w:rPr>
              <w:t xml:space="preserve"> Հետևաբար, </w:t>
            </w:r>
            <w:r>
              <w:rPr>
                <w:rFonts w:cs="Arial"/>
                <w:sz w:val="24"/>
                <w:szCs w:val="24"/>
                <w:lang w:val="hy-AM"/>
              </w:rPr>
              <w:t>Ծառայության</w:t>
            </w:r>
            <w:r>
              <w:rPr>
                <w:rFonts w:cs="Cambria Math"/>
                <w:sz w:val="24"/>
                <w:szCs w:val="24"/>
                <w:lang w:val="hy-AM"/>
              </w:rPr>
              <w:t xml:space="preserve"> </w:t>
            </w:r>
            <w:r>
              <w:rPr>
                <w:rFonts w:cs="Arial"/>
                <w:sz w:val="24"/>
                <w:szCs w:val="24"/>
                <w:lang w:val="hy-AM"/>
              </w:rPr>
              <w:t>կողմից</w:t>
            </w:r>
            <w:r>
              <w:rPr>
                <w:rFonts w:cs="Cambria Math"/>
                <w:sz w:val="24"/>
                <w:szCs w:val="24"/>
                <w:lang w:val="hy-AM"/>
              </w:rPr>
              <w:t xml:space="preserve"> </w:t>
            </w:r>
            <w:r>
              <w:rPr>
                <w:rFonts w:cs="Arial"/>
                <w:sz w:val="24"/>
                <w:szCs w:val="24"/>
                <w:lang w:val="hy-AM"/>
              </w:rPr>
              <w:t>ձերբակալում</w:t>
            </w:r>
            <w:r>
              <w:rPr>
                <w:rFonts w:cs="Cambria Math"/>
                <w:sz w:val="24"/>
                <w:szCs w:val="24"/>
                <w:lang w:val="hy-AM"/>
              </w:rPr>
              <w:t xml:space="preserve"> </w:t>
            </w:r>
            <w:r>
              <w:rPr>
                <w:rFonts w:cs="Arial"/>
                <w:sz w:val="24"/>
                <w:szCs w:val="24"/>
                <w:lang w:val="hy-AM"/>
              </w:rPr>
              <w:t>իրականացնելը խնդրահարույց</w:t>
            </w:r>
            <w:r>
              <w:rPr>
                <w:rFonts w:cs="Cambria Math"/>
                <w:sz w:val="24"/>
                <w:szCs w:val="24"/>
                <w:lang w:val="hy-AM"/>
              </w:rPr>
              <w:t xml:space="preserve"> </w:t>
            </w:r>
            <w:r>
              <w:rPr>
                <w:rFonts w:cs="Arial"/>
                <w:sz w:val="24"/>
                <w:szCs w:val="24"/>
                <w:lang w:val="hy-AM"/>
              </w:rPr>
              <w:t>է</w:t>
            </w:r>
            <w:r>
              <w:rPr>
                <w:rFonts w:cs="Cambria Math"/>
                <w:sz w:val="24"/>
                <w:szCs w:val="24"/>
                <w:lang w:val="hy-AM"/>
              </w:rPr>
              <w:t xml:space="preserve"> </w:t>
            </w:r>
            <w:r>
              <w:rPr>
                <w:rFonts w:cs="Arial"/>
                <w:sz w:val="24"/>
                <w:szCs w:val="24"/>
                <w:lang w:val="hy-AM"/>
              </w:rPr>
              <w:t>անձնական</w:t>
            </w:r>
            <w:r>
              <w:rPr>
                <w:rFonts w:cs="Cambria Math"/>
                <w:sz w:val="24"/>
                <w:szCs w:val="24"/>
                <w:lang w:val="hy-AM"/>
              </w:rPr>
              <w:t xml:space="preserve"> </w:t>
            </w:r>
            <w:r>
              <w:rPr>
                <w:rFonts w:cs="Arial"/>
                <w:sz w:val="24"/>
                <w:szCs w:val="24"/>
                <w:lang w:val="hy-AM"/>
              </w:rPr>
              <w:t>ազատության</w:t>
            </w:r>
            <w:r>
              <w:rPr>
                <w:rFonts w:cs="Cambria Math"/>
                <w:sz w:val="24"/>
                <w:szCs w:val="24"/>
                <w:lang w:val="hy-AM"/>
              </w:rPr>
              <w:t xml:space="preserve"> սահմանադրական </w:t>
            </w:r>
            <w:r>
              <w:rPr>
                <w:rFonts w:cs="Arial"/>
                <w:sz w:val="24"/>
                <w:szCs w:val="24"/>
                <w:lang w:val="hy-AM"/>
              </w:rPr>
              <w:t>իրավունքի</w:t>
            </w:r>
            <w:r>
              <w:rPr>
                <w:rFonts w:cs="Cambria Math"/>
                <w:sz w:val="24"/>
                <w:szCs w:val="24"/>
                <w:lang w:val="hy-AM"/>
              </w:rPr>
              <w:t xml:space="preserve"> </w:t>
            </w:r>
            <w:r>
              <w:rPr>
                <w:rFonts w:cs="Arial"/>
                <w:sz w:val="24"/>
                <w:szCs w:val="24"/>
                <w:lang w:val="hy-AM"/>
              </w:rPr>
              <w:t>տեսանկյունից</w:t>
            </w:r>
            <w:r>
              <w:rPr>
                <w:rFonts w:cs="Cambria Math"/>
                <w:sz w:val="24"/>
                <w:szCs w:val="24"/>
                <w:lang w:val="hy-AM"/>
              </w:rPr>
              <w:t>:</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sz w:val="24"/>
                <w:szCs w:val="24"/>
              </w:rPr>
            </w:pPr>
            <w:r>
              <w:rPr>
                <w:sz w:val="24"/>
                <w:szCs w:val="24"/>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sz w:val="24"/>
                <w:szCs w:val="24"/>
              </w:rPr>
            </w:pPr>
            <w:r>
              <w:rPr>
                <w:rFonts w:cs="Arial" w:cstheme="majorHAnsi"/>
                <w:b/>
                <w:bCs/>
                <w:sz w:val="24"/>
                <w:szCs w:val="24"/>
                <w:lang w:val="hy-AM"/>
              </w:rPr>
              <w:t>2․</w:t>
            </w:r>
            <w:r>
              <w:rPr>
                <w:rFonts w:cs="Arial" w:cstheme="majorHAnsi"/>
                <w:sz w:val="24"/>
                <w:szCs w:val="24"/>
                <w:lang w:val="hy-AM"/>
              </w:rPr>
              <w:t xml:space="preserve"> Նախագծի 3-րդ հոդվածի համաձայն՝ Ծառայությունը ներկայացնելու է եզրակացություն իրեն ամրացված կամ օգտագործվող անշարժ գույքի (այդ թվում՝ դրանցով ծանրաբեռնված հողամասերի) հարակից տարածքներում քաղաքաշինական գործունեություն իրականացնելու վերաբերյալ։ Մինչդեռ, նախագծային հետագա դրույթներով որևէ կերպ չի բացահայտվում եզրակացության իրավական նշանակությունը:</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pPr>
            <w:r>
              <w:rPr>
                <w:rFonts w:cs="Arial"/>
                <w:b/>
                <w:bCs/>
                <w:sz w:val="24"/>
                <w:szCs w:val="24"/>
                <w:lang w:val="hy-AM"/>
              </w:rPr>
              <w:t xml:space="preserve">3․ </w:t>
            </w:r>
            <w:r>
              <w:rPr>
                <w:rFonts w:cs="Arial"/>
                <w:sz w:val="24"/>
                <w:szCs w:val="24"/>
                <w:lang w:val="hy-AM"/>
              </w:rPr>
              <w:t>Նախագծի 23-րդ հոդվածով</w:t>
            </w:r>
            <w:r>
              <w:rPr>
                <w:sz w:val="24"/>
                <w:szCs w:val="24"/>
                <w:lang w:val="hy-AM"/>
              </w:rPr>
              <w:t xml:space="preserve"> </w:t>
            </w:r>
            <w:r>
              <w:rPr>
                <w:rFonts w:cs="Arial"/>
                <w:sz w:val="24"/>
                <w:szCs w:val="24"/>
                <w:lang w:val="hy-AM"/>
              </w:rPr>
              <w:t>նախատեսվում</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 xml:space="preserve">որ </w:t>
            </w:r>
            <w:r>
              <w:rPr>
                <w:rFonts w:eastAsia="Times New Roman" w:cs="Calibri"/>
                <w:sz w:val="24"/>
                <w:szCs w:val="24"/>
                <w:shd w:fill="FFFFFF" w:val="clear"/>
                <w:lang w:val="hy-AM"/>
              </w:rPr>
              <w:t>Ծառայության ծառայողի,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Ծառայությունը ծառայողի դիմումի հիման վրա կամ Ծառայության կողմից գնահատված ռիսկերի առկայության դեպքում Ծառայությունն ապահովելու է ծառայողի և նրա ընտանիքի անդամների անվտանգությունը։</w:t>
            </w:r>
            <w:r>
              <w:rPr>
                <w:rFonts w:cs="Calibri"/>
                <w:sz w:val="24"/>
                <w:szCs w:val="24"/>
                <w:lang w:val="hy-AM"/>
              </w:rPr>
              <w:t xml:space="preserve"> Ն</w:t>
            </w:r>
            <w:r>
              <w:rPr>
                <w:rFonts w:cs="Arial"/>
                <w:sz w:val="24"/>
                <w:szCs w:val="24"/>
                <w:lang w:val="hy-AM"/>
              </w:rPr>
              <w:t>շված</w:t>
            </w:r>
            <w:r>
              <w:rPr>
                <w:rFonts w:cs="Calibri"/>
                <w:sz w:val="24"/>
                <w:szCs w:val="24"/>
                <w:lang w:val="hy-AM"/>
              </w:rPr>
              <w:t xml:space="preserve"> </w:t>
            </w:r>
            <w:r>
              <w:rPr>
                <w:rStyle w:val="Strong"/>
                <w:rFonts w:cs="Arial"/>
                <w:sz w:val="24"/>
                <w:szCs w:val="24"/>
                <w:lang w:val="hy-AM"/>
              </w:rPr>
              <w:t>անձանց</w:t>
            </w:r>
            <w:r>
              <w:rPr>
                <w:rStyle w:val="Strong"/>
                <w:rFonts w:cs="Calibri"/>
                <w:sz w:val="24"/>
                <w:szCs w:val="24"/>
                <w:lang w:val="hy-AM"/>
              </w:rPr>
              <w:t xml:space="preserve"> </w:t>
            </w:r>
            <w:r>
              <w:rPr>
                <w:rStyle w:val="Strong"/>
                <w:rFonts w:cs="Arial"/>
                <w:sz w:val="24"/>
                <w:szCs w:val="24"/>
                <w:lang w:val="hy-AM"/>
              </w:rPr>
              <w:t>պաշտպանության</w:t>
            </w:r>
            <w:r>
              <w:rPr>
                <w:rStyle w:val="Strong"/>
                <w:rFonts w:cs="Calibri"/>
                <w:sz w:val="24"/>
                <w:szCs w:val="24"/>
                <w:lang w:val="hy-AM"/>
              </w:rPr>
              <w:t xml:space="preserve"> </w:t>
            </w:r>
            <w:r>
              <w:rPr>
                <w:rStyle w:val="Strong"/>
                <w:rFonts w:cs="Arial"/>
                <w:sz w:val="24"/>
                <w:szCs w:val="24"/>
                <w:lang w:val="hy-AM"/>
              </w:rPr>
              <w:t>տրամադրման</w:t>
            </w:r>
            <w:r>
              <w:rPr>
                <w:rStyle w:val="Strong"/>
                <w:rFonts w:cs="Calibri"/>
                <w:sz w:val="24"/>
                <w:szCs w:val="24"/>
                <w:lang w:val="hy-AM"/>
              </w:rPr>
              <w:t xml:space="preserve"> </w:t>
            </w:r>
            <w:r>
              <w:rPr>
                <w:rStyle w:val="Strong"/>
                <w:rFonts w:cs="Arial"/>
                <w:sz w:val="24"/>
                <w:szCs w:val="24"/>
                <w:lang w:val="hy-AM"/>
              </w:rPr>
              <w:t>կարգը</w:t>
            </w:r>
            <w:r>
              <w:rPr>
                <w:rStyle w:val="Strong"/>
                <w:rFonts w:cs="Calibri"/>
                <w:sz w:val="24"/>
                <w:szCs w:val="24"/>
                <w:lang w:val="hy-AM"/>
              </w:rPr>
              <w:t xml:space="preserve"> </w:t>
            </w:r>
            <w:r>
              <w:rPr>
                <w:rStyle w:val="Strong"/>
                <w:rFonts w:cs="Arial"/>
                <w:sz w:val="24"/>
                <w:szCs w:val="24"/>
                <w:lang w:val="hy-AM"/>
              </w:rPr>
              <w:t>և</w:t>
            </w:r>
            <w:r>
              <w:rPr>
                <w:rStyle w:val="Strong"/>
                <w:rFonts w:cs="Calibri"/>
                <w:sz w:val="24"/>
                <w:szCs w:val="24"/>
                <w:lang w:val="hy-AM"/>
              </w:rPr>
              <w:t xml:space="preserve"> </w:t>
            </w:r>
            <w:r>
              <w:rPr>
                <w:rStyle w:val="Strong"/>
                <w:rFonts w:cs="Arial"/>
                <w:sz w:val="24"/>
                <w:szCs w:val="24"/>
                <w:lang w:val="hy-AM"/>
              </w:rPr>
              <w:t>պայմանները</w:t>
            </w:r>
            <w:r>
              <w:rPr>
                <w:rStyle w:val="Strong"/>
                <w:rFonts w:cs="Calibri"/>
                <w:sz w:val="24"/>
                <w:szCs w:val="24"/>
                <w:lang w:val="hy-AM"/>
              </w:rPr>
              <w:t xml:space="preserve"> </w:t>
            </w:r>
            <w:r>
              <w:rPr>
                <w:rStyle w:val="Strong"/>
                <w:rFonts w:cs="Arial"/>
                <w:sz w:val="24"/>
                <w:szCs w:val="24"/>
                <w:lang w:val="hy-AM"/>
              </w:rPr>
              <w:t>սահմանվելու</w:t>
            </w:r>
            <w:r>
              <w:rPr>
                <w:rStyle w:val="Strong"/>
                <w:rFonts w:cs="Calibri"/>
                <w:sz w:val="24"/>
                <w:szCs w:val="24"/>
                <w:lang w:val="hy-AM"/>
              </w:rPr>
              <w:t xml:space="preserve"> </w:t>
            </w:r>
            <w:r>
              <w:rPr>
                <w:rStyle w:val="Strong"/>
                <w:rFonts w:cs="Arial"/>
                <w:sz w:val="24"/>
                <w:szCs w:val="24"/>
                <w:lang w:val="hy-AM"/>
              </w:rPr>
              <w:t>են</w:t>
            </w:r>
            <w:r>
              <w:rPr>
                <w:rStyle w:val="Strong"/>
                <w:rFonts w:cs="Calibri"/>
                <w:sz w:val="24"/>
                <w:szCs w:val="24"/>
                <w:lang w:val="hy-AM"/>
              </w:rPr>
              <w:t xml:space="preserve"> </w:t>
            </w:r>
            <w:r>
              <w:rPr>
                <w:rStyle w:val="Strong"/>
                <w:rFonts w:cs="Arial"/>
                <w:sz w:val="24"/>
                <w:szCs w:val="24"/>
                <w:lang w:val="hy-AM"/>
              </w:rPr>
              <w:t>Ծառայության</w:t>
            </w:r>
            <w:r>
              <w:rPr>
                <w:rStyle w:val="Strong"/>
                <w:rFonts w:cs="Calibri"/>
                <w:sz w:val="24"/>
                <w:szCs w:val="24"/>
                <w:lang w:val="hy-AM"/>
              </w:rPr>
              <w:t xml:space="preserve"> </w:t>
            </w:r>
            <w:r>
              <w:rPr>
                <w:rStyle w:val="Strong"/>
                <w:rFonts w:cs="Arial"/>
                <w:sz w:val="24"/>
                <w:szCs w:val="24"/>
                <w:lang w:val="hy-AM"/>
              </w:rPr>
              <w:t>պետի</w:t>
            </w:r>
            <w:r>
              <w:rPr>
                <w:rStyle w:val="Strong"/>
                <w:rFonts w:cs="Calibri"/>
                <w:sz w:val="24"/>
                <w:szCs w:val="24"/>
                <w:lang w:val="hy-AM"/>
              </w:rPr>
              <w:t xml:space="preserve"> </w:t>
            </w:r>
            <w:r>
              <w:rPr>
                <w:rStyle w:val="Strong"/>
                <w:rFonts w:cs="Arial"/>
                <w:sz w:val="24"/>
                <w:szCs w:val="24"/>
                <w:lang w:val="hy-AM"/>
              </w:rPr>
              <w:t>հրամանով։</w:t>
            </w:r>
            <w:r>
              <w:rPr>
                <w:rStyle w:val="Strong"/>
                <w:rFonts w:cs="Calibri"/>
                <w:sz w:val="24"/>
                <w:szCs w:val="24"/>
                <w:lang w:val="hy-AM"/>
              </w:rPr>
              <w:t xml:space="preserve"> </w:t>
            </w:r>
            <w:r>
              <w:rPr>
                <w:rStyle w:val="Strong"/>
                <w:rFonts w:cs="Arial"/>
                <w:b w:val="false"/>
                <w:sz w:val="24"/>
                <w:szCs w:val="24"/>
                <w:lang w:val="hy-AM"/>
              </w:rPr>
              <w:t>Մինչդեռ</w:t>
            </w:r>
            <w:r>
              <w:rPr>
                <w:rStyle w:val="Strong"/>
                <w:rFonts w:cs="Calibri"/>
                <w:b w:val="false"/>
                <w:sz w:val="24"/>
                <w:szCs w:val="24"/>
                <w:lang w:val="hy-AM"/>
              </w:rPr>
              <w:t xml:space="preserve">, </w:t>
            </w:r>
            <w:r>
              <w:rPr>
                <w:rFonts w:cs="Arial"/>
                <w:sz w:val="24"/>
                <w:szCs w:val="24"/>
                <w:lang w:val="hy-AM" w:eastAsia="ru-RU"/>
              </w:rPr>
              <w:t xml:space="preserve">պարզ չէ՝ նախագծով առաջարկվող պաշտպանության տրամադրումն իրենից ինչ է ենթադրելու, </w:t>
            </w:r>
            <w:r>
              <w:rPr>
                <w:rStyle w:val="Strong"/>
                <w:rFonts w:cs="Arial"/>
                <w:b w:val="false"/>
                <w:sz w:val="24"/>
                <w:szCs w:val="24"/>
                <w:lang w:val="hy-AM"/>
              </w:rPr>
              <w:t>որպեսզի</w:t>
            </w:r>
            <w:r>
              <w:rPr>
                <w:rStyle w:val="Strong"/>
                <w:rFonts w:cs="Calibri"/>
                <w:b w:val="false"/>
                <w:sz w:val="24"/>
                <w:szCs w:val="24"/>
                <w:lang w:val="hy-AM"/>
              </w:rPr>
              <w:t xml:space="preserve"> </w:t>
            </w:r>
            <w:r>
              <w:rPr>
                <w:rStyle w:val="Strong"/>
                <w:rFonts w:cs="Arial"/>
                <w:b w:val="false"/>
                <w:sz w:val="24"/>
                <w:szCs w:val="24"/>
                <w:lang w:val="hy-AM"/>
              </w:rPr>
              <w:t>հնարավոր</w:t>
            </w:r>
            <w:r>
              <w:rPr>
                <w:rStyle w:val="Strong"/>
                <w:rFonts w:cs="Calibri"/>
                <w:b w:val="false"/>
                <w:sz w:val="24"/>
                <w:szCs w:val="24"/>
                <w:lang w:val="hy-AM"/>
              </w:rPr>
              <w:t xml:space="preserve"> </w:t>
            </w:r>
            <w:r>
              <w:rPr>
                <w:rStyle w:val="Strong"/>
                <w:rFonts w:cs="Arial"/>
                <w:b w:val="false"/>
                <w:sz w:val="24"/>
                <w:szCs w:val="24"/>
                <w:lang w:val="hy-AM"/>
              </w:rPr>
              <w:t>լինի</w:t>
            </w:r>
            <w:r>
              <w:rPr>
                <w:rStyle w:val="Strong"/>
                <w:rFonts w:cs="Calibri"/>
                <w:b w:val="false"/>
                <w:sz w:val="24"/>
                <w:szCs w:val="24"/>
                <w:lang w:val="hy-AM"/>
              </w:rPr>
              <w:t xml:space="preserve"> </w:t>
            </w:r>
            <w:r>
              <w:rPr>
                <w:rStyle w:val="Strong"/>
                <w:rFonts w:cs="Arial"/>
                <w:b w:val="false"/>
                <w:sz w:val="24"/>
                <w:szCs w:val="24"/>
                <w:lang w:val="hy-AM"/>
              </w:rPr>
              <w:t>գնահատել</w:t>
            </w:r>
            <w:r>
              <w:rPr>
                <w:rStyle w:val="Strong"/>
                <w:rFonts w:cs="Calibri"/>
                <w:b w:val="false"/>
                <w:sz w:val="24"/>
                <w:szCs w:val="24"/>
                <w:lang w:val="hy-AM"/>
              </w:rPr>
              <w:t xml:space="preserve"> </w:t>
            </w:r>
            <w:r>
              <w:rPr>
                <w:rStyle w:val="Strong"/>
                <w:rFonts w:cs="Arial"/>
                <w:b w:val="false"/>
                <w:sz w:val="24"/>
                <w:szCs w:val="24"/>
                <w:lang w:val="hy-AM"/>
              </w:rPr>
              <w:t>պետի</w:t>
            </w:r>
            <w:r>
              <w:rPr>
                <w:rStyle w:val="Strong"/>
                <w:rFonts w:cs="Calibri"/>
                <w:b w:val="false"/>
                <w:sz w:val="24"/>
                <w:szCs w:val="24"/>
                <w:lang w:val="hy-AM"/>
              </w:rPr>
              <w:t xml:space="preserve"> </w:t>
            </w:r>
            <w:r>
              <w:rPr>
                <w:rStyle w:val="Strong"/>
                <w:rFonts w:cs="Arial"/>
                <w:b w:val="false"/>
                <w:sz w:val="24"/>
                <w:szCs w:val="24"/>
                <w:lang w:val="hy-AM"/>
              </w:rPr>
              <w:t>հրամանով</w:t>
            </w:r>
            <w:r>
              <w:rPr>
                <w:rStyle w:val="Strong"/>
                <w:rFonts w:cs="Calibri"/>
                <w:b w:val="false"/>
                <w:sz w:val="24"/>
                <w:szCs w:val="24"/>
                <w:lang w:val="hy-AM"/>
              </w:rPr>
              <w:t xml:space="preserve"> </w:t>
            </w:r>
            <w:r>
              <w:rPr>
                <w:rStyle w:val="Strong"/>
                <w:rFonts w:cs="Arial"/>
                <w:b w:val="false"/>
                <w:sz w:val="24"/>
                <w:szCs w:val="24"/>
                <w:lang w:val="hy-AM"/>
              </w:rPr>
              <w:t>նման</w:t>
            </w:r>
            <w:r>
              <w:rPr>
                <w:rStyle w:val="Strong"/>
                <w:rFonts w:cs="Calibri"/>
                <w:b w:val="false"/>
                <w:sz w:val="24"/>
                <w:szCs w:val="24"/>
                <w:lang w:val="hy-AM"/>
              </w:rPr>
              <w:t xml:space="preserve"> </w:t>
            </w:r>
            <w:r>
              <w:rPr>
                <w:rStyle w:val="Strong"/>
                <w:rFonts w:cs="Arial"/>
                <w:b w:val="false"/>
                <w:sz w:val="24"/>
                <w:szCs w:val="24"/>
                <w:lang w:val="hy-AM"/>
              </w:rPr>
              <w:t>հարաբերությունների</w:t>
            </w:r>
            <w:r>
              <w:rPr>
                <w:rStyle w:val="Strong"/>
                <w:rFonts w:cs="Calibri"/>
                <w:b w:val="false"/>
                <w:sz w:val="24"/>
                <w:szCs w:val="24"/>
                <w:lang w:val="hy-AM"/>
              </w:rPr>
              <w:t xml:space="preserve"> </w:t>
            </w:r>
            <w:r>
              <w:rPr>
                <w:rStyle w:val="Strong"/>
                <w:rFonts w:cs="Arial"/>
                <w:b w:val="false"/>
                <w:sz w:val="24"/>
                <w:szCs w:val="24"/>
                <w:lang w:val="hy-AM"/>
              </w:rPr>
              <w:t>կարգավորման</w:t>
            </w:r>
            <w:r>
              <w:rPr>
                <w:rStyle w:val="Strong"/>
                <w:rFonts w:cs="Calibri"/>
                <w:b w:val="false"/>
                <w:sz w:val="24"/>
                <w:szCs w:val="24"/>
                <w:lang w:val="hy-AM"/>
              </w:rPr>
              <w:t xml:space="preserve"> </w:t>
            </w:r>
            <w:r>
              <w:rPr>
                <w:rStyle w:val="Strong"/>
                <w:rFonts w:cs="Arial"/>
                <w:b w:val="false"/>
                <w:sz w:val="24"/>
                <w:szCs w:val="24"/>
                <w:lang w:val="hy-AM"/>
              </w:rPr>
              <w:t>իրավաչափությունը։</w:t>
            </w:r>
            <w:r>
              <w:rPr>
                <w:rStyle w:val="Strong"/>
                <w:rFonts w:cs="Calibri"/>
                <w:b w:val="false"/>
                <w:sz w:val="24"/>
                <w:szCs w:val="24"/>
                <w:lang w:val="hy-AM"/>
              </w:rPr>
              <w:t xml:space="preserve"> </w:t>
            </w:r>
            <w:r>
              <w:rPr>
                <w:rStyle w:val="Strong"/>
                <w:rFonts w:cs="Arial"/>
                <w:b w:val="false"/>
                <w:sz w:val="24"/>
                <w:szCs w:val="24"/>
                <w:lang w:val="hy-AM"/>
              </w:rPr>
              <w:t>Եթե</w:t>
            </w:r>
            <w:r>
              <w:rPr>
                <w:rStyle w:val="Strong"/>
                <w:rFonts w:cs="Calibri"/>
                <w:b w:val="false"/>
                <w:sz w:val="24"/>
                <w:szCs w:val="24"/>
                <w:lang w:val="hy-AM"/>
              </w:rPr>
              <w:t xml:space="preserve"> </w:t>
            </w:r>
            <w:r>
              <w:rPr>
                <w:rStyle w:val="Strong"/>
                <w:rFonts w:cs="Arial"/>
                <w:b w:val="false"/>
                <w:sz w:val="24"/>
                <w:szCs w:val="24"/>
                <w:lang w:val="hy-AM"/>
              </w:rPr>
              <w:t>խոսքը</w:t>
            </w:r>
            <w:r>
              <w:rPr>
                <w:rStyle w:val="Strong"/>
                <w:rFonts w:cs="Calibri"/>
                <w:b w:val="false"/>
                <w:sz w:val="24"/>
                <w:szCs w:val="24"/>
                <w:lang w:val="hy-AM"/>
              </w:rPr>
              <w:t xml:space="preserve"> </w:t>
            </w:r>
            <w:r>
              <w:rPr>
                <w:rStyle w:val="Strong"/>
                <w:rFonts w:cs="Arial"/>
                <w:b w:val="false"/>
                <w:sz w:val="24"/>
                <w:szCs w:val="24"/>
                <w:lang w:val="hy-AM"/>
              </w:rPr>
              <w:t>գնում</w:t>
            </w:r>
            <w:r>
              <w:rPr>
                <w:rStyle w:val="Strong"/>
                <w:rFonts w:cs="Calibri"/>
                <w:b w:val="false"/>
                <w:sz w:val="24"/>
                <w:szCs w:val="24"/>
                <w:lang w:val="hy-AM"/>
              </w:rPr>
              <w:t xml:space="preserve"> </w:t>
            </w:r>
            <w:r>
              <w:rPr>
                <w:rStyle w:val="Strong"/>
                <w:rFonts w:cs="Arial"/>
                <w:b w:val="false"/>
                <w:sz w:val="24"/>
                <w:szCs w:val="24"/>
                <w:lang w:val="hy-AM"/>
              </w:rPr>
              <w:t>է այդ թվում</w:t>
            </w:r>
            <w:r>
              <w:rPr>
                <w:rStyle w:val="Strong"/>
                <w:rFonts w:cs="Calibri"/>
                <w:b w:val="false"/>
                <w:sz w:val="24"/>
                <w:szCs w:val="24"/>
                <w:lang w:val="hy-AM"/>
              </w:rPr>
              <w:t xml:space="preserve"> </w:t>
            </w:r>
            <w:r>
              <w:rPr>
                <w:rStyle w:val="Strong"/>
                <w:rFonts w:cs="Arial"/>
                <w:b w:val="false"/>
                <w:sz w:val="24"/>
                <w:szCs w:val="24"/>
                <w:lang w:val="hy-AM"/>
              </w:rPr>
              <w:t>նաև</w:t>
            </w:r>
            <w:r>
              <w:rPr>
                <w:rStyle w:val="Strong"/>
                <w:rFonts w:cs="Calibri"/>
                <w:b w:val="false"/>
                <w:sz w:val="24"/>
                <w:szCs w:val="24"/>
                <w:lang w:val="hy-AM"/>
              </w:rPr>
              <w:t xml:space="preserve"> </w:t>
            </w:r>
            <w:r>
              <w:rPr>
                <w:rStyle w:val="Strong"/>
                <w:rFonts w:cs="Arial"/>
                <w:b w:val="false"/>
                <w:sz w:val="24"/>
                <w:szCs w:val="24"/>
                <w:lang w:val="hy-AM"/>
              </w:rPr>
              <w:t>քրեական</w:t>
            </w:r>
            <w:r>
              <w:rPr>
                <w:rStyle w:val="Strong"/>
                <w:rFonts w:cs="Calibri"/>
                <w:b w:val="false"/>
                <w:sz w:val="24"/>
                <w:szCs w:val="24"/>
                <w:lang w:val="hy-AM"/>
              </w:rPr>
              <w:t xml:space="preserve"> </w:t>
            </w:r>
            <w:r>
              <w:rPr>
                <w:rStyle w:val="Strong"/>
                <w:rFonts w:cs="Arial"/>
                <w:b w:val="false"/>
                <w:sz w:val="24"/>
                <w:szCs w:val="24"/>
                <w:lang w:val="hy-AM"/>
              </w:rPr>
              <w:t>վարույթի</w:t>
            </w:r>
            <w:r>
              <w:rPr>
                <w:rStyle w:val="Strong"/>
                <w:rFonts w:cs="Calibri"/>
                <w:b w:val="false"/>
                <w:sz w:val="24"/>
                <w:szCs w:val="24"/>
                <w:lang w:val="hy-AM"/>
              </w:rPr>
              <w:t xml:space="preserve"> </w:t>
            </w:r>
            <w:r>
              <w:rPr>
                <w:rStyle w:val="Strong"/>
                <w:rFonts w:cs="Arial"/>
                <w:b w:val="false"/>
                <w:sz w:val="24"/>
                <w:szCs w:val="24"/>
                <w:lang w:val="hy-AM"/>
              </w:rPr>
              <w:t>շրջանակներում</w:t>
            </w:r>
            <w:r>
              <w:rPr>
                <w:rStyle w:val="Strong"/>
                <w:rFonts w:cs="Calibri"/>
                <w:b w:val="false"/>
                <w:sz w:val="24"/>
                <w:szCs w:val="24"/>
                <w:lang w:val="hy-AM"/>
              </w:rPr>
              <w:t xml:space="preserve"> </w:t>
            </w:r>
            <w:r>
              <w:rPr>
                <w:rStyle w:val="Strong"/>
                <w:rFonts w:cs="Arial"/>
                <w:b w:val="false"/>
                <w:sz w:val="24"/>
                <w:szCs w:val="24"/>
                <w:lang w:val="hy-AM"/>
              </w:rPr>
              <w:t>պաշտպանության</w:t>
            </w:r>
            <w:r>
              <w:rPr>
                <w:rStyle w:val="Strong"/>
                <w:rFonts w:cs="Calibri"/>
                <w:b w:val="false"/>
                <w:sz w:val="24"/>
                <w:szCs w:val="24"/>
                <w:lang w:val="hy-AM"/>
              </w:rPr>
              <w:t xml:space="preserve"> </w:t>
            </w:r>
            <w:r>
              <w:rPr>
                <w:rStyle w:val="Strong"/>
                <w:rFonts w:cs="Arial"/>
                <w:b w:val="false"/>
                <w:sz w:val="24"/>
                <w:szCs w:val="24"/>
                <w:lang w:val="hy-AM"/>
              </w:rPr>
              <w:t>տրամադրմանը</w:t>
            </w:r>
            <w:r>
              <w:rPr>
                <w:rStyle w:val="Strong"/>
                <w:rFonts w:cs="Calibri"/>
                <w:b w:val="false"/>
                <w:sz w:val="24"/>
                <w:szCs w:val="24"/>
                <w:lang w:val="hy-AM"/>
              </w:rPr>
              <w:t xml:space="preserve">, </w:t>
            </w:r>
            <w:r>
              <w:rPr>
                <w:rStyle w:val="Strong"/>
                <w:rFonts w:cs="Arial"/>
                <w:b w:val="false"/>
                <w:sz w:val="24"/>
                <w:szCs w:val="24"/>
                <w:lang w:val="hy-AM"/>
              </w:rPr>
              <w:t>ապա</w:t>
            </w:r>
            <w:r>
              <w:rPr>
                <w:rStyle w:val="Strong"/>
                <w:rFonts w:cs="Calibri"/>
                <w:b w:val="false"/>
                <w:sz w:val="24"/>
                <w:szCs w:val="24"/>
                <w:lang w:val="hy-AM"/>
              </w:rPr>
              <w:t xml:space="preserve"> </w:t>
            </w:r>
            <w:r>
              <w:rPr>
                <w:rStyle w:val="Strong"/>
                <w:rFonts w:cs="Arial"/>
                <w:b w:val="false"/>
                <w:sz w:val="24"/>
                <w:szCs w:val="24"/>
                <w:lang w:val="hy-AM"/>
              </w:rPr>
              <w:t>հարկ</w:t>
            </w:r>
            <w:r>
              <w:rPr>
                <w:rStyle w:val="Strong"/>
                <w:rFonts w:cs="Calibri"/>
                <w:b w:val="false"/>
                <w:sz w:val="24"/>
                <w:szCs w:val="24"/>
                <w:lang w:val="hy-AM"/>
              </w:rPr>
              <w:t xml:space="preserve"> </w:t>
            </w:r>
            <w:r>
              <w:rPr>
                <w:rStyle w:val="Strong"/>
                <w:rFonts w:cs="Arial"/>
                <w:b w:val="false"/>
                <w:sz w:val="24"/>
                <w:szCs w:val="24"/>
                <w:lang w:val="hy-AM"/>
              </w:rPr>
              <w:t>է</w:t>
            </w:r>
            <w:r>
              <w:rPr>
                <w:rStyle w:val="Strong"/>
                <w:rFonts w:cs="Calibri"/>
                <w:b w:val="false"/>
                <w:sz w:val="24"/>
                <w:szCs w:val="24"/>
                <w:lang w:val="hy-AM"/>
              </w:rPr>
              <w:t xml:space="preserve"> </w:t>
            </w:r>
            <w:r>
              <w:rPr>
                <w:rStyle w:val="Strong"/>
                <w:rFonts w:cs="Arial"/>
                <w:b w:val="false"/>
                <w:sz w:val="24"/>
                <w:szCs w:val="24"/>
                <w:lang w:val="hy-AM"/>
              </w:rPr>
              <w:t>նկատել</w:t>
            </w:r>
            <w:r>
              <w:rPr>
                <w:rStyle w:val="Strong"/>
                <w:rFonts w:cs="Calibri"/>
                <w:b w:val="false"/>
                <w:sz w:val="24"/>
                <w:szCs w:val="24"/>
                <w:lang w:val="hy-AM"/>
              </w:rPr>
              <w:t xml:space="preserve">, </w:t>
            </w:r>
            <w:r>
              <w:rPr>
                <w:rStyle w:val="Strong"/>
                <w:rFonts w:cs="Arial"/>
                <w:b w:val="false"/>
                <w:sz w:val="24"/>
                <w:szCs w:val="24"/>
                <w:lang w:val="hy-AM"/>
              </w:rPr>
              <w:t>որ</w:t>
            </w:r>
            <w:r>
              <w:rPr>
                <w:rStyle w:val="Strong"/>
                <w:rFonts w:cs="Calibri"/>
                <w:b w:val="false"/>
                <w:sz w:val="24"/>
                <w:szCs w:val="24"/>
                <w:lang w:val="hy-AM"/>
              </w:rPr>
              <w:t xml:space="preserve"> </w:t>
            </w:r>
            <w:r>
              <w:rPr>
                <w:rStyle w:val="Strong"/>
                <w:rFonts w:cs="Arial"/>
                <w:b w:val="false"/>
                <w:sz w:val="24"/>
                <w:szCs w:val="24"/>
                <w:lang w:val="hy-AM"/>
              </w:rPr>
              <w:t>քրեադատավարական</w:t>
            </w:r>
            <w:r>
              <w:rPr>
                <w:rStyle w:val="Strong"/>
                <w:rFonts w:cs="Calibri"/>
                <w:b w:val="false"/>
                <w:sz w:val="24"/>
                <w:szCs w:val="24"/>
                <w:lang w:val="hy-AM"/>
              </w:rPr>
              <w:t xml:space="preserve"> </w:t>
            </w:r>
            <w:r>
              <w:rPr>
                <w:rStyle w:val="Strong"/>
                <w:rFonts w:cs="Arial"/>
                <w:b w:val="false"/>
                <w:sz w:val="24"/>
                <w:szCs w:val="24"/>
                <w:lang w:val="hy-AM"/>
              </w:rPr>
              <w:t>կարգավորումների</w:t>
            </w:r>
            <w:r>
              <w:rPr>
                <w:rStyle w:val="Strong"/>
                <w:rFonts w:cs="Calibri"/>
                <w:b w:val="false"/>
                <w:sz w:val="24"/>
                <w:szCs w:val="24"/>
                <w:lang w:val="hy-AM"/>
              </w:rPr>
              <w:t xml:space="preserve"> </w:t>
            </w:r>
            <w:r>
              <w:rPr>
                <w:rStyle w:val="Strong"/>
                <w:rFonts w:cs="Arial"/>
                <w:b w:val="false"/>
                <w:sz w:val="24"/>
                <w:szCs w:val="24"/>
                <w:lang w:val="hy-AM"/>
              </w:rPr>
              <w:t>համաձայն՝</w:t>
            </w:r>
            <w:r>
              <w:rPr>
                <w:rStyle w:val="Strong"/>
                <w:rFonts w:cs="Calibri"/>
                <w:sz w:val="24"/>
                <w:szCs w:val="24"/>
                <w:lang w:val="hy-AM"/>
              </w:rPr>
              <w:t xml:space="preserve"> </w:t>
            </w:r>
            <w:r>
              <w:rPr>
                <w:rFonts w:cs="Arial"/>
                <w:sz w:val="24"/>
                <w:szCs w:val="24"/>
                <w:lang w:val="hy-AM" w:eastAsia="ru-RU"/>
              </w:rPr>
              <w:t>եթե վարույթի իրականացման հետ կապված անձի կյանքին, առողջությանը կամ իրավաչափ շահերին ողջամտորեն կարող է սպառնալ իրական վտանգ, ապա նրա նկատմամբ կարող է կիրառվել հատուկ պաշտպանության միջոց։</w:t>
            </w:r>
          </w:p>
          <w:p>
            <w:pPr>
              <w:pStyle w:val="Normal"/>
              <w:numPr>
                <w:ilvl w:val="0"/>
                <w:numId w:val="2"/>
              </w:numPr>
              <w:tabs>
                <w:tab w:val="clear" w:pos="709"/>
                <w:tab w:val="left" w:pos="1080" w:leader="none"/>
                <w:tab w:val="left" w:pos="1350" w:leader="none"/>
              </w:tabs>
              <w:spacing w:lineRule="auto" w:line="360" w:before="0" w:after="0"/>
              <w:ind w:firstLine="630" w:left="0" w:right="219"/>
              <w:jc w:val="both"/>
              <w:rPr>
                <w:sz w:val="24"/>
                <w:szCs w:val="24"/>
              </w:rPr>
            </w:pPr>
            <w:r>
              <w:rPr>
                <w:rFonts w:cs="Arial"/>
                <w:sz w:val="24"/>
                <w:szCs w:val="24"/>
                <w:lang w:val="hy-AM"/>
              </w:rPr>
              <w:t>Միևնույն ժամանակ, նախատեսվում</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որ</w:t>
            </w:r>
            <w:r>
              <w:rPr>
                <w:rFonts w:eastAsia="Times New Roman" w:cs="Calibri"/>
                <w:sz w:val="24"/>
                <w:szCs w:val="24"/>
                <w:lang w:val="hy-AM"/>
              </w:rPr>
              <w:t xml:space="preserve"> Ծառայության աշխատողին բերման ենթարկելը, ձերբակալելը, խուզարկելը, անձի, իրերի, անձնական և ծառայողական օգտագործման տրանսպորտային միջոցների զննությունը կատարվելու է </w:t>
            </w:r>
            <w:r>
              <w:rPr>
                <w:rFonts w:eastAsia="Times New Roman" w:cs="Calibri"/>
                <w:b/>
                <w:sz w:val="24"/>
                <w:szCs w:val="24"/>
                <w:lang w:val="hy-AM"/>
              </w:rPr>
              <w:t>Ծառայության պաշտոնական ներկայացուցչի ներկայությամբ։</w:t>
            </w:r>
            <w:r>
              <w:rPr>
                <w:rFonts w:cs="Arial"/>
                <w:sz w:val="24"/>
                <w:szCs w:val="24"/>
                <w:lang w:val="hy-AM"/>
              </w:rPr>
              <w:t xml:space="preserve"> </w:t>
            </w:r>
            <w:r>
              <w:rPr>
                <w:rFonts w:cs="Arial"/>
                <w:sz w:val="24"/>
                <w:szCs w:val="24"/>
                <w:lang w:val="hy-AM" w:eastAsia="ru-RU"/>
              </w:rPr>
              <w:t>Մինչդեռ, պարզ չէ, թե վերոնշված գործառույթներն իրականացնելիս անձի՝ Ծառայության ծառայող լինելու հանգամանքը ինչպես է բացահայտվելու, որպեսզի հնարավոր լինի ապահովել ներկայացուցչի ներկայությունը:</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hanging="0" w:left="0" w:right="219"/>
              <w:contextualSpacing/>
              <w:jc w:val="both"/>
              <w:rPr/>
            </w:pPr>
            <w:r>
              <w:rPr>
                <w:rFonts w:cs="Arial"/>
                <w:sz w:val="24"/>
                <w:szCs w:val="24"/>
                <w:lang w:val="hy-AM"/>
              </w:rPr>
              <w:t>4․ Նախագծի 3-րդ հոդվածով</w:t>
            </w:r>
            <w:r>
              <w:rPr>
                <w:sz w:val="24"/>
                <w:szCs w:val="24"/>
                <w:lang w:val="hy-AM"/>
              </w:rPr>
              <w:t xml:space="preserve"> </w:t>
            </w:r>
            <w:r>
              <w:rPr>
                <w:rFonts w:cs="Arial"/>
                <w:sz w:val="24"/>
                <w:szCs w:val="24"/>
                <w:lang w:val="hy-AM"/>
              </w:rPr>
              <w:t>նախատեսվում</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որ</w:t>
            </w:r>
            <w:r>
              <w:rPr>
                <w:sz w:val="24"/>
                <w:szCs w:val="24"/>
                <w:lang w:val="hy-AM"/>
              </w:rPr>
              <w:t xml:space="preserve"> </w:t>
            </w:r>
            <w:r>
              <w:rPr>
                <w:rFonts w:cs="Arial"/>
                <w:sz w:val="24"/>
                <w:szCs w:val="24"/>
                <w:lang w:val="hy-AM"/>
              </w:rPr>
              <w:t>պետական</w:t>
            </w:r>
            <w:r>
              <w:rPr>
                <w:sz w:val="24"/>
                <w:szCs w:val="24"/>
                <w:lang w:val="hy-AM"/>
              </w:rPr>
              <w:t xml:space="preserve"> </w:t>
            </w:r>
            <w:r>
              <w:rPr>
                <w:rFonts w:cs="Arial"/>
                <w:sz w:val="24"/>
                <w:szCs w:val="24"/>
                <w:lang w:val="hy-AM"/>
              </w:rPr>
              <w:t>մարմնի</w:t>
            </w:r>
            <w:r>
              <w:rPr>
                <w:sz w:val="24"/>
                <w:szCs w:val="24"/>
                <w:lang w:val="hy-AM"/>
              </w:rPr>
              <w:t xml:space="preserve"> </w:t>
            </w:r>
            <w:r>
              <w:rPr>
                <w:rFonts w:cs="Arial"/>
                <w:sz w:val="24"/>
                <w:szCs w:val="24"/>
                <w:lang w:val="hy-AM"/>
              </w:rPr>
              <w:t>կամ</w:t>
            </w:r>
            <w:r>
              <w:rPr>
                <w:sz w:val="24"/>
                <w:szCs w:val="24"/>
                <w:lang w:val="hy-AM"/>
              </w:rPr>
              <w:t xml:space="preserve"> </w:t>
            </w:r>
            <w:r>
              <w:rPr>
                <w:rFonts w:cs="Arial"/>
                <w:sz w:val="24"/>
                <w:szCs w:val="24"/>
                <w:lang w:val="hy-AM"/>
              </w:rPr>
              <w:t>կազմակերպության</w:t>
            </w:r>
            <w:r>
              <w:rPr>
                <w:sz w:val="24"/>
                <w:szCs w:val="24"/>
                <w:lang w:val="hy-AM"/>
              </w:rPr>
              <w:t xml:space="preserve"> </w:t>
            </w:r>
            <w:r>
              <w:rPr>
                <w:rFonts w:cs="Arial"/>
                <w:sz w:val="24"/>
                <w:szCs w:val="24"/>
                <w:lang w:val="hy-AM"/>
              </w:rPr>
              <w:t>այն</w:t>
            </w:r>
            <w:r>
              <w:rPr>
                <w:sz w:val="24"/>
                <w:szCs w:val="24"/>
                <w:lang w:val="hy-AM"/>
              </w:rPr>
              <w:t xml:space="preserve"> </w:t>
            </w:r>
            <w:r>
              <w:rPr>
                <w:rFonts w:cs="Arial"/>
                <w:sz w:val="24"/>
                <w:szCs w:val="24"/>
                <w:lang w:val="hy-AM"/>
              </w:rPr>
              <w:t>պաշտոնատար</w:t>
            </w:r>
            <w:r>
              <w:rPr>
                <w:sz w:val="24"/>
                <w:szCs w:val="24"/>
                <w:lang w:val="hy-AM"/>
              </w:rPr>
              <w:t xml:space="preserve"> </w:t>
            </w:r>
            <w:r>
              <w:rPr>
                <w:rFonts w:cs="Arial"/>
                <w:sz w:val="24"/>
                <w:szCs w:val="24"/>
                <w:lang w:val="hy-AM"/>
              </w:rPr>
              <w:t>անձը</w:t>
            </w:r>
            <w:r>
              <w:rPr>
                <w:sz w:val="24"/>
                <w:szCs w:val="24"/>
                <w:lang w:val="hy-AM"/>
              </w:rPr>
              <w:t xml:space="preserve">, </w:t>
            </w:r>
            <w:r>
              <w:rPr>
                <w:rFonts w:cs="Arial"/>
                <w:sz w:val="24"/>
                <w:szCs w:val="24"/>
                <w:lang w:val="hy-AM"/>
              </w:rPr>
              <w:t>ով</w:t>
            </w:r>
            <w:r>
              <w:rPr>
                <w:sz w:val="24"/>
                <w:szCs w:val="24"/>
                <w:lang w:val="hy-AM"/>
              </w:rPr>
              <w:t xml:space="preserve"> </w:t>
            </w:r>
            <w:r>
              <w:rPr>
                <w:rFonts w:cs="Arial"/>
                <w:sz w:val="24"/>
                <w:szCs w:val="24"/>
                <w:lang w:val="hy-AM"/>
              </w:rPr>
              <w:t>տեղյակ</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եղել</w:t>
            </w:r>
            <w:r>
              <w:rPr>
                <w:sz w:val="24"/>
                <w:szCs w:val="24"/>
                <w:lang w:val="hy-AM"/>
              </w:rPr>
              <w:t xml:space="preserve"> </w:t>
            </w:r>
            <w:r>
              <w:rPr>
                <w:rFonts w:cs="Arial"/>
                <w:sz w:val="24"/>
                <w:szCs w:val="24"/>
                <w:lang w:val="hy-AM"/>
              </w:rPr>
              <w:t>կամ</w:t>
            </w:r>
            <w:r>
              <w:rPr>
                <w:sz w:val="24"/>
                <w:szCs w:val="24"/>
                <w:lang w:val="hy-AM"/>
              </w:rPr>
              <w:t xml:space="preserve"> </w:t>
            </w:r>
            <w:r>
              <w:rPr>
                <w:rFonts w:cs="Arial"/>
                <w:sz w:val="24"/>
                <w:szCs w:val="24"/>
                <w:lang w:val="hy-AM"/>
              </w:rPr>
              <w:t>ում</w:t>
            </w:r>
            <w:r>
              <w:rPr>
                <w:sz w:val="24"/>
                <w:szCs w:val="24"/>
                <w:lang w:val="hy-AM"/>
              </w:rPr>
              <w:t xml:space="preserve"> </w:t>
            </w:r>
            <w:r>
              <w:rPr>
                <w:rFonts w:cs="Arial"/>
                <w:sz w:val="24"/>
                <w:szCs w:val="24"/>
                <w:lang w:val="hy-AM"/>
              </w:rPr>
              <w:t>վստահված</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եղել</w:t>
            </w:r>
            <w:r>
              <w:rPr>
                <w:sz w:val="24"/>
                <w:szCs w:val="24"/>
                <w:lang w:val="hy-AM"/>
              </w:rPr>
              <w:t xml:space="preserve"> </w:t>
            </w:r>
            <w:r>
              <w:rPr>
                <w:rFonts w:cs="Arial"/>
                <w:sz w:val="24"/>
                <w:szCs w:val="24"/>
                <w:lang w:val="hy-AM"/>
              </w:rPr>
              <w:t>քողարկման</w:t>
            </w:r>
            <w:r>
              <w:rPr>
                <w:sz w:val="24"/>
                <w:szCs w:val="24"/>
                <w:lang w:val="hy-AM"/>
              </w:rPr>
              <w:t xml:space="preserve"> </w:t>
            </w:r>
            <w:r>
              <w:rPr>
                <w:rFonts w:cs="Arial"/>
                <w:sz w:val="24"/>
                <w:szCs w:val="24"/>
                <w:lang w:val="hy-AM"/>
              </w:rPr>
              <w:t>հանգամանքը</w:t>
            </w:r>
            <w:r>
              <w:rPr>
                <w:sz w:val="24"/>
                <w:szCs w:val="24"/>
                <w:lang w:val="hy-AM"/>
              </w:rPr>
              <w:t xml:space="preserve">, </w:t>
            </w:r>
            <w:r>
              <w:rPr>
                <w:rFonts w:cs="Arial"/>
                <w:b/>
                <w:sz w:val="24"/>
                <w:szCs w:val="24"/>
                <w:lang w:val="hy-AM"/>
              </w:rPr>
              <w:t>օրենքով</w:t>
            </w:r>
            <w:r>
              <w:rPr>
                <w:b/>
                <w:sz w:val="24"/>
                <w:szCs w:val="24"/>
                <w:lang w:val="hy-AM"/>
              </w:rPr>
              <w:t xml:space="preserve"> </w:t>
            </w:r>
            <w:r>
              <w:rPr>
                <w:rFonts w:cs="Arial"/>
                <w:b/>
                <w:sz w:val="24"/>
                <w:szCs w:val="24"/>
                <w:lang w:val="hy-AM"/>
              </w:rPr>
              <w:t>սահմանված</w:t>
            </w:r>
            <w:r>
              <w:rPr>
                <w:b/>
                <w:sz w:val="24"/>
                <w:szCs w:val="24"/>
                <w:lang w:val="hy-AM"/>
              </w:rPr>
              <w:t xml:space="preserve"> </w:t>
            </w:r>
            <w:r>
              <w:rPr>
                <w:rFonts w:cs="Arial"/>
                <w:b/>
                <w:sz w:val="24"/>
                <w:szCs w:val="24"/>
                <w:lang w:val="hy-AM"/>
              </w:rPr>
              <w:t>կարգով</w:t>
            </w:r>
            <w:r>
              <w:rPr>
                <w:sz w:val="24"/>
                <w:szCs w:val="24"/>
                <w:lang w:val="hy-AM"/>
              </w:rPr>
              <w:t xml:space="preserve"> </w:t>
            </w:r>
            <w:r>
              <w:rPr>
                <w:rFonts w:cs="Arial"/>
                <w:sz w:val="24"/>
                <w:szCs w:val="24"/>
                <w:lang w:val="hy-AM"/>
              </w:rPr>
              <w:t>պատասխանատվություն</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կրելու</w:t>
            </w:r>
            <w:r>
              <w:rPr>
                <w:sz w:val="24"/>
                <w:szCs w:val="24"/>
                <w:lang w:val="hy-AM"/>
              </w:rPr>
              <w:t xml:space="preserve"> </w:t>
            </w:r>
            <w:r>
              <w:rPr>
                <w:rFonts w:cs="Arial"/>
                <w:sz w:val="24"/>
                <w:szCs w:val="24"/>
                <w:lang w:val="hy-AM"/>
              </w:rPr>
              <w:t>գործունեության</w:t>
            </w:r>
            <w:r>
              <w:rPr>
                <w:sz w:val="24"/>
                <w:szCs w:val="24"/>
                <w:lang w:val="hy-AM"/>
              </w:rPr>
              <w:t xml:space="preserve">,  </w:t>
            </w:r>
            <w:r>
              <w:rPr>
                <w:rFonts w:cs="Arial"/>
                <w:sz w:val="24"/>
                <w:szCs w:val="24"/>
                <w:lang w:val="hy-AM"/>
              </w:rPr>
              <w:t>աշխատողի</w:t>
            </w:r>
            <w:r>
              <w:rPr>
                <w:sz w:val="24"/>
                <w:szCs w:val="24"/>
                <w:lang w:val="hy-AM"/>
              </w:rPr>
              <w:t xml:space="preserve">, </w:t>
            </w:r>
            <w:r>
              <w:rPr>
                <w:rFonts w:cs="Arial"/>
                <w:sz w:val="24"/>
                <w:szCs w:val="24"/>
                <w:lang w:val="hy-AM"/>
              </w:rPr>
              <w:t>աշխատանքի</w:t>
            </w:r>
            <w:r>
              <w:rPr>
                <w:sz w:val="24"/>
                <w:szCs w:val="24"/>
                <w:lang w:val="hy-AM"/>
              </w:rPr>
              <w:t xml:space="preserve"> </w:t>
            </w:r>
            <w:r>
              <w:rPr>
                <w:rFonts w:cs="Arial"/>
                <w:sz w:val="24"/>
                <w:szCs w:val="24"/>
                <w:lang w:val="hy-AM"/>
              </w:rPr>
              <w:t>ձևերի</w:t>
            </w:r>
            <w:r>
              <w:rPr>
                <w:sz w:val="24"/>
                <w:szCs w:val="24"/>
                <w:lang w:val="hy-AM"/>
              </w:rPr>
              <w:t xml:space="preserve">, </w:t>
            </w:r>
            <w:r>
              <w:rPr>
                <w:rFonts w:cs="Arial"/>
                <w:sz w:val="24"/>
                <w:szCs w:val="24"/>
                <w:lang w:val="hy-AM"/>
              </w:rPr>
              <w:t>մեթոդների</w:t>
            </w:r>
            <w:r>
              <w:rPr>
                <w:sz w:val="24"/>
                <w:szCs w:val="24"/>
                <w:lang w:val="hy-AM"/>
              </w:rPr>
              <w:t xml:space="preserve"> </w:t>
            </w:r>
            <w:r>
              <w:rPr>
                <w:rFonts w:cs="Arial"/>
                <w:sz w:val="24"/>
                <w:szCs w:val="24"/>
                <w:lang w:val="hy-AM"/>
              </w:rPr>
              <w:t>և</w:t>
            </w:r>
            <w:r>
              <w:rPr>
                <w:sz w:val="24"/>
                <w:szCs w:val="24"/>
                <w:lang w:val="hy-AM"/>
              </w:rPr>
              <w:t xml:space="preserve"> </w:t>
            </w:r>
            <w:r>
              <w:rPr>
                <w:rFonts w:cs="Arial"/>
                <w:sz w:val="24"/>
                <w:szCs w:val="24"/>
                <w:lang w:val="hy-AM"/>
              </w:rPr>
              <w:t>միջոցների</w:t>
            </w:r>
            <w:r>
              <w:rPr>
                <w:sz w:val="24"/>
                <w:szCs w:val="24"/>
                <w:lang w:val="hy-AM"/>
              </w:rPr>
              <w:t xml:space="preserve"> </w:t>
            </w:r>
            <w:r>
              <w:rPr>
                <w:rFonts w:cs="Arial"/>
                <w:sz w:val="24"/>
                <w:szCs w:val="24"/>
                <w:lang w:val="hy-AM"/>
              </w:rPr>
              <w:t>Ծառայությանը</w:t>
            </w:r>
            <w:r>
              <w:rPr>
                <w:sz w:val="24"/>
                <w:szCs w:val="24"/>
                <w:lang w:val="hy-AM"/>
              </w:rPr>
              <w:t xml:space="preserve"> </w:t>
            </w:r>
            <w:r>
              <w:rPr>
                <w:rFonts w:cs="Arial"/>
                <w:sz w:val="24"/>
                <w:szCs w:val="24"/>
                <w:lang w:val="hy-AM"/>
              </w:rPr>
              <w:t>պատկանելության</w:t>
            </w:r>
            <w:r>
              <w:rPr>
                <w:sz w:val="24"/>
                <w:szCs w:val="24"/>
                <w:lang w:val="hy-AM"/>
              </w:rPr>
              <w:t xml:space="preserve"> </w:t>
            </w:r>
            <w:r>
              <w:rPr>
                <w:rFonts w:cs="Arial"/>
                <w:sz w:val="24"/>
                <w:szCs w:val="24"/>
                <w:lang w:val="hy-AM"/>
              </w:rPr>
              <w:t>փաստը</w:t>
            </w:r>
            <w:r>
              <w:rPr>
                <w:sz w:val="24"/>
                <w:szCs w:val="24"/>
                <w:lang w:val="hy-AM"/>
              </w:rPr>
              <w:t xml:space="preserve"> </w:t>
            </w:r>
            <w:r>
              <w:rPr>
                <w:rFonts w:cs="Arial"/>
                <w:sz w:val="24"/>
                <w:szCs w:val="24"/>
                <w:lang w:val="hy-AM"/>
              </w:rPr>
              <w:t>բացահայտելու</w:t>
            </w:r>
            <w:r>
              <w:rPr>
                <w:sz w:val="24"/>
                <w:szCs w:val="24"/>
                <w:lang w:val="hy-AM"/>
              </w:rPr>
              <w:t xml:space="preserve"> </w:t>
            </w:r>
            <w:r>
              <w:rPr>
                <w:rFonts w:cs="Arial"/>
                <w:sz w:val="24"/>
                <w:szCs w:val="24"/>
                <w:lang w:val="hy-AM"/>
              </w:rPr>
              <w:t>համար։</w:t>
            </w:r>
            <w:r>
              <w:rPr>
                <w:rFonts w:cs="Cambria Math"/>
                <w:sz w:val="24"/>
                <w:szCs w:val="24"/>
                <w:lang w:val="hy-AM"/>
              </w:rPr>
              <w:t xml:space="preserve"> </w:t>
            </w:r>
            <w:r>
              <w:rPr>
                <w:rFonts w:cs="Arial"/>
                <w:sz w:val="24"/>
                <w:szCs w:val="24"/>
                <w:lang w:val="hy-AM"/>
              </w:rPr>
              <w:t>Մինչդեռ</w:t>
            </w:r>
            <w:r>
              <w:rPr>
                <w:rFonts w:cs="Cambria Math"/>
                <w:sz w:val="24"/>
                <w:szCs w:val="24"/>
                <w:lang w:val="hy-AM"/>
              </w:rPr>
              <w:t xml:space="preserve">,  </w:t>
            </w:r>
            <w:r>
              <w:rPr>
                <w:rFonts w:cs="Arial"/>
                <w:sz w:val="24"/>
                <w:szCs w:val="24"/>
                <w:lang w:val="hy-AM"/>
              </w:rPr>
              <w:t>պարզ</w:t>
            </w:r>
            <w:r>
              <w:rPr>
                <w:rFonts w:cs="Cambria Math"/>
                <w:sz w:val="24"/>
                <w:szCs w:val="24"/>
                <w:lang w:val="hy-AM"/>
              </w:rPr>
              <w:t xml:space="preserve"> </w:t>
            </w:r>
            <w:r>
              <w:rPr>
                <w:rFonts w:cs="Arial"/>
                <w:sz w:val="24"/>
                <w:szCs w:val="24"/>
                <w:lang w:val="hy-AM"/>
              </w:rPr>
              <w:t>չէ՝ ինչ</w:t>
            </w:r>
            <w:r>
              <w:rPr>
                <w:rFonts w:cs="Cambria Math"/>
                <w:sz w:val="24"/>
                <w:szCs w:val="24"/>
                <w:lang w:val="hy-AM"/>
              </w:rPr>
              <w:t xml:space="preserve"> </w:t>
            </w:r>
            <w:r>
              <w:rPr>
                <w:rFonts w:cs="Arial"/>
                <w:sz w:val="24"/>
                <w:szCs w:val="24"/>
                <w:lang w:val="hy-AM"/>
              </w:rPr>
              <w:t>պատասխանատվության</w:t>
            </w:r>
            <w:r>
              <w:rPr>
                <w:rFonts w:cs="Cambria Math"/>
                <w:sz w:val="24"/>
                <w:szCs w:val="24"/>
                <w:lang w:val="hy-AM"/>
              </w:rPr>
              <w:t xml:space="preserve"> </w:t>
            </w:r>
            <w:r>
              <w:rPr>
                <w:rFonts w:cs="Arial"/>
                <w:sz w:val="24"/>
                <w:szCs w:val="24"/>
                <w:lang w:val="hy-AM"/>
              </w:rPr>
              <w:t>մասին</w:t>
            </w:r>
            <w:r>
              <w:rPr>
                <w:rFonts w:cs="Cambria Math"/>
                <w:sz w:val="24"/>
                <w:szCs w:val="24"/>
                <w:lang w:val="hy-AM"/>
              </w:rPr>
              <w:t xml:space="preserve"> </w:t>
            </w:r>
            <w:r>
              <w:rPr>
                <w:rFonts w:cs="Arial"/>
                <w:sz w:val="24"/>
                <w:szCs w:val="24"/>
                <w:lang w:val="hy-AM"/>
              </w:rPr>
              <w:t>է</w:t>
            </w:r>
            <w:r>
              <w:rPr>
                <w:rFonts w:cs="Cambria Math"/>
                <w:sz w:val="24"/>
                <w:szCs w:val="24"/>
                <w:lang w:val="hy-AM"/>
              </w:rPr>
              <w:t xml:space="preserve"> </w:t>
            </w:r>
            <w:r>
              <w:rPr>
                <w:rFonts w:cs="Arial"/>
                <w:sz w:val="24"/>
                <w:szCs w:val="24"/>
                <w:lang w:val="hy-AM"/>
              </w:rPr>
              <w:t xml:space="preserve">խոսքը։ Նույն դիտարկումը վերաբերում է նաև </w:t>
            </w:r>
            <w:r>
              <w:rPr>
                <w:rFonts w:cs="Cambria Math"/>
                <w:sz w:val="24"/>
                <w:szCs w:val="24"/>
                <w:lang w:val="hy-AM"/>
              </w:rPr>
              <w:t>նախագծի 4-րդ հոդվածով նոր խմբագրությամբ շարադրվող 13-րդ հոդվածի 6-րդ մասին, որով նախատեսվում է, որ լ</w:t>
            </w:r>
            <w:r>
              <w:rPr>
                <w:rStyle w:val="Strong"/>
                <w:rFonts w:cs="GHEA Grapalat"/>
                <w:b w:val="false"/>
                <w:sz w:val="24"/>
                <w:szCs w:val="24"/>
                <w:lang w:val="hy-AM"/>
              </w:rPr>
              <w:t xml:space="preserve">իազորությունների գերազանցմամբ ֆիզիկական ուժի գործադրումը, հատուկ միջոցների կամ զենքի գործադրումը (կիրառումը) առաջացնելու է </w:t>
            </w:r>
            <w:r>
              <w:rPr>
                <w:rStyle w:val="Strong"/>
                <w:rFonts w:cs="GHEA Grapalat"/>
                <w:sz w:val="24"/>
                <w:szCs w:val="24"/>
                <w:lang w:val="hy-AM"/>
              </w:rPr>
              <w:t>օրենքով սահմանված</w:t>
            </w:r>
            <w:r>
              <w:rPr>
                <w:rStyle w:val="Strong"/>
                <w:rFonts w:cs="GHEA Grapalat"/>
                <w:b w:val="false"/>
                <w:sz w:val="24"/>
                <w:szCs w:val="24"/>
                <w:lang w:val="hy-AM"/>
              </w:rPr>
              <w:t xml:space="preserve"> պատասխանատվություն։</w:t>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b w:val="false"/>
                <w:bCs w:val="false"/>
                <w:sz w:val="24"/>
                <w:szCs w:val="24"/>
                <w:lang w:val="hy-AM" w:eastAsia="ru-RU"/>
              </w:rPr>
            </w:pPr>
            <w:r>
              <w:rPr>
                <w:rFonts w:eastAsia="Times New Roman" w:cs="Arial"/>
                <w:b w:val="false"/>
                <w:bCs w:val="false"/>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sz w:val="24"/>
                <w:szCs w:val="24"/>
              </w:rPr>
            </w:pPr>
            <w:r>
              <w:rPr>
                <w:rFonts w:cs="Arial"/>
                <w:sz w:val="24"/>
                <w:szCs w:val="24"/>
                <w:lang w:val="hy-AM"/>
              </w:rPr>
              <w:t>5․ Նախագծի</w:t>
            </w:r>
            <w:r>
              <w:rPr>
                <w:sz w:val="24"/>
                <w:szCs w:val="24"/>
                <w:lang w:val="hy-AM"/>
              </w:rPr>
              <w:t xml:space="preserve"> 11-րդ հոդվածի </w:t>
            </w:r>
            <w:r>
              <w:rPr>
                <w:rFonts w:cs="Arial"/>
                <w:sz w:val="24"/>
                <w:szCs w:val="24"/>
                <w:lang w:val="hy-AM"/>
              </w:rPr>
              <w:t>համաձայն՝</w:t>
            </w:r>
            <w:r>
              <w:rPr>
                <w:sz w:val="24"/>
                <w:szCs w:val="24"/>
                <w:lang w:val="hy-AM"/>
              </w:rPr>
              <w:t xml:space="preserve"> </w:t>
            </w:r>
            <w:r>
              <w:rPr>
                <w:rFonts w:cs="Arial"/>
                <w:sz w:val="24"/>
                <w:szCs w:val="24"/>
                <w:lang w:val="hy-AM"/>
              </w:rPr>
              <w:t>Ծառայության</w:t>
            </w:r>
            <w:r>
              <w:rPr>
                <w:sz w:val="24"/>
                <w:szCs w:val="24"/>
                <w:lang w:val="hy-AM"/>
              </w:rPr>
              <w:t xml:space="preserve"> </w:t>
            </w:r>
            <w:r>
              <w:rPr>
                <w:rFonts w:cs="Arial"/>
                <w:sz w:val="24"/>
                <w:szCs w:val="24"/>
                <w:lang w:val="hy-AM"/>
              </w:rPr>
              <w:t>ծառայողին</w:t>
            </w:r>
            <w:r>
              <w:rPr>
                <w:sz w:val="24"/>
                <w:szCs w:val="24"/>
                <w:lang w:val="hy-AM"/>
              </w:rPr>
              <w:t xml:space="preserve"> </w:t>
            </w:r>
            <w:r>
              <w:rPr>
                <w:rFonts w:cs="Arial"/>
                <w:sz w:val="24"/>
                <w:szCs w:val="24"/>
                <w:lang w:val="hy-AM"/>
              </w:rPr>
              <w:t>բարձր</w:t>
            </w:r>
            <w:r>
              <w:rPr>
                <w:sz w:val="24"/>
                <w:szCs w:val="24"/>
                <w:lang w:val="hy-AM"/>
              </w:rPr>
              <w:t xml:space="preserve"> </w:t>
            </w:r>
            <w:r>
              <w:rPr>
                <w:rFonts w:cs="Arial"/>
                <w:sz w:val="24"/>
                <w:szCs w:val="24"/>
                <w:lang w:val="hy-AM"/>
              </w:rPr>
              <w:t>կամ</w:t>
            </w:r>
            <w:r>
              <w:rPr>
                <w:sz w:val="24"/>
                <w:szCs w:val="24"/>
                <w:lang w:val="hy-AM"/>
              </w:rPr>
              <w:t xml:space="preserve"> </w:t>
            </w:r>
            <w:r>
              <w:rPr>
                <w:rFonts w:cs="Arial"/>
                <w:sz w:val="24"/>
                <w:szCs w:val="24"/>
                <w:lang w:val="hy-AM"/>
              </w:rPr>
              <w:t>հավասարազոր</w:t>
            </w:r>
            <w:r>
              <w:rPr>
                <w:sz w:val="24"/>
                <w:szCs w:val="24"/>
                <w:lang w:val="hy-AM"/>
              </w:rPr>
              <w:t xml:space="preserve"> </w:t>
            </w:r>
            <w:r>
              <w:rPr>
                <w:rFonts w:cs="Arial"/>
                <w:sz w:val="24"/>
                <w:szCs w:val="24"/>
                <w:lang w:val="hy-AM"/>
              </w:rPr>
              <w:t>կամ</w:t>
            </w:r>
            <w:r>
              <w:rPr>
                <w:sz w:val="24"/>
                <w:szCs w:val="24"/>
                <w:lang w:val="hy-AM"/>
              </w:rPr>
              <w:t xml:space="preserve"> </w:t>
            </w:r>
            <w:r>
              <w:rPr>
                <w:rFonts w:cs="Arial"/>
                <w:sz w:val="24"/>
                <w:szCs w:val="24"/>
                <w:lang w:val="hy-AM"/>
              </w:rPr>
              <w:t>ցածր</w:t>
            </w:r>
            <w:r>
              <w:rPr>
                <w:sz w:val="24"/>
                <w:szCs w:val="24"/>
                <w:lang w:val="hy-AM"/>
              </w:rPr>
              <w:t xml:space="preserve"> </w:t>
            </w:r>
            <w:r>
              <w:rPr>
                <w:rFonts w:cs="Arial"/>
                <w:sz w:val="24"/>
                <w:szCs w:val="24"/>
                <w:lang w:val="hy-AM"/>
              </w:rPr>
              <w:t>պաշտոնի</w:t>
            </w:r>
            <w:r>
              <w:rPr>
                <w:sz w:val="24"/>
                <w:szCs w:val="24"/>
                <w:lang w:val="hy-AM"/>
              </w:rPr>
              <w:t xml:space="preserve"> </w:t>
            </w:r>
            <w:r>
              <w:rPr>
                <w:rFonts w:cs="Arial"/>
                <w:sz w:val="24"/>
                <w:szCs w:val="24"/>
                <w:lang w:val="hy-AM"/>
              </w:rPr>
              <w:t>նշանակելու</w:t>
            </w:r>
            <w:r>
              <w:rPr>
                <w:sz w:val="24"/>
                <w:szCs w:val="24"/>
                <w:lang w:val="hy-AM"/>
              </w:rPr>
              <w:t xml:space="preserve"> </w:t>
            </w:r>
            <w:r>
              <w:rPr>
                <w:rFonts w:cs="Arial"/>
                <w:sz w:val="24"/>
                <w:szCs w:val="24"/>
                <w:lang w:val="hy-AM"/>
              </w:rPr>
              <w:t>կամ</w:t>
            </w:r>
            <w:r>
              <w:rPr>
                <w:sz w:val="24"/>
                <w:szCs w:val="24"/>
                <w:lang w:val="hy-AM"/>
              </w:rPr>
              <w:t xml:space="preserve"> </w:t>
            </w:r>
            <w:r>
              <w:rPr>
                <w:rFonts w:cs="Arial"/>
                <w:sz w:val="24"/>
                <w:szCs w:val="24"/>
                <w:lang w:val="hy-AM"/>
              </w:rPr>
              <w:t>այլ</w:t>
            </w:r>
            <w:r>
              <w:rPr>
                <w:sz w:val="24"/>
                <w:szCs w:val="24"/>
                <w:lang w:val="hy-AM"/>
              </w:rPr>
              <w:t xml:space="preserve"> </w:t>
            </w:r>
            <w:r>
              <w:rPr>
                <w:rFonts w:cs="Arial"/>
                <w:sz w:val="24"/>
                <w:szCs w:val="24"/>
                <w:lang w:val="hy-AM"/>
              </w:rPr>
              <w:t>պաշտոնի</w:t>
            </w:r>
            <w:r>
              <w:rPr>
                <w:sz w:val="24"/>
                <w:szCs w:val="24"/>
                <w:lang w:val="hy-AM"/>
              </w:rPr>
              <w:t xml:space="preserve"> </w:t>
            </w:r>
            <w:r>
              <w:rPr>
                <w:rFonts w:cs="Arial"/>
                <w:sz w:val="24"/>
                <w:szCs w:val="24"/>
                <w:lang w:val="hy-AM"/>
              </w:rPr>
              <w:t>փոխադրելու</w:t>
            </w:r>
            <w:r>
              <w:rPr>
                <w:sz w:val="24"/>
                <w:szCs w:val="24"/>
                <w:lang w:val="hy-AM"/>
              </w:rPr>
              <w:t xml:space="preserve"> </w:t>
            </w:r>
            <w:r>
              <w:rPr>
                <w:rFonts w:cs="Arial"/>
                <w:sz w:val="24"/>
                <w:szCs w:val="24"/>
                <w:lang w:val="hy-AM"/>
              </w:rPr>
              <w:t>կարգը</w:t>
            </w:r>
            <w:r>
              <w:rPr>
                <w:sz w:val="24"/>
                <w:szCs w:val="24"/>
                <w:lang w:val="hy-AM"/>
              </w:rPr>
              <w:t xml:space="preserve"> </w:t>
            </w:r>
            <w:r>
              <w:rPr>
                <w:rFonts w:cs="Arial"/>
                <w:sz w:val="24"/>
                <w:szCs w:val="24"/>
                <w:lang w:val="hy-AM"/>
              </w:rPr>
              <w:t>սահմանվելու</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Ծառայության</w:t>
            </w:r>
            <w:r>
              <w:rPr>
                <w:sz w:val="24"/>
                <w:szCs w:val="24"/>
                <w:lang w:val="hy-AM"/>
              </w:rPr>
              <w:t xml:space="preserve"> </w:t>
            </w:r>
            <w:r>
              <w:rPr>
                <w:rFonts w:cs="Arial"/>
                <w:sz w:val="24"/>
                <w:szCs w:val="24"/>
                <w:lang w:val="hy-AM"/>
              </w:rPr>
              <w:t>պետի</w:t>
            </w:r>
            <w:r>
              <w:rPr>
                <w:sz w:val="24"/>
                <w:szCs w:val="24"/>
                <w:lang w:val="hy-AM"/>
              </w:rPr>
              <w:t xml:space="preserve"> </w:t>
            </w:r>
            <w:r>
              <w:rPr>
                <w:rFonts w:cs="Arial"/>
                <w:sz w:val="24"/>
                <w:szCs w:val="24"/>
                <w:lang w:val="hy-AM"/>
              </w:rPr>
              <w:t>հրամանով։</w:t>
            </w:r>
            <w:r>
              <w:rPr>
                <w:sz w:val="24"/>
                <w:szCs w:val="24"/>
                <w:lang w:val="hy-AM"/>
              </w:rPr>
              <w:t xml:space="preserve"> </w:t>
            </w:r>
            <w:r>
              <w:rPr>
                <w:rFonts w:cs="Arial"/>
                <w:sz w:val="24"/>
                <w:szCs w:val="24"/>
                <w:lang w:val="hy-AM"/>
              </w:rPr>
              <w:t>Մինչդեռ</w:t>
            </w:r>
            <w:r>
              <w:rPr>
                <w:sz w:val="24"/>
                <w:szCs w:val="24"/>
                <w:lang w:val="hy-AM"/>
              </w:rPr>
              <w:t xml:space="preserve">, նախագծով առաջարկվող կարգավորման պայմաններում, </w:t>
            </w:r>
            <w:r>
              <w:rPr>
                <w:rFonts w:cs="Arial"/>
                <w:sz w:val="24"/>
                <w:szCs w:val="24"/>
                <w:lang w:val="hy-AM"/>
              </w:rPr>
              <w:t>պարզ</w:t>
            </w:r>
            <w:r>
              <w:rPr>
                <w:sz w:val="24"/>
                <w:szCs w:val="24"/>
                <w:lang w:val="hy-AM"/>
              </w:rPr>
              <w:t xml:space="preserve"> </w:t>
            </w:r>
            <w:r>
              <w:rPr>
                <w:rFonts w:cs="Arial"/>
                <w:sz w:val="24"/>
                <w:szCs w:val="24"/>
                <w:lang w:val="hy-AM"/>
              </w:rPr>
              <w:t>չէ</w:t>
            </w:r>
            <w:r>
              <w:rPr>
                <w:sz w:val="24"/>
                <w:szCs w:val="24"/>
                <w:lang w:val="hy-AM"/>
              </w:rPr>
              <w:t xml:space="preserve">, </w:t>
            </w:r>
            <w:r>
              <w:rPr>
                <w:rFonts w:cs="Arial"/>
                <w:sz w:val="24"/>
                <w:szCs w:val="24"/>
                <w:lang w:val="hy-AM"/>
              </w:rPr>
              <w:t>թե,</w:t>
            </w:r>
            <w:r>
              <w:rPr>
                <w:sz w:val="24"/>
                <w:szCs w:val="24"/>
                <w:lang w:val="hy-AM"/>
              </w:rPr>
              <w:t xml:space="preserve"> </w:t>
            </w:r>
            <w:r>
              <w:rPr>
                <w:rFonts w:cs="Arial"/>
                <w:sz w:val="24"/>
                <w:szCs w:val="24"/>
                <w:lang w:val="hy-AM"/>
              </w:rPr>
              <w:t>որ</w:t>
            </w:r>
            <w:r>
              <w:rPr>
                <w:sz w:val="24"/>
                <w:szCs w:val="24"/>
                <w:lang w:val="hy-AM"/>
              </w:rPr>
              <w:t xml:space="preserve"> </w:t>
            </w:r>
            <w:r>
              <w:rPr>
                <w:rFonts w:cs="Arial"/>
                <w:sz w:val="24"/>
                <w:szCs w:val="24"/>
                <w:lang w:val="hy-AM"/>
              </w:rPr>
              <w:t>հարաբերությունների</w:t>
            </w:r>
            <w:r>
              <w:rPr>
                <w:sz w:val="24"/>
                <w:szCs w:val="24"/>
                <w:lang w:val="hy-AM"/>
              </w:rPr>
              <w:t xml:space="preserve"> </w:t>
            </w:r>
            <w:r>
              <w:rPr>
                <w:rFonts w:cs="Arial"/>
                <w:sz w:val="24"/>
                <w:szCs w:val="24"/>
                <w:lang w:val="hy-AM"/>
              </w:rPr>
              <w:t>կարգավորումն</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մնալու</w:t>
            </w:r>
            <w:r>
              <w:rPr>
                <w:sz w:val="24"/>
                <w:szCs w:val="24"/>
                <w:lang w:val="hy-AM"/>
              </w:rPr>
              <w:t xml:space="preserve"> </w:t>
            </w:r>
            <w:r>
              <w:rPr>
                <w:rFonts w:cs="Arial"/>
                <w:sz w:val="24"/>
                <w:szCs w:val="24"/>
                <w:lang w:val="hy-AM"/>
              </w:rPr>
              <w:t>այդ</w:t>
            </w:r>
            <w:r>
              <w:rPr>
                <w:sz w:val="24"/>
                <w:szCs w:val="24"/>
                <w:lang w:val="hy-AM"/>
              </w:rPr>
              <w:t xml:space="preserve"> </w:t>
            </w:r>
            <w:r>
              <w:rPr>
                <w:rFonts w:cs="Arial"/>
                <w:sz w:val="24"/>
                <w:szCs w:val="24"/>
                <w:lang w:val="hy-AM"/>
              </w:rPr>
              <w:t>հրամանի</w:t>
            </w:r>
            <w:r>
              <w:rPr>
                <w:sz w:val="24"/>
                <w:szCs w:val="24"/>
                <w:lang w:val="hy-AM"/>
              </w:rPr>
              <w:t xml:space="preserve"> </w:t>
            </w:r>
            <w:r>
              <w:rPr>
                <w:rFonts w:cs="Arial"/>
                <w:sz w:val="24"/>
                <w:szCs w:val="24"/>
                <w:lang w:val="hy-AM"/>
              </w:rPr>
              <w:t>տիրույթում։</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hanging="0" w:left="0" w:right="219"/>
              <w:contextualSpacing/>
              <w:jc w:val="both"/>
              <w:rPr/>
            </w:pPr>
            <w:r>
              <w:rPr>
                <w:rFonts w:cs="Arial" w:cstheme="majorHAnsi"/>
                <w:sz w:val="24"/>
                <w:szCs w:val="24"/>
                <w:lang w:val="hy-AM"/>
              </w:rPr>
              <w:t xml:space="preserve">6․ Նախագծի 6-րդ </w:t>
            </w:r>
            <w:r>
              <w:rPr>
                <w:rStyle w:val="Strong"/>
                <w:rFonts w:cs="GHEA Grapalat"/>
                <w:b w:val="false"/>
                <w:sz w:val="24"/>
                <w:szCs w:val="24"/>
                <w:lang w:val="hy-AM"/>
              </w:rPr>
              <w:t xml:space="preserve"> հոդվածի 1-ին մասի 1-ին կետի համաձայն՝</w:t>
            </w:r>
            <w:r>
              <w:rPr>
                <w:rFonts w:cs="Arial" w:cstheme="majorHAnsi"/>
                <w:sz w:val="24"/>
                <w:szCs w:val="24"/>
                <w:lang w:val="hy-AM"/>
              </w:rPr>
              <w:t xml:space="preserve"> Ծառայության կառուցվածքի, անձնակազմի քանակի, հաստիքացուցակի և անվանացանկի վերաբերյալ տեղեկատվությունը հանդիսանում է պետական գաղտնիք, եթե </w:t>
            </w:r>
            <w:r>
              <w:rPr>
                <w:rFonts w:cs="Arial" w:cstheme="majorHAnsi"/>
                <w:b/>
                <w:sz w:val="24"/>
                <w:szCs w:val="24"/>
                <w:lang w:val="hy-AM"/>
              </w:rPr>
              <w:t xml:space="preserve">վարչապետի որոշմամբ այլ բան նախատեսված չէ։ </w:t>
            </w:r>
            <w:r>
              <w:rPr>
                <w:sz w:val="24"/>
                <w:szCs w:val="24"/>
                <w:lang w:val="hy-AM"/>
              </w:rPr>
              <w:t xml:space="preserve">Մինչդեռ, պետական գաղտնիքին վերաբերող հարաբերությունները արդեն իսկ կարգավորված են </w:t>
            </w:r>
            <w:r>
              <w:rPr>
                <w:i/>
                <w:sz w:val="24"/>
                <w:szCs w:val="24"/>
                <w:lang w:val="hy-AM"/>
              </w:rPr>
              <w:t>«Պետական գաղտնիքի մասին»</w:t>
            </w:r>
            <w:r>
              <w:rPr>
                <w:sz w:val="24"/>
                <w:szCs w:val="24"/>
                <w:lang w:val="hy-AM"/>
              </w:rPr>
              <w:t xml:space="preserve"> օրենքով, որով բացակայում են վարչապետի որոշմամբ օրենքից տարբերվող կառուցակարգեր նախատեսելու հնարավորության հարցը։</w:t>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sz w:val="24"/>
                <w:szCs w:val="24"/>
              </w:rPr>
            </w:pPr>
            <w:bookmarkStart w:id="5" w:name="_GoBack_Copy_1_Copy_1_Copy_1_Copy_1"/>
            <w:bookmarkEnd w:id="5"/>
            <w:r>
              <w:rPr>
                <w:sz w:val="24"/>
                <w:szCs w:val="24"/>
                <w:lang w:val="hy-AM"/>
              </w:rPr>
              <w:t xml:space="preserve">7․ Նախագծային մի շարք դրույթներով ԱՀԾ լիազորությունները լրացվում են, որոնք մեր գնահատմամբ, զուտ առանձին ընթացակարգային գործառույթներ են իրենցից ներկայացնում, որոնք ուղղված են բուն լիազորությունների իրականացմանը կամ բխում են այդ լիազորություններից: Հետևաբար, պարզ չէ </w:t>
            </w:r>
            <w:r>
              <w:rPr>
                <w:rFonts w:cs="Cambria Math"/>
                <w:sz w:val="24"/>
                <w:szCs w:val="24"/>
                <w:lang w:val="hy-AM"/>
              </w:rPr>
              <w:t xml:space="preserve">դրանց՝ որպես առանձին լիազորությունների նախատեսման անհրաժեշտությունը (օրինակ՝ նախագծի 3-րդ հոդվածի համաձայն՝ </w:t>
            </w:r>
            <w:r>
              <w:rPr>
                <w:sz w:val="24"/>
                <w:szCs w:val="24"/>
                <w:lang w:val="hy-AM"/>
              </w:rPr>
              <w:t>Ծառայությունն արտաքին հետախուզական գործունեության շրջանակներում իրականացնելու է Ծառայության հատուկ կարևորության, հույժ գաղտնի, գաղտնի և այլ ծառայողական թղթակցությունների փոխադրումը և ապահովելու է դրանց պահպանումը</w:t>
            </w:r>
            <w:r>
              <w:rPr>
                <w:rFonts w:cs="Cambria Math"/>
                <w:sz w:val="24"/>
                <w:szCs w:val="24"/>
                <w:lang w:val="hy-AM"/>
              </w:rPr>
              <w:t xml:space="preserve">, </w:t>
            </w:r>
            <w:r>
              <w:rPr>
                <w:sz w:val="24"/>
                <w:szCs w:val="24"/>
                <w:lang w:val="hy-AM"/>
              </w:rPr>
              <w:t>իրականացնելու է իր պաշտոնական կայքերի, էլեկտրոնային հարթակների և այլ տեղեկատվական համակարգերի և տեղեկատվական ենթակառուցվածքների անվտանգության (այդ թվում՝ կիբեռանվտանգության) ապահովում, կամ Ծառայության տեղեկատվական համակարգերի և տեղեկատվական ենթակառուցվածնքների համակարգչային միջադեպերին արձագանքելու աշխատանքներ</w:t>
            </w:r>
            <w:r>
              <w:rPr>
                <w:rFonts w:cs="Cambria Math"/>
                <w:sz w:val="24"/>
                <w:szCs w:val="24"/>
                <w:lang w:val="hy-AM"/>
              </w:rPr>
              <w:t xml:space="preserve"> և այլն):</w:t>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0"/>
              </w:numPr>
              <w:tabs>
                <w:tab w:val="clear" w:pos="709"/>
                <w:tab w:val="left" w:pos="1080" w:leader="none"/>
                <w:tab w:val="left" w:pos="1350" w:leader="none"/>
              </w:tabs>
              <w:spacing w:lineRule="auto" w:line="360" w:before="0" w:after="0"/>
              <w:ind w:hanging="0" w:left="0" w:right="219"/>
              <w:contextualSpacing/>
              <w:jc w:val="both"/>
              <w:rPr>
                <w:sz w:val="24"/>
                <w:szCs w:val="24"/>
              </w:rPr>
            </w:pPr>
            <w:r>
              <w:rPr>
                <w:sz w:val="24"/>
                <w:szCs w:val="24"/>
                <w:lang w:val="hy-AM"/>
              </w:rPr>
              <w:t xml:space="preserve">8․ Նախագծի 10-րդ հոդվածի համաձայն՝ Ծառայության ծառայողների բարձրագույն,  գլխավոր, ավագ, միջին և կրտսեր խմբերի պաշտոնների նշանակելու ու պաշտոնից ազատելու է Ծառայության պետը, եթե </w:t>
            </w:r>
            <w:r>
              <w:rPr>
                <w:b/>
                <w:sz w:val="24"/>
                <w:szCs w:val="24"/>
                <w:lang w:val="hy-AM"/>
              </w:rPr>
              <w:t>օրենքով</w:t>
            </w:r>
            <w:r>
              <w:rPr>
                <w:sz w:val="24"/>
                <w:szCs w:val="24"/>
                <w:lang w:val="hy-AM"/>
              </w:rPr>
              <w:t xml:space="preserve"> այլ բան նախատեսված չէ: Մինչդեռ, պարզ չէ, թե, որ օրենքի մասին է խոսքը։ Ստացվում է, որ սույն օրենքով մեկ այլ օրենքի գերակայություն է տրվում, որպիսի հանգամանքը անհասկանալի է:</w:t>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pPr>
            <w:r>
              <w:rPr>
                <w:sz w:val="24"/>
                <w:szCs w:val="24"/>
                <w:lang w:val="hy-AM"/>
              </w:rPr>
              <w:t>9․ Նախագծի 5-րդ հոդվածով լրացվող 13</w:t>
            </w:r>
            <w:r>
              <w:rPr>
                <w:rFonts w:cs="Cambria Math" w:ascii="Cambria Math" w:hAnsi="Cambria Math"/>
                <w:sz w:val="24"/>
                <w:szCs w:val="24"/>
                <w:lang w:val="hy-AM"/>
              </w:rPr>
              <w:t>․</w:t>
            </w:r>
            <w:r>
              <w:rPr>
                <w:rFonts w:cs="Times New Roman"/>
                <w:sz w:val="24"/>
                <w:szCs w:val="24"/>
                <w:lang w:val="hy-AM"/>
              </w:rPr>
              <w:t>2-րդ հոդվածի 1-ին մասի 3-րդ կետով</w:t>
            </w:r>
            <w:r>
              <w:rPr>
                <w:sz w:val="24"/>
                <w:szCs w:val="24"/>
                <w:lang w:val="hy-AM"/>
              </w:rPr>
              <w:t xml:space="preserve"> նախատեսվում է, որ </w:t>
            </w:r>
            <w:r>
              <w:rPr>
                <w:rStyle w:val="Strong"/>
                <w:rFonts w:cs="GHEA Grapalat"/>
                <w:b w:val="false"/>
                <w:sz w:val="24"/>
                <w:szCs w:val="24"/>
                <w:lang w:val="hy-AM"/>
              </w:rPr>
              <w:t>Ծառայության ծառայողն անձանց ձերբակալելիս,</w:t>
            </w:r>
            <w:r>
              <w:rPr>
                <w:rStyle w:val="Strong"/>
                <w:rFonts w:cs="GHEA Grapalat"/>
                <w:sz w:val="24"/>
                <w:szCs w:val="24"/>
                <w:lang w:val="hy-AM"/>
              </w:rPr>
              <w:t xml:space="preserve"> </w:t>
            </w:r>
            <w:r>
              <w:rPr>
                <w:rStyle w:val="Strong"/>
                <w:rFonts w:cs="GHEA Grapalat"/>
                <w:b w:val="false"/>
                <w:sz w:val="24"/>
                <w:szCs w:val="24"/>
                <w:lang w:val="hy-AM"/>
              </w:rPr>
              <w:t xml:space="preserve">որոնց հանդեպ անհրաժեշտ հիմքեր կան ենթադրելու, որ նրանք </w:t>
            </w:r>
            <w:r>
              <w:rPr>
                <w:rStyle w:val="Strong"/>
                <w:rFonts w:cs="GHEA Grapalat"/>
                <w:sz w:val="24"/>
                <w:szCs w:val="24"/>
                <w:lang w:val="hy-AM"/>
              </w:rPr>
              <w:t>հակված են ցույց տալ դիմադրություն կամ խոչընդոտելու</w:t>
            </w:r>
            <w:r>
              <w:rPr>
                <w:rStyle w:val="Strong"/>
                <w:rFonts w:cs="GHEA Grapalat"/>
                <w:b w:val="false"/>
                <w:sz w:val="24"/>
                <w:szCs w:val="24"/>
                <w:lang w:val="hy-AM"/>
              </w:rPr>
              <w:t xml:space="preserve"> Ծառայության ծառայողների պարտականությունները կատարելուն,</w:t>
            </w:r>
            <w:r>
              <w:rPr>
                <w:rStyle w:val="Strong"/>
                <w:rFonts w:cs="GHEA Grapalat"/>
                <w:sz w:val="24"/>
                <w:szCs w:val="24"/>
                <w:lang w:val="hy-AM"/>
              </w:rPr>
              <w:t xml:space="preserve"> </w:t>
            </w:r>
            <w:r>
              <w:rPr>
                <w:rStyle w:val="Strong"/>
                <w:rFonts w:cs="GHEA Grapalat"/>
                <w:b w:val="false"/>
                <w:sz w:val="24"/>
                <w:szCs w:val="24"/>
                <w:lang w:val="hy-AM"/>
              </w:rPr>
              <w:t>իրավունք ունի հատուկ միջոցներ կիրառել։ Մինչդեռ, մեր գնահատմամբ, նշված հանգամանքով հակվածությունը խիստ գնահատողական է և հայեցողության տեղիք է տալիս:</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pPr>
            <w:r>
              <w:rPr>
                <w:sz w:val="24"/>
                <w:szCs w:val="24"/>
                <w:lang w:val="hy-AM"/>
              </w:rPr>
              <w:t>10․ Նախագծի 5-րդ հոդվածով լրացվող 13</w:t>
            </w:r>
            <w:r>
              <w:rPr>
                <w:rFonts w:cs="Cambria Math" w:ascii="Cambria Math" w:hAnsi="Cambria Math"/>
                <w:sz w:val="24"/>
                <w:szCs w:val="24"/>
                <w:lang w:val="hy-AM"/>
              </w:rPr>
              <w:t>․</w:t>
            </w:r>
            <w:r>
              <w:rPr>
                <w:rFonts w:cs="Times New Roman"/>
                <w:sz w:val="24"/>
                <w:szCs w:val="24"/>
                <w:lang w:val="hy-AM"/>
              </w:rPr>
              <w:t xml:space="preserve">3-րդ հոդվածի 1-ին մասի 6-րդ կետի համաձայն՝ </w:t>
            </w:r>
            <w:r>
              <w:rPr>
                <w:rStyle w:val="Strong"/>
                <w:rFonts w:cs="GHEA Grapalat"/>
                <w:b w:val="false"/>
                <w:sz w:val="24"/>
                <w:szCs w:val="24"/>
                <w:lang w:val="hy-AM"/>
              </w:rPr>
              <w:t>Ծառայության ծառայողն իրավունք ունի զենք գործադրել զենք կիրառելու մտադրության մասին նախազգուշական կրակոց արձակելիս,</w:t>
            </w:r>
            <w:r>
              <w:rPr>
                <w:rStyle w:val="Strong"/>
                <w:rFonts w:cs="GHEA Grapalat"/>
                <w:sz w:val="24"/>
                <w:szCs w:val="24"/>
                <w:lang w:val="hy-AM"/>
              </w:rPr>
              <w:t xml:space="preserve"> տագնապ հայտարարելիս </w:t>
            </w:r>
            <w:r>
              <w:rPr>
                <w:rStyle w:val="Strong"/>
                <w:rFonts w:cs="GHEA Grapalat"/>
                <w:b w:val="false"/>
                <w:sz w:val="24"/>
                <w:szCs w:val="24"/>
                <w:lang w:val="hy-AM"/>
              </w:rPr>
              <w:t>կամ օգնություն կանչելիս։</w:t>
            </w:r>
            <w:r>
              <w:rPr>
                <w:rStyle w:val="Strong"/>
                <w:rFonts w:cs="GHEA Grapalat"/>
                <w:sz w:val="24"/>
                <w:szCs w:val="24"/>
                <w:lang w:val="hy-AM"/>
              </w:rPr>
              <w:t xml:space="preserve"> </w:t>
            </w:r>
            <w:r>
              <w:rPr>
                <w:rStyle w:val="Strong"/>
                <w:rFonts w:cs="GHEA Grapalat"/>
                <w:b w:val="false"/>
                <w:sz w:val="24"/>
                <w:szCs w:val="24"/>
                <w:lang w:val="hy-AM"/>
              </w:rPr>
              <w:t>Մինչդեռ,</w:t>
            </w:r>
            <w:r>
              <w:rPr>
                <w:rStyle w:val="Strong"/>
                <w:rFonts w:cs="GHEA Grapalat"/>
                <w:sz w:val="24"/>
                <w:szCs w:val="24"/>
                <w:lang w:val="hy-AM"/>
              </w:rPr>
              <w:t xml:space="preserve"> </w:t>
            </w:r>
            <w:r>
              <w:rPr>
                <w:rStyle w:val="Strong"/>
                <w:rFonts w:cs="GHEA Grapalat"/>
                <w:b w:val="false"/>
                <w:sz w:val="24"/>
                <w:szCs w:val="24"/>
                <w:lang w:val="hy-AM"/>
              </w:rPr>
              <w:t>պարզ չէ, օրինակ՝ տագնապ հայտարարելն ինչ կառուցակարգ է ենթադրելու, որպեսզի հնարավոր լինի գնահատել վերոնշված դեպքերում ծառայողի կողմից զենք գործադրելու իրավունքի նախատեսման իրավաչափությունը։</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sz w:val="24"/>
                <w:szCs w:val="24"/>
              </w:rPr>
            </w:pPr>
            <w:r>
              <w:rPr>
                <w:sz w:val="24"/>
                <w:szCs w:val="24"/>
                <w:lang w:val="hy-AM"/>
              </w:rPr>
              <w:t>11․ Նախագծային մի շարք դրույթներով արհեստածին կերպով ներմուծվում են կառուցակարգեր, որոնք, չնայած այն հանգամանքին, որ մի շարք մարմիններում այսօր էլ շարունակում են գործել, սակայն, մեր գնահատմամբ, դրանց ԱՀԾ համակարգում նախատեսելը ծանրակշիռ հիմնավորման կարիք ունեն (օրինակ՝ դասային աստիճաններ, Ծառայության ծառայողների համար սահմանված համազգեստ ունենալը և այլն):</w:t>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pPr>
            <w:r>
              <w:rPr>
                <w:sz w:val="24"/>
                <w:szCs w:val="24"/>
                <w:lang w:val="hy-AM"/>
              </w:rPr>
              <w:t>12․ Նախագծային մի շարք դրույթներով ԱՀԾ ծառայողներին՝ ի համեմատ այլ մարմինների, տրամադրվելու են լայն շրջանակի սոցիալական երաշխիքներ</w:t>
            </w:r>
            <w:r>
              <w:rPr>
                <w:sz w:val="24"/>
                <w:szCs w:val="24"/>
                <w:shd w:fill="FFFFFF" w:val="clear"/>
                <w:lang w:val="hy-AM"/>
              </w:rPr>
              <w:t xml:space="preserve"> </w:t>
            </w:r>
            <w:r>
              <w:rPr>
                <w:sz w:val="24"/>
                <w:szCs w:val="24"/>
                <w:lang w:val="hy-AM"/>
              </w:rPr>
              <w:t>(օրինակ՝ լրացուցիչ արձակուրդի,</w:t>
            </w:r>
            <w:r>
              <w:rPr>
                <w:rStyle w:val="StrongEmphasis"/>
                <w:rFonts w:eastAsia="Times New Roman" w:cs="Times New Roman"/>
                <w:b w:val="false"/>
                <w:bCs w:val="false"/>
                <w:kern w:val="2"/>
                <w:sz w:val="24"/>
                <w:szCs w:val="24"/>
                <w:lang w:val="hy-AM" w:eastAsia="zh-CN" w:bidi="hi-IN"/>
              </w:rPr>
              <w:t xml:space="preserve"> </w:t>
            </w:r>
            <w:r>
              <w:rPr>
                <w:rStyle w:val="StrongEmphasis"/>
                <w:rFonts w:eastAsia="Times New Roman" w:cs="Cambria Math"/>
                <w:b w:val="false"/>
                <w:bCs w:val="false"/>
                <w:kern w:val="2"/>
                <w:sz w:val="24"/>
                <w:szCs w:val="24"/>
                <w:lang w:val="hy-AM" w:eastAsia="zh-CN" w:bidi="hi-IN"/>
              </w:rPr>
              <w:t>ծառայողների</w:t>
            </w:r>
            <w:r>
              <w:rPr>
                <w:rStyle w:val="StrongEmphasis"/>
                <w:rFonts w:eastAsia="Times New Roman" w:cs="Times New Roman"/>
                <w:kern w:val="2"/>
                <w:sz w:val="24"/>
                <w:szCs w:val="24"/>
                <w:lang w:val="hy-AM" w:eastAsia="zh-CN" w:bidi="hi-IN"/>
              </w:rPr>
              <w:t xml:space="preserve"> </w:t>
            </w:r>
            <w:r>
              <w:rPr>
                <w:rStyle w:val="StrongEmphasis"/>
                <w:rFonts w:eastAsia="Times New Roman" w:cs="Times New Roman"/>
                <w:b w:val="false"/>
                <w:kern w:val="2"/>
                <w:sz w:val="24"/>
                <w:szCs w:val="24"/>
                <w:lang w:val="hy-AM" w:eastAsia="zh-CN" w:bidi="hi-IN"/>
              </w:rPr>
              <w:t>կամ նրանց ընտանիքի անմիջական անդամներին սոցիալական փաթեթին համարժեք գումարի չափով հատուցման կամ արտոնյալ պայմաններով կենսաթոշակի տրամադրում և այլն):</w:t>
            </w:r>
            <w:r>
              <w:rPr>
                <w:sz w:val="24"/>
                <w:szCs w:val="24"/>
                <w:lang w:val="hy-AM"/>
              </w:rPr>
              <w:t xml:space="preserve"> </w:t>
            </w:r>
            <w:r>
              <w:rPr>
                <w:sz w:val="24"/>
                <w:szCs w:val="24"/>
                <w:shd w:fill="FFFFFF" w:val="clear"/>
                <w:lang w:val="hy-AM"/>
              </w:rPr>
              <w:t>Մինչդեռ, մեր գնահատմամբ, հանրային ծառայողների մի մասին նման սոցիալական արտոնություն տալը խնդրահարույց և անարդար է հանրային ծառայողների մյուս խմբերի նկատմամբ: Գտնում ենք, որ հանրային ծառայողների սոցիալական երաշխիքներ սահմանելու հարցը պետք է դիտարկել ամբողջության մեջ՝ որպես պետության կողմից հանրային ծառայողների նկատմամբ վարվող միասնական քաղաքականություն:</w:t>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firstLine="63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sz w:val="24"/>
                <w:szCs w:val="24"/>
                <w:shd w:fill="FFFFFF" w:val="clear"/>
                <w:lang w:val="hy-AM"/>
              </w:rPr>
            </w:pPr>
            <w:r>
              <w:rPr>
                <w:sz w:val="24"/>
                <w:szCs w:val="24"/>
                <w:shd w:fill="FFFFFF" w:val="clear"/>
                <w:lang w:val="hy-AM"/>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pPr>
            <w:r>
              <w:rPr>
                <w:rFonts w:cs="Arial" w:cstheme="majorHAnsi"/>
                <w:bCs/>
                <w:i/>
                <w:sz w:val="24"/>
                <w:szCs w:val="24"/>
                <w:lang w:val="hy-AM"/>
              </w:rPr>
              <w:t>13․ «Օպերատիվ֊հետախուզական գործունեության մասին» օրենքում լրացումներ և փոփոխություններ կատարելու մասին»</w:t>
            </w:r>
            <w:r>
              <w:rPr>
                <w:rFonts w:cs="Arial" w:cstheme="majorHAnsi"/>
                <w:i/>
                <w:sz w:val="24"/>
                <w:szCs w:val="24"/>
                <w:lang w:val="hy-AM"/>
              </w:rPr>
              <w:t xml:space="preserve"> օրենքի նախագծի</w:t>
            </w:r>
            <w:r>
              <w:rPr>
                <w:rFonts w:cs="Arial" w:cstheme="majorHAnsi"/>
                <w:sz w:val="24"/>
                <w:szCs w:val="24"/>
                <w:lang w:val="hy-AM"/>
              </w:rPr>
              <w:t xml:space="preserve"> </w:t>
            </w:r>
            <w:r>
              <w:rPr>
                <w:rFonts w:cs="Arial" w:cstheme="majorHAnsi"/>
                <w:i/>
                <w:sz w:val="24"/>
                <w:szCs w:val="24"/>
                <w:lang w:val="hy-AM"/>
              </w:rPr>
              <w:t xml:space="preserve">(այսուհետ՝ նախագիծ) </w:t>
            </w:r>
            <w:r>
              <w:rPr>
                <w:rFonts w:cs="Arial" w:cstheme="majorHAnsi"/>
                <w:sz w:val="24"/>
                <w:szCs w:val="24"/>
                <w:lang w:val="hy-AM"/>
              </w:rPr>
              <w:t xml:space="preserve">համաձայն՝ Արտաքին հետախուզության ծառայության պետը մինչև յուրաքանչյուր հաջորդ տարվա հունվարի 31֊ը ներառյալ վարչապետին տարեկան հաշվետվություն է ներկայացնելու, որը պարունակում է նախորդ տարվա ընթացքում՝ ԱՀԾ-ի կողմից իրականացված  թվային, այդ թվում՝ հեռախոսային հաղորդակցության վերահսկում օպերատիվ֊հետախուզական միջոցառումների, ինչպես նաև </w:t>
            </w:r>
            <w:r>
              <w:rPr>
                <w:rStyle w:val="StrongEmphasis"/>
                <w:rFonts w:cs="Arial" w:cstheme="majorHAnsi"/>
                <w:b w:val="false"/>
                <w:kern w:val="2"/>
                <w:sz w:val="24"/>
                <w:szCs w:val="24"/>
                <w:lang w:val="hy-AM" w:eastAsia="zh-CN" w:bidi="hi-IN"/>
              </w:rPr>
              <w:t>առանց դատարանի որոշման իրականացված և հետագայում դատարանի կողմից ստացված և չստացված թույլտվությունների քանակը։ Մինչդեռ, լրացուցիչ հիմնավորման կարիք ունի վարչապետին վերոնշված տվյալներն արտացոլող հաշվետվության ներկայացումը։ Մասնավորապես, պարզ չէ՝ հաշվետվություն ներկայացնելու նպատակը և դրան հաջորդող գործողությունները:</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sz w:val="24"/>
                <w:szCs w:val="24"/>
              </w:rPr>
            </w:pPr>
            <w:r>
              <w:rPr>
                <w:rFonts w:cs="Arial" w:cstheme="majorHAnsi"/>
                <w:sz w:val="24"/>
                <w:szCs w:val="24"/>
                <w:lang w:val="hy-AM"/>
              </w:rPr>
              <w:t xml:space="preserve">14․ Նախագծի 3-րդ հոդվածի համաձայն՝ </w:t>
            </w:r>
            <w:r>
              <w:rPr>
                <w:sz w:val="24"/>
                <w:szCs w:val="24"/>
                <w:lang w:val="hy-AM"/>
              </w:rPr>
              <w:t>թվային, այդ թվում՝ հեռախոսային հաղորդակցության վերահսկում օպերատիվ-հետախուզական միջոցառման դադարեցման յուրաքանչյուր դեպքի վերաբերյալ Ծառայության պետը զեկուցելու է վարչապետին, որպիսի հանգամանքը ևս ծանրակշիռ հիմնավորման կարիք ունի:</w:t>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tabs>
                <w:tab w:val="clear" w:pos="709"/>
                <w:tab w:val="left" w:pos="1080" w:leader="none"/>
                <w:tab w:val="left" w:pos="1350" w:leader="none"/>
              </w:tabs>
              <w:spacing w:lineRule="auto" w:line="360" w:before="0" w:after="0"/>
              <w:ind w:hanging="0" w:left="0" w:right="219"/>
              <w:contextualSpacing/>
              <w:jc w:val="both"/>
              <w:rPr>
                <w:rFonts w:ascii="GHEA Grapalat" w:hAnsi="GHEA Grapalat" w:eastAsia="Times New Roman" w:cs="Arial"/>
                <w:sz w:val="24"/>
                <w:szCs w:val="24"/>
                <w:lang w:val="hy-AM" w:eastAsia="ru-RU"/>
              </w:rPr>
            </w:pPr>
            <w:r>
              <w:rPr>
                <w:rFonts w:eastAsia="Times New Roman" w:cs="Arial"/>
                <w:sz w:val="24"/>
                <w:szCs w:val="24"/>
                <w:lang w:val="hy-AM" w:eastAsia="ru-RU"/>
              </w:rPr>
            </w:r>
          </w:p>
          <w:p>
            <w:pPr>
              <w:pStyle w:val="ListParagraph"/>
              <w:numPr>
                <w:ilvl w:val="0"/>
                <w:numId w:val="2"/>
              </w:numPr>
              <w:tabs>
                <w:tab w:val="clear" w:pos="709"/>
                <w:tab w:val="left" w:pos="1080" w:leader="none"/>
                <w:tab w:val="left" w:pos="1350" w:leader="none"/>
              </w:tabs>
              <w:spacing w:lineRule="auto" w:line="360" w:before="0" w:after="0"/>
              <w:ind w:firstLine="630" w:left="0" w:right="219"/>
              <w:contextualSpacing/>
              <w:jc w:val="both"/>
              <w:rPr/>
            </w:pPr>
            <w:r>
              <w:rPr>
                <w:rFonts w:eastAsia="Noto Serif CJK SC" w:cs="Arial" w:cstheme="majorHAnsi"/>
                <w:b w:val="false"/>
                <w:bCs w:val="false"/>
                <w:color w:val="auto"/>
                <w:kern w:val="2"/>
                <w:sz w:val="24"/>
                <w:szCs w:val="24"/>
                <w:lang w:val="hy-AM" w:eastAsia="zh-CN" w:bidi="hi-IN"/>
              </w:rPr>
              <w:t>15․ Նախագծով</w:t>
            </w:r>
            <w:r>
              <w:rPr>
                <w:rStyle w:val="StrongEmphasis"/>
                <w:rFonts w:eastAsia="Noto Serif CJK SC" w:cs="Arial" w:cstheme="majorHAnsi"/>
                <w:b w:val="false"/>
                <w:bCs w:val="false"/>
                <w:color w:val="auto"/>
                <w:kern w:val="2"/>
                <w:sz w:val="24"/>
                <w:szCs w:val="24"/>
                <w:lang w:val="hy-AM" w:eastAsia="zh-CN" w:bidi="hi-IN"/>
              </w:rPr>
              <w:t xml:space="preserve"> ն</w:t>
            </w:r>
            <w:r>
              <w:rPr>
                <w:rStyle w:val="StrongEmphasis"/>
                <w:rFonts w:cs="Arial" w:cstheme="majorHAnsi"/>
                <w:b w:val="false"/>
                <w:kern w:val="2"/>
                <w:sz w:val="24"/>
                <w:szCs w:val="24"/>
                <w:lang w:val="hy-AM" w:eastAsia="zh-CN" w:bidi="hi-IN"/>
              </w:rPr>
              <w:t xml:space="preserve">ախատեսվում է, որ </w:t>
            </w:r>
            <w:r>
              <w:rPr>
                <w:rFonts w:cs="Arial" w:cstheme="majorHAnsi"/>
                <w:b w:val="false"/>
                <w:bCs w:val="false"/>
                <w:sz w:val="24"/>
                <w:szCs w:val="24"/>
                <w:lang w:val="hy-AM"/>
              </w:rPr>
              <w:t>ԱՀԾ օպերատիվ-տեխնիկական միջոցառումն իրականացնող ստորաբաժանման ղեկավարումն իրականացնում է Ծառայության պետը, իսկ անմիջական ղեկավարումը՝ ստորաբաժանման ղեկավարը, ում պաշտոնի նշանակում և պաշտոնից ազատում է վարչապետը՝ ԱՀԾ պետի ներկայացմամբ։ Մինչդեռ, մեր գնահատմամբ, նշված հարաբերությունները դուրս են սույն օրենքի կարգավորման առարկայի շրջանակներից։</w:t>
            </w:r>
          </w:p>
        </w:tc>
        <w:tc>
          <w:tcPr>
            <w:tcW w:w="5034" w:type="dxa"/>
            <w:tcBorders>
              <w:left w:val="single" w:sz="4" w:space="0" w:color="000000"/>
              <w:bottom w:val="single" w:sz="4" w:space="0" w:color="000000"/>
              <w:right w:val="single" w:sz="4" w:space="0" w:color="000000"/>
            </w:tcBorders>
          </w:tcPr>
          <w:p>
            <w:pPr>
              <w:pStyle w:val="Normal"/>
              <w:shd w:val="clear" w:fill="FFFFFF"/>
              <w:spacing w:lineRule="auto" w:line="276" w:before="0" w:after="0"/>
              <w:ind w:hanging="0" w:left="0" w:right="0"/>
              <w:jc w:val="center"/>
              <w:rPr>
                <w:sz w:val="24"/>
                <w:szCs w:val="24"/>
              </w:rPr>
            </w:pPr>
            <w:r>
              <w:rPr>
                <w:sz w:val="24"/>
                <w:szCs w:val="24"/>
              </w:rPr>
            </w:r>
          </w:p>
          <w:p>
            <w:pPr>
              <w:pStyle w:val="Normal"/>
              <w:shd w:val="clear" w:fill="FFFFFF"/>
              <w:spacing w:lineRule="auto" w:line="276" w:before="0" w:after="0"/>
              <w:ind w:hanging="0" w:left="0" w:right="0"/>
              <w:jc w:val="center"/>
              <w:rPr>
                <w:sz w:val="24"/>
                <w:szCs w:val="24"/>
              </w:rPr>
            </w:pPr>
            <w:r>
              <w:rPr>
                <w:b/>
                <w:bCs/>
                <w:sz w:val="24"/>
                <w:szCs w:val="24"/>
              </w:rPr>
              <w:t>1․ Ընդունվել և նախագծում կատարվել է համապատասխան փոփոխություն</w:t>
            </w:r>
          </w:p>
          <w:p>
            <w:pPr>
              <w:pStyle w:val="TableContents"/>
              <w:bidi w:val="0"/>
              <w:jc w:val="both"/>
              <w:rPr>
                <w:sz w:val="24"/>
                <w:szCs w:val="24"/>
              </w:rPr>
            </w:pPr>
            <w:r>
              <w:rPr>
                <w:rFonts w:eastAsia="Noto Serif CJK SC" w:cs="Lohit Devanagari"/>
                <w:color w:val="auto"/>
                <w:kern w:val="2"/>
                <w:sz w:val="24"/>
                <w:szCs w:val="24"/>
                <w:lang w:val="en-US" w:eastAsia="zh-CN" w:bidi="hi-IN"/>
              </w:rPr>
              <w:t>Միաժամանակ հայտնում ենք, որ Նախագծի 3֊րդ հոդվածի շրջանակում լրացվող 7․1 մասի համաձայն՝ ԱՀԾ֊ն</w:t>
            </w:r>
            <w:r>
              <w:rPr>
                <w:sz w:val="24"/>
                <w:szCs w:val="24"/>
                <w:shd w:fill="auto" w:val="clear"/>
              </w:rPr>
              <w:t xml:space="preserve"> իրավունք ունի ձերբակալել Ծառայության՝</w:t>
            </w:r>
            <w:r>
              <w:rPr>
                <w:rFonts w:eastAsia="Calibri" w:cs="Arial"/>
                <w:bCs/>
                <w:color w:val="000000"/>
                <w:kern w:val="2"/>
                <w:sz w:val="24"/>
                <w:szCs w:val="24"/>
                <w:shd w:fill="auto" w:val="clear"/>
                <w:lang w:val="hy-AM" w:eastAsia="zh-CN" w:bidi="hi-IN"/>
              </w:rPr>
              <w:t xml:space="preserve"> սեփական անվտանգության ապահովման գործառույթի իրականացման շրջանակում հանցանք կատարելու մեջ կասկածվող անձանց։ </w:t>
            </w:r>
            <w:r>
              <w:rPr>
                <w:sz w:val="24"/>
                <w:szCs w:val="24"/>
                <w:shd w:fill="auto" w:val="clear"/>
              </w:rPr>
              <w:t>ԱՀԾ կողմից անձի ձերբակալումը կարող է իրականացվել ոչ թե բոլ</w:t>
            </w:r>
            <w:r>
              <w:rPr>
                <w:rFonts w:eastAsia="Calibri" w:cs="Arial"/>
                <w:bCs/>
                <w:sz w:val="24"/>
                <w:szCs w:val="24"/>
                <w:shd w:fill="FFFFFF" w:val="clear"/>
                <w:lang w:val="hy-AM"/>
              </w:rPr>
              <w:t xml:space="preserve">որ դեպքերում, այլ՝ ԱՀԾ՝ </w:t>
            </w:r>
            <w:r>
              <w:rPr>
                <w:rFonts w:eastAsia="Calibri" w:cs="Arial"/>
                <w:bCs/>
                <w:color w:val="000000"/>
                <w:kern w:val="2"/>
                <w:sz w:val="24"/>
                <w:szCs w:val="24"/>
                <w:shd w:fill="auto" w:val="clear"/>
                <w:lang w:val="hy-AM" w:eastAsia="zh-CN" w:bidi="hi-IN"/>
              </w:rPr>
              <w:t>սեփական անվտանգության ապահովման շրջանակում հանցանք կատարելու</w:t>
            </w:r>
            <w:r>
              <w:rPr>
                <w:rFonts w:eastAsia="Calibri" w:cs="Arial"/>
                <w:bCs/>
                <w:sz w:val="24"/>
                <w:szCs w:val="24"/>
                <w:shd w:fill="auto" w:val="clear"/>
                <w:lang w:val="hy-AM"/>
              </w:rPr>
              <w:t xml:space="preserve"> դեպքում։ Իսկ նկարագրված դեպքը համահունչ է անձին ազատությունից զրկելու՝ Սահմանադրությամբ և Քրեական դատավարության մասին օրենսգրքով սահմանված հիմքերին և ձերբակալման վերաբերյալ կարգավորումներին, քանի որ անձին ազատությունից զրկելու և իրավասու մարմին ներկայացնելու անհրաժեշտությունը պայմանավորված է </w:t>
            </w:r>
            <w:r>
              <w:rPr>
                <w:rFonts w:eastAsia="Calibri" w:cs="Arial"/>
                <w:b w:val="false"/>
                <w:bCs w:val="false"/>
                <w:sz w:val="24"/>
                <w:szCs w:val="24"/>
                <w:shd w:fill="FFFFFF" w:val="clear"/>
                <w:lang w:val="hy-AM"/>
              </w:rPr>
              <w:t xml:space="preserve">հանցանք կատարած լինելու հիմնավոր կասկածի առկայությամբ կամ անհրաժեշտ է հանցանքի </w:t>
            </w:r>
            <w:r>
              <w:rPr>
                <w:rFonts w:eastAsia="Calibri" w:cs="Arial"/>
                <w:bCs/>
                <w:sz w:val="24"/>
                <w:szCs w:val="24"/>
                <w:shd w:fill="FFFFFF" w:val="clear"/>
                <w:lang w:val="hy-AM"/>
              </w:rPr>
              <w:t xml:space="preserve">կատարումը կամ դա կատարելուց հետո անձի փախուստը կանխելու նպատակով: Միաժամանակ, ինչպես մնացյալ լիազորությունները, այնպես էլ Նախագծի </w:t>
            </w:r>
            <w:r>
              <w:rPr>
                <w:rFonts w:eastAsia="Calibri" w:cs="Arial"/>
                <w:bCs/>
                <w:sz w:val="24"/>
                <w:szCs w:val="24"/>
                <w:shd w:fill="auto" w:val="clear"/>
                <w:lang w:val="hy-AM"/>
              </w:rPr>
              <w:t>3֊րդ հոդվածի 7․1 մասով սահմանվող լիազորությունը ենթակա է իրականացման ԱՀԾ արտաքին հետախուզական գործունեության շրջանակում։</w:t>
            </w:r>
          </w:p>
          <w:p>
            <w:pPr>
              <w:pStyle w:val="TableContents"/>
              <w:bidi w:val="0"/>
              <w:jc w:val="both"/>
              <w:rPr>
                <w:sz w:val="24"/>
                <w:szCs w:val="24"/>
              </w:rPr>
            </w:pPr>
            <w:r>
              <w:rPr/>
              <w:t xml:space="preserve">   </w:t>
            </w:r>
            <w:r>
              <w:rPr>
                <w:sz w:val="24"/>
                <w:szCs w:val="24"/>
              </w:rPr>
              <w:t>Հայտնում ենք նաև, որ ն</w:t>
            </w:r>
            <w:r>
              <w:rPr>
                <w:rFonts w:eastAsia="Calibri" w:cs="Arial"/>
                <w:bCs/>
                <w:sz w:val="24"/>
                <w:szCs w:val="24"/>
                <w:shd w:fill="FFFFFF" w:val="clear"/>
                <w:lang w:val="hy-AM"/>
              </w:rPr>
              <w:t>մանաբնույթ լիազորություն առկա է նաև «Ազգային անվտանգության մարմինների մասին» օրենքի 15֊րդ հոդվածի 1֊ին մասի շրջանակում, «Հատուկ պետական պաշտպանության ենթակա անձանց անվտանգության ապահովման մասին» օրենքի 13֊րդ հոդվածի շրջանակում։</w:t>
            </w:r>
          </w:p>
          <w:p>
            <w:pPr>
              <w:pStyle w:val="TableContents"/>
              <w:bidi w:val="0"/>
              <w:jc w:val="both"/>
              <w:rPr>
                <w:rFonts w:ascii="GHEA Grapalat" w:hAnsi="GHEA Grapalat"/>
                <w:sz w:val="24"/>
                <w:szCs w:val="24"/>
                <w:shd w:fill="auto" w:val="clear"/>
              </w:rPr>
            </w:pPr>
            <w:r>
              <w:rPr>
                <w:sz w:val="24"/>
                <w:szCs w:val="24"/>
                <w:shd w:fill="auto" w:val="clear"/>
              </w:rPr>
            </w:r>
          </w:p>
          <w:p>
            <w:pPr>
              <w:pStyle w:val="TableContents"/>
              <w:bidi w:val="0"/>
              <w:jc w:val="center"/>
              <w:rPr>
                <w:highlight w:val="none"/>
                <w:shd w:fill="auto" w:val="clear"/>
              </w:rPr>
            </w:pPr>
            <w:r>
              <w:rPr>
                <w:rFonts w:eastAsia="Calibri" w:cs="Arial"/>
                <w:b/>
                <w:bCs/>
                <w:sz w:val="24"/>
                <w:szCs w:val="24"/>
                <w:shd w:fill="auto" w:val="clear"/>
                <w:lang w:val="hy-AM"/>
              </w:rPr>
              <w:t>2․ Ընդունվել և նախագծում դրույթը հստակեցվել է</w:t>
            </w:r>
          </w:p>
          <w:p>
            <w:pPr>
              <w:pStyle w:val="TableContents"/>
              <w:bidi w:val="0"/>
              <w:jc w:val="both"/>
              <w:rPr>
                <w:sz w:val="24"/>
                <w:szCs w:val="24"/>
              </w:rPr>
            </w:pPr>
            <w:r>
              <w:rPr>
                <w:rFonts w:eastAsia="Calibri" w:cs="Arial"/>
                <w:bCs/>
                <w:color w:val="000000"/>
                <w:kern w:val="2"/>
                <w:sz w:val="24"/>
                <w:szCs w:val="24"/>
                <w:shd w:fill="FFFFFF" w:val="clear"/>
                <w:lang w:val="hy-AM" w:eastAsia="zh-CN" w:bidi="hi-IN"/>
              </w:rPr>
              <w:t>Միաժամանակ հայտնում ենք, որ Նախագծի 3֊րդ հոդվածի շրջանակում լր</w:t>
            </w:r>
            <w:r>
              <w:rPr>
                <w:rFonts w:eastAsia="Calibri" w:cs="Arial"/>
                <w:bCs/>
                <w:sz w:val="24"/>
                <w:szCs w:val="24"/>
                <w:shd w:fill="FFFFFF" w:val="clear"/>
                <w:lang w:val="hy-AM"/>
              </w:rPr>
              <w:t xml:space="preserve">ացվող 31֊րդ կետով սահմանվում է ոչ միայն դրույթ այն մասին, որ </w:t>
            </w:r>
            <w:r>
              <w:rPr>
                <w:rFonts w:eastAsia="Calibri" w:cs="Arial" w:cstheme="majorHAnsi"/>
                <w:bCs/>
                <w:sz w:val="24"/>
                <w:szCs w:val="24"/>
                <w:shd w:fill="FFFFFF" w:val="clear"/>
                <w:lang w:val="hy-AM"/>
              </w:rPr>
              <w:t xml:space="preserve">Ծառայությունը ներկայացնելու է եզրակացություն իրեն ամրացված կամ օգտագործվող անշարժ գույքի (այդ թվում՝ դրանցով ծանրաբեռնված հողամասերի) հարակից տարածքներում քաղաքաշինական գործունեություն իրականացնելու (կառուցապատման թույլտվության տրամադրումը մերժելու վերաբերյալ), այլ նաև </w:t>
            </w:r>
            <w:r>
              <w:rPr>
                <w:rFonts w:eastAsia="Calibri" w:cs="Arial" w:cstheme="majorHAnsi"/>
                <w:b/>
                <w:bCs/>
                <w:sz w:val="24"/>
                <w:szCs w:val="24"/>
                <w:shd w:fill="FFFFFF" w:val="clear"/>
                <w:lang w:val="hy-AM"/>
              </w:rPr>
              <w:t>նշվում է, թե համաձայնությունը կամ եզրակացությունն ինչ նպատակով է ներկայացնում</w:t>
            </w:r>
            <w:r>
              <w:rPr>
                <w:rFonts w:eastAsia="Calibri" w:cs="Arial" w:cstheme="majorHAnsi"/>
                <w:bCs/>
                <w:sz w:val="24"/>
                <w:szCs w:val="24"/>
                <w:shd w:fill="FFFFFF" w:val="clear"/>
                <w:lang w:val="hy-AM"/>
              </w:rPr>
              <w:t xml:space="preserve">, մասնավորապես՝ </w:t>
            </w:r>
            <w:r>
              <w:rPr>
                <w:rFonts w:eastAsia="Calibri" w:cs="Arial"/>
                <w:b w:val="false"/>
                <w:bCs w:val="false"/>
                <w:i w:val="false"/>
                <w:iCs w:val="false"/>
                <w:sz w:val="24"/>
                <w:szCs w:val="24"/>
                <w:shd w:fill="auto" w:val="clear"/>
                <w:lang w:val="hy-AM"/>
              </w:rPr>
              <w:t>Ծառայության կողմից կապի, տեղեկատվական միջոցների անխափան շահագործման, կիբերպաշտպանության, տեխնիկական հետախուզության միջոցներից պաշտպանության ստանդարտների պահպանության և Ծառայության բնականոն գործունեությունն ապահովելու նպատակով,</w:t>
            </w:r>
            <w:r>
              <w:rPr>
                <w:rFonts w:eastAsia="Calibri" w:cs="Arial" w:cstheme="majorHAnsi"/>
                <w:bCs/>
                <w:sz w:val="24"/>
                <w:szCs w:val="24"/>
                <w:shd w:fill="FFFFFF" w:val="clear"/>
                <w:lang w:val="hy-AM"/>
              </w:rPr>
              <w:t xml:space="preserve"> </w:t>
            </w:r>
            <w:r>
              <w:rPr>
                <w:rFonts w:eastAsia="Calibri" w:cs="Arial" w:cstheme="majorHAnsi"/>
                <w:b/>
                <w:bCs/>
                <w:sz w:val="24"/>
                <w:szCs w:val="24"/>
                <w:shd w:fill="FFFFFF" w:val="clear"/>
                <w:lang w:val="hy-AM"/>
              </w:rPr>
              <w:t xml:space="preserve">միաժամանակ Նախագծով սահմանվում է, որ համաձայնության կամ եզրակացության ներկայացման դեպքերն ու կարգը սահմանվում են Կառավարության որոշմամբ։ </w:t>
            </w:r>
            <w:r>
              <w:rPr>
                <w:rFonts w:eastAsia="Calibri" w:cs="Arial" w:cstheme="majorHAnsi"/>
                <w:b w:val="false"/>
                <w:bCs w:val="false"/>
                <w:sz w:val="24"/>
                <w:szCs w:val="24"/>
                <w:shd w:fill="FFFFFF" w:val="clear"/>
                <w:lang w:val="hy-AM"/>
              </w:rPr>
              <w:t>Սույն օրենքի ընդունումից հետո, վերջինիս հիման վրա կմշակվի և Կառավարության քննարկմանը կներկայացվի ՀՀ կառավարության 19․03․2015 թվականի N 596֊Ն որոշման նախագիծը, որտեղ հստակ կսահմանվի, թե ԱՀԾ կողմից եզրակացությունը որ դեպքերում է նեկայացվում, ինչ ընթացակարգով և ինչ իրավական հետևանքներ կարող է առաջացնել։</w:t>
            </w:r>
          </w:p>
          <w:p>
            <w:pPr>
              <w:pStyle w:val="TableContents"/>
              <w:bidi w:val="0"/>
              <w:jc w:val="center"/>
              <w:rPr>
                <w:sz w:val="24"/>
                <w:szCs w:val="24"/>
              </w:rPr>
            </w:pPr>
            <w:r>
              <w:rPr>
                <w:rFonts w:eastAsia="Calibri" w:cs="Arial" w:cstheme="majorHAnsi"/>
                <w:b/>
                <w:bCs/>
                <w:sz w:val="24"/>
                <w:szCs w:val="24"/>
                <w:shd w:fill="FFFFFF" w:val="clear"/>
                <w:lang w:val="hy-AM"/>
              </w:rPr>
              <w:t>3․ Ընդունվել է ի գիտություն</w:t>
            </w:r>
          </w:p>
          <w:p>
            <w:pPr>
              <w:pStyle w:val="ListParagraph"/>
              <w:tabs>
                <w:tab w:val="clear" w:pos="709"/>
                <w:tab w:val="left" w:pos="1080" w:leader="none"/>
                <w:tab w:val="left" w:pos="1350" w:leader="none"/>
              </w:tabs>
              <w:spacing w:lineRule="auto" w:line="360" w:before="0" w:after="0"/>
              <w:ind w:hanging="0" w:left="0" w:right="219"/>
              <w:contextualSpacing/>
              <w:jc w:val="both"/>
              <w:rPr/>
            </w:pPr>
            <w:r>
              <w:rPr>
                <w:rStyle w:val="Strong"/>
                <w:rFonts w:eastAsia="Calibri" w:cs="Arial" w:cstheme="majorHAnsi"/>
                <w:b w:val="false"/>
                <w:bCs w:val="false"/>
                <w:sz w:val="24"/>
                <w:szCs w:val="24"/>
                <w:shd w:fill="FFFFFF" w:val="clear"/>
                <w:lang w:val="hy-AM"/>
              </w:rPr>
              <w:t>Նախագծի 23֊րդ հոդվածով սահմանված պաշտպանության տրամադրման կարգի ու պայմանների վերաբերյալ կարգավորումը չի վերաբերում</w:t>
            </w:r>
            <w:r>
              <w:rPr>
                <w:rStyle w:val="Strong"/>
                <w:rFonts w:eastAsia="Calibri" w:cs="Arial" w:cstheme="majorHAnsi"/>
                <w:b/>
                <w:bCs/>
                <w:sz w:val="24"/>
                <w:szCs w:val="24"/>
                <w:shd w:fill="FFFFFF" w:val="clear"/>
                <w:lang w:val="hy-AM"/>
              </w:rPr>
              <w:t xml:space="preserve"> </w:t>
            </w:r>
            <w:r>
              <w:rPr>
                <w:rStyle w:val="Strong"/>
                <w:rFonts w:eastAsia="Calibri" w:cs="Arial" w:cstheme="majorHAnsi"/>
                <w:b w:val="false"/>
                <w:sz w:val="24"/>
                <w:szCs w:val="24"/>
                <w:shd w:fill="FFFFFF" w:val="clear"/>
                <w:lang w:val="hy-AM"/>
              </w:rPr>
              <w:t>քրեական</w:t>
            </w:r>
            <w:r>
              <w:rPr>
                <w:rStyle w:val="Strong"/>
                <w:rFonts w:eastAsia="Calibri" w:cs="Calibri"/>
                <w:b w:val="false"/>
                <w:sz w:val="24"/>
                <w:szCs w:val="24"/>
                <w:shd w:fill="FFFFFF" w:val="clear"/>
                <w:lang w:val="hy-AM"/>
              </w:rPr>
              <w:t xml:space="preserve"> </w:t>
            </w:r>
            <w:r>
              <w:rPr>
                <w:rStyle w:val="Strong"/>
                <w:rFonts w:eastAsia="Calibri" w:cs="Arial" w:cstheme="majorHAnsi"/>
                <w:b w:val="false"/>
                <w:sz w:val="24"/>
                <w:szCs w:val="24"/>
                <w:shd w:fill="FFFFFF" w:val="clear"/>
                <w:lang w:val="hy-AM"/>
              </w:rPr>
              <w:t>վարույթի</w:t>
            </w:r>
            <w:r>
              <w:rPr>
                <w:rStyle w:val="Strong"/>
                <w:rFonts w:eastAsia="Calibri" w:cs="Calibri"/>
                <w:b w:val="false"/>
                <w:sz w:val="24"/>
                <w:szCs w:val="24"/>
                <w:shd w:fill="FFFFFF" w:val="clear"/>
                <w:lang w:val="hy-AM"/>
              </w:rPr>
              <w:t xml:space="preserve"> </w:t>
            </w:r>
            <w:r>
              <w:rPr>
                <w:rStyle w:val="Strong"/>
                <w:rFonts w:eastAsia="Calibri" w:cs="Arial" w:cstheme="majorHAnsi"/>
                <w:b w:val="false"/>
                <w:sz w:val="24"/>
                <w:szCs w:val="24"/>
                <w:shd w:fill="FFFFFF" w:val="clear"/>
                <w:lang w:val="hy-AM"/>
              </w:rPr>
              <w:t>շրջանակներում</w:t>
            </w:r>
            <w:r>
              <w:rPr>
                <w:rStyle w:val="Strong"/>
                <w:rFonts w:eastAsia="Calibri" w:cs="Calibri"/>
                <w:b w:val="false"/>
                <w:sz w:val="24"/>
                <w:szCs w:val="24"/>
                <w:shd w:fill="FFFFFF" w:val="clear"/>
                <w:lang w:val="hy-AM"/>
              </w:rPr>
              <w:t xml:space="preserve"> տրամադրվող </w:t>
            </w:r>
            <w:r>
              <w:rPr>
                <w:rStyle w:val="Strong"/>
                <w:rFonts w:eastAsia="Calibri" w:cs="Arial" w:cstheme="majorHAnsi"/>
                <w:b w:val="false"/>
                <w:sz w:val="24"/>
                <w:szCs w:val="24"/>
                <w:shd w:fill="FFFFFF" w:val="clear"/>
                <w:lang w:val="hy-AM"/>
              </w:rPr>
              <w:t xml:space="preserve">պաշտպանությանը։ </w:t>
            </w:r>
            <w:r>
              <w:rPr>
                <w:rFonts w:eastAsia="Calibri" w:cs="Arial" w:cstheme="majorHAnsi"/>
                <w:b w:val="false"/>
                <w:bCs w:val="false"/>
                <w:sz w:val="24"/>
                <w:szCs w:val="24"/>
                <w:shd w:fill="FFFFFF" w:val="clear"/>
                <w:lang w:val="hy-AM"/>
              </w:rPr>
              <w:t xml:space="preserve">Հաշվի առնելով ԱՀԾ֊ում ծառայության առանձնահատկություններն ու անվտանգային ռիսկերը՝ անհրաժեշտություն է առաջանում Ծառայության ծառայողի, </w:t>
            </w:r>
            <w:r>
              <w:rPr>
                <w:rFonts w:eastAsia="Times New Roman" w:cs="Calibri"/>
                <w:b w:val="false"/>
                <w:bCs w:val="false"/>
                <w:sz w:val="24"/>
                <w:szCs w:val="24"/>
                <w:shd w:fill="FFFFFF" w:val="clear"/>
                <w:lang w:val="hy-AM"/>
              </w:rPr>
              <w:t xml:space="preserve">նրա ընտանիքի անդամների կամ նրա զբաղեցրած բնակելի և ծառայողական տարածքների անձեռնմխելիության նկատմամբ ոչ իրավաչափ ներգործության սպառնալիքի դեպքում ծառայողի դիմումի հիման վրա կամ Ծառայության կողմից գնահատված ռիսկերի առկայության դեպքում ապահովել ծառայողի և նրա ընտանիքի անդամների անվտանգությունը, որոնց տրամադրման կարգը, շրջանակը և պայմանները կսահմանվեն Ծառայության պետի հրամանով՝ նշված իրավահարաբերությունների շրջանակում իրավական որոշակիություն, այդ թվում՝ կողմերի վարքագծային կանխատեսելիություն ապահովելու նպատակով։ Միաժամանակ դիտարկման հիման վրա դրույթը հստակեցվել է և նշվել է, որ Ծառայության պետի հրամանով կսահմանվի նաև պաշտպանության տրամադրման շրջանակը, </w:t>
            </w:r>
            <w:r>
              <w:rPr>
                <w:rFonts w:eastAsia="Times New Roman" w:cs="Calibri"/>
                <w:b w:val="false"/>
                <w:bCs w:val="false"/>
                <w:sz w:val="24"/>
                <w:szCs w:val="24"/>
                <w:shd w:fill="auto" w:val="clear"/>
                <w:lang w:val="hy-AM"/>
              </w:rPr>
              <w:t xml:space="preserve">ինչը ենթադրում է օրինակ՝ անձի, նրա բնակարանի նկատմամբ հսկողություն և այլն (հաշվի առնելով Ծառայության առանձնահատկությունները՝ </w:t>
            </w:r>
            <w:r>
              <w:rPr>
                <w:rFonts w:eastAsia="Times New Roman" w:cs="Calibri"/>
                <w:b w:val="false"/>
                <w:bCs w:val="false"/>
                <w:color w:val="000000"/>
                <w:sz w:val="24"/>
                <w:szCs w:val="24"/>
                <w:shd w:fill="auto" w:val="clear"/>
                <w:lang w:val="hy-AM"/>
              </w:rPr>
              <w:t>հնարավոր</w:t>
            </w:r>
            <w:r>
              <w:rPr>
                <w:rFonts w:eastAsia="Times New Roman" w:cs="Calibri"/>
                <w:b w:val="false"/>
                <w:bCs w:val="false"/>
                <w:color w:val="C9211E"/>
                <w:sz w:val="24"/>
                <w:szCs w:val="24"/>
                <w:shd w:fill="auto" w:val="clear"/>
                <w:lang w:val="hy-AM"/>
              </w:rPr>
              <w:t xml:space="preserve"> </w:t>
            </w:r>
            <w:r>
              <w:rPr>
                <w:rFonts w:eastAsia="Times New Roman" w:cs="Calibri"/>
                <w:b w:val="false"/>
                <w:bCs w:val="false"/>
                <w:sz w:val="24"/>
                <w:szCs w:val="24"/>
                <w:shd w:fill="auto" w:val="clear"/>
                <w:lang w:val="hy-AM"/>
              </w:rPr>
              <w:t>չէ օրենքով սպառիչ սահմանել պաշտպանության տրամադրման շրջանակը)։</w:t>
            </w:r>
          </w:p>
          <w:p>
            <w:pPr>
              <w:pStyle w:val="ListParagraph"/>
              <w:tabs>
                <w:tab w:val="clear" w:pos="709"/>
                <w:tab w:val="left" w:pos="1080" w:leader="none"/>
                <w:tab w:val="left" w:pos="1350" w:leader="none"/>
              </w:tabs>
              <w:spacing w:lineRule="auto" w:line="360" w:before="0" w:after="0"/>
              <w:ind w:hanging="0" w:left="0" w:right="219"/>
              <w:contextualSpacing/>
              <w:jc w:val="both"/>
              <w:rPr/>
            </w:pPr>
            <w:r>
              <w:rPr>
                <w:rFonts w:eastAsia="Times New Roman" w:cs="Calibri"/>
                <w:b w:val="false"/>
                <w:bCs w:val="false"/>
                <w:sz w:val="24"/>
                <w:szCs w:val="24"/>
                <w:shd w:fill="FFFFFF" w:val="clear"/>
                <w:lang w:val="hy-AM"/>
              </w:rPr>
              <w:t xml:space="preserve"> </w:t>
            </w:r>
            <w:r>
              <w:rPr>
                <w:rFonts w:eastAsia="Times New Roman" w:cs="Calibri"/>
                <w:b w:val="false"/>
                <w:bCs w:val="false"/>
                <w:sz w:val="24"/>
                <w:szCs w:val="24"/>
                <w:shd w:fill="FFFFFF" w:val="clear"/>
                <w:lang w:val="hy-AM"/>
              </w:rPr>
              <w:t xml:space="preserve">Միաժամանակ հայտնում ենք, որ </w:t>
            </w:r>
            <w:r>
              <w:rPr>
                <w:rStyle w:val="Strong"/>
                <w:rFonts w:eastAsia="Times New Roman" w:cs="Arial"/>
                <w:b w:val="false"/>
                <w:sz w:val="24"/>
                <w:szCs w:val="24"/>
                <w:shd w:fill="FFFFFF" w:val="clear"/>
                <w:lang w:val="hy-AM"/>
              </w:rPr>
              <w:t>քրեական</w:t>
            </w:r>
            <w:r>
              <w:rPr>
                <w:rStyle w:val="Strong"/>
                <w:rFonts w:eastAsia="Times New Roman" w:cs="Calibri"/>
                <w:b w:val="false"/>
                <w:sz w:val="24"/>
                <w:szCs w:val="24"/>
                <w:shd w:fill="FFFFFF" w:val="clear"/>
                <w:lang w:val="hy-AM"/>
              </w:rPr>
              <w:t xml:space="preserve"> </w:t>
            </w:r>
            <w:r>
              <w:rPr>
                <w:rStyle w:val="Strong"/>
                <w:rFonts w:eastAsia="Times New Roman" w:cs="Arial"/>
                <w:b w:val="false"/>
                <w:sz w:val="24"/>
                <w:szCs w:val="24"/>
                <w:shd w:fill="FFFFFF" w:val="clear"/>
                <w:lang w:val="hy-AM"/>
              </w:rPr>
              <w:t>վարույթի</w:t>
            </w:r>
            <w:r>
              <w:rPr>
                <w:rStyle w:val="Strong"/>
                <w:rFonts w:eastAsia="Times New Roman" w:cs="Calibri"/>
                <w:b w:val="false"/>
                <w:sz w:val="24"/>
                <w:szCs w:val="24"/>
                <w:shd w:fill="FFFFFF" w:val="clear"/>
                <w:lang w:val="hy-AM"/>
              </w:rPr>
              <w:t xml:space="preserve">ն </w:t>
            </w:r>
            <w:r>
              <w:rPr>
                <w:rStyle w:val="Strong"/>
                <w:rFonts w:eastAsia="Times New Roman" w:cs="Arial"/>
                <w:b w:val="false"/>
                <w:sz w:val="24"/>
                <w:szCs w:val="24"/>
                <w:shd w:fill="FFFFFF" w:val="clear"/>
                <w:lang w:val="hy-AM"/>
              </w:rPr>
              <w:t>ծառայության ծառայողի ներգրավված լինելու դեպքում ծառայողի, որպես քրեական վարույթին ներգրավված անձի, ինչպեu նաև նրա ընտանիքի անդամի կամ այլ մերձավոր անձի նկատմամբ հատուկ պաշտպանության միջոցները կկիրառվեն քրեադատավարական օրենսդրությամբ սահմանված կարգով։</w:t>
            </w:r>
          </w:p>
          <w:p>
            <w:pPr>
              <w:pStyle w:val="ListParagraph"/>
              <w:tabs>
                <w:tab w:val="clear" w:pos="709"/>
                <w:tab w:val="left" w:pos="1080" w:leader="none"/>
                <w:tab w:val="left" w:pos="1350" w:leader="none"/>
              </w:tabs>
              <w:spacing w:lineRule="auto" w:line="360" w:before="0" w:after="0"/>
              <w:ind w:hanging="0" w:left="0" w:right="219"/>
              <w:contextualSpacing/>
              <w:jc w:val="both"/>
              <w:rPr>
                <w:sz w:val="24"/>
                <w:szCs w:val="24"/>
              </w:rPr>
            </w:pPr>
            <w:r>
              <w:rPr>
                <w:rFonts w:eastAsia="Calibri" w:cs="Arial" w:cstheme="majorHAnsi"/>
                <w:b w:val="false"/>
                <w:bCs w:val="false"/>
                <w:sz w:val="24"/>
                <w:szCs w:val="24"/>
                <w:shd w:fill="FFFFFF" w:val="clear"/>
                <w:lang w:val="hy-AM"/>
              </w:rPr>
              <w:t xml:space="preserve">  </w:t>
            </w:r>
            <w:r>
              <w:rPr>
                <w:rFonts w:eastAsia="Calibri" w:cs="Arial" w:cstheme="majorHAnsi"/>
                <w:b w:val="false"/>
                <w:bCs w:val="false"/>
                <w:sz w:val="24"/>
                <w:szCs w:val="24"/>
                <w:shd w:fill="FFFFFF" w:val="clear"/>
                <w:lang w:val="hy-AM"/>
              </w:rPr>
              <w:t>Ինչ վերաբերում է</w:t>
            </w:r>
            <w:r>
              <w:rPr>
                <w:rFonts w:eastAsia="Times New Roman" w:cs="Calibri"/>
                <w:b/>
                <w:bCs/>
                <w:sz w:val="24"/>
                <w:szCs w:val="24"/>
                <w:shd w:fill="FFFFFF" w:val="clear"/>
                <w:lang w:val="hy-AM"/>
              </w:rPr>
              <w:t xml:space="preserve"> </w:t>
            </w:r>
            <w:r>
              <w:rPr>
                <w:rFonts w:eastAsia="Calibri" w:cs="Arial" w:cstheme="majorHAnsi"/>
                <w:b w:val="false"/>
                <w:bCs w:val="false"/>
                <w:color w:val="000000"/>
                <w:kern w:val="2"/>
                <w:sz w:val="24"/>
                <w:szCs w:val="24"/>
                <w:shd w:fill="FFFFFF" w:val="clear"/>
                <w:lang w:val="hy-AM" w:eastAsia="zh-CN" w:bidi="hi-IN"/>
              </w:rPr>
              <w:t>Ծառայության պաշտոնական ներկայացուցչի ներկայության վերաբերյալ դիտարկմանը, ապա պետք է նշել, որ Ծառայության ծառայող լինելու հանգամանքը կարող է բացահայտվել կամ նման իրավիճակներում Ծառայության կողմից որոշված անձին տեղեկացնելու, կամ ԱՀԾ ծառայող լինելու մասին Ոստիկանության՝ նախապես որոշված պաշտոնատար անձին տեղյակ պահելու և վերջինիս կողմից ԱՀԾ֊ից դրա վերաբերյալ հավաստիացում ստանալու հիման վրա։ Ընդ որում, ԱՀԾ ներկայացուցչի ներգրավման անհրաժեշտությունը պայմանավորված է ԱՀԾ կողմից որոշակի օպերատիվ֊հետախուզական գործողությունների իրականացման առանձնահատկություններով։</w:t>
            </w:r>
          </w:p>
          <w:p>
            <w:pPr>
              <w:pStyle w:val="ListParagraph"/>
              <w:tabs>
                <w:tab w:val="clear" w:pos="709"/>
                <w:tab w:val="left" w:pos="1080" w:leader="none"/>
                <w:tab w:val="left" w:pos="1350" w:leader="none"/>
              </w:tabs>
              <w:spacing w:lineRule="auto" w:line="360" w:before="0" w:after="0"/>
              <w:ind w:hanging="0" w:left="0" w:right="219"/>
              <w:contextualSpacing/>
              <w:jc w:val="both"/>
              <w:rPr>
                <w:sz w:val="24"/>
                <w:szCs w:val="24"/>
              </w:rPr>
            </w:pPr>
            <w:r>
              <w:rPr>
                <w:rFonts w:eastAsia="Calibri" w:cs="Arial" w:cstheme="majorHAnsi"/>
                <w:b w:val="false"/>
                <w:bCs w:val="false"/>
                <w:color w:val="000000"/>
                <w:kern w:val="2"/>
                <w:sz w:val="24"/>
                <w:szCs w:val="24"/>
                <w:shd w:fill="FFFFFF" w:val="clear"/>
                <w:lang w:val="hy-AM" w:eastAsia="zh-CN" w:bidi="hi-IN"/>
              </w:rPr>
              <w:t>Միաժամանակ նշված կարգավորումը ենթադրում է ծառայողի համար նախատեսված իրավական պաշտպանություն, որը կիրառվում է ինչպես միջազգային, այնպես էլ ներպետական պրակտիկայում (օրինակ՝ «Ազգային անվտանգության մարմինների մասին» օրենքի 20֊րդ հոդվածով)։</w:t>
            </w:r>
          </w:p>
          <w:p>
            <w:pPr>
              <w:pStyle w:val="ListParagraph"/>
              <w:tabs>
                <w:tab w:val="clear" w:pos="709"/>
                <w:tab w:val="left" w:pos="1080" w:leader="none"/>
                <w:tab w:val="left" w:pos="1350" w:leader="none"/>
              </w:tabs>
              <w:spacing w:lineRule="auto" w:line="360" w:before="0" w:after="0"/>
              <w:ind w:hanging="0" w:left="0" w:right="219"/>
              <w:contextualSpacing/>
              <w:jc w:val="center"/>
              <w:rPr>
                <w:sz w:val="24"/>
                <w:szCs w:val="24"/>
              </w:rPr>
            </w:pPr>
            <w:r>
              <w:rPr>
                <w:rFonts w:eastAsia="Calibri" w:cs="Arial" w:cstheme="majorHAnsi"/>
                <w:b/>
                <w:bCs/>
                <w:color w:val="000000"/>
                <w:kern w:val="2"/>
                <w:sz w:val="24"/>
                <w:szCs w:val="24"/>
                <w:shd w:fill="FFFFFF" w:val="clear"/>
                <w:lang w:val="hy-AM" w:eastAsia="zh-CN" w:bidi="hi-IN"/>
              </w:rPr>
              <w:t>4․ Ընդունվել է ի գիտություն</w:t>
            </w:r>
          </w:p>
          <w:p>
            <w:pPr>
              <w:pStyle w:val="ListParagraph"/>
              <w:tabs>
                <w:tab w:val="clear" w:pos="709"/>
                <w:tab w:val="left" w:pos="1080" w:leader="none"/>
                <w:tab w:val="left" w:pos="1350" w:leader="none"/>
              </w:tabs>
              <w:spacing w:lineRule="auto" w:line="360" w:before="0" w:after="0"/>
              <w:ind w:hanging="0" w:left="0" w:right="219"/>
              <w:contextualSpacing/>
              <w:jc w:val="both"/>
              <w:rPr/>
            </w:pPr>
            <w:r>
              <w:rPr>
                <w:rFonts w:eastAsia="Calibri" w:cs="Cambria Math"/>
                <w:b w:val="false"/>
                <w:bCs w:val="false"/>
                <w:color w:val="000000"/>
                <w:kern w:val="2"/>
                <w:sz w:val="24"/>
                <w:szCs w:val="24"/>
                <w:shd w:fill="FFFFFF" w:val="clear"/>
                <w:lang w:val="hy-AM" w:eastAsia="zh-CN" w:bidi="hi-IN"/>
              </w:rPr>
              <w:t xml:space="preserve">Նոր խմբագրությամբ շարադրվող 13-րդ հոդվածով հստակ </w:t>
            </w:r>
            <w:r>
              <w:rPr>
                <w:rFonts w:eastAsia="Calibri" w:cs="Cambria Math"/>
                <w:b/>
                <w:bCs/>
                <w:color w:val="000000"/>
                <w:kern w:val="2"/>
                <w:sz w:val="24"/>
                <w:szCs w:val="24"/>
                <w:shd w:fill="FFFFFF" w:val="clear"/>
                <w:lang w:val="hy-AM" w:eastAsia="zh-CN" w:bidi="hi-IN"/>
              </w:rPr>
              <w:t xml:space="preserve">սահմանվում են </w:t>
            </w:r>
            <w:r>
              <w:rPr>
                <w:rStyle w:val="Strong"/>
                <w:rFonts w:eastAsia="Calibri" w:cs="GHEA Grapalat"/>
                <w:b/>
                <w:bCs/>
                <w:color w:val="000000"/>
                <w:kern w:val="2"/>
                <w:sz w:val="24"/>
                <w:szCs w:val="24"/>
                <w:shd w:fill="FFFFFF" w:val="clear"/>
                <w:lang w:val="hy-AM" w:eastAsia="zh-CN" w:bidi="hi-IN"/>
              </w:rPr>
              <w:t>ֆիզիկական ուժի, հատուկ միջոցների կամ զենքի գործադրման (կիրառման) հիմքերն ու սահմանները,</w:t>
            </w:r>
            <w:r>
              <w:rPr>
                <w:rStyle w:val="Strong"/>
                <w:rFonts w:eastAsia="Calibri" w:cs="GHEA Grapalat"/>
                <w:b w:val="false"/>
                <w:color w:val="000000"/>
                <w:kern w:val="2"/>
                <w:sz w:val="24"/>
                <w:szCs w:val="24"/>
                <w:shd w:fill="FFFFFF" w:val="clear"/>
                <w:lang w:val="hy-AM" w:eastAsia="zh-CN" w:bidi="hi-IN"/>
              </w:rPr>
              <w:t xml:space="preserve"> ինչը նշանակում է, որ նշված հիմքերից կամ սահմաններից տարբերվող կամ դրանց խախտման (այդ թվում՝ անհրաժեշտ պաշտպանություն կամ ծայրահեղ անհրաժեշտություն չհամարվող իրավիճակներում դրանց գործադրման) դեպքում կիրառվելու է </w:t>
            </w:r>
            <w:r>
              <w:rPr>
                <w:rStyle w:val="Strong"/>
                <w:rFonts w:eastAsia="Calibri" w:cs="Cambria Math"/>
                <w:b w:val="false"/>
                <w:bCs w:val="false"/>
                <w:color w:val="000000"/>
                <w:kern w:val="2"/>
                <w:sz w:val="24"/>
                <w:szCs w:val="24"/>
                <w:shd w:fill="FFFFFF" w:val="clear"/>
                <w:lang w:val="hy-AM" w:eastAsia="zh-CN" w:bidi="hi-IN"/>
              </w:rPr>
              <w:t xml:space="preserve">մեղսագրվող արարքի բնույթին, վտանգավորության աստիճանին և այլ հանգամանքներին համարժեք </w:t>
            </w:r>
            <w:r>
              <w:rPr>
                <w:rStyle w:val="Strong"/>
                <w:rFonts w:eastAsia="Calibri" w:cs="GHEA Grapalat"/>
                <w:b w:val="false"/>
                <w:color w:val="000000"/>
                <w:kern w:val="2"/>
                <w:sz w:val="24"/>
                <w:szCs w:val="24"/>
                <w:shd w:fill="FFFFFF" w:val="clear"/>
                <w:lang w:val="hy-AM" w:eastAsia="zh-CN" w:bidi="hi-IN"/>
              </w:rPr>
              <w:t xml:space="preserve">Քրեական օրենսգրքով նախատեսված </w:t>
            </w:r>
            <w:r>
              <w:rPr>
                <w:rStyle w:val="Strong"/>
                <w:rFonts w:eastAsia="Calibri" w:cs="Cambria Math"/>
                <w:b w:val="false"/>
                <w:bCs w:val="false"/>
                <w:color w:val="000000"/>
                <w:kern w:val="2"/>
                <w:sz w:val="24"/>
                <w:szCs w:val="24"/>
                <w:shd w:fill="FFFFFF" w:val="clear"/>
                <w:lang w:val="hy-AM" w:eastAsia="zh-CN" w:bidi="hi-IN"/>
              </w:rPr>
              <w:t xml:space="preserve"> պատասխանատվության միջոցը։</w:t>
            </w:r>
          </w:p>
          <w:p>
            <w:pPr>
              <w:pStyle w:val="ListParagraph"/>
              <w:tabs>
                <w:tab w:val="clear" w:pos="709"/>
                <w:tab w:val="left" w:pos="1080" w:leader="none"/>
                <w:tab w:val="left" w:pos="1350" w:leader="none"/>
              </w:tabs>
              <w:spacing w:lineRule="auto" w:line="360" w:before="0" w:after="0"/>
              <w:ind w:hanging="0" w:left="0" w:right="219"/>
              <w:contextualSpacing/>
              <w:jc w:val="center"/>
              <w:rPr/>
            </w:pPr>
            <w:r>
              <w:rPr>
                <w:rStyle w:val="Strong"/>
                <w:rFonts w:eastAsia="Calibri" w:cs="Cambria Math"/>
                <w:b/>
                <w:bCs/>
                <w:color w:val="000000"/>
                <w:kern w:val="2"/>
                <w:sz w:val="24"/>
                <w:szCs w:val="24"/>
                <w:shd w:fill="FFFFFF" w:val="clear"/>
                <w:lang w:val="hy-AM" w:eastAsia="zh-CN" w:bidi="hi-IN"/>
              </w:rPr>
              <w:t>5․ Ընդունվել է ի գիտություն</w:t>
            </w:r>
          </w:p>
          <w:p>
            <w:pPr>
              <w:pStyle w:val="TableContents"/>
              <w:bidi w:val="0"/>
              <w:spacing w:lineRule="auto" w:line="240"/>
              <w:jc w:val="both"/>
              <w:rPr/>
            </w:pPr>
            <w:r>
              <w:rPr>
                <w:rStyle w:val="Strong"/>
                <w:rFonts w:eastAsia="Calibri" w:cs="Cambria Math"/>
                <w:b w:val="false"/>
                <w:bCs w:val="false"/>
                <w:color w:val="000000"/>
                <w:kern w:val="2"/>
                <w:sz w:val="24"/>
                <w:szCs w:val="24"/>
                <w:shd w:fill="FFFFFF" w:val="clear"/>
                <w:lang w:val="hy-AM" w:eastAsia="zh-CN" w:bidi="hi-IN"/>
              </w:rPr>
              <w:t>Նախագծի 11֊րդ հոդվածով սահմանվում են Ծառայության ծառայողին բարձր կամ հավասարազոր կամ ցածր պաշտոնի նշանակելու կամ այլ պաշտոնի փոխադրելու դեպքերը և հիմքերը, իսկ Ծառայության պետի կողմից կկարգավորվեն դրանց հիման վրա  բարձր կամ հավասարազոր կամ ցածր պաշտոնի նշանակելու կամ այլ պաշտոնի փոխադրելու ընթացակարգային հարցերը։</w:t>
            </w:r>
          </w:p>
          <w:p>
            <w:pPr>
              <w:pStyle w:val="TableContents"/>
              <w:bidi w:val="0"/>
              <w:spacing w:lineRule="auto" w:line="240"/>
              <w:jc w:val="both"/>
              <w:rPr>
                <w:rFonts w:ascii="GHEA Grapalat" w:hAnsi="GHEA Grapalat" w:eastAsia="Calibri" w:cs="Cambria Math"/>
                <w:b w:val="false"/>
                <w:bCs w:val="false"/>
                <w:color w:val="auto"/>
                <w:kern w:val="2"/>
                <w:sz w:val="24"/>
                <w:szCs w:val="24"/>
                <w:shd w:fill="FFFFFF" w:val="clear"/>
                <w:lang w:val="hy-AM" w:eastAsia="zh-CN" w:bidi="hi-IN"/>
              </w:rPr>
            </w:pPr>
            <w:r>
              <w:rPr>
                <w:rFonts w:eastAsia="Calibri" w:cs="Cambria Math"/>
                <w:b w:val="false"/>
                <w:bCs w:val="false"/>
                <w:color w:val="000000"/>
                <w:kern w:val="2"/>
                <w:sz w:val="24"/>
                <w:szCs w:val="24"/>
                <w:shd w:fill="FFFFFF" w:val="clear"/>
                <w:lang w:val="hy-AM" w:eastAsia="zh-CN" w:bidi="hi-IN"/>
              </w:rPr>
            </w:r>
          </w:p>
          <w:p>
            <w:pPr>
              <w:pStyle w:val="TableContents"/>
              <w:bidi w:val="0"/>
              <w:spacing w:lineRule="auto" w:line="240"/>
              <w:jc w:val="both"/>
              <w:rPr>
                <w:rFonts w:ascii="GHEA Grapalat" w:hAnsi="GHEA Grapalat" w:eastAsia="Calibri" w:cs="Cambria Math"/>
                <w:b w:val="false"/>
                <w:bCs w:val="false"/>
                <w:color w:val="auto"/>
                <w:kern w:val="2"/>
                <w:sz w:val="24"/>
                <w:szCs w:val="24"/>
                <w:shd w:fill="FFFFFF" w:val="clear"/>
                <w:lang w:val="hy-AM" w:eastAsia="zh-CN" w:bidi="hi-IN"/>
              </w:rPr>
            </w:pPr>
            <w:r>
              <w:rPr>
                <w:rFonts w:eastAsia="Calibri" w:cs="Cambria Math"/>
                <w:b w:val="false"/>
                <w:bCs w:val="false"/>
                <w:color w:val="000000"/>
                <w:kern w:val="2"/>
                <w:sz w:val="24"/>
                <w:szCs w:val="24"/>
                <w:shd w:fill="FFFFFF" w:val="clear"/>
                <w:lang w:val="hy-AM" w:eastAsia="zh-CN" w:bidi="hi-IN"/>
              </w:rPr>
            </w:r>
          </w:p>
          <w:p>
            <w:pPr>
              <w:pStyle w:val="TableContents"/>
              <w:bidi w:val="0"/>
              <w:spacing w:lineRule="auto" w:line="240"/>
              <w:jc w:val="center"/>
              <w:rPr/>
            </w:pPr>
            <w:r>
              <w:rPr>
                <w:rStyle w:val="Strong"/>
                <w:rFonts w:eastAsia="Calibri" w:cs="Cambria Math"/>
                <w:b/>
                <w:bCs/>
                <w:color w:val="000000"/>
                <w:kern w:val="2"/>
                <w:sz w:val="24"/>
                <w:szCs w:val="24"/>
                <w:shd w:fill="auto" w:val="clear"/>
                <w:lang w:val="hy-AM" w:eastAsia="zh-CN" w:bidi="hi-IN"/>
              </w:rPr>
              <w:t>6․ Ընդունվել և նախագծում կատարվել է համապատասխան փոփոխություն</w:t>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r>
          </w:p>
          <w:p>
            <w:pPr>
              <w:pStyle w:val="Normal"/>
              <w:spacing w:lineRule="auto" w:line="276"/>
              <w:jc w:val="both"/>
              <w:rPr>
                <w:rStyle w:val="Strong"/>
                <w:rFonts w:eastAsia="Calibri" w:cs="Cambria Math"/>
                <w:b w:val="false"/>
                <w:bCs w:val="false"/>
                <w:color w:val="000000"/>
                <w:kern w:val="2"/>
                <w:sz w:val="24"/>
                <w:szCs w:val="24"/>
                <w:shd w:fill="FFFFFF" w:val="clear"/>
                <w:lang w:val="hy-AM" w:eastAsia="zh-CN" w:bidi="hi-IN"/>
              </w:rPr>
            </w:pPr>
            <w:r>
              <w:rPr>
                <w:rFonts w:eastAsia="Calibri" w:cs="Cambria Math"/>
                <w:b w:val="false"/>
                <w:bCs w:val="false"/>
                <w:color w:val="000000"/>
                <w:kern w:val="2"/>
                <w:sz w:val="24"/>
                <w:szCs w:val="24"/>
                <w:shd w:fill="FFFFFF" w:val="clear"/>
                <w:lang w:val="hy-AM" w:eastAsia="zh-CN" w:bidi="hi-IN"/>
              </w:rPr>
            </w:r>
          </w:p>
          <w:p>
            <w:pPr>
              <w:pStyle w:val="Normal"/>
              <w:spacing w:lineRule="auto" w:line="276"/>
              <w:jc w:val="center"/>
              <w:rPr/>
            </w:pPr>
            <w:r>
              <w:rPr>
                <w:rStyle w:val="Strong"/>
                <w:rFonts w:eastAsia="Calibri" w:cs="Cambria Math"/>
                <w:b/>
                <w:bCs/>
                <w:color w:val="000000"/>
                <w:kern w:val="2"/>
                <w:sz w:val="24"/>
                <w:szCs w:val="24"/>
                <w:shd w:fill="FFFFFF" w:val="clear"/>
                <w:lang w:val="hy-AM" w:eastAsia="zh-CN" w:bidi="hi-IN"/>
              </w:rPr>
              <w:t>7․ Ընդունվել է մասնակի</w:t>
            </w:r>
          </w:p>
          <w:p>
            <w:pPr>
              <w:pStyle w:val="Normal"/>
              <w:spacing w:lineRule="auto" w:line="276"/>
              <w:jc w:val="both"/>
              <w:rPr/>
            </w:pPr>
            <w:r>
              <w:rPr>
                <w:rStyle w:val="Strong"/>
                <w:rFonts w:eastAsia="Calibri" w:cs="Cambria Math"/>
                <w:b/>
                <w:bCs/>
                <w:color w:val="000000"/>
                <w:kern w:val="2"/>
                <w:sz w:val="24"/>
                <w:szCs w:val="24"/>
                <w:shd w:fill="FFFFFF" w:val="clear"/>
                <w:lang w:val="hy-AM" w:eastAsia="zh-CN" w:bidi="hi-IN"/>
              </w:rPr>
              <w:t xml:space="preserve"> </w:t>
            </w:r>
            <w:r>
              <w:rPr>
                <w:rStyle w:val="Strong"/>
                <w:rFonts w:eastAsia="Calibri" w:cs="Cambria Math"/>
                <w:b w:val="false"/>
                <w:bCs w:val="false"/>
                <w:color w:val="000000"/>
                <w:kern w:val="2"/>
                <w:sz w:val="24"/>
                <w:szCs w:val="24"/>
                <w:shd w:fill="FFFFFF" w:val="clear"/>
                <w:lang w:val="hy-AM" w:eastAsia="zh-CN" w:bidi="hi-IN"/>
              </w:rPr>
              <w:t>Պետաիրավական նախարարական կոմիտեի 02․03․2026 թվականի նիստի քննարկման արդյունքներով նախագծի 4֊րդ հոդվածի 1֊ին մասում թվարկված լիազորությունները վերանայվել են։</w:t>
            </w:r>
          </w:p>
          <w:p>
            <w:pPr>
              <w:pStyle w:val="Normal"/>
              <w:spacing w:lineRule="auto" w:line="276"/>
              <w:jc w:val="both"/>
              <w:rPr/>
            </w:pPr>
            <w:r>
              <w:rPr>
                <w:rStyle w:val="Strong"/>
                <w:rFonts w:eastAsia="Calibri" w:cs="Cambria Math"/>
                <w:b w:val="false"/>
                <w:bCs w:val="false"/>
                <w:color w:val="000000"/>
                <w:kern w:val="2"/>
                <w:sz w:val="24"/>
                <w:szCs w:val="24"/>
                <w:shd w:fill="FFFFFF" w:val="clear"/>
                <w:lang w:val="hy-AM" w:eastAsia="zh-CN" w:bidi="hi-IN"/>
              </w:rPr>
              <w:t>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Օրենքով հստակեցվում և լրացվում են ԱՀԾ այն լիազորությունները, որոնք ենթակա են վերջինիս կողմից իրականացման։ Բացի այդ, սույն կարգավորումները կոչված են ապահովելու իրավական որոշակիություն՝ ԱՀԾ֊ի և ՀՀ ազգային անվտանգության ծառայության լիազորությունների իրականացման մասով, հաշվի առնելով, որ մյուս պետական մարմիններում հատուկ կարևորության, հույժ գաղտնի, գաղտնի և այլ ծառայողական թղթակցությունների փոխադրման և դրանց պահպանման լիազորությունների իրականացնումն ապահովում է  ՀՀ ազգային անվտանգության ծառայությունը։</w:t>
            </w:r>
          </w:p>
          <w:p>
            <w:pPr>
              <w:pStyle w:val="Normal"/>
              <w:spacing w:lineRule="auto" w:line="276"/>
              <w:jc w:val="both"/>
              <w:rPr>
                <w:rFonts w:ascii="GHEA Grapalat" w:hAnsi="GHEA Grapalat"/>
                <w:sz w:val="24"/>
                <w:szCs w:val="24"/>
              </w:rPr>
            </w:pPr>
            <w:r>
              <w:rPr>
                <w:sz w:val="24"/>
                <w:szCs w:val="24"/>
              </w:rPr>
            </w:r>
          </w:p>
          <w:p>
            <w:pPr>
              <w:pStyle w:val="Normal"/>
              <w:spacing w:lineRule="auto" w:line="276"/>
              <w:jc w:val="center"/>
              <w:rPr/>
            </w:pPr>
            <w:r>
              <w:rPr>
                <w:rStyle w:val="Strong"/>
                <w:rFonts w:eastAsia="Calibri" w:cs="Cambria Math"/>
                <w:b/>
                <w:bCs/>
                <w:color w:val="000000"/>
                <w:kern w:val="2"/>
                <w:sz w:val="24"/>
                <w:szCs w:val="24"/>
                <w:shd w:fill="FFFFFF" w:val="clear"/>
                <w:lang w:val="hy-AM" w:eastAsia="zh-CN" w:bidi="hi-IN"/>
              </w:rPr>
              <w:t>8․ Ընդունվել է ի գիտություն</w:t>
            </w:r>
          </w:p>
          <w:p>
            <w:pPr>
              <w:pStyle w:val="Normal"/>
              <w:spacing w:lineRule="auto" w:line="276"/>
              <w:jc w:val="both"/>
              <w:rPr/>
            </w:pPr>
            <w:r>
              <w:rPr>
                <w:rStyle w:val="Strong"/>
                <w:rFonts w:eastAsia="Calibri" w:cs="Cambria Math"/>
                <w:b w:val="false"/>
                <w:bCs w:val="false"/>
                <w:color w:val="000000"/>
                <w:kern w:val="2"/>
                <w:sz w:val="24"/>
                <w:szCs w:val="24"/>
                <w:shd w:fill="FFFFFF" w:val="clear"/>
                <w:lang w:val="hy-AM" w:eastAsia="zh-CN" w:bidi="hi-IN"/>
              </w:rPr>
              <w:t xml:space="preserve">Խոսքը վերաբերում է «Օպերատիվ֊հետախուզական գործունեության մասին» օրենքին, որը ներառված է Նախագծի փաթեթում և որով սահմանվել է, որ </w:t>
            </w:r>
            <w:r>
              <w:rPr>
                <w:rStyle w:val="Strong"/>
                <w:rFonts w:eastAsia="Calibri" w:cs="Cambria Math"/>
                <w:b w:val="false"/>
                <w:bCs w:val="false"/>
                <w:color w:val="000000"/>
                <w:kern w:val="2"/>
                <w:sz w:val="24"/>
                <w:szCs w:val="24"/>
                <w:shd w:fill="auto" w:val="clear"/>
                <w:lang w:val="hy-AM" w:eastAsia="zh-CN" w:bidi="hi-IN"/>
              </w:rPr>
              <w:t>ՀՀ արտաքին հետախուզության ծառայության օպերատիվ֊տեխնիկական միջոցառումն իրականացնող ստորաբաժանման ղեկավարին  պաշտոնի նշանակում և պաշտոնից ազատում է ՀՀ վարչապետը՝ ՀՀ արտաքին հետախուզության ծառայության պետի ներկայացմամբ։</w:t>
            </w:r>
          </w:p>
          <w:p>
            <w:pPr>
              <w:pStyle w:val="Normal"/>
              <w:spacing w:lineRule="auto" w:line="276"/>
              <w:jc w:val="both"/>
              <w:rPr>
                <w:rFonts w:ascii="GHEA Grapalat" w:hAnsi="GHEA Grapalat" w:eastAsia="Calibri" w:cs="Cambria Math"/>
                <w:b w:val="false"/>
                <w:bCs w:val="false"/>
                <w:color w:val="auto"/>
                <w:kern w:val="2"/>
                <w:sz w:val="24"/>
                <w:szCs w:val="24"/>
                <w:shd w:fill="auto" w:val="clear"/>
                <w:lang w:val="hy-AM" w:eastAsia="zh-CN" w:bidi="hi-IN"/>
              </w:rPr>
            </w:pPr>
            <w:r>
              <w:rPr>
                <w:rFonts w:eastAsia="Calibri" w:cs="Cambria Math"/>
                <w:b w:val="false"/>
                <w:bCs w:val="false"/>
                <w:color w:val="000000"/>
                <w:kern w:val="2"/>
                <w:sz w:val="24"/>
                <w:szCs w:val="24"/>
                <w:shd w:fill="auto" w:val="clear"/>
                <w:lang w:val="hy-AM" w:eastAsia="zh-CN" w:bidi="hi-IN"/>
              </w:rPr>
            </w:r>
          </w:p>
          <w:p>
            <w:pPr>
              <w:pStyle w:val="Normal"/>
              <w:spacing w:lineRule="auto" w:line="276"/>
              <w:jc w:val="both"/>
              <w:rPr/>
            </w:pPr>
            <w:r>
              <w:rPr>
                <w:rStyle w:val="Strong"/>
                <w:rFonts w:eastAsia="Calibri" w:cs="Cambria Math"/>
                <w:b w:val="false"/>
                <w:bCs w:val="false"/>
                <w:color w:val="000000"/>
                <w:kern w:val="2"/>
                <w:sz w:val="24"/>
                <w:szCs w:val="24"/>
                <w:shd w:fill="auto" w:val="clear"/>
                <w:lang w:val="hy-AM" w:eastAsia="zh-CN" w:bidi="hi-IN"/>
              </w:rPr>
              <w:t>9․</w:t>
            </w:r>
            <w:r>
              <w:rPr>
                <w:rStyle w:val="Strong"/>
                <w:rFonts w:eastAsia="Calibri" w:cs="Cambria Math"/>
                <w:b/>
                <w:bCs/>
                <w:color w:val="000000"/>
                <w:kern w:val="2"/>
                <w:sz w:val="24"/>
                <w:szCs w:val="24"/>
                <w:shd w:fill="auto" w:val="clear"/>
                <w:lang w:val="hy-AM" w:eastAsia="zh-CN" w:bidi="hi-IN"/>
              </w:rPr>
              <w:t xml:space="preserve"> Ընդունվել և նախագծում կատարվել է համապատասխան փոփոխություն</w:t>
            </w:r>
          </w:p>
          <w:p>
            <w:pPr>
              <w:pStyle w:val="Normal"/>
              <w:spacing w:lineRule="auto" w:line="276"/>
              <w:jc w:val="both"/>
              <w:rPr/>
            </w:pPr>
            <w:r>
              <w:rPr>
                <w:rStyle w:val="Strong"/>
                <w:rFonts w:eastAsia="Calibri" w:cs="Cambria Math"/>
                <w:b w:val="false"/>
                <w:bCs w:val="false"/>
                <w:color w:val="000000"/>
                <w:kern w:val="2"/>
                <w:sz w:val="24"/>
                <w:szCs w:val="24"/>
                <w:shd w:fill="auto" w:val="clear"/>
                <w:lang w:val="hy-AM" w:eastAsia="zh-CN" w:bidi="hi-IN"/>
              </w:rPr>
              <w:t>«հակված» բառը փոխարինվել է «կարող» բառով</w:t>
            </w:r>
          </w:p>
          <w:p>
            <w:pPr>
              <w:pStyle w:val="Normal"/>
              <w:spacing w:lineRule="auto" w:line="276"/>
              <w:jc w:val="both"/>
              <w:rPr>
                <w:rFonts w:ascii="GHEA Grapalat" w:hAnsi="GHEA Grapalat" w:eastAsia="Calibri" w:cs="Cambria Math"/>
                <w:b w:val="false"/>
                <w:bCs w:val="false"/>
                <w:color w:val="auto"/>
                <w:kern w:val="2"/>
                <w:sz w:val="24"/>
                <w:szCs w:val="24"/>
                <w:shd w:fill="auto" w:val="clear"/>
                <w:lang w:val="hy-AM" w:eastAsia="zh-CN" w:bidi="hi-IN"/>
              </w:rPr>
            </w:pPr>
            <w:r>
              <w:rPr>
                <w:rFonts w:eastAsia="Calibri" w:cs="Cambria Math"/>
                <w:b w:val="false"/>
                <w:bCs w:val="false"/>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pPr>
            <w:r>
              <w:rPr>
                <w:rStyle w:val="Strong"/>
                <w:rFonts w:eastAsia="Calibri" w:cs="Cambria Math"/>
                <w:b/>
                <w:bCs/>
                <w:color w:val="000000"/>
                <w:kern w:val="2"/>
                <w:sz w:val="24"/>
                <w:szCs w:val="24"/>
                <w:shd w:fill="auto" w:val="clear"/>
                <w:lang w:val="hy-AM" w:eastAsia="zh-CN" w:bidi="hi-IN"/>
              </w:rPr>
              <w:t>10․ Ընդունվել և նախագծում կատարվել է համապատասխան փոփոխություն</w:t>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both"/>
              <w:rPr>
                <w:rFonts w:ascii="GHEA Grapalat" w:hAnsi="GHEA Grapalat" w:eastAsia="Calibri" w:cs="Cambria Math"/>
                <w:b/>
                <w:bCs/>
                <w:color w:val="auto"/>
                <w:kern w:val="2"/>
                <w:sz w:val="24"/>
                <w:szCs w:val="24"/>
                <w:shd w:fill="auto" w:val="clear"/>
                <w:lang w:val="hy-AM" w:eastAsia="zh-CN" w:bidi="hi-IN"/>
              </w:rPr>
            </w:pPr>
            <w:r>
              <w:rPr>
                <w:rFonts w:eastAsia="Calibri" w:cs="Cambria Math"/>
                <w:b/>
                <w:bCs/>
                <w:color w:val="000000"/>
                <w:kern w:val="2"/>
                <w:sz w:val="24"/>
                <w:szCs w:val="24"/>
                <w:shd w:fill="auto" w:val="clear"/>
                <w:lang w:val="hy-AM" w:eastAsia="zh-CN" w:bidi="hi-IN"/>
              </w:rPr>
            </w:r>
          </w:p>
          <w:p>
            <w:pPr>
              <w:pStyle w:val="Normal"/>
              <w:spacing w:lineRule="auto" w:line="276"/>
              <w:jc w:val="center"/>
              <w:rPr/>
            </w:pPr>
            <w:r>
              <w:rPr>
                <w:rStyle w:val="Strong"/>
                <w:rFonts w:eastAsia="Calibri" w:cs="Cambria Math"/>
                <w:b/>
                <w:bCs/>
                <w:color w:val="000000"/>
                <w:kern w:val="2"/>
                <w:sz w:val="24"/>
                <w:szCs w:val="24"/>
                <w:shd w:fill="auto" w:val="clear"/>
                <w:lang w:val="hy-AM" w:eastAsia="zh-CN" w:bidi="hi-IN"/>
              </w:rPr>
              <w:t>11․ Ընդունվել է ի գիտություն</w:t>
            </w:r>
          </w:p>
          <w:p>
            <w:pPr>
              <w:pStyle w:val="Normal"/>
              <w:spacing w:lineRule="auto" w:line="276"/>
              <w:jc w:val="both"/>
              <w:rPr/>
            </w:pPr>
            <w:r>
              <w:rPr>
                <w:rStyle w:val="Strong"/>
                <w:rFonts w:eastAsia="Calibri" w:cs="Cambria Math"/>
                <w:b w:val="false"/>
                <w:bCs w:val="false"/>
                <w:color w:val="000000"/>
                <w:kern w:val="2"/>
                <w:sz w:val="24"/>
                <w:szCs w:val="24"/>
                <w:shd w:fill="auto" w:val="clear"/>
                <w:lang w:val="hy-AM" w:eastAsia="zh-CN" w:bidi="hi-IN"/>
              </w:rPr>
              <w:t>Համազգեստի վերաբերյալ կարգավորումն արդեն իսկ գործող օրենքով նախատեսված է և այն տարածվում է բոլոր ծառայողների վրա։ Նախագծով առաջարկվում է հստակեցնել և իրավասություն վերապահել Ծառայության պետին հրամանով սահմանել համազգեստ կրելու պարտականություն ունեցող ծառայողների շրջանակը և դեպքերը, իսկ  համազգեստի ձևը և կրելու կարգը սահմանելու է Վարչապետը, որը նաև գործող օրենքով է սահմանված։</w:t>
            </w:r>
          </w:p>
          <w:p>
            <w:pPr>
              <w:pStyle w:val="Normal"/>
              <w:spacing w:lineRule="auto" w:line="276"/>
              <w:jc w:val="both"/>
              <w:rPr/>
            </w:pPr>
            <w:r>
              <w:rPr>
                <w:rStyle w:val="Strong"/>
                <w:rFonts w:eastAsia="Calibri" w:cs="Cambria Math"/>
                <w:b w:val="false"/>
                <w:bCs w:val="false"/>
                <w:color w:val="000000"/>
                <w:kern w:val="2"/>
                <w:sz w:val="24"/>
                <w:szCs w:val="24"/>
                <w:shd w:fill="auto" w:val="clear"/>
                <w:lang w:val="hy-AM" w:eastAsia="zh-CN" w:bidi="hi-IN"/>
              </w:rPr>
              <w:t>Միաժամանակ օրենքում ոչ թե նոր կարգավորում է ներդրվում, այլ օրենքով արդեն իսկ նախատեսված կոչումները փոխարինվում են դասային աստիճաններով, որին հիմնավորման մեջ համապատասխան անդրադարձ կատարվել է։</w:t>
            </w:r>
          </w:p>
          <w:p>
            <w:pPr>
              <w:pStyle w:val="Normal"/>
              <w:spacing w:lineRule="auto" w:line="276"/>
              <w:jc w:val="both"/>
              <w:rPr>
                <w:rFonts w:ascii="GHEA Grapalat" w:hAnsi="GHEA Grapalat" w:eastAsia="Calibri" w:cs="Cambria Math"/>
                <w:b w:val="false"/>
                <w:bCs w:val="false"/>
                <w:color w:val="auto"/>
                <w:kern w:val="2"/>
                <w:sz w:val="24"/>
                <w:szCs w:val="24"/>
                <w:shd w:fill="auto" w:val="clear"/>
                <w:lang w:val="hy-AM" w:eastAsia="zh-CN" w:bidi="hi-IN"/>
              </w:rPr>
            </w:pPr>
            <w:r>
              <w:rPr>
                <w:rFonts w:eastAsia="Calibri" w:cs="Cambria Math"/>
                <w:b w:val="false"/>
                <w:bCs w:val="false"/>
                <w:color w:val="000000"/>
                <w:kern w:val="2"/>
                <w:sz w:val="24"/>
                <w:szCs w:val="24"/>
                <w:shd w:fill="auto" w:val="clear"/>
                <w:lang w:val="hy-AM" w:eastAsia="zh-CN" w:bidi="hi-IN"/>
              </w:rPr>
            </w:r>
          </w:p>
          <w:p>
            <w:pPr>
              <w:pStyle w:val="Normal"/>
              <w:spacing w:lineRule="auto" w:line="276"/>
              <w:jc w:val="center"/>
              <w:rPr/>
            </w:pPr>
            <w:r>
              <w:rPr>
                <w:rStyle w:val="Strong"/>
                <w:rFonts w:eastAsia="Calibri" w:cs="Cambria Math"/>
                <w:b/>
                <w:bCs/>
                <w:color w:val="000000"/>
                <w:kern w:val="2"/>
                <w:sz w:val="24"/>
                <w:szCs w:val="24"/>
                <w:shd w:fill="auto" w:val="clear"/>
                <w:lang w:val="hy-AM" w:eastAsia="zh-CN" w:bidi="hi-IN"/>
              </w:rPr>
              <w:t>12․ Ընդունվել է մասնակի</w:t>
            </w:r>
          </w:p>
          <w:p>
            <w:pPr>
              <w:pStyle w:val="ListParagraph"/>
              <w:tabs>
                <w:tab w:val="clear" w:pos="709"/>
                <w:tab w:val="left" w:pos="1080" w:leader="none"/>
                <w:tab w:val="left" w:pos="1350" w:leader="none"/>
              </w:tabs>
              <w:spacing w:lineRule="auto" w:line="360" w:before="0" w:after="0"/>
              <w:ind w:hanging="0" w:left="0" w:right="219"/>
              <w:contextualSpacing/>
              <w:jc w:val="both"/>
              <w:rPr/>
            </w:pPr>
            <w:r>
              <w:rPr>
                <w:rStyle w:val="Strong"/>
                <w:rFonts w:eastAsia="Times New Roman" w:cs="Times New Roman"/>
                <w:b w:val="false"/>
                <w:bCs/>
                <w:color w:val="000000"/>
                <w:kern w:val="2"/>
                <w:sz w:val="24"/>
                <w:szCs w:val="24"/>
                <w:shd w:fill="auto" w:val="clear"/>
                <w:lang w:val="hy-AM" w:eastAsia="zh-CN" w:bidi="hi-IN"/>
              </w:rPr>
              <w:t>Ծառ</w:t>
            </w:r>
            <w:r>
              <w:rPr>
                <w:rStyle w:val="Strong"/>
                <w:rFonts w:eastAsia="Times New Roman" w:cs="Times New Roman"/>
                <w:b w:val="false"/>
                <w:bCs w:val="false"/>
                <w:color w:val="000000"/>
                <w:kern w:val="2"/>
                <w:sz w:val="24"/>
                <w:szCs w:val="24"/>
                <w:shd w:fill="auto" w:val="clear"/>
                <w:lang w:val="hy-AM" w:eastAsia="zh-CN" w:bidi="hi-IN"/>
              </w:rPr>
              <w:t>այո</w:t>
            </w:r>
            <w:r>
              <w:rPr>
                <w:rStyle w:val="Strong"/>
                <w:rFonts w:eastAsia="Calibri" w:cs="Cambria Math"/>
                <w:b w:val="false"/>
                <w:bCs w:val="false"/>
                <w:color w:val="000000"/>
                <w:kern w:val="2"/>
                <w:sz w:val="24"/>
                <w:szCs w:val="24"/>
                <w:shd w:fill="auto" w:val="clear"/>
                <w:lang w:val="hy-AM" w:eastAsia="zh-CN" w:bidi="hi-IN"/>
              </w:rPr>
              <w:t xml:space="preserve">ղի </w:t>
            </w:r>
            <w:r>
              <w:rPr>
                <w:rStyle w:val="StrongEmphasis"/>
                <w:rFonts w:eastAsia="Times New Roman" w:cs="Times New Roman"/>
                <w:b w:val="false"/>
                <w:color w:val="000000"/>
                <w:kern w:val="2"/>
                <w:sz w:val="24"/>
                <w:szCs w:val="24"/>
                <w:shd w:fill="auto" w:val="clear"/>
                <w:lang w:val="hy-AM" w:eastAsia="zh-CN" w:bidi="hi-IN"/>
              </w:rPr>
              <w:t>ընտանիքի անմիջական անդամներին սոցիալական փաթեթին համարժեք գումարի չափով հատուցում տրամադրելու կարգավորումը հանվել է նախագծից։ Ինչ վերաբերում է</w:t>
            </w:r>
            <w:r>
              <w:rPr>
                <w:rStyle w:val="StrongEmphasis"/>
                <w:rFonts w:eastAsia="Times New Roman" w:cs="Times New Roman"/>
                <w:b w:val="false"/>
                <w:color w:val="000000"/>
                <w:kern w:val="2"/>
                <w:sz w:val="24"/>
                <w:szCs w:val="24"/>
                <w:shd w:fill="FFFFFF" w:val="clear"/>
                <w:lang w:val="hy-AM" w:eastAsia="zh-CN" w:bidi="hi-IN"/>
              </w:rPr>
              <w:t xml:space="preserve"> սոցիալական երաշխիքնեի տրամադրմանը, ապա դրանց անհրաժեշտությունը պետք է դիտարկել ոչ միայն ամբողջի մեջ, այլ նաև այն սահմանափակումների, առանձնահատկությունների և ռիսկերի համատեքստում և դրանց համարժեքության մեջ, որոնք ներկայացվում են ԱՀԾ աշխատողներին։ </w:t>
            </w:r>
            <w:r>
              <w:rPr>
                <w:rStyle w:val="StrongEmphasis"/>
                <w:rFonts w:eastAsia="Times New Roman" w:cs="Times New Roman"/>
                <w:b w:val="false"/>
                <w:color w:val="000000"/>
                <w:kern w:val="2"/>
                <w:sz w:val="24"/>
                <w:szCs w:val="24"/>
                <w:shd w:fill="auto" w:val="clear"/>
                <w:lang w:val="hy-AM" w:eastAsia="zh-CN" w:bidi="hi-IN"/>
              </w:rPr>
              <w:t>Միաժամանակ նշենք, որ լրացուցիչ արձակուրդի տրամադրման հնա</w:t>
            </w:r>
            <w:r>
              <w:rPr>
                <w:rStyle w:val="StrongEmphasis"/>
                <w:rFonts w:eastAsia="Times New Roman" w:cs="Times New Roman"/>
                <w:b w:val="false"/>
                <w:color w:val="000000"/>
                <w:kern w:val="2"/>
                <w:sz w:val="24"/>
                <w:szCs w:val="24"/>
                <w:shd w:fill="FFFFFF" w:val="clear"/>
                <w:lang w:val="hy-AM" w:eastAsia="zh-CN" w:bidi="hi-IN"/>
              </w:rPr>
              <w:t>րավորություն նախատեսված է նաև որոշ այլ պետական մարմիններում (օրինակ՝ ԱԱԾ֊ում, Ոստիկանությունում)։</w:t>
            </w:r>
          </w:p>
          <w:p>
            <w:pPr>
              <w:pStyle w:val="ListParagraph"/>
              <w:tabs>
                <w:tab w:val="clear" w:pos="709"/>
                <w:tab w:val="left" w:pos="1080" w:leader="none"/>
                <w:tab w:val="left" w:pos="1350" w:leader="none"/>
              </w:tabs>
              <w:spacing w:lineRule="auto" w:line="360" w:before="0" w:after="0"/>
              <w:ind w:hanging="0" w:left="0" w:right="219"/>
              <w:contextualSpacing/>
              <w:jc w:val="center"/>
              <w:rPr>
                <w:rStyle w:val="StrongEmphasis"/>
                <w:rFonts w:eastAsia="Times New Roman" w:cs="Times New Roman"/>
                <w:b/>
                <w:bCs/>
                <w:color w:val="000000"/>
                <w:kern w:val="2"/>
                <w:sz w:val="24"/>
                <w:szCs w:val="24"/>
                <w:shd w:fill="auto" w:val="clear"/>
                <w:lang w:val="hy-AM" w:eastAsia="zh-CN" w:bidi="hi-IN"/>
              </w:rPr>
            </w:pPr>
            <w:r>
              <w:rPr/>
            </w:r>
          </w:p>
          <w:p>
            <w:pPr>
              <w:pStyle w:val="ListParagraph"/>
              <w:tabs>
                <w:tab w:val="clear" w:pos="709"/>
                <w:tab w:val="left" w:pos="1080" w:leader="none"/>
                <w:tab w:val="left" w:pos="1350" w:leader="none"/>
              </w:tabs>
              <w:spacing w:lineRule="auto" w:line="360" w:before="0" w:after="0"/>
              <w:ind w:hanging="0" w:left="0" w:right="219"/>
              <w:contextualSpacing/>
              <w:jc w:val="center"/>
              <w:rPr/>
            </w:pPr>
            <w:r>
              <w:rPr>
                <w:rStyle w:val="StrongEmphasis"/>
                <w:rFonts w:eastAsia="Times New Roman" w:cs="Times New Roman"/>
                <w:b/>
                <w:bCs/>
                <w:color w:val="000000"/>
                <w:kern w:val="2"/>
                <w:sz w:val="24"/>
                <w:szCs w:val="24"/>
                <w:shd w:fill="auto" w:val="clear"/>
                <w:lang w:val="hy-AM" w:eastAsia="zh-CN" w:bidi="hi-IN"/>
              </w:rPr>
              <w:t>13․ Ընդունվել է</w:t>
            </w:r>
          </w:p>
          <w:p>
            <w:pPr>
              <w:pStyle w:val="ListParagraph"/>
              <w:tabs>
                <w:tab w:val="clear" w:pos="709"/>
                <w:tab w:val="left" w:pos="1080" w:leader="none"/>
                <w:tab w:val="left" w:pos="1350" w:leader="none"/>
              </w:tabs>
              <w:spacing w:lineRule="auto" w:line="360" w:before="0" w:after="0"/>
              <w:ind w:hanging="0" w:left="0" w:right="219"/>
              <w:contextualSpacing/>
              <w:jc w:val="both"/>
              <w:rPr/>
            </w:pPr>
            <w:r>
              <w:rPr>
                <w:rStyle w:val="StrongEmphasis"/>
                <w:rFonts w:eastAsia="Times New Roman" w:cs="Times New Roman"/>
                <w:b w:val="false"/>
                <w:bCs w:val="false"/>
                <w:color w:val="000000"/>
                <w:kern w:val="2"/>
                <w:sz w:val="24"/>
                <w:szCs w:val="24"/>
                <w:shd w:fill="FFFFFF" w:val="clear"/>
                <w:lang w:val="hy-AM" w:eastAsia="zh-CN" w:bidi="hi-IN"/>
              </w:rPr>
              <w:t>Պետաիրավական նախարարական կոմիտեի 09․02․2026 թվականի նիստի քննարկման արդյունքների հիման վրա նախագծից համապատասխան դրույթները հանվել են։</w:t>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center"/>
              <w:rPr/>
            </w:pPr>
            <w:r>
              <w:rPr>
                <w:rStyle w:val="StrongEmphasis"/>
                <w:rFonts w:eastAsia="Times New Roman" w:cs="Times New Roman"/>
                <w:b/>
                <w:bCs/>
                <w:color w:val="000000"/>
                <w:kern w:val="2"/>
                <w:sz w:val="24"/>
                <w:szCs w:val="24"/>
                <w:shd w:fill="auto" w:val="clear"/>
                <w:lang w:val="hy-AM" w:eastAsia="zh-CN" w:bidi="hi-IN"/>
              </w:rPr>
              <w:t>14․ Ընդունվել է</w:t>
            </w:r>
          </w:p>
          <w:p>
            <w:pPr>
              <w:pStyle w:val="ListParagraph"/>
              <w:tabs>
                <w:tab w:val="clear" w:pos="709"/>
                <w:tab w:val="left" w:pos="1080" w:leader="none"/>
                <w:tab w:val="left" w:pos="1350" w:leader="none"/>
              </w:tabs>
              <w:spacing w:lineRule="auto" w:line="360" w:before="0" w:after="0"/>
              <w:ind w:hanging="0" w:left="0" w:right="219"/>
              <w:contextualSpacing/>
              <w:jc w:val="both"/>
              <w:rPr/>
            </w:pPr>
            <w:r>
              <w:rPr>
                <w:rStyle w:val="StrongEmphasis"/>
                <w:rFonts w:eastAsia="Times New Roman" w:cs="Times New Roman"/>
                <w:b w:val="false"/>
                <w:bCs w:val="false"/>
                <w:color w:val="000000"/>
                <w:kern w:val="2"/>
                <w:sz w:val="24"/>
                <w:szCs w:val="24"/>
                <w:shd w:fill="FFFFFF" w:val="clear"/>
                <w:lang w:val="hy-AM" w:eastAsia="zh-CN" w:bidi="hi-IN"/>
              </w:rPr>
              <w:t>Պետաիրավական նախարարական կոմիտեի 09․02․2026 թվականի նիստի քննարկման արդյունքների հիման վրա նախագծից համապատասխան դրույթները հանվել են։</w:t>
            </w:r>
          </w:p>
          <w:p>
            <w:pPr>
              <w:pStyle w:val="ListParagraph"/>
              <w:tabs>
                <w:tab w:val="clear" w:pos="709"/>
                <w:tab w:val="left" w:pos="1080" w:leader="none"/>
                <w:tab w:val="left" w:pos="1350" w:leader="none"/>
              </w:tabs>
              <w:spacing w:lineRule="auto" w:line="360"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center"/>
              <w:rPr/>
            </w:pPr>
            <w:r>
              <w:rPr>
                <w:rStyle w:val="StrongEmphasis"/>
                <w:rFonts w:eastAsia="Times New Roman" w:cs="Times New Roman"/>
                <w:b/>
                <w:bCs/>
                <w:color w:val="000000"/>
                <w:kern w:val="2"/>
                <w:sz w:val="24"/>
                <w:szCs w:val="24"/>
                <w:shd w:fill="auto" w:val="clear"/>
                <w:lang w:val="hy-AM" w:eastAsia="zh-CN" w:bidi="hi-IN"/>
              </w:rPr>
              <w:t>15․ Ընդունվել է ի գիտություն</w:t>
            </w:r>
          </w:p>
          <w:p>
            <w:pPr>
              <w:pStyle w:val="ListParagraph"/>
              <w:tabs>
                <w:tab w:val="clear" w:pos="709"/>
                <w:tab w:val="left" w:pos="1080" w:leader="none"/>
                <w:tab w:val="left" w:pos="1350" w:leader="none"/>
              </w:tabs>
              <w:spacing w:lineRule="auto" w:line="360" w:before="0" w:after="0"/>
              <w:ind w:hanging="0" w:left="0" w:right="219"/>
              <w:contextualSpacing/>
              <w:jc w:val="both"/>
              <w:rPr/>
            </w:pPr>
            <w:r>
              <w:rPr/>
              <w:t>Ս</w:t>
            </w:r>
            <w:r>
              <w:rPr>
                <w:rStyle w:val="StrongEmphasis"/>
                <w:rFonts w:eastAsia="Times New Roman" w:cs="Times New Roman"/>
                <w:b w:val="false"/>
                <w:bCs w:val="false"/>
                <w:color w:val="000000"/>
                <w:kern w:val="2"/>
                <w:sz w:val="24"/>
                <w:szCs w:val="24"/>
                <w:shd w:fill="FFFFFF" w:val="clear"/>
                <w:lang w:val="hy-AM" w:eastAsia="zh-CN" w:bidi="hi-IN"/>
              </w:rPr>
              <w:t>ույն օրենքում նմանատիպ կարգավորում ԱԱԾ֊ի մասով արդեն իսկ նախատեսված է և նախագծով առաջարկվող կարգավորումն ապահովում է իրավական միատեսակություն։</w:t>
            </w:r>
          </w:p>
        </w:tc>
      </w:tr>
      <w:tr>
        <w:trPr>
          <w:trHeight w:val="897" w:hRule="atLeast"/>
        </w:trPr>
        <w:tc>
          <w:tcPr>
            <w:tcW w:w="9656" w:type="dxa"/>
            <w:tcBorders>
              <w:left w:val="single" w:sz="4" w:space="0" w:color="000000"/>
              <w:bottom w:val="single" w:sz="4" w:space="0" w:color="000000"/>
              <w:right w:val="single" w:sz="4" w:space="0" w:color="000000"/>
            </w:tcBorders>
          </w:tcPr>
          <w:p>
            <w:pPr>
              <w:pStyle w:val="ListParagraph"/>
              <w:widowControl/>
              <w:numPr>
                <w:ilvl w:val="1"/>
                <w:numId w:val="2"/>
              </w:numPr>
              <w:bidi w:val="0"/>
              <w:spacing w:lineRule="auto" w:line="276" w:before="0" w:after="280"/>
              <w:ind w:firstLine="630" w:left="0"/>
              <w:contextualSpacing/>
              <w:jc w:val="center"/>
              <w:rPr>
                <w:sz w:val="24"/>
                <w:szCs w:val="24"/>
              </w:rPr>
            </w:pPr>
            <w:r>
              <w:rPr>
                <w:b/>
                <w:bCs/>
                <w:sz w:val="24"/>
                <w:szCs w:val="24"/>
              </w:rPr>
              <w:t>Իրավաբանական վարչություն</w:t>
            </w:r>
          </w:p>
          <w:p>
            <w:pPr>
              <w:pStyle w:val="Normal"/>
              <w:numPr>
                <w:ilvl w:val="0"/>
                <w:numId w:val="2"/>
              </w:numPr>
              <w:spacing w:lineRule="auto" w:line="240" w:before="0" w:after="0"/>
              <w:ind w:firstLine="630" w:left="0"/>
              <w:jc w:val="both"/>
              <w:rPr>
                <w:sz w:val="24"/>
                <w:szCs w:val="24"/>
              </w:rPr>
            </w:pPr>
            <w:r>
              <w:rPr>
                <w:bCs/>
                <w:iCs/>
                <w:sz w:val="24"/>
                <w:szCs w:val="24"/>
                <w:lang w:val="hy-AM"/>
              </w:rPr>
              <w:t xml:space="preserve">1.«Արտաքին հետախուզական գործունեության և արտաքին հետախուզության ծառայության մասին» օրենքում փոփոխություններ և լրացումներ կատարելու մասին» օրենքի նախագծի (այսուհետ՝ նախագիծ) 3-րդ հոդվածով սահմանվում է, որ Ծառայությունը իրավունք ունի </w:t>
            </w:r>
            <w:r>
              <w:rPr>
                <w:bCs/>
                <w:i/>
                <w:iCs/>
                <w:sz w:val="24"/>
                <w:szCs w:val="24"/>
                <w:u w:val="single"/>
                <w:lang w:val="hy-AM"/>
              </w:rPr>
              <w:t>ձերբակալել</w:t>
            </w:r>
            <w:r>
              <w:rPr>
                <w:bCs/>
                <w:iCs/>
                <w:sz w:val="24"/>
                <w:szCs w:val="24"/>
                <w:lang w:val="hy-AM"/>
              </w:rPr>
              <w:t xml:space="preserve"> Ծառայության պահպանության ենթակա տարածքներ և օբյեկտներ ապօրինի մուտք գործած կամ մուտք գործելու փորձ կատարող կամ օրենքով սահմանված այլ դեպքերում հանցանք կատարելու մեջ կասկածվող անձանց: Հաշվի առնելով՝ Ծառայության կարգավիճակը և գործառույթների շրջանակը Ծառայության համանման լիազորության վերապահումը, գտնում ենք, որ ծանրակշիռ հիմնավորման անհրաժեշտություն ունի:</w:t>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2"/>
              </w:numPr>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spacing w:lineRule="auto" w:line="240" w:before="0" w:after="0"/>
              <w:ind w:firstLine="630" w:left="0"/>
              <w:jc w:val="both"/>
              <w:rPr>
                <w:rFonts w:ascii="GHEA Grapalat" w:hAnsi="GHEA Grapalat"/>
                <w:bCs/>
                <w:iCs/>
                <w:sz w:val="24"/>
                <w:szCs w:val="24"/>
                <w:lang w:val="hy-AM"/>
              </w:rPr>
            </w:pPr>
            <w:r>
              <w:rPr>
                <w:bCs/>
                <w:iCs/>
                <w:sz w:val="24"/>
                <w:szCs w:val="24"/>
                <w:lang w:val="hy-AM"/>
              </w:rPr>
            </w:r>
          </w:p>
          <w:p>
            <w:pPr>
              <w:pStyle w:val="Normal"/>
              <w:numPr>
                <w:ilvl w:val="0"/>
                <w:numId w:val="0"/>
              </w:numPr>
              <w:spacing w:lineRule="auto" w:line="240" w:before="0" w:after="0"/>
              <w:ind w:hanging="0" w:left="0"/>
              <w:jc w:val="both"/>
              <w:rPr>
                <w:sz w:val="24"/>
                <w:szCs w:val="24"/>
              </w:rPr>
            </w:pPr>
            <w:r>
              <w:rPr>
                <w:bCs/>
                <w:iCs/>
                <w:sz w:val="24"/>
                <w:szCs w:val="24"/>
                <w:lang w:val="hy-AM"/>
              </w:rPr>
              <w:tab/>
              <w:t xml:space="preserve">2. Նախագծի 3-րդ հոդվածով սահմանվում է, որ Ծառայությանն ամրացված կամ նրա կողմից օգտագործվող անշարժ գույքի հարակից տարածքներում քաղաքաշինական գործունեություն իրականացնելու վերաբերյալ ներկայացնում է </w:t>
            </w:r>
            <w:r>
              <w:rPr>
                <w:bCs/>
                <w:i/>
                <w:iCs/>
                <w:sz w:val="24"/>
                <w:szCs w:val="24"/>
                <w:u w:val="single"/>
                <w:lang w:val="hy-AM"/>
              </w:rPr>
              <w:t>եզրակացություն</w:t>
            </w:r>
            <w:r>
              <w:rPr>
                <w:bCs/>
                <w:iCs/>
                <w:sz w:val="24"/>
                <w:szCs w:val="24"/>
                <w:lang w:val="hy-AM"/>
              </w:rPr>
              <w:t>, մինչդեռ պարզ չէ եզրակացության իրավական նշանակությունը:</w:t>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sz w:val="24"/>
                <w:szCs w:val="24"/>
              </w:rPr>
            </w:pPr>
            <w:r>
              <w:rPr>
                <w:sz w:val="24"/>
                <w:szCs w:val="24"/>
                <w:lang w:val="hy-AM"/>
              </w:rPr>
              <w:t xml:space="preserve">3. Նախագծի 9-րդ հովածով </w:t>
            </w:r>
            <w:bookmarkStart w:id="6" w:name="_GoBack_Copy_2"/>
            <w:bookmarkEnd w:id="6"/>
            <w:r>
              <w:rPr>
                <w:sz w:val="24"/>
                <w:szCs w:val="24"/>
                <w:lang w:val="hy-AM"/>
              </w:rPr>
              <w:t>սահմանվում է, որ փորձաշրջանի հետ կապված հարաբերությունները կարգավորվում են Ծառայության պետի կողմից սահմանված հրամանով։ Մինչդեռ, հաշվի առնելով, որ նշված կարգավորումները կարող են առնչվել անձանց հիմնական իրավունքերի իրացմանը (օրինակ՝ փորձաշրջանի արդյունքներով զբաղեցրած պաշտոնից ազատել), գտնում ենք, որ այդ կարգավորումները չեն կարող լինել Ծառայության պետի կողմից ընդունվող հրամանով կարգավորման առարկա:</w:t>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rFonts w:ascii="GHEA Grapalat" w:hAnsi="GHEA Grapalat"/>
                <w:sz w:val="24"/>
                <w:szCs w:val="24"/>
                <w:lang w:val="hy-AM"/>
              </w:rPr>
            </w:pPr>
            <w:r>
              <w:rPr>
                <w:sz w:val="24"/>
                <w:szCs w:val="24"/>
                <w:lang w:val="hy-AM"/>
              </w:rPr>
            </w:r>
          </w:p>
          <w:p>
            <w:pPr>
              <w:pStyle w:val="Normal"/>
              <w:numPr>
                <w:ilvl w:val="0"/>
                <w:numId w:val="2"/>
              </w:numPr>
              <w:spacing w:lineRule="auto" w:line="240" w:before="0" w:after="0"/>
              <w:ind w:firstLine="630" w:left="0"/>
              <w:jc w:val="both"/>
              <w:rPr>
                <w:sz w:val="24"/>
                <w:szCs w:val="24"/>
              </w:rPr>
            </w:pPr>
            <w:r>
              <w:rPr>
                <w:sz w:val="24"/>
                <w:szCs w:val="24"/>
                <w:lang w:val="hy-AM"/>
              </w:rPr>
              <w:t xml:space="preserve">4.Նախագծի 23-րդ հոդվածով լրացվող օրենքի 41-րդ հոդվածի 3-րդ մասի </w:t>
            </w:r>
            <w:r>
              <w:rPr>
                <w:rFonts w:eastAsia="Times New Roman" w:cs="Calibri"/>
                <w:color w:val="000000"/>
                <w:kern w:val="2"/>
                <w:sz w:val="24"/>
                <w:szCs w:val="24"/>
                <w:lang w:val="hy-AM" w:eastAsia="zh-CN" w:bidi="hi-IN"/>
              </w:rPr>
              <w:t xml:space="preserve">համաձայն՝ </w:t>
            </w:r>
            <w:r>
              <w:rPr>
                <w:sz w:val="24"/>
                <w:szCs w:val="24"/>
                <w:lang w:val="hy-AM"/>
              </w:rPr>
              <w:t>ծառայության աշխատողին բերման ենթարկելը, ձերբակալելը, խուզարկելը, անձի, իրերի, անձնական և ծառայողական օգտագործման տրանսպորտային միջոցների զննությունը կատարվում է ծառայության պաշտոնական ներկայացուցչի ներկայությամբ, մինչդեռ պարզ չէ, թե պաշտոնական ներկայացուցչի պարտադիր ներկայությունը ինչ հարց է լուծում:</w:t>
            </w:r>
          </w:p>
          <w:p>
            <w:pPr>
              <w:pStyle w:val="Normal"/>
              <w:spacing w:lineRule="auto" w:line="240" w:before="0" w:after="0"/>
              <w:ind w:firstLine="630" w:left="0"/>
              <w:jc w:val="both"/>
              <w:rPr>
                <w:sz w:val="24"/>
                <w:szCs w:val="24"/>
              </w:rPr>
            </w:pPr>
            <w:r>
              <w:rPr>
                <w:sz w:val="24"/>
                <w:szCs w:val="24"/>
              </w:rPr>
            </w:r>
          </w:p>
          <w:p>
            <w:pPr>
              <w:pStyle w:val="Normal"/>
              <w:spacing w:lineRule="auto" w:line="240" w:before="0" w:after="0"/>
              <w:ind w:firstLine="630" w:left="0"/>
              <w:jc w:val="both"/>
              <w:rPr>
                <w:sz w:val="24"/>
                <w:szCs w:val="24"/>
              </w:rPr>
            </w:pPr>
            <w:r>
              <w:rPr>
                <w:sz w:val="24"/>
                <w:szCs w:val="24"/>
              </w:rPr>
            </w:r>
          </w:p>
          <w:p>
            <w:pPr>
              <w:pStyle w:val="Normal"/>
              <w:spacing w:lineRule="auto" w:line="240" w:before="0" w:after="0"/>
              <w:ind w:firstLine="630" w:left="0"/>
              <w:jc w:val="both"/>
              <w:rPr>
                <w:sz w:val="24"/>
                <w:szCs w:val="24"/>
              </w:rPr>
            </w:pPr>
            <w:r>
              <w:rPr>
                <w:sz w:val="24"/>
                <w:szCs w:val="24"/>
              </w:rPr>
            </w:r>
          </w:p>
          <w:p>
            <w:pPr>
              <w:pStyle w:val="Normal"/>
              <w:spacing w:lineRule="auto" w:line="240" w:before="0" w:after="0"/>
              <w:ind w:firstLine="630" w:left="0"/>
              <w:jc w:val="both"/>
              <w:rPr>
                <w:sz w:val="24"/>
                <w:szCs w:val="24"/>
              </w:rPr>
            </w:pPr>
            <w:r>
              <w:rPr>
                <w:sz w:val="24"/>
                <w:szCs w:val="24"/>
              </w:rPr>
            </w:r>
          </w:p>
          <w:p>
            <w:pPr>
              <w:pStyle w:val="Normal"/>
              <w:spacing w:lineRule="auto" w:line="240" w:before="0" w:after="0"/>
              <w:ind w:firstLine="630" w:left="0"/>
              <w:jc w:val="both"/>
              <w:rPr>
                <w:sz w:val="24"/>
                <w:szCs w:val="24"/>
              </w:rPr>
            </w:pPr>
            <w:r>
              <w:rPr>
                <w:sz w:val="24"/>
                <w:szCs w:val="24"/>
              </w:rPr>
            </w:r>
          </w:p>
          <w:p>
            <w:pPr>
              <w:pStyle w:val="Normal"/>
              <w:spacing w:lineRule="auto" w:line="240" w:before="0" w:after="0"/>
              <w:ind w:firstLine="630" w:left="0"/>
              <w:jc w:val="both"/>
              <w:rPr>
                <w:sz w:val="24"/>
                <w:szCs w:val="24"/>
              </w:rPr>
            </w:pPr>
            <w:r>
              <w:rPr>
                <w:sz w:val="24"/>
                <w:szCs w:val="24"/>
              </w:rPr>
            </w:r>
          </w:p>
          <w:p>
            <w:pPr>
              <w:pStyle w:val="Normal"/>
              <w:spacing w:lineRule="auto" w:line="240" w:before="0" w:after="0"/>
              <w:ind w:firstLine="630" w:left="0"/>
              <w:jc w:val="both"/>
              <w:rPr>
                <w:sz w:val="24"/>
                <w:szCs w:val="24"/>
              </w:rPr>
            </w:pPr>
            <w:r>
              <w:rPr>
                <w:sz w:val="24"/>
                <w:szCs w:val="24"/>
              </w:rPr>
            </w:r>
          </w:p>
          <w:p>
            <w:pPr>
              <w:pStyle w:val="Normal"/>
              <w:spacing w:lineRule="auto" w:line="240" w:before="0" w:after="0"/>
              <w:ind w:firstLine="630" w:left="0"/>
              <w:jc w:val="both"/>
              <w:rPr>
                <w:sz w:val="24"/>
                <w:szCs w:val="24"/>
              </w:rPr>
            </w:pPr>
            <w:r>
              <w:rPr>
                <w:sz w:val="24"/>
                <w:szCs w:val="24"/>
              </w:rPr>
            </w:r>
          </w:p>
          <w:p>
            <w:pPr>
              <w:pStyle w:val="Normal"/>
              <w:numPr>
                <w:ilvl w:val="0"/>
                <w:numId w:val="2"/>
              </w:numPr>
              <w:spacing w:lineRule="auto" w:line="240" w:before="0" w:after="0"/>
              <w:ind w:firstLine="630" w:left="0"/>
              <w:jc w:val="both"/>
              <w:rPr>
                <w:sz w:val="24"/>
                <w:szCs w:val="24"/>
              </w:rPr>
            </w:pPr>
            <w:r>
              <w:rPr>
                <w:sz w:val="24"/>
                <w:szCs w:val="24"/>
              </w:rPr>
            </w:r>
          </w:p>
          <w:p>
            <w:pPr>
              <w:pStyle w:val="Normal"/>
              <w:numPr>
                <w:ilvl w:val="0"/>
                <w:numId w:val="2"/>
              </w:numPr>
              <w:spacing w:lineRule="auto" w:line="240" w:before="0" w:after="0"/>
              <w:ind w:firstLine="630" w:left="0"/>
              <w:jc w:val="both"/>
              <w:rPr>
                <w:sz w:val="24"/>
                <w:szCs w:val="24"/>
              </w:rPr>
            </w:pPr>
            <w:r>
              <w:rPr>
                <w:sz w:val="24"/>
                <w:szCs w:val="24"/>
              </w:rPr>
            </w:r>
          </w:p>
          <w:p>
            <w:pPr>
              <w:pStyle w:val="Normal"/>
              <w:numPr>
                <w:ilvl w:val="0"/>
                <w:numId w:val="2"/>
              </w:numPr>
              <w:spacing w:lineRule="auto" w:line="240" w:before="0" w:after="0"/>
              <w:ind w:firstLine="630" w:left="0"/>
              <w:jc w:val="both"/>
              <w:rPr>
                <w:sz w:val="24"/>
                <w:szCs w:val="24"/>
              </w:rPr>
            </w:pPr>
            <w:r>
              <w:rPr>
                <w:sz w:val="24"/>
                <w:szCs w:val="24"/>
                <w:lang w:val="hy-AM"/>
              </w:rPr>
              <w:t>5.Նախագծի մի շարք կարգավորումներով որոշումների (հրաման) ընդունման լիազորություն է տրվում Ծառայության պետին (օրինակ՝ օրենքում լրացվող 13-րդ հոդվածի 8-րդ մաս, 15-րդ հոդվածի 2-րդ մասի 12.6 և այլն), իսկ այլ դեպքերում՝ ՀՀ վարչապետին (օրինակ՝ նախագծի 12-րդ հոդվածի 2-րդ կետ, օրենքում լրացվող 16-րդ հոդվածի 1-րդ մաս և այլն), սակայն պարզ չէ, թե նշվածի հիմքում ինչ տրամաբանություն է ընկած:</w:t>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pPr>
            <w:r>
              <w:rPr>
                <w:sz w:val="24"/>
                <w:szCs w:val="24"/>
                <w:lang w:val="hy-AM"/>
              </w:rPr>
              <w:t xml:space="preserve">6. Նախագծի 24-րդ հոդվածով լրացվող 41.1 հոդվածի 4-րդ մասի՝ համաձայն՝ </w:t>
            </w:r>
            <w:r>
              <w:rPr>
                <w:rStyle w:val="StrongEmphasis"/>
                <w:rFonts w:cs="Times New Roman"/>
                <w:b w:val="false"/>
                <w:bCs w:val="false"/>
                <w:kern w:val="2"/>
                <w:sz w:val="24"/>
                <w:szCs w:val="24"/>
                <w:lang w:val="hy-AM" w:eastAsia="zh-CN" w:bidi="hi-IN"/>
              </w:rPr>
              <w:t>Ծառայության ծառայողներին տրվող դրամական օգնության և սոցիալական երաշխիքների տրամադրման հետ կապված և սույն օրենքով չկարգավորված հարաբերությունները կարգավորվում են այլ օրենքներով և նորմատիվ իրավական ակտերով։ Գտնում ենք, որ առաջարկվող կարգավորումը խնդրահարույց է իրավական որոշակիության սկզբունքի համատեքստում:</w:t>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tabs>
                <w:tab w:val="clear" w:pos="709"/>
                <w:tab w:val="left" w:pos="1668" w:leader="none"/>
              </w:tabs>
              <w:spacing w:lineRule="auto" w:line="240" w:before="0" w:after="0"/>
              <w:ind w:firstLine="630" w:left="0"/>
              <w:jc w:val="both"/>
              <w:rPr>
                <w:sz w:val="24"/>
                <w:szCs w:val="24"/>
              </w:rPr>
            </w:pPr>
            <w:r>
              <w:rPr>
                <w:sz w:val="24"/>
                <w:szCs w:val="24"/>
              </w:rPr>
            </w:r>
          </w:p>
          <w:p>
            <w:pPr>
              <w:pStyle w:val="Normal"/>
              <w:numPr>
                <w:ilvl w:val="0"/>
                <w:numId w:val="2"/>
              </w:numPr>
              <w:tabs>
                <w:tab w:val="clear" w:pos="709"/>
                <w:tab w:val="left" w:pos="1668" w:leader="none"/>
              </w:tabs>
              <w:spacing w:lineRule="auto" w:line="240" w:before="0" w:after="0"/>
              <w:ind w:firstLine="630" w:left="0"/>
              <w:jc w:val="both"/>
              <w:rPr>
                <w:sz w:val="24"/>
                <w:szCs w:val="24"/>
              </w:rPr>
            </w:pPr>
            <w:r>
              <w:rPr>
                <w:sz w:val="24"/>
                <w:szCs w:val="24"/>
                <w:lang w:val="hy-AM"/>
              </w:rPr>
              <w:t xml:space="preserve">7.«Օպերատիվ-հետախուզական գործունեության մասին» օրենքում </w:t>
            </w:r>
            <w:r>
              <w:rPr>
                <w:bCs/>
                <w:iCs/>
                <w:sz w:val="24"/>
                <w:szCs w:val="24"/>
                <w:lang w:val="hy-AM"/>
              </w:rPr>
              <w:t xml:space="preserve">փոփոխություններ և լրացումներ կատարելու մասին» օրենքի նախագծի 3-րդ հոդվածի 8-րդ կետի համաձայն՝ ծառայության պետը Վարչապետին ներկայացնում է </w:t>
            </w:r>
            <w:r>
              <w:rPr>
                <w:sz w:val="24"/>
                <w:szCs w:val="24"/>
                <w:lang w:val="hy-AM"/>
              </w:rPr>
              <w:t>Ծառայության կողմից իրականացված թվային, այդ թվում՝ հեռախոսային հաղորդակցության վերահսկում օպերատիվ֊հետախուզական միջոցառումների, ինչպես նաև առանց դատարանի որոշման իրականացված և հետագայում դատարանի կողմից ստացված և չստացված թույլտվությունների քանակի մասին հաշվետվություն, մինչդեռ պարզ չէ ներկայացվող հաշվետվության իրավական հետևանքը:</w:t>
            </w:r>
          </w:p>
        </w:tc>
        <w:tc>
          <w:tcPr>
            <w:tcW w:w="5034" w:type="dxa"/>
            <w:tcBorders>
              <w:left w:val="single" w:sz="4" w:space="0" w:color="000000"/>
              <w:bottom w:val="single" w:sz="4" w:space="0" w:color="000000"/>
              <w:right w:val="single" w:sz="4" w:space="0" w:color="000000"/>
            </w:tcBorders>
          </w:tcPr>
          <w:p>
            <w:pPr>
              <w:pStyle w:val="TableContents"/>
              <w:bidi w:val="0"/>
              <w:jc w:val="both"/>
              <w:rPr>
                <w:rFonts w:ascii="GHEA Grapalat" w:hAnsi="GHEA Grapalat"/>
                <w:sz w:val="24"/>
                <w:szCs w:val="24"/>
                <w:shd w:fill="auto" w:val="clear"/>
              </w:rPr>
            </w:pPr>
            <w:r>
              <w:rPr>
                <w:sz w:val="24"/>
                <w:szCs w:val="24"/>
                <w:shd w:fill="auto" w:val="clear"/>
              </w:rPr>
            </w:r>
          </w:p>
          <w:p>
            <w:pPr>
              <w:pStyle w:val="TableContents"/>
              <w:bidi w:val="0"/>
              <w:jc w:val="center"/>
              <w:rPr>
                <w:sz w:val="24"/>
                <w:szCs w:val="24"/>
              </w:rPr>
            </w:pPr>
            <w:r>
              <w:rPr>
                <w:b/>
                <w:bCs/>
                <w:sz w:val="24"/>
                <w:szCs w:val="24"/>
                <w:shd w:fill="auto" w:val="clear"/>
              </w:rPr>
              <w:t>1․ Ընդունվել և նախագծում կատարվել է համապատասպան փոփոխություն</w:t>
            </w:r>
          </w:p>
          <w:p>
            <w:pPr>
              <w:pStyle w:val="TableContents"/>
              <w:bidi w:val="0"/>
              <w:jc w:val="both"/>
              <w:rPr>
                <w:sz w:val="24"/>
                <w:szCs w:val="24"/>
              </w:rPr>
            </w:pPr>
            <w:r>
              <w:rPr>
                <w:rFonts w:eastAsia="Calibri" w:cs="Arial"/>
                <w:bCs/>
                <w:color w:val="000000"/>
                <w:kern w:val="2"/>
                <w:sz w:val="24"/>
                <w:szCs w:val="24"/>
                <w:shd w:fill="auto" w:val="clear"/>
                <w:lang w:val="hy-AM" w:eastAsia="zh-CN" w:bidi="hi-IN"/>
              </w:rPr>
              <w:t>Միաժամանակ հայտնում ենք, որ Նախագծի 3֊րդ հոդվածի շրջանակում լր</w:t>
            </w:r>
            <w:r>
              <w:rPr>
                <w:sz w:val="24"/>
                <w:szCs w:val="24"/>
                <w:shd w:fill="auto" w:val="clear"/>
              </w:rPr>
              <w:t>ացվող 7․1 մասի համաձայն՝ ԱՀԾ֊ն իրավունք ունի ձերբակալել Ծառայության՝</w:t>
            </w:r>
            <w:r>
              <w:rPr>
                <w:rFonts w:eastAsia="Calibri" w:cs="Arial"/>
                <w:bCs/>
                <w:color w:val="000000"/>
                <w:kern w:val="2"/>
                <w:sz w:val="24"/>
                <w:szCs w:val="24"/>
                <w:shd w:fill="auto" w:val="clear"/>
                <w:lang w:val="hy-AM" w:eastAsia="zh-CN" w:bidi="hi-IN"/>
              </w:rPr>
              <w:t xml:space="preserve"> սեփական անվտանգության ապահովման գործառույթի իրականացման շրջանակում  հանցանք կատարելու մեջ կասկածվող անձանց։ </w:t>
            </w:r>
            <w:r>
              <w:rPr>
                <w:sz w:val="24"/>
                <w:szCs w:val="24"/>
                <w:shd w:fill="auto" w:val="clear"/>
              </w:rPr>
              <w:t>ԱՀԾ կողմից անձի ձերբակալումը կարող է իրականացվել ոչ թե բոլ</w:t>
            </w:r>
            <w:r>
              <w:rPr>
                <w:rFonts w:eastAsia="Calibri" w:cs="Arial"/>
                <w:bCs/>
                <w:sz w:val="24"/>
                <w:szCs w:val="24"/>
                <w:shd w:fill="FFFFFF" w:val="clear"/>
                <w:lang w:val="hy-AM"/>
              </w:rPr>
              <w:t xml:space="preserve">որ դեպքերում, այլ՝ ԱՀԾ՝ </w:t>
            </w:r>
            <w:r>
              <w:rPr>
                <w:rFonts w:eastAsia="Calibri" w:cs="Arial"/>
                <w:bCs/>
                <w:color w:val="000000"/>
                <w:kern w:val="2"/>
                <w:sz w:val="24"/>
                <w:szCs w:val="24"/>
                <w:shd w:fill="auto" w:val="clear"/>
                <w:lang w:val="hy-AM" w:eastAsia="zh-CN" w:bidi="hi-IN"/>
              </w:rPr>
              <w:t>սեփական անվտանգության ապահովման շրջանակում  հանցանք կատարելու</w:t>
            </w:r>
            <w:r>
              <w:rPr>
                <w:rFonts w:eastAsia="Calibri" w:cs="Arial"/>
                <w:bCs/>
                <w:sz w:val="24"/>
                <w:szCs w:val="24"/>
                <w:shd w:fill="auto" w:val="clear"/>
                <w:lang w:val="hy-AM"/>
              </w:rPr>
              <w:t xml:space="preserve"> դեպքում։ Իսկ նկարագրված դեպքը համահունչ է անձին ազատությունից զրկելու՝ Սահմանադրությամբ և Քրեական դատավարության մասին օրենսգրքով սահմանված հիմքերին և ձերբակալման վերաբերյալ կարգավորումներին, քանի որ անձին ազատությունից զրկելու և իրավասու մարմին ներկայացնելու անհրաժեշտությունը պայմանավորված է </w:t>
            </w:r>
            <w:r>
              <w:rPr>
                <w:rFonts w:eastAsia="Calibri" w:cs="Arial"/>
                <w:b w:val="false"/>
                <w:bCs w:val="false"/>
                <w:sz w:val="24"/>
                <w:szCs w:val="24"/>
                <w:shd w:fill="FFFFFF" w:val="clear"/>
                <w:lang w:val="hy-AM"/>
              </w:rPr>
              <w:t xml:space="preserve">հանցանք կատարած լինելու հիմնավոր կասկածի առկայությամբ կամ անհրաժեշտ է հանցանքի </w:t>
            </w:r>
            <w:r>
              <w:rPr>
                <w:rFonts w:eastAsia="Calibri" w:cs="Arial"/>
                <w:bCs/>
                <w:sz w:val="24"/>
                <w:szCs w:val="24"/>
                <w:shd w:fill="FFFFFF" w:val="clear"/>
                <w:lang w:val="hy-AM"/>
              </w:rPr>
              <w:t>կատարումը կամ դա կատարելուց հետո անձի փախուստը կանխելու նպատակով: Ա</w:t>
            </w:r>
            <w:r>
              <w:rPr>
                <w:rFonts w:eastAsia="Calibri" w:cs="Arial"/>
                <w:bCs/>
                <w:sz w:val="24"/>
                <w:szCs w:val="24"/>
                <w:shd w:fill="auto" w:val="clear"/>
                <w:lang w:val="hy-AM"/>
              </w:rPr>
              <w:t xml:space="preserve">ՀԾ֊ին </w:t>
            </w:r>
            <w:r>
              <w:rPr>
                <w:rFonts w:eastAsia="Calibri" w:cs="Arial"/>
                <w:b w:val="false"/>
                <w:bCs w:val="false"/>
                <w:i w:val="false"/>
                <w:iCs w:val="false"/>
                <w:sz w:val="24"/>
                <w:szCs w:val="24"/>
                <w:shd w:fill="auto" w:val="clear"/>
                <w:lang w:val="hy-AM"/>
              </w:rPr>
              <w:t>ձերբակալելու համապատասխան իրավասության վերապահման իրավական հնարավորությունը բխում է և համահունչ է հետևյալ իրավական ակտերին՝</w:t>
            </w:r>
          </w:p>
          <w:p>
            <w:pPr>
              <w:pStyle w:val="TableContents"/>
              <w:bidi w:val="0"/>
              <w:spacing w:lineRule="auto" w:line="276"/>
              <w:jc w:val="both"/>
              <w:rPr>
                <w:sz w:val="24"/>
                <w:szCs w:val="24"/>
              </w:rPr>
            </w:pPr>
            <w:r>
              <w:rPr>
                <w:b w:val="false"/>
                <w:bCs w:val="false"/>
                <w:i w:val="false"/>
                <w:iCs w:val="false"/>
                <w:sz w:val="24"/>
                <w:szCs w:val="24"/>
              </w:rPr>
              <w:t xml:space="preserve">1) Սահամադրության 27֊րդ հոդվածի 1֊ին մասի համաձայն՝ ոչ ոք չի կարող անձնական </w:t>
            </w:r>
            <w:r>
              <w:rPr>
                <w:b/>
                <w:bCs/>
                <w:i w:val="false"/>
                <w:iCs w:val="false"/>
                <w:sz w:val="24"/>
                <w:szCs w:val="24"/>
              </w:rPr>
              <w:t>ազատությունից զրկվել այլ կերպ, քան հետևյալ դեպքերում և օրենքով սահմանված կարգով՝</w:t>
            </w:r>
          </w:p>
          <w:p>
            <w:pPr>
              <w:pStyle w:val="TableContents"/>
              <w:bidi w:val="0"/>
              <w:spacing w:lineRule="auto" w:line="276"/>
              <w:jc w:val="both"/>
              <w:rPr>
                <w:sz w:val="24"/>
                <w:szCs w:val="24"/>
              </w:rPr>
            </w:pPr>
            <w:r>
              <w:rPr>
                <w:b w:val="false"/>
                <w:bCs w:val="false"/>
                <w:i w:val="false"/>
                <w:iCs w:val="false"/>
                <w:sz w:val="24"/>
                <w:szCs w:val="24"/>
              </w:rPr>
              <w:t>- օրենքով սահմանված որոշակի պարտականության կատարումն ապահովելու նպատակով․</w:t>
            </w:r>
          </w:p>
          <w:p>
            <w:pPr>
              <w:pStyle w:val="TableContents"/>
              <w:bidi w:val="0"/>
              <w:spacing w:lineRule="auto" w:line="276"/>
              <w:jc w:val="both"/>
              <w:rPr>
                <w:sz w:val="24"/>
                <w:szCs w:val="24"/>
              </w:rPr>
            </w:pPr>
            <w:r>
              <w:rPr>
                <w:b w:val="false"/>
                <w:bCs w:val="false"/>
                <w:i w:val="false"/>
                <w:iCs w:val="false"/>
                <w:sz w:val="24"/>
                <w:szCs w:val="24"/>
              </w:rPr>
              <w:t>- անձին իրավասու մարմնին ներկայացնելու նպատակով, երբ առկա է նրա կողմից հանցանք կատարած լինելու հիմնավոր կասկած, կամ երբ դա հիմնավոր կերպով անհրաժեշտ է հանցանքի կատարումը կամ դա կատարելուց հետո անձի փախուստը կանխելու նպատակով։</w:t>
            </w:r>
          </w:p>
          <w:p>
            <w:pPr>
              <w:pStyle w:val="TableContents"/>
              <w:bidi w:val="0"/>
              <w:jc w:val="both"/>
              <w:rPr>
                <w:sz w:val="24"/>
                <w:szCs w:val="24"/>
              </w:rPr>
            </w:pPr>
            <w:r>
              <w:rPr>
                <w:rFonts w:eastAsia="Calibri" w:cs="Arial"/>
                <w:b w:val="false"/>
                <w:bCs/>
                <w:i w:val="false"/>
                <w:iCs w:val="false"/>
                <w:sz w:val="24"/>
                <w:szCs w:val="24"/>
                <w:shd w:fill="auto" w:val="clear"/>
                <w:lang w:val="hy-AM"/>
              </w:rPr>
              <w:t xml:space="preserve"> </w:t>
            </w:r>
            <w:r>
              <w:rPr>
                <w:rFonts w:eastAsia="Calibri" w:cs="Arial"/>
                <w:b w:val="false"/>
                <w:bCs/>
                <w:i w:val="false"/>
                <w:iCs w:val="false"/>
                <w:sz w:val="24"/>
                <w:szCs w:val="24"/>
                <w:shd w:fill="auto" w:val="clear"/>
                <w:lang w:val="hy-AM"/>
              </w:rPr>
              <w:t>2) Միաժամանակ Քրեական դատավարության օրենսգրքի 108֊րդ հոդվածի համաձայն՝ ձերբակալումը, որպես հարկադրանքի միջոց, կարող է կիրառվել նաև՝ հանցանք կատարած լինելու անմիջականորեն ծագած հիմնավոր կասկածի առկայության դեպքում, որի հետ կապված հարաբերությունները կարգավորվում են նաև օրենսգրքի 109֊րդ հոդվածի շրջանակում։</w:t>
            </w:r>
          </w:p>
          <w:p>
            <w:pPr>
              <w:pStyle w:val="TableContents"/>
              <w:bidi w:val="0"/>
              <w:jc w:val="both"/>
              <w:rPr>
                <w:sz w:val="24"/>
                <w:szCs w:val="24"/>
              </w:rPr>
            </w:pPr>
            <w:r>
              <w:rPr>
                <w:rFonts w:eastAsia="Calibri" w:cs="Arial"/>
                <w:bCs/>
                <w:sz w:val="24"/>
                <w:szCs w:val="24"/>
                <w:shd w:fill="FFFFFF" w:val="clear"/>
                <w:lang w:val="hy-AM"/>
              </w:rPr>
              <w:t xml:space="preserve">Միաժամանակ, ինչպես մնացյալ լիազորությունները, այնպես էլ Նախագծի </w:t>
            </w:r>
            <w:r>
              <w:rPr>
                <w:rFonts w:eastAsia="Calibri" w:cs="Arial"/>
                <w:bCs/>
                <w:sz w:val="24"/>
                <w:szCs w:val="24"/>
                <w:shd w:fill="auto" w:val="clear"/>
                <w:lang w:val="hy-AM"/>
              </w:rPr>
              <w:t>3֊րդ հոդվածի 7․1 մասով սահմանվող լիազորությունը ենթակա է իրականացման ԱՀԾ արտաքին հետախուզական գործունեության շրջանակում։</w:t>
            </w:r>
          </w:p>
          <w:p>
            <w:pPr>
              <w:pStyle w:val="TableContents"/>
              <w:bidi w:val="0"/>
              <w:jc w:val="both"/>
              <w:rPr>
                <w:sz w:val="24"/>
                <w:szCs w:val="24"/>
              </w:rPr>
            </w:pPr>
            <w:r>
              <w:rPr>
                <w:rFonts w:eastAsia="Calibri" w:cs="Arial"/>
                <w:bCs/>
                <w:sz w:val="24"/>
                <w:szCs w:val="24"/>
                <w:shd w:fill="auto" w:val="clear"/>
                <w:lang w:val="hy-AM"/>
              </w:rPr>
              <w:t xml:space="preserve">   </w:t>
            </w:r>
            <w:r>
              <w:rPr>
                <w:rFonts w:eastAsia="Calibri" w:cs="Arial"/>
                <w:bCs/>
                <w:sz w:val="24"/>
                <w:szCs w:val="24"/>
                <w:shd w:fill="auto" w:val="clear"/>
                <w:lang w:val="hy-AM"/>
              </w:rPr>
              <w:t>Հայտնում ենք նաև, որ ն</w:t>
            </w:r>
            <w:r>
              <w:rPr>
                <w:rFonts w:eastAsia="Calibri" w:cs="Arial"/>
                <w:bCs/>
                <w:sz w:val="24"/>
                <w:szCs w:val="24"/>
                <w:shd w:fill="FFFFFF" w:val="clear"/>
                <w:lang w:val="hy-AM"/>
              </w:rPr>
              <w:t>մանաբնույթ լիազորություն առկա է նաև «Ազգային անվտանգության մարմինների մասին» օրենքի 15֊րդ հոդվածի 1֊ին մասի շրջանակում, «Հատուկ պետական պաշտպանության ենթակա անձանց անվտանգության ապահովման մասին» օրենքի 13֊րդ հոդվածի շրջանակում։</w:t>
            </w:r>
          </w:p>
          <w:p>
            <w:pPr>
              <w:pStyle w:val="TableContents"/>
              <w:bidi w:val="0"/>
              <w:jc w:val="both"/>
              <w:rPr>
                <w:sz w:val="24"/>
                <w:szCs w:val="24"/>
              </w:rPr>
            </w:pPr>
            <w:r>
              <w:rPr>
                <w:sz w:val="24"/>
                <w:szCs w:val="24"/>
              </w:rPr>
            </w:r>
          </w:p>
          <w:p>
            <w:pPr>
              <w:pStyle w:val="TableContents"/>
              <w:bidi w:val="0"/>
              <w:jc w:val="center"/>
              <w:rPr>
                <w:highlight w:val="none"/>
                <w:shd w:fill="auto" w:val="clear"/>
              </w:rPr>
            </w:pPr>
            <w:r>
              <w:rPr>
                <w:rFonts w:eastAsia="Calibri" w:cs="Arial"/>
                <w:b/>
                <w:bCs/>
                <w:sz w:val="24"/>
                <w:szCs w:val="24"/>
                <w:shd w:fill="auto" w:val="clear"/>
                <w:lang w:val="hy-AM"/>
              </w:rPr>
              <w:t>2․ Ընդունվել է ի գիտություն</w:t>
            </w:r>
          </w:p>
          <w:p>
            <w:pPr>
              <w:pStyle w:val="TableContents"/>
              <w:bidi w:val="0"/>
              <w:jc w:val="both"/>
              <w:rPr>
                <w:sz w:val="24"/>
                <w:szCs w:val="24"/>
              </w:rPr>
            </w:pPr>
            <w:r>
              <w:rPr>
                <w:rFonts w:eastAsia="Calibri" w:cs="Arial"/>
                <w:bCs/>
                <w:sz w:val="24"/>
                <w:szCs w:val="24"/>
                <w:shd w:fill="FFFFFF" w:val="clear"/>
                <w:lang w:val="hy-AM"/>
              </w:rPr>
              <w:t xml:space="preserve">Նախագծի 3֊րդ հոդվածի շրջանակում լրացվող 31֊րդ կետով սահմանվում է ոչ միայն դրույթ այն մասին, որ </w:t>
            </w:r>
            <w:r>
              <w:rPr>
                <w:rFonts w:eastAsia="Calibri" w:cs="Arial" w:cstheme="majorHAnsi"/>
                <w:bCs/>
                <w:sz w:val="24"/>
                <w:szCs w:val="24"/>
                <w:shd w:fill="FFFFFF" w:val="clear"/>
                <w:lang w:val="hy-AM"/>
              </w:rPr>
              <w:t xml:space="preserve">Ծառայությունը ներկայացնելու է եզրակացություն իրեն ամրացված կամ օգտագործվող անշարժ գույքի (այդ թվում՝ դրանցով ծանրաբեռնված հողամասերի) հարակից տարածքներում քաղաքաշինական գործունեություն իրականացնելու վերաբերյալ, այլ նաև </w:t>
            </w:r>
            <w:r>
              <w:rPr>
                <w:rFonts w:eastAsia="Calibri" w:cs="Arial" w:cstheme="majorHAnsi"/>
                <w:b/>
                <w:bCs/>
                <w:sz w:val="24"/>
                <w:szCs w:val="24"/>
                <w:shd w:fill="FFFFFF" w:val="clear"/>
                <w:lang w:val="hy-AM"/>
              </w:rPr>
              <w:t>նշվում է, թե համաձայնությունը կամ եզրակացությունն ինչ նպատակով է ներկայացնում</w:t>
            </w:r>
            <w:r>
              <w:rPr>
                <w:rFonts w:eastAsia="Calibri" w:cs="Arial" w:cstheme="majorHAnsi"/>
                <w:bCs/>
                <w:sz w:val="24"/>
                <w:szCs w:val="24"/>
                <w:shd w:fill="FFFFFF" w:val="clear"/>
                <w:lang w:val="hy-AM"/>
              </w:rPr>
              <w:t xml:space="preserve">, մասնավորապես՝ </w:t>
            </w:r>
            <w:r>
              <w:rPr>
                <w:rFonts w:eastAsia="Calibri" w:cs="Arial"/>
                <w:sz w:val="24"/>
                <w:szCs w:val="24"/>
                <w:shd w:fill="auto" w:val="clear"/>
                <w:lang w:val="hy-AM"/>
              </w:rPr>
              <w:t>Ծառայության կողմից կապի, տեղեկատվական միջոցների անխափան շահագործման, կիբերպաշտպանության, տեխնիկական հետախուզության միջոցներից պաշտպանության ստանդարտների պահպանության և Ծառայության բնականոն գործունեությունն ապահովելու նպատակով,</w:t>
            </w:r>
            <w:r>
              <w:rPr>
                <w:rFonts w:eastAsia="Calibri" w:cs="Arial" w:cstheme="majorHAnsi"/>
                <w:bCs/>
                <w:sz w:val="24"/>
                <w:szCs w:val="24"/>
                <w:shd w:fill="FFFFFF" w:val="clear"/>
                <w:lang w:val="hy-AM"/>
              </w:rPr>
              <w:t xml:space="preserve"> </w:t>
            </w:r>
            <w:r>
              <w:rPr>
                <w:rFonts w:eastAsia="Calibri" w:cs="Arial" w:cstheme="majorHAnsi"/>
                <w:b/>
                <w:bCs/>
                <w:sz w:val="24"/>
                <w:szCs w:val="24"/>
                <w:shd w:fill="FFFFFF" w:val="clear"/>
                <w:lang w:val="hy-AM"/>
              </w:rPr>
              <w:t xml:space="preserve">միաժամանակ Նախագծով սահմանվում է, որ համաձայնության կամ եզրակացության ներկայացման դեպքերն ու կարգը սահմանվում են Կառավարության որոշմամբ։ </w:t>
            </w:r>
            <w:r>
              <w:rPr>
                <w:rFonts w:eastAsia="Calibri" w:cs="Arial" w:cstheme="majorHAnsi"/>
                <w:sz w:val="24"/>
                <w:szCs w:val="24"/>
                <w:shd w:fill="FFFFFF" w:val="clear"/>
                <w:lang w:val="hy-AM"/>
              </w:rPr>
              <w:t>Սույն օրենքի ընդունումից հետո, վերջինիս հիման վրա կմշակվի և Կառավարության քննարկմանը կներկայացվի ՀՀ կառավարության 19․03․2015 թվականի N 596֊Ն որոշման նախագիծը, որտեղ հստակ կսահմանվի, թե ԱՀԾ կողմից համաձայնությունը կամ եզրակացությունը որ դեպքերում է նեկայացվում, ինչ ընթացակարգով և ինչ իրավական հետևանք կարող է առաջացնել։</w:t>
            </w:r>
          </w:p>
          <w:p>
            <w:pPr>
              <w:pStyle w:val="TableContents"/>
              <w:bidi w:val="0"/>
              <w:jc w:val="both"/>
              <w:rPr>
                <w:sz w:val="24"/>
                <w:szCs w:val="24"/>
              </w:rPr>
            </w:pPr>
            <w:r>
              <w:rPr>
                <w:sz w:val="24"/>
                <w:szCs w:val="24"/>
              </w:rPr>
            </w:r>
          </w:p>
          <w:p>
            <w:pPr>
              <w:pStyle w:val="TableContents"/>
              <w:bidi w:val="0"/>
              <w:jc w:val="center"/>
              <w:rPr>
                <w:sz w:val="24"/>
                <w:szCs w:val="24"/>
              </w:rPr>
            </w:pPr>
            <w:r>
              <w:rPr>
                <w:rFonts w:eastAsia="Calibri" w:cs="Arial" w:cstheme="majorHAnsi"/>
                <w:b/>
                <w:bCs/>
                <w:sz w:val="24"/>
                <w:szCs w:val="24"/>
                <w:shd w:fill="FFFFFF" w:val="clear"/>
                <w:lang w:val="hy-AM"/>
              </w:rPr>
              <w:t>3․ Ընդունվել է ի գիտություն</w:t>
            </w:r>
          </w:p>
          <w:p>
            <w:pPr>
              <w:pStyle w:val="TableContents"/>
              <w:bidi w:val="0"/>
              <w:jc w:val="both"/>
              <w:rPr>
                <w:sz w:val="24"/>
                <w:szCs w:val="24"/>
              </w:rPr>
            </w:pPr>
            <w:r>
              <w:rPr>
                <w:rFonts w:eastAsia="Calibri" w:cs="Arial" w:cstheme="majorHAnsi"/>
                <w:b w:val="false"/>
                <w:bCs w:val="false"/>
                <w:color w:val="000000"/>
                <w:kern w:val="2"/>
                <w:sz w:val="24"/>
                <w:szCs w:val="24"/>
                <w:shd w:fill="FFFFFF" w:val="clear"/>
                <w:lang w:val="hy-AM" w:eastAsia="zh-CN" w:bidi="hi-IN"/>
              </w:rPr>
              <w:t>Օրենքի նախագծով սահմանվում է, թե անձի նկատմամբ երբ և ինչ ժամկետով կարող է փորձաշրջան սահմանվել և այն չհաղթահարելու դեպքում ինչ հետևանք է առաջանում, մասնավորապես՝ Նախա</w:t>
            </w:r>
            <w:r>
              <w:rPr>
                <w:rFonts w:eastAsia="Calibri" w:cs="Arial" w:cstheme="majorHAnsi"/>
                <w:b w:val="false"/>
                <w:bCs w:val="false"/>
                <w:sz w:val="24"/>
                <w:szCs w:val="24"/>
                <w:shd w:fill="FFFFFF" w:val="clear"/>
                <w:lang w:val="hy-AM"/>
              </w:rPr>
              <w:t>գծի 22֊րդ հոդվածի շրջանակում առաջարկվող լրացմամբ սահմանվում է, որ պաշտոնից ազատման հիմք է հանդիսանում նաև</w:t>
            </w:r>
            <w:r>
              <w:rPr>
                <w:rFonts w:eastAsia="Calibri" w:cs="Arial" w:cstheme="majorHAnsi"/>
                <w:b/>
                <w:bCs/>
                <w:sz w:val="24"/>
                <w:szCs w:val="24"/>
                <w:shd w:fill="FFFFFF" w:val="clear"/>
                <w:lang w:val="hy-AM"/>
              </w:rPr>
              <w:t xml:space="preserve"> </w:t>
            </w:r>
            <w:r>
              <w:rPr>
                <w:rFonts w:eastAsia="Calibri" w:cs="Arial" w:cstheme="majorHAnsi"/>
                <w:b w:val="false"/>
                <w:bCs w:val="false"/>
                <w:sz w:val="24"/>
                <w:szCs w:val="24"/>
                <w:shd w:fill="FFFFFF" w:val="clear"/>
                <w:lang w:val="hy-AM"/>
              </w:rPr>
              <w:t>սույն օրենքով սահմանված փորձաշրջանը չանցնելը։ Ծառայության պետի հրամանով կսահմանվեն օրենքից և Աշխատանքային օրենսգրքից բխող ընթացակարգային հարցեր, որոնք նաև ԱՀԾ առանձնահատկություններով են պայմանավորված։</w:t>
            </w:r>
          </w:p>
          <w:p>
            <w:pPr>
              <w:pStyle w:val="TableContents"/>
              <w:bidi w:val="0"/>
              <w:jc w:val="both"/>
              <w:rPr>
                <w:rFonts w:ascii="GHEA Grapalat" w:hAnsi="GHEA Grapalat" w:eastAsia="Calibri" w:cs="Arial" w:cstheme="majorHAnsi"/>
                <w:b w:val="false"/>
                <w:bCs w:val="false"/>
                <w:sz w:val="24"/>
                <w:szCs w:val="24"/>
                <w:shd w:fill="FFFFFF" w:val="clear"/>
                <w:lang w:val="hy-AM"/>
              </w:rPr>
            </w:pPr>
            <w:r>
              <w:rPr>
                <w:rFonts w:eastAsia="Calibri" w:cs="Arial" w:cstheme="majorHAnsi"/>
                <w:b w:val="false"/>
                <w:bCs w:val="false"/>
                <w:sz w:val="24"/>
                <w:szCs w:val="24"/>
                <w:shd w:fill="FFFFFF" w:val="clear"/>
                <w:lang w:val="hy-AM"/>
              </w:rPr>
            </w:r>
          </w:p>
          <w:p>
            <w:pPr>
              <w:pStyle w:val="TableContents"/>
              <w:bidi w:val="0"/>
              <w:jc w:val="center"/>
              <w:rPr>
                <w:sz w:val="24"/>
                <w:szCs w:val="24"/>
              </w:rPr>
            </w:pPr>
            <w:r>
              <w:rPr>
                <w:rFonts w:eastAsia="Calibri" w:cs="Arial" w:cstheme="majorHAnsi"/>
                <w:b/>
                <w:bCs/>
                <w:sz w:val="24"/>
                <w:szCs w:val="24"/>
                <w:shd w:fill="FFFFFF" w:val="clear"/>
                <w:lang w:val="hy-AM"/>
              </w:rPr>
              <w:t>4․ Ընդունվել է ի գիտություն</w:t>
            </w:r>
          </w:p>
          <w:p>
            <w:pPr>
              <w:pStyle w:val="TableContents"/>
              <w:bidi w:val="0"/>
              <w:jc w:val="both"/>
              <w:rPr>
                <w:sz w:val="24"/>
                <w:szCs w:val="24"/>
              </w:rPr>
            </w:pPr>
            <w:r>
              <w:rPr>
                <w:rFonts w:eastAsia="Calibri" w:cs="Arial" w:cstheme="majorHAnsi"/>
                <w:b w:val="false"/>
                <w:bCs w:val="false"/>
                <w:sz w:val="24"/>
                <w:szCs w:val="24"/>
                <w:shd w:fill="FFFFFF" w:val="clear"/>
                <w:lang w:val="hy-AM"/>
              </w:rPr>
              <w:t xml:space="preserve">Նշված դրույթը նախատեսվել է՝ հաշվի առնելով ԱՀԾ կողմից որոշ օպերատիվ֊հետախուզական գործողությունների իրականացման և ծառայողի կարգավիճակից բխող առանձնահատկությունները։ Միաժամանակ նշված կարգավորումը ենթադրում է ծառայողի համար նախատեսված իրավական պաշտպանություն, որը կիրառվում է ինչպես միջազգային, այնպես էլ ներպետական պրակտիկայում </w:t>
            </w:r>
            <w:r>
              <w:rPr>
                <w:rFonts w:eastAsia="Calibri" w:cs="Arial" w:cstheme="majorHAnsi"/>
                <w:b w:val="false"/>
                <w:bCs w:val="false"/>
                <w:color w:val="000000"/>
                <w:kern w:val="2"/>
                <w:sz w:val="24"/>
                <w:szCs w:val="24"/>
                <w:shd w:fill="FFFFFF" w:val="clear"/>
                <w:lang w:val="hy-AM" w:eastAsia="zh-CN" w:bidi="hi-IN"/>
              </w:rPr>
              <w:t>(օրինակ՝ Ազգային անվտանգության մարմինների մասին» օրենքի 20֊րդ հոդվածով</w:t>
            </w:r>
            <w:r>
              <w:rPr>
                <w:rFonts w:eastAsia="Calibri" w:cs="Arial" w:cstheme="majorHAnsi"/>
                <w:b w:val="false"/>
                <w:bCs w:val="false"/>
                <w:sz w:val="24"/>
                <w:szCs w:val="24"/>
                <w:shd w:fill="FFFFFF" w:val="clear"/>
                <w:lang w:val="hy-AM"/>
              </w:rPr>
              <w:t>):</w:t>
            </w:r>
          </w:p>
          <w:p>
            <w:pPr>
              <w:pStyle w:val="TableContents"/>
              <w:bidi w:val="0"/>
              <w:jc w:val="both"/>
              <w:rPr>
                <w:rFonts w:eastAsia="Calibri" w:cs="Arial" w:cstheme="majorHAnsi"/>
                <w:b w:val="false"/>
                <w:bCs w:val="false"/>
                <w:shd w:fill="FFFFFF" w:val="clear"/>
                <w:lang w:val="hy-AM"/>
              </w:rPr>
            </w:pPr>
            <w:r>
              <w:rPr>
                <w:rFonts w:eastAsia="Calibri" w:cs="Arial" w:cstheme="majorHAnsi"/>
                <w:b w:val="false"/>
                <w:bCs w:val="false"/>
                <w:shd w:fill="FFFFFF" w:val="clear"/>
                <w:lang w:val="hy-AM"/>
              </w:rPr>
            </w:r>
          </w:p>
          <w:p>
            <w:pPr>
              <w:pStyle w:val="TableContents"/>
              <w:bidi w:val="0"/>
              <w:jc w:val="center"/>
              <w:rPr>
                <w:b/>
                <w:bCs/>
                <w:sz w:val="24"/>
                <w:szCs w:val="24"/>
              </w:rPr>
            </w:pPr>
            <w:r>
              <w:rPr>
                <w:rFonts w:eastAsia="Calibri" w:cs="Arial" w:cstheme="majorHAnsi"/>
                <w:b/>
                <w:bCs/>
                <w:sz w:val="24"/>
                <w:szCs w:val="24"/>
                <w:shd w:fill="FFFFFF" w:val="clear"/>
                <w:lang w:val="hy-AM"/>
              </w:rPr>
              <w:t>5․ Ընդունվել է ի գիտություն</w:t>
            </w:r>
          </w:p>
          <w:p>
            <w:pPr>
              <w:pStyle w:val="TableContents"/>
              <w:bidi w:val="0"/>
              <w:jc w:val="both"/>
              <w:rPr>
                <w:b w:val="false"/>
                <w:bCs w:val="false"/>
                <w:sz w:val="24"/>
                <w:szCs w:val="24"/>
              </w:rPr>
            </w:pPr>
            <w:r>
              <w:rPr>
                <w:b w:val="false"/>
                <w:bCs w:val="false"/>
                <w:sz w:val="24"/>
                <w:szCs w:val="24"/>
              </w:rPr>
              <w:t xml:space="preserve">Առաջարկվում է </w:t>
            </w:r>
            <w:r>
              <w:rPr>
                <w:rFonts w:eastAsia="Calibri" w:cs="Arial" w:cstheme="majorHAnsi"/>
                <w:b w:val="false"/>
                <w:bCs w:val="false"/>
                <w:sz w:val="24"/>
                <w:szCs w:val="24"/>
                <w:shd w:fill="FFFFFF" w:val="clear"/>
                <w:lang w:val="hy-AM"/>
              </w:rPr>
              <w:t>Ծառայության պետի հրամանով կարգավորել ներքին աշխատանքային հարաբերություններին բնորոշ հարցերը, որոնք բխում են օրենքով սահմանվող հիմանական կարգավորումներից և ենթադրում են ընթացակարգային հարաբերությունների հստակեցում, իսկ Վարչապետի որոշմամբ սահմանվելու են այն հարաբերությունները, որոնք առնչվում են կամ կարող են առնչվել նաև այլ պետական մարմինների, ինչպես նաև կոչված են կարգավորելու օրենքով սահմանված՝ ֆինանսավորում ենթադրող հարաբերությունների ընթացակարգային հարցերը։</w:t>
            </w:r>
          </w:p>
          <w:p>
            <w:pPr>
              <w:pStyle w:val="TableContents"/>
              <w:bidi w:val="0"/>
              <w:jc w:val="both"/>
              <w:rPr>
                <w:rFonts w:eastAsia="Calibri" w:cs="Arial" w:cstheme="majorHAnsi"/>
                <w:shd w:fill="FFFFFF" w:val="clear"/>
                <w:lang w:val="hy-AM"/>
              </w:rPr>
            </w:pPr>
            <w:r>
              <w:rPr>
                <w:rFonts w:eastAsia="Calibri" w:cs="Arial" w:cstheme="majorHAnsi"/>
                <w:shd w:fill="FFFFFF" w:val="clear"/>
                <w:lang w:val="hy-AM"/>
              </w:rPr>
            </w:r>
          </w:p>
          <w:p>
            <w:pPr>
              <w:pStyle w:val="TableContents"/>
              <w:bidi w:val="0"/>
              <w:jc w:val="center"/>
              <w:rPr>
                <w:b/>
                <w:bCs/>
                <w:sz w:val="24"/>
                <w:szCs w:val="24"/>
              </w:rPr>
            </w:pPr>
            <w:r>
              <w:rPr>
                <w:rFonts w:eastAsia="Calibri" w:cs="Arial" w:cstheme="majorHAnsi"/>
                <w:b/>
                <w:bCs/>
                <w:sz w:val="24"/>
                <w:szCs w:val="24"/>
                <w:shd w:fill="FFFFFF" w:val="clear"/>
                <w:lang w:val="hy-AM"/>
              </w:rPr>
              <w:t>6․ Ընդունվել է ի գիտություն</w:t>
            </w:r>
          </w:p>
          <w:p>
            <w:pPr>
              <w:pStyle w:val="TableContents"/>
              <w:bidi w:val="0"/>
              <w:jc w:val="both"/>
              <w:rPr>
                <w:b/>
                <w:bCs/>
              </w:rPr>
            </w:pPr>
            <w:r>
              <w:rPr>
                <w:rFonts w:eastAsia="Calibri" w:cs="Arial" w:cstheme="majorHAnsi"/>
                <w:b w:val="false"/>
                <w:bCs w:val="false"/>
                <w:sz w:val="24"/>
                <w:szCs w:val="24"/>
                <w:shd w:fill="FFFFFF" w:val="clear"/>
                <w:lang w:val="hy-AM"/>
              </w:rPr>
              <w:t xml:space="preserve">Կարգավորումը նախատեսվել է, հաշվի առնելով, որ «Արտաքին հետախուզական գործունեության և արտաքին հետախուզության ծառայության մասին» օրենքից զատ, ԱՀԾ ծառայողների համար կիրառելի են կամ հետագայում կարող են կիրառելի լինել նաև այլ օրենքներով ու իրավական ակտերով սահմնանված կարգավորումները, որոնք սույն օրենքով սպառիչ թվարկել հնարավոր չէ (հաշվի առնելով, որ հետագայում ևս կարող են ընդունվել վերաբերելի իրավական ակտեր), իսկ կրկնություններից խուսափելու նպատակով  </w:t>
            </w:r>
            <w:r>
              <w:rPr>
                <w:rStyle w:val="StrongEmphasis"/>
                <w:rFonts w:eastAsia="Calibri" w:cs="Times New Roman"/>
                <w:b w:val="false"/>
                <w:bCs w:val="false"/>
                <w:kern w:val="2"/>
                <w:sz w:val="24"/>
                <w:szCs w:val="24"/>
                <w:shd w:fill="FFFFFF" w:val="clear"/>
                <w:lang w:val="hy-AM" w:eastAsia="zh-CN" w:bidi="hi-IN"/>
              </w:rPr>
              <w:t>դրամական օգնության և սոցիալական երաշխիքների տրամադրման այն դեպքերը, որոնք արդեն իսկ այլ օրենքներով սահմանված են սույն օրենքում չեն նախատեսվում (օրինակ՝ «Հանրային ծառայության մասին» օրենքի 47֊րդ հոդվածով սահմանված սոցիալական երաշխիքների տրամադրումը, «Պետական պաշտոններ և պետական ծառայության պաշտոններ զբաղեցնող անձանց վարձատրության մասին» օրենքով նախատեսված հիմքերի առկայության դեպքում դրամական օգնության տրամադրումը և այլն)։ Դեռ ավելին, Նախագծում նման դրույթի նախատեսումը հնարավորություն է տալիս կանխատեսել, որ այլ օրենքներով ևս առկա են կամ կարող են սահմանվել ԱՀԾ ծառայողների համար վերաբերելի կարգավորումներ և սույն օրենքով սոցիալական երաշխիքների շրջանակը սպառիչ չէ։</w:t>
            </w:r>
          </w:p>
          <w:p>
            <w:pPr>
              <w:pStyle w:val="TableContents"/>
              <w:bidi w:val="0"/>
              <w:jc w:val="both"/>
              <w:rPr>
                <w:rStyle w:val="StrongEmphasis"/>
                <w:rFonts w:eastAsia="Calibri" w:cs="Times New Roman"/>
                <w:b w:val="false"/>
                <w:bCs w:val="false"/>
                <w:kern w:val="2"/>
                <w:sz w:val="24"/>
                <w:szCs w:val="24"/>
                <w:shd w:fill="FFFFFF" w:val="clear"/>
                <w:lang w:val="hy-AM" w:eastAsia="zh-CN" w:bidi="hi-IN"/>
              </w:rPr>
            </w:pPr>
            <w:r>
              <w:rPr>
                <w:rFonts w:eastAsia="Calibri" w:cs="Times New Roman"/>
                <w:b w:val="false"/>
                <w:bCs w:val="false"/>
                <w:kern w:val="2"/>
                <w:sz w:val="24"/>
                <w:szCs w:val="24"/>
                <w:shd w:fill="FFFFFF" w:val="clear"/>
                <w:lang w:val="hy-AM" w:eastAsia="zh-CN" w:bidi="hi-IN"/>
              </w:rPr>
            </w:r>
          </w:p>
          <w:p>
            <w:pPr>
              <w:pStyle w:val="ListParagraph"/>
              <w:tabs>
                <w:tab w:val="clear" w:pos="709"/>
                <w:tab w:val="left" w:pos="1080" w:leader="none"/>
                <w:tab w:val="left" w:pos="1350" w:leader="none"/>
              </w:tabs>
              <w:spacing w:lineRule="auto" w:line="360" w:before="0" w:after="0"/>
              <w:ind w:hanging="0" w:left="0" w:right="219"/>
              <w:contextualSpacing/>
              <w:jc w:val="center"/>
              <w:rPr/>
            </w:pPr>
            <w:r>
              <w:rPr>
                <w:rStyle w:val="StrongEmphasis"/>
                <w:rFonts w:eastAsia="Times New Roman" w:cs="Times New Roman"/>
                <w:b/>
                <w:bCs/>
                <w:color w:val="000000"/>
                <w:kern w:val="2"/>
                <w:sz w:val="24"/>
                <w:szCs w:val="24"/>
                <w:shd w:fill="FFFFFF" w:val="clear"/>
                <w:lang w:val="hy-AM" w:eastAsia="zh-CN" w:bidi="hi-IN"/>
              </w:rPr>
              <w:t>7․ Ընդունվել է</w:t>
            </w:r>
          </w:p>
          <w:p>
            <w:pPr>
              <w:pStyle w:val="Normal"/>
              <w:numPr>
                <w:ilvl w:val="0"/>
                <w:numId w:val="2"/>
              </w:numPr>
              <w:tabs>
                <w:tab w:val="clear" w:pos="709"/>
                <w:tab w:val="left" w:pos="1668" w:leader="none"/>
              </w:tabs>
              <w:spacing w:lineRule="auto" w:line="240"/>
              <w:ind w:firstLine="630" w:left="0"/>
              <w:jc w:val="both"/>
              <w:rPr/>
            </w:pPr>
            <w:r>
              <w:rPr>
                <w:rStyle w:val="StrongEmphasis"/>
                <w:b w:val="false"/>
                <w:bCs w:val="false"/>
                <w:sz w:val="24"/>
                <w:lang w:val="hy-AM"/>
              </w:rPr>
              <w:t>Պետաիրավական նախարարական կոմիտեի 09․02․2026 թվականի նիստի քննարկման արդյունքներով Նախագծից համապատասխան դրույթը հանվել է։</w:t>
            </w:r>
          </w:p>
          <w:p>
            <w:pPr>
              <w:pStyle w:val="ListParagraph"/>
              <w:tabs>
                <w:tab w:val="clear" w:pos="709"/>
                <w:tab w:val="left" w:pos="1080" w:leader="none"/>
                <w:tab w:val="left" w:pos="1350" w:leader="none"/>
              </w:tabs>
              <w:spacing w:lineRule="auto" w:line="276" w:before="0" w:after="0"/>
              <w:ind w:hanging="0" w:left="0" w:right="219"/>
              <w:contextualSpacing/>
              <w:jc w:val="both"/>
              <w:rPr>
                <w:rStyle w:val="StrongEmphasis"/>
                <w:rFonts w:eastAsia="Times New Roman" w:cs="Times New Roman"/>
                <w:b w:val="false"/>
                <w:bCs w:val="false"/>
                <w:color w:val="000000"/>
                <w:kern w:val="2"/>
                <w:sz w:val="24"/>
                <w:szCs w:val="24"/>
                <w:shd w:fill="FFFFFF" w:val="clear"/>
                <w:lang w:val="hy-AM" w:eastAsia="zh-CN" w:bidi="hi-IN"/>
              </w:rPr>
            </w:pPr>
            <w:r>
              <w:rPr>
                <w:rFonts w:eastAsia="Times New Roman" w:cs="Times New Roman"/>
                <w:b w:val="false"/>
                <w:bCs w:val="false"/>
                <w:color w:val="000000"/>
                <w:kern w:val="2"/>
                <w:sz w:val="24"/>
                <w:szCs w:val="24"/>
                <w:shd w:fill="FFFFFF" w:val="clear"/>
                <w:lang w:val="hy-AM" w:eastAsia="zh-CN" w:bidi="hi-IN"/>
              </w:rPr>
            </w:r>
          </w:p>
        </w:tc>
      </w:tr>
      <w:tr>
        <w:trPr>
          <w:trHeight w:val="897" w:hRule="atLeast"/>
        </w:trPr>
        <w:tc>
          <w:tcPr>
            <w:tcW w:w="9656" w:type="dxa"/>
            <w:tcBorders>
              <w:left w:val="single" w:sz="4" w:space="0" w:color="000000"/>
              <w:bottom w:val="single" w:sz="4" w:space="0" w:color="000000"/>
              <w:right w:val="single" w:sz="4" w:space="0" w:color="000000"/>
            </w:tcBorders>
          </w:tcPr>
          <w:p>
            <w:pPr>
              <w:pStyle w:val="ListParagraph"/>
              <w:widowControl/>
              <w:numPr>
                <w:ilvl w:val="1"/>
                <w:numId w:val="2"/>
              </w:numPr>
              <w:bidi w:val="0"/>
              <w:spacing w:lineRule="auto" w:line="276" w:before="0" w:after="280"/>
              <w:ind w:firstLine="630" w:left="0"/>
              <w:contextualSpacing/>
              <w:jc w:val="center"/>
              <w:rPr>
                <w:sz w:val="24"/>
                <w:szCs w:val="24"/>
              </w:rPr>
            </w:pPr>
            <w:r>
              <w:rPr>
                <w:b/>
                <w:bCs/>
                <w:sz w:val="24"/>
                <w:szCs w:val="24"/>
              </w:rPr>
              <w:t>Կադրերի և անձնակազմի կառավարման վարչություն</w:t>
            </w:r>
          </w:p>
          <w:p>
            <w:pPr>
              <w:pStyle w:val="ListParagraph"/>
              <w:widowControl/>
              <w:numPr>
                <w:ilvl w:val="0"/>
                <w:numId w:val="0"/>
              </w:numPr>
              <w:bidi w:val="0"/>
              <w:spacing w:lineRule="auto" w:line="276" w:before="0" w:after="280"/>
              <w:ind w:hanging="0" w:left="0"/>
              <w:contextualSpacing/>
              <w:jc w:val="both"/>
              <w:rPr>
                <w:sz w:val="24"/>
                <w:szCs w:val="24"/>
              </w:rPr>
            </w:pPr>
            <w:r>
              <w:rPr>
                <w:rFonts w:eastAsia="GHEA Grapalat" w:cs="GHEA Grapalat"/>
                <w:b w:val="false"/>
                <w:bCs w:val="false"/>
                <w:color w:val="000000"/>
                <w:sz w:val="24"/>
                <w:szCs w:val="24"/>
                <w:lang w:val="hy-AM"/>
              </w:rPr>
              <w:t xml:space="preserve">    </w:t>
            </w:r>
            <w:r>
              <w:rPr>
                <w:rFonts w:eastAsia="GHEA Grapalat" w:cs="GHEA Grapalat"/>
                <w:b w:val="false"/>
                <w:bCs w:val="false"/>
                <w:color w:val="000000"/>
                <w:sz w:val="24"/>
                <w:szCs w:val="24"/>
                <w:lang w:val="hy-AM"/>
              </w:rPr>
              <w:t xml:space="preserve">1․ Արտաքին հետախուզական գործունեության և արտաքին հետախուզության ծառայության մասին» օրենքում փոփոխություններ և լրացումներ կատարելու մասին» օրենքի </w:t>
            </w:r>
            <w:r>
              <w:rPr>
                <w:b w:val="false"/>
                <w:bCs w:val="false"/>
                <w:sz w:val="24"/>
                <w:szCs w:val="24"/>
                <w:lang w:val="hy-AM"/>
              </w:rPr>
              <w:t>նախագծում (այսուհետև՝ Նախագիծ) օգտագործվում են «ծառայության աշխատող», «ծառայությունում պաշտոն զբաղեցնող անձ» և «ծառայության ծառայող» ձևակերպումները, ընդ որում նախագծային որոշ կարգավորումներում դրանք նույնացվում են: Օրինակ՝ Նախագծի 8-րդ գլխի վերնագրում օգտագործվում է «ծառայության ծառայող» ձևակերպումը, իսկ նույն գլխի 23-րդ հոդվածում՝ «ծառայությունում պաշտոն զբաղեցնող անձ» ձևակերպումը: Հետևաբար հաշվի առնելով վերոգրյալը՝ առաջարկում ենք հստակեցնել վերոնշյալ երեք կատեգորիայի անձանց շրջանակը տարընկալումներից խուսափելու համար:</w:t>
            </w:r>
          </w:p>
          <w:p>
            <w:pPr>
              <w:pStyle w:val="ListParagraph"/>
              <w:widowControl/>
              <w:numPr>
                <w:ilvl w:val="0"/>
                <w:numId w:val="0"/>
              </w:numPr>
              <w:bidi w:val="0"/>
              <w:spacing w:lineRule="auto" w:line="276" w:before="0" w:after="280"/>
              <w:ind w:hanging="0" w:left="0"/>
              <w:contextualSpacing/>
              <w:jc w:val="both"/>
              <w:rPr>
                <w:b w:val="false"/>
                <w:bCs w:val="false"/>
                <w:lang w:val="hy-AM"/>
              </w:rPr>
            </w:pPr>
            <w:r>
              <w:rPr>
                <w:b w:val="false"/>
                <w:bCs w:val="false"/>
                <w:lang w:val="hy-AM"/>
              </w:rPr>
            </w:r>
          </w:p>
          <w:p>
            <w:pPr>
              <w:pStyle w:val="ListParagraph"/>
              <w:widowControl/>
              <w:numPr>
                <w:ilvl w:val="0"/>
                <w:numId w:val="0"/>
              </w:numPr>
              <w:bidi w:val="0"/>
              <w:spacing w:lineRule="auto" w:line="276" w:before="0" w:after="280"/>
              <w:ind w:hanging="0" w:left="0"/>
              <w:contextualSpacing/>
              <w:jc w:val="both"/>
              <w:rPr>
                <w:b w:val="false"/>
                <w:bCs w:val="false"/>
                <w:lang w:val="hy-AM"/>
              </w:rPr>
            </w:pPr>
            <w:r>
              <w:rPr>
                <w:b w:val="false"/>
                <w:bCs w:val="false"/>
                <w:lang w:val="hy-AM"/>
              </w:rPr>
            </w:r>
          </w:p>
          <w:p>
            <w:pPr>
              <w:pStyle w:val="ListParagraph"/>
              <w:widowControl/>
              <w:numPr>
                <w:ilvl w:val="0"/>
                <w:numId w:val="0"/>
              </w:numPr>
              <w:bidi w:val="0"/>
              <w:spacing w:lineRule="auto" w:line="276" w:before="0" w:after="280"/>
              <w:ind w:hanging="0" w:left="0"/>
              <w:contextualSpacing/>
              <w:jc w:val="both"/>
              <w:rPr>
                <w:b w:val="false"/>
                <w:bCs w:val="false"/>
                <w:lang w:val="hy-AM"/>
              </w:rPr>
            </w:pPr>
            <w:r>
              <w:rPr>
                <w:b w:val="false"/>
                <w:bCs w:val="false"/>
                <w:lang w:val="hy-AM"/>
              </w:rPr>
            </w:r>
          </w:p>
          <w:p>
            <w:pPr>
              <w:pStyle w:val="ListParagraph"/>
              <w:widowControl/>
              <w:numPr>
                <w:ilvl w:val="0"/>
                <w:numId w:val="0"/>
              </w:numPr>
              <w:bidi w:val="0"/>
              <w:spacing w:lineRule="auto" w:line="276" w:before="0" w:after="280"/>
              <w:ind w:hanging="0" w:left="0"/>
              <w:contextualSpacing/>
              <w:jc w:val="both"/>
              <w:rPr>
                <w:b w:val="false"/>
                <w:bCs w:val="false"/>
                <w:lang w:val="hy-AM"/>
              </w:rPr>
            </w:pPr>
            <w:r>
              <w:rPr>
                <w:b w:val="false"/>
                <w:bCs w:val="false"/>
                <w:lang w:val="hy-AM"/>
              </w:rPr>
            </w:r>
          </w:p>
          <w:p>
            <w:pPr>
              <w:pStyle w:val="ListParagraph"/>
              <w:widowControl/>
              <w:numPr>
                <w:ilvl w:val="0"/>
                <w:numId w:val="0"/>
              </w:numPr>
              <w:bidi w:val="0"/>
              <w:spacing w:lineRule="auto" w:line="276" w:before="0" w:after="280"/>
              <w:ind w:hanging="0" w:left="0"/>
              <w:contextualSpacing/>
              <w:jc w:val="both"/>
              <w:rPr>
                <w:b w:val="false"/>
                <w:bCs w:val="false"/>
                <w:lang w:val="hy-AM"/>
              </w:rPr>
            </w:pPr>
            <w:r>
              <w:rPr>
                <w:b w:val="false"/>
                <w:bCs w:val="false"/>
                <w:lang w:val="hy-AM"/>
              </w:rPr>
            </w:r>
          </w:p>
          <w:p>
            <w:pPr>
              <w:pStyle w:val="ListParagraph"/>
              <w:widowControl/>
              <w:numPr>
                <w:ilvl w:val="1"/>
                <w:numId w:val="2"/>
              </w:numPr>
              <w:bidi w:val="0"/>
              <w:spacing w:lineRule="auto" w:line="276" w:before="0" w:after="280"/>
              <w:ind w:firstLine="630" w:left="0"/>
              <w:contextualSpacing/>
              <w:jc w:val="both"/>
              <w:rPr/>
            </w:pPr>
            <w:r>
              <w:rPr>
                <w:b w:val="false"/>
                <w:bCs w:val="false"/>
                <w:sz w:val="24"/>
                <w:szCs w:val="24"/>
                <w:lang w:val="hy-AM"/>
              </w:rPr>
              <w:t xml:space="preserve">2․ </w:t>
            </w:r>
            <w:r>
              <w:rPr>
                <w:sz w:val="24"/>
                <w:szCs w:val="24"/>
                <w:lang w:val="hy-AM"/>
              </w:rPr>
              <w:t>Նախագծի 7-րդ հոդվածով լրացվում է «Արտաքին հետախուզական գործունեության և արտաքին հետախուզության ծառայության մասին» օրենքի (այսուհետ՝ Օրենք) 15-րդ հոդվածի 2-րդ մասը, որի 12.2-րդ կետի համաձայն՝ ծառայության պետը վարչապետի հաստատմանն է ներկայացնում Ծառայությունում քաղաքացիական աշխատանք և տեխնիկական սպասարկում իրականացնող անձանց հիմնական և լրացուցիչ աշխատավարձերի չափերը  սահմանող որոշումը: Այս առումով հարկ ենք համարում նշել, որ նշված կարգավորումը հակասում է «</w:t>
            </w:r>
            <w:r>
              <w:rPr>
                <w:rStyle w:val="Strong"/>
                <w:rFonts w:cs="Arial"/>
                <w:b w:val="false"/>
                <w:color w:val="333333"/>
                <w:sz w:val="24"/>
                <w:szCs w:val="24"/>
                <w:shd w:fill="FFFFFF" w:val="clear"/>
                <w:lang w:val="hy-AM"/>
              </w:rPr>
              <w:t>Պետական պաշտոններ և պետական ծառայության պաշտոններ զբաղեցնող անձանց վարձատրության մասին</w:t>
            </w:r>
            <w:r>
              <w:rPr>
                <w:rStyle w:val="Strong"/>
                <w:rFonts w:cs="Arial"/>
                <w:color w:val="333333"/>
                <w:sz w:val="24"/>
                <w:szCs w:val="24"/>
                <w:shd w:fill="FFFFFF" w:val="clear"/>
                <w:lang w:val="hy-AM"/>
              </w:rPr>
              <w:t>» օ</w:t>
            </w:r>
            <w:r>
              <w:rPr>
                <w:rStyle w:val="Strong"/>
                <w:rFonts w:cs="Arial"/>
                <w:b w:val="false"/>
                <w:color w:val="333333"/>
                <w:sz w:val="24"/>
                <w:szCs w:val="24"/>
                <w:shd w:fill="FFFFFF" w:val="clear"/>
                <w:lang w:val="hy-AM"/>
              </w:rPr>
              <w:t>րենքի 2-րդ հոդվածի 2-րդ մասի դրույթներին,</w:t>
            </w:r>
            <w:r>
              <w:rPr>
                <w:rStyle w:val="Strong"/>
                <w:rFonts w:cs="Arial"/>
                <w:color w:val="333333"/>
                <w:sz w:val="24"/>
                <w:szCs w:val="24"/>
                <w:shd w:fill="FFFFFF" w:val="clear"/>
                <w:lang w:val="hy-AM"/>
              </w:rPr>
              <w:t xml:space="preserve"> </w:t>
            </w:r>
            <w:r>
              <w:rPr>
                <w:rStyle w:val="Strong"/>
                <w:rFonts w:cs="Arial"/>
                <w:b w:val="false"/>
                <w:color w:val="333333"/>
                <w:sz w:val="24"/>
                <w:szCs w:val="24"/>
                <w:shd w:fill="FFFFFF" w:val="clear"/>
                <w:lang w:val="hy-AM"/>
              </w:rPr>
              <w:t>որի համաձայն՝</w:t>
            </w:r>
            <w:r>
              <w:rPr>
                <w:rFonts w:cs="Arial"/>
                <w:color w:val="333333"/>
                <w:sz w:val="24"/>
                <w:szCs w:val="24"/>
                <w:shd w:fill="FFFFFF" w:val="clear"/>
                <w:lang w:val="hy-AM"/>
              </w:rPr>
              <w:t xml:space="preserve"> հանրային իշխանության մարմիններում, բացառությամբ Հանրապետության Նախագահի, Ազգային ժողովի, վարչապետի, Հայաստանի Հանրապետության սահմանադրական դատարանի, Հայաստանի Հանրապետության կենտրոնական բանկի, Երևանի քաղաքապետարանի, Հայաստանի Հանրապետության տեղական ինքնակառավարման մարմինների աշխատակազմերի, քաղաքացիական աշխատանք կատարող և տեխնիկական սպասարկում իրականացնող անձանց հիմնական և լրացուցիչ աշխատավարձերի</w:t>
            </w:r>
            <w:r>
              <w:rPr>
                <w:rFonts w:cs="Calibri" w:ascii="Calibri" w:hAnsi="Calibri"/>
                <w:color w:val="333333"/>
                <w:sz w:val="24"/>
                <w:szCs w:val="24"/>
                <w:shd w:fill="FFFFFF" w:val="clear"/>
                <w:lang w:val="hy-AM"/>
              </w:rPr>
              <w:t> </w:t>
            </w:r>
            <w:r>
              <w:rPr>
                <w:rFonts w:cs="Arial"/>
                <w:sz w:val="24"/>
                <w:szCs w:val="24"/>
                <w:shd w:fill="FFFFFF" w:val="clear"/>
                <w:lang w:val="hy-AM"/>
              </w:rPr>
              <w:t>չափերը</w:t>
            </w:r>
            <w:r>
              <w:rPr>
                <w:rFonts w:cs="Calibri" w:ascii="Calibri" w:hAnsi="Calibri"/>
                <w:color w:val="333333"/>
                <w:sz w:val="24"/>
                <w:szCs w:val="24"/>
                <w:shd w:fill="FFFFFF" w:val="clear"/>
                <w:lang w:val="hy-AM"/>
              </w:rPr>
              <w:t> </w:t>
            </w:r>
            <w:r>
              <w:rPr>
                <w:rFonts w:cs="Arial"/>
                <w:color w:val="333333"/>
                <w:sz w:val="24"/>
                <w:szCs w:val="24"/>
                <w:shd w:fill="FFFFFF" w:val="clear"/>
                <w:lang w:val="hy-AM"/>
              </w:rPr>
              <w:t>սահմանում է Հայաստանի Հանրապետության կառավարությունը:</w:t>
            </w:r>
          </w:p>
          <w:p>
            <w:pPr>
              <w:pStyle w:val="ListParagraph"/>
              <w:widowControl/>
              <w:numPr>
                <w:ilvl w:val="1"/>
                <w:numId w:val="2"/>
              </w:numPr>
              <w:bidi w:val="0"/>
              <w:spacing w:lineRule="auto" w:line="276" w:before="0" w:after="280"/>
              <w:ind w:firstLine="630" w:left="0"/>
              <w:contextualSpacing/>
              <w:jc w:val="both"/>
              <w:rPr>
                <w:sz w:val="24"/>
                <w:szCs w:val="24"/>
              </w:rPr>
            </w:pPr>
            <w:r>
              <w:rPr>
                <w:rFonts w:eastAsia="GHEA Grapalat" w:cs="Arial"/>
                <w:color w:val="333333"/>
                <w:sz w:val="24"/>
                <w:szCs w:val="24"/>
                <w:shd w:fill="FFFFFF" w:val="clear"/>
                <w:lang w:val="hy-AM"/>
              </w:rPr>
              <w:t xml:space="preserve">3․ </w:t>
            </w:r>
            <w:r>
              <w:rPr>
                <w:rFonts w:eastAsia="GHEA Grapalat" w:cs="GHEA Grapalat"/>
                <w:color w:val="000000"/>
                <w:sz w:val="24"/>
                <w:szCs w:val="24"/>
                <w:shd w:fill="FFFFFF" w:val="clear"/>
                <w:lang w:val="hy-AM"/>
              </w:rPr>
              <w:t>Նախագծի 11-րդ հոդվածով օրենքում լրացվող 19.1-ին հոդվածի 2-րդ մասով սահմանվում են Ծառայողի այլ հավասարազոր պաշտոնի կամ տվյալ պաշտոնների խմբի այլ ենթախմբում նշանակվելու դեպքերը: Այս առումով հարկ է նկատել, որ Օրենքի 16-րդ հոդվածի 3-րդ մասին համաձայն՝ Ծառայության պաշտոնների բարձրագույն, գլխավոր, ավագ, միջին և կրտսեր խմբերը բաժանվում են ենթախմբերի, որտեղ առաջին ենթախումբը համարվում է տվյալ պաշտոնների ամենաբարձր ենթախումբը, ինչն ենթադրում է, որ պաշտոնը համապատասխան խմբի որևէ ենթախմբում ներառելը իրականացվում է աստիճանակարգության սկզբունքով,  և հետևաբար ենթախմբի փոփոխությունը ենթադրում է պաշտոնի բարձրացում կամ ցածրացում, իսկ հաշվի առնելով այն հանգամանքը, որ Նախագծի նույն հոդվածով բարձր և ցածր պաշտոնի նշանակման համար առանձին կարգավորումներ արդեն իսկ նախատեսված են, հետևաբար նշված կարգավորումը անհրաժեշտ է հանել, քանի որ տվյալ պաշտոնների խմբի այլ ենթախմբում պաշտոնի նշանակվելու դեպքը  չի հանդիսանում առանձին դեպք:</w:t>
            </w:r>
          </w:p>
          <w:p>
            <w:pPr>
              <w:pStyle w:val="ListParagraph"/>
              <w:widowControl/>
              <w:numPr>
                <w:ilvl w:val="1"/>
                <w:numId w:val="2"/>
              </w:numPr>
              <w:bidi w:val="0"/>
              <w:spacing w:lineRule="auto" w:line="276" w:before="0" w:after="280"/>
              <w:ind w:firstLine="630" w:left="0"/>
              <w:contextualSpacing/>
              <w:jc w:val="both"/>
              <w:rPr>
                <w:sz w:val="24"/>
                <w:szCs w:val="24"/>
              </w:rPr>
            </w:pPr>
            <w:r>
              <w:rPr>
                <w:rFonts w:eastAsia="GHEA Grapalat" w:cs="GHEA Grapalat"/>
                <w:color w:val="000000"/>
                <w:sz w:val="24"/>
                <w:szCs w:val="24"/>
                <w:shd w:fill="FFFFFF" w:val="clear"/>
                <w:lang w:val="hy-AM"/>
              </w:rPr>
              <w:t xml:space="preserve">4․ Նախագծի 25-րդ հոդվածով նոր խմբագրությամբ շարադրվող Օրենքի 42-րդ հոդվածի 1-ին մասի 1-ին կետի համաձայն՝ Ծառայության ծառայողն իրավունք չունի կատարելու վճարովի այլ աշխատանք, բացի գիտական, մանկավարժական և ստեղծագործական աշխատանքից, ինչպես նաև՝ Ծառայության պետի հանձնարարությամբ սահմանված այն դեպքերում և պայմաններով կատարվող աշխատանքից, որոնք բխում են Ծառայության առջև դրված խնդիրների կատարումից, իսկ նույն մասի 3-րդ կետի համաձայն՝ ծառայության ծառայողն իրավունք չունի անձամբ զբաղվելու ձեռնարկատիրական գործունեությամբ, բացառությամբ Ծառայության պետի հանձնարարությամբ սահմանված այն դեպքերում և պայմաններով, որոնք բխում են Ծառայության առջև դրված խնդիրների կատարումից: Այս  կապակացությամբ հարկ ենք համարում նշել, որ վերոնշյալ նախագծային կարգավորումները հակասում են «Հանրային ծառայության մասին» օրենքի  31-րդ հոդվածի 1-ին մասով ամրագրված անհամատեղելիության պահանջներին, որոնց համաձայն՝ հանրային պաշտոն զբաղեցնող անձինք և հանրային ծառայողները չեն կարող զբաղեցնել իրենց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 Հետևաբար, </w:t>
            </w:r>
            <w:r>
              <w:rPr>
                <w:rFonts w:eastAsia="GHEA Grapalat" w:cs="GHEA Grapalat"/>
                <w:color w:val="000000"/>
                <w:sz w:val="24"/>
                <w:szCs w:val="24"/>
                <w:u w:val="single"/>
                <w:shd w:fill="FFFFFF" w:val="clear"/>
                <w:lang w:val="hy-AM"/>
              </w:rPr>
              <w:t>դեմ չլինելով առաջարկվող նախագծային կարգավորումներին</w:t>
            </w:r>
            <w:r>
              <w:rPr>
                <w:rFonts w:eastAsia="GHEA Grapalat" w:cs="GHEA Grapalat"/>
                <w:color w:val="000000"/>
                <w:sz w:val="24"/>
                <w:szCs w:val="24"/>
                <w:shd w:fill="FFFFFF" w:val="clear"/>
                <w:lang w:val="hy-AM"/>
              </w:rPr>
              <w:t>, առաջարկում ենք նշված օրենքի 31-րդ հոդվածի 19-րդ մասում բացառություն նախատեսել նաև արտաքին հետախուզական ծառայության համար:</w:t>
            </w:r>
          </w:p>
          <w:p>
            <w:pPr>
              <w:pStyle w:val="ListParagraph"/>
              <w:widowControl/>
              <w:numPr>
                <w:ilvl w:val="1"/>
                <w:numId w:val="2"/>
              </w:numPr>
              <w:bidi w:val="0"/>
              <w:spacing w:lineRule="auto" w:line="276" w:before="0" w:after="280"/>
              <w:ind w:firstLine="630" w:left="0"/>
              <w:contextualSpacing/>
              <w:jc w:val="both"/>
              <w:rPr>
                <w:sz w:val="24"/>
                <w:szCs w:val="24"/>
              </w:rPr>
            </w:pPr>
            <w:r>
              <w:rPr>
                <w:rFonts w:eastAsia="GHEA Grapalat" w:cs="GHEA Grapalat"/>
                <w:color w:val="000000"/>
                <w:sz w:val="24"/>
                <w:szCs w:val="24"/>
                <w:shd w:fill="FFFFFF" w:val="clear"/>
                <w:lang w:val="hy-AM"/>
              </w:rPr>
              <w:t xml:space="preserve">5․ </w:t>
            </w:r>
            <w:r>
              <w:rPr>
                <w:rFonts w:eastAsia="GHEA Grapalat" w:cs="GHEA Grapalat"/>
                <w:color w:val="000000"/>
                <w:sz w:val="24"/>
                <w:szCs w:val="24"/>
                <w:lang w:val="hy-AM"/>
              </w:rPr>
              <w:t xml:space="preserve">Օրենքի 9-րդ հոդվածի 1-ին մասի 3-րդ կետի համաձայն՝ արտաքին հետախուզական գործունեություն իրականացնելու իրավունք ունեն Ազգային անվտանգության ծառայության հետախուզության ստորաբաժանումը: Միևնույն ժամանակ Օրենքի 43-րդ հոդվածի </w:t>
            </w:r>
            <w:r>
              <w:rPr>
                <w:rFonts w:eastAsia="GHEA Grapalat" w:cs="Calibri" w:ascii="Calibri" w:hAnsi="Calibri"/>
                <w:color w:val="000000"/>
                <w:sz w:val="24"/>
                <w:szCs w:val="24"/>
                <w:lang w:val="hy-AM"/>
              </w:rPr>
              <w:t> </w:t>
            </w:r>
            <w:r>
              <w:rPr>
                <w:rFonts w:eastAsia="GHEA Grapalat" w:cs="GHEA Grapalat"/>
                <w:color w:val="000000"/>
                <w:sz w:val="24"/>
                <w:szCs w:val="24"/>
                <w:lang w:val="hy-AM"/>
              </w:rPr>
              <w:t>5-րդ մասի համաձայն՝ սույն Օրենքի 9-րդ հոդվածի 1-ին մասի 3-րդ կետում նշված մարմնի կողմից արտաքին հետախուզական գործունեության իրականացման իրավասությունը դադարում է սույն օրենքն ուժի մեջ մտնելուց երեք տարի հետո (Օրենքն ուժի մեջ է մտել 2022 թվականի դեկտեմբերի 30-ին): Ուստի հաշվի առնելով այն հանգամանքը, որ ժամկետային առումով Օրենքի 9-րդ հոդվածի 1-ին մասի 3-րդ կետով սահմանված կարգավորումը այլևս ակտուալ չէ, ուստի առաջարկում ենք ներկայացված փոփոխությունների շրջանակներում դիտարկել նաև Օրենքի 9-րդ հոդվածի 1-ին մասի 3-րդ կետը ուժը կորցրած ճանաչելու վերաբերյալ կարգավորում նախատեսելու հնարավորությունը:</w:t>
            </w:r>
          </w:p>
          <w:p>
            <w:pPr>
              <w:pStyle w:val="ListParagraph"/>
              <w:widowControl/>
              <w:numPr>
                <w:ilvl w:val="1"/>
                <w:numId w:val="2"/>
              </w:numPr>
              <w:bidi w:val="0"/>
              <w:spacing w:lineRule="auto" w:line="276" w:before="0" w:after="280"/>
              <w:ind w:firstLine="630" w:left="0"/>
              <w:contextualSpacing/>
              <w:jc w:val="both"/>
              <w:rPr>
                <w:sz w:val="24"/>
                <w:szCs w:val="24"/>
              </w:rPr>
            </w:pPr>
            <w:r>
              <w:rPr>
                <w:rFonts w:eastAsia="GHEA Grapalat" w:cs="GHEA Grapalat"/>
                <w:color w:val="000000"/>
                <w:sz w:val="24"/>
                <w:szCs w:val="24"/>
                <w:shd w:fill="FFFFFF" w:val="clear"/>
                <w:lang w:val="hy-AM"/>
              </w:rPr>
              <w:t xml:space="preserve">6․ Օրենքի 43-րդ հոդվածի 3-րդ մասի համաձայն՝ ծառայության պետը պաշտոնի նշանակվելուց հետո՝ եռամսյա ժամկետում, վարչապետի հաստատմանն է ներկայացնում Ծառայության անձնակազմի քանակը, կանոնադրությունը, անվանացանկը, հաստիքացուցակը և կառուցվածքը: Հաշվի առնելով այն հանգամանքը, որ նշված դրույթը վերաբերում է ծառայության ստեղծումից հետո առաջին անգամ համապատասխան գործընթացները իրականացնելուն, ուստի նշված գործընթացներն իրականացնելու անհրաժեշտությամբ պայմանավորված հետագայում լիազորող նորմի առկայության խնդիրը բացառելու համար առաջարկում ենք Նախագծով նախատեսել համապատասխան գործընթացները կարգավորող դրույթներ, կամ Օրենքի 15-րդ </w:t>
            </w:r>
            <w:bookmarkStart w:id="7" w:name="_GoBack_Copy_7"/>
            <w:bookmarkEnd w:id="7"/>
            <w:r>
              <w:rPr>
                <w:rFonts w:eastAsia="GHEA Grapalat" w:cs="GHEA Grapalat"/>
                <w:color w:val="000000"/>
                <w:sz w:val="24"/>
                <w:szCs w:val="24"/>
                <w:shd w:fill="FFFFFF" w:val="clear"/>
                <w:lang w:val="hy-AM"/>
              </w:rPr>
              <w:t>հոդվածի 2-րդ մասի 7-րդ կետում, որի համաձայն՝ Ծառայության պետը վարչապետի հաստատմանն է ներկայացնում Ծառայության աշխատակիցների թիվը, հաստիքացուցակը, կանոնադրությունը, ավելացնել նաև «անվանացանկ» բառը:</w:t>
            </w:r>
          </w:p>
        </w:tc>
        <w:tc>
          <w:tcPr>
            <w:tcW w:w="5034" w:type="dxa"/>
            <w:tcBorders>
              <w:left w:val="single" w:sz="4" w:space="0" w:color="000000"/>
              <w:bottom w:val="single" w:sz="4" w:space="0" w:color="000000"/>
              <w:right w:val="single" w:sz="4" w:space="0" w:color="000000"/>
            </w:tcBorders>
          </w:tcPr>
          <w:p>
            <w:pPr>
              <w:pStyle w:val="Normal"/>
              <w:shd w:val="clear" w:fill="FFFFFF"/>
              <w:spacing w:lineRule="auto" w:line="276" w:before="0" w:after="0"/>
              <w:ind w:hanging="0" w:left="0" w:right="0"/>
              <w:jc w:val="center"/>
              <w:rPr>
                <w:sz w:val="24"/>
                <w:szCs w:val="24"/>
              </w:rPr>
            </w:pPr>
            <w:r>
              <w:rPr>
                <w:sz w:val="24"/>
                <w:szCs w:val="24"/>
              </w:rPr>
            </w:r>
          </w:p>
          <w:p>
            <w:pPr>
              <w:pStyle w:val="Normal"/>
              <w:shd w:val="clear" w:fill="FFFFFF"/>
              <w:spacing w:lineRule="auto" w:line="276" w:before="0" w:after="0"/>
              <w:ind w:hanging="0" w:left="0" w:right="0"/>
              <w:jc w:val="center"/>
              <w:rPr>
                <w:b/>
                <w:bCs/>
                <w:sz w:val="24"/>
                <w:szCs w:val="24"/>
              </w:rPr>
            </w:pPr>
            <w:r>
              <w:rPr>
                <w:b/>
                <w:bCs/>
                <w:sz w:val="24"/>
                <w:szCs w:val="24"/>
              </w:rPr>
              <w:t>1․ Ընդունվել և նախագծում կատարվել է համապատասխան փոփոխություն</w:t>
            </w:r>
          </w:p>
          <w:p>
            <w:pPr>
              <w:pStyle w:val="Normal"/>
              <w:shd w:val="clear" w:fill="FFFFFF"/>
              <w:spacing w:lineRule="auto" w:line="276" w:before="0" w:after="0"/>
              <w:ind w:hanging="0" w:left="0" w:right="0"/>
              <w:jc w:val="both"/>
              <w:rPr>
                <w:highlight w:val="none"/>
                <w:shd w:fill="auto" w:val="clear"/>
              </w:rPr>
            </w:pPr>
            <w:r>
              <w:rPr>
                <w:sz w:val="24"/>
                <w:szCs w:val="24"/>
                <w:shd w:fill="auto" w:val="clear"/>
              </w:rPr>
              <w:t>Այն հոդվածներում, որտեղ կիրառվում է «Ծառայության աշխատող» ձևակերպումը, վերաբերում է և՛ հանրային պաշտոն զբաղեցնող, և՛ հանրային ծառայող հանդիսացող, և՛ քաղաքացիական աշխատանք կամ տեխնիկական սպասարկում իրականացնող անձանց, իսկ այն հոդվածներում, որտեղ կիրառվում է միայն «Ծառայության ծառայող» ձևակերպումը վերաբերում է ԱՀԾ պաշտոնների խմբում ընդգրկված աշխատողներին։</w:t>
            </w:r>
          </w:p>
          <w:p>
            <w:pPr>
              <w:pStyle w:val="Normal"/>
              <w:shd w:val="clear" w:fill="FFFFFF"/>
              <w:spacing w:lineRule="auto" w:line="276" w:before="0" w:after="0"/>
              <w:ind w:hanging="0" w:left="0" w:right="0"/>
              <w:jc w:val="both"/>
              <w:rPr>
                <w:sz w:val="24"/>
                <w:szCs w:val="24"/>
                <w:highlight w:val="none"/>
                <w:shd w:fill="auto" w:val="clear"/>
              </w:rPr>
            </w:pPr>
            <w:r>
              <w:rPr>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t>2․ Ընդունվել և նախագծում կատարվել է համապատասխան փոփոխություն</w:t>
            </w:r>
          </w:p>
          <w:p>
            <w:pPr>
              <w:pStyle w:val="Normal"/>
              <w:shd w:val="clear" w:fill="FFFFFF"/>
              <w:spacing w:lineRule="auto" w:line="276" w:before="0" w:after="0"/>
              <w:ind w:hanging="0" w:left="0" w:right="0"/>
              <w:jc w:val="both"/>
              <w:rPr>
                <w:sz w:val="24"/>
                <w:szCs w:val="24"/>
                <w:highlight w:val="none"/>
                <w:shd w:fill="auto" w:val="clear"/>
              </w:rPr>
            </w:pPr>
            <w:r>
              <w:rPr>
                <w:sz w:val="24"/>
                <w:szCs w:val="24"/>
                <w:shd w:fill="auto"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both"/>
              <w:rPr>
                <w:sz w:val="24"/>
                <w:szCs w:val="24"/>
                <w:highlight w:val="none"/>
                <w:shd w:fill="FFFF00" w:val="clear"/>
              </w:rPr>
            </w:pPr>
            <w:r>
              <w:rPr>
                <w:sz w:val="24"/>
                <w:szCs w:val="24"/>
                <w:shd w:fill="FFFF00"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t>3․ Ընդունվել և նախագծում կատարվել է համապատասխան փոփոխություն</w:t>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t>4․ Ընդունվել և նախագծի փաթեթում կատարվել է համապատասխան լրացում</w:t>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pPr>
            <w:r>
              <w:rPr>
                <w:b/>
                <w:bCs/>
                <w:sz w:val="24"/>
                <w:szCs w:val="24"/>
                <w:shd w:fill="auto" w:val="clear"/>
              </w:rPr>
              <w:t>5․ Ընդունվել և նախագծում կատարվել է համապատասխան լրացում</w:t>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FFFF00" w:val="clear"/>
              </w:rPr>
            </w:pPr>
            <w:r>
              <w:rPr>
                <w:b/>
                <w:bCs/>
                <w:sz w:val="24"/>
                <w:szCs w:val="24"/>
                <w:shd w:fill="FFFF00"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t>6․ Ընդունվել և նախագծում կատարվել է համապատասխան փոփոխություն</w:t>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p>
            <w:pPr>
              <w:pStyle w:val="Normal"/>
              <w:shd w:val="clear" w:fill="FFFFFF"/>
              <w:spacing w:lineRule="auto" w:line="276" w:before="0" w:after="0"/>
              <w:ind w:hanging="0" w:left="0" w:right="0"/>
              <w:jc w:val="center"/>
              <w:rPr>
                <w:b/>
                <w:bCs/>
                <w:sz w:val="24"/>
                <w:szCs w:val="24"/>
                <w:highlight w:val="none"/>
                <w:shd w:fill="auto" w:val="clear"/>
              </w:rPr>
            </w:pPr>
            <w:r>
              <w:rPr>
                <w:b/>
                <w:bCs/>
                <w:sz w:val="24"/>
                <w:szCs w:val="24"/>
                <w:shd w:fill="auto" w:val="clear"/>
              </w:rPr>
            </w:r>
          </w:p>
        </w:tc>
      </w:tr>
      <w:tr>
        <w:trPr>
          <w:trHeight w:val="897" w:hRule="atLeast"/>
        </w:trPr>
        <w:tc>
          <w:tcPr>
            <w:tcW w:w="9656" w:type="dxa"/>
            <w:tcBorders>
              <w:left w:val="single" w:sz="4" w:space="0" w:color="000000"/>
              <w:bottom w:val="single" w:sz="4" w:space="0" w:color="000000"/>
              <w:right w:val="single" w:sz="4" w:space="0" w:color="000000"/>
            </w:tcBorders>
          </w:tcPr>
          <w:p>
            <w:pPr>
              <w:pStyle w:val="ListParagraph"/>
              <w:widowControl/>
              <w:numPr>
                <w:ilvl w:val="1"/>
                <w:numId w:val="2"/>
              </w:numPr>
              <w:bidi w:val="0"/>
              <w:spacing w:lineRule="auto" w:line="276" w:before="0" w:after="280"/>
              <w:ind w:firstLine="630" w:left="0"/>
              <w:contextualSpacing/>
              <w:jc w:val="center"/>
              <w:rPr>
                <w:sz w:val="24"/>
                <w:szCs w:val="24"/>
              </w:rPr>
            </w:pPr>
            <w:r>
              <w:rPr>
                <w:b/>
                <w:bCs/>
                <w:sz w:val="24"/>
                <w:szCs w:val="24"/>
              </w:rPr>
              <w:t>Քաղաքացիական ծառայության գրասենյակ</w:t>
            </w:r>
          </w:p>
          <w:p>
            <w:pPr>
              <w:pStyle w:val="Normal"/>
              <w:numPr>
                <w:ilvl w:val="0"/>
                <w:numId w:val="0"/>
              </w:numPr>
              <w:spacing w:lineRule="auto" w:line="360"/>
              <w:ind w:hanging="0" w:left="0"/>
              <w:jc w:val="both"/>
              <w:rPr>
                <w:sz w:val="24"/>
                <w:szCs w:val="24"/>
              </w:rPr>
            </w:pPr>
            <w:r>
              <w:rPr>
                <w:rFonts w:cs="Sylfaen"/>
                <w:sz w:val="24"/>
                <w:szCs w:val="24"/>
                <w:lang w:val="hy-AM"/>
              </w:rPr>
              <w:t xml:space="preserve">1․ Նախագծի 11-րդ հոդվածով լրացվող Օրենքի 19.1-ին հոդվածի 2-րդ մասով սահմանվում  է </w:t>
            </w:r>
            <w:r>
              <w:rPr>
                <w:rFonts w:cs="Sylfaen"/>
                <w:i/>
                <w:sz w:val="24"/>
                <w:szCs w:val="24"/>
                <w:lang w:val="hy-AM"/>
              </w:rPr>
              <w:t xml:space="preserve">Ծառայության ծառայողի </w:t>
            </w:r>
            <w:r>
              <w:rPr>
                <w:i/>
                <w:sz w:val="24"/>
                <w:szCs w:val="24"/>
                <w:lang w:val="hy-AM"/>
              </w:rPr>
              <w:t>այլ հավասարազոր պաշտոնի կամ տվյալ պաշտոնների խմբի այլ ենթախմբում պաշտոն զբաղեցնելու պահանջներն ու պայմանները</w:t>
            </w:r>
            <w:r>
              <w:rPr>
                <w:sz w:val="24"/>
                <w:szCs w:val="24"/>
                <w:lang w:val="hy-AM"/>
              </w:rPr>
              <w:t xml:space="preserve">: Վերոնշյալ կարգավորման համաձայն՝ </w:t>
            </w:r>
            <w:r>
              <w:rPr>
                <w:i/>
                <w:sz w:val="24"/>
                <w:szCs w:val="24"/>
                <w:lang w:val="hy-AM"/>
              </w:rPr>
              <w:t>ծառայողը կարող է նշանակվել այլ հավասարազոր պաշտոնի կամ զբաղեցնել պաշտոն տվյալ պաշտոնների խմբի այլ ենթախմբում ծառայողական անհրաժեշտությունից ելնելով</w:t>
            </w:r>
            <w:r>
              <w:rPr>
                <w:rFonts w:eastAsia="MS Mincho" w:cs="MS Mincho"/>
                <w:i/>
                <w:sz w:val="24"/>
                <w:szCs w:val="24"/>
                <w:lang w:val="hy-AM"/>
              </w:rPr>
              <w:t xml:space="preserve">, </w:t>
            </w:r>
            <w:r>
              <w:rPr>
                <w:i/>
                <w:sz w:val="24"/>
                <w:szCs w:val="24"/>
                <w:lang w:val="hy-AM"/>
              </w:rPr>
              <w:t>կազմակերպչական հաստիքային միջոցառումների կապակցությամբ</w:t>
            </w:r>
            <w:r>
              <w:rPr>
                <w:rFonts w:eastAsia="MS Mincho" w:cs="MS Mincho"/>
                <w:i/>
                <w:sz w:val="24"/>
                <w:szCs w:val="24"/>
                <w:lang w:val="hy-AM"/>
              </w:rPr>
              <w:t xml:space="preserve">, </w:t>
            </w:r>
            <w:r>
              <w:rPr>
                <w:i/>
                <w:sz w:val="24"/>
                <w:szCs w:val="24"/>
                <w:lang w:val="hy-AM"/>
              </w:rPr>
              <w:t>ընտանեկան պայմաններից ելնելով</w:t>
            </w:r>
            <w:r>
              <w:rPr>
                <w:rFonts w:eastAsia="MS Mincho" w:cs="MS Mincho"/>
                <w:i/>
                <w:sz w:val="24"/>
                <w:szCs w:val="24"/>
                <w:lang w:val="hy-AM"/>
              </w:rPr>
              <w:t xml:space="preserve">, </w:t>
            </w:r>
            <w:r>
              <w:rPr>
                <w:rFonts w:cs="Cambria Math"/>
                <w:i/>
                <w:sz w:val="24"/>
                <w:szCs w:val="24"/>
                <w:lang w:val="hy-AM"/>
              </w:rPr>
              <w:t>առողջական վիճակով պայմանավորված</w:t>
            </w:r>
            <w:r>
              <w:rPr>
                <w:i/>
                <w:sz w:val="24"/>
                <w:szCs w:val="24"/>
                <w:lang w:val="hy-AM"/>
              </w:rPr>
              <w:t>՝ բժշկական կազմակերպության կողմից տրված եզրակացության համաձայն</w:t>
            </w:r>
            <w:r>
              <w:rPr>
                <w:sz w:val="24"/>
                <w:szCs w:val="24"/>
                <w:lang w:val="hy-AM"/>
              </w:rPr>
              <w:t xml:space="preserve">: Նույն հոդվածի 4-րդ մասով սահմանվում է, որ </w:t>
            </w:r>
            <w:r>
              <w:rPr>
                <w:i/>
                <w:sz w:val="24"/>
                <w:szCs w:val="24"/>
                <w:lang w:val="hy-AM"/>
              </w:rPr>
              <w:t>ծառայողը նշանակվում է ցածր պաշտոնի ընտանեկան պայմաններից ելնելով՝ իր դիմումի համաձայն, առողջական  վիճակով պայմանավորված՝ բժշկական կազմակերպության կողմից տրված եզրակացության համաձայն (...):</w:t>
            </w:r>
            <w:r>
              <w:rPr>
                <w:sz w:val="24"/>
                <w:szCs w:val="24"/>
                <w:lang w:val="hy-AM"/>
              </w:rPr>
              <w:t xml:space="preserve"> Աշխատանքի իրավունքի hավասարության և կիրառման ապահովման Սահմանադրությամբ և օրենսդրությամբ ամրագրված դրույթների պահպանման  և իրականացման համար անհրաժեշտ է սահմանել աշխատողին նախ հավասարազոր պաշտոնի նշանակման ապահովման երաշխիքներ, և միայն դրա բացակայության դեպքում՝ ավելի ցածր պաշտոն: Նման իրավական դիրքորոշում է հայտնել նաև վարչական դատարանն իր թիվ ՎԴ/0206/05/21 համանման վարչական գործով կայացրած վճռով՝ արձանագրելով, որ առաջնահերթությունը պետք է տրվի նախկինում զբաղեցրած պաշտոնի խմբին, իսկ </w:t>
            </w:r>
            <w:r>
              <w:rPr>
                <w:b/>
                <w:sz w:val="24"/>
                <w:szCs w:val="24"/>
                <w:lang w:val="hy-AM"/>
              </w:rPr>
              <w:t>դրա բացակայության դեպքում՝</w:t>
            </w:r>
            <w:r>
              <w:rPr>
                <w:sz w:val="24"/>
                <w:szCs w:val="24"/>
                <w:lang w:val="hy-AM"/>
              </w:rPr>
              <w:t xml:space="preserve"> դրանից մեկ աստիճան ցածր խմբին համապատասխանող պաշտոնին։</w:t>
            </w:r>
          </w:p>
          <w:p>
            <w:pPr>
              <w:pStyle w:val="Normal"/>
              <w:numPr>
                <w:ilvl w:val="0"/>
                <w:numId w:val="2"/>
              </w:numPr>
              <w:spacing w:lineRule="auto" w:line="360"/>
              <w:ind w:firstLine="630" w:left="0"/>
              <w:jc w:val="both"/>
              <w:rPr>
                <w:sz w:val="24"/>
                <w:szCs w:val="24"/>
              </w:rPr>
            </w:pPr>
            <w:r>
              <w:rPr>
                <w:sz w:val="24"/>
                <w:szCs w:val="24"/>
                <w:lang w:val="hy-AM"/>
              </w:rPr>
              <w:t xml:space="preserve">Միաժամանակ, նույն  հոդվածի 6-րդ մասով սահմանվում է, որ </w:t>
            </w:r>
            <w:r>
              <w:rPr>
                <w:i/>
                <w:sz w:val="24"/>
                <w:szCs w:val="24"/>
                <w:lang w:val="hy-AM"/>
              </w:rPr>
              <w:t>հավասարազոր կամ ավելի բարձր պաշտոնի ժամանակավոր թափուր պաշտոնի փոխադրման համար հիմքերը վերանալու դեպքում ծառայողը փոխադրվում է իր նախկին պաշտոնին</w:t>
            </w:r>
            <w:r>
              <w:rPr>
                <w:sz w:val="24"/>
                <w:szCs w:val="24"/>
                <w:lang w:val="hy-AM"/>
              </w:rPr>
              <w:t xml:space="preserve">։ Իսկ նույն հոդվածի 8-րդ մասի համաձայն՝ </w:t>
            </w:r>
            <w:r>
              <w:rPr>
                <w:i/>
                <w:sz w:val="24"/>
                <w:szCs w:val="24"/>
                <w:lang w:val="hy-AM"/>
              </w:rPr>
              <w:t xml:space="preserve">Ծառայողին պաշտոնեական պարտականությունների ժամանակավոր կատարման փոխադրում, </w:t>
            </w:r>
            <w:r>
              <w:rPr>
                <w:b/>
                <w:i/>
                <w:sz w:val="24"/>
                <w:szCs w:val="24"/>
                <w:lang w:val="hy-AM"/>
              </w:rPr>
              <w:t xml:space="preserve">ժամկետը երկարաձգում </w:t>
            </w:r>
            <w:r>
              <w:rPr>
                <w:i/>
                <w:sz w:val="24"/>
                <w:szCs w:val="24"/>
                <w:lang w:val="hy-AM"/>
              </w:rPr>
              <w:t>և ժամանակավոր կատարումից ազատում է Ծառայության պետը:</w:t>
            </w:r>
            <w:r>
              <w:rPr>
                <w:sz w:val="24"/>
                <w:szCs w:val="24"/>
                <w:lang w:val="hy-AM"/>
              </w:rPr>
              <w:t xml:space="preserve"> Այս առումով անհրաժեշտ է հստակեցնել «ժամկետի երկարաձգում» կապակցության վերաբերելիության շրջանակը՝ հատկապես հաշվի առնելով այն հանգամանքը, որ ժամանակավոր թափուր պաշտոնի փոխադրման հիմքի վերացումից հետո ծառայողը փոխադրվում է իր նախկին պաշտոնին, հետևաբար հիմքի փոփոխությունը չի կարող հանգեցնել փոխադրման ժամկետի երկարաձգման։</w:t>
            </w:r>
          </w:p>
          <w:p>
            <w:pPr>
              <w:pStyle w:val="Normal"/>
              <w:numPr>
                <w:ilvl w:val="0"/>
                <w:numId w:val="2"/>
              </w:numPr>
              <w:spacing w:lineRule="auto" w:line="360"/>
              <w:ind w:firstLine="630" w:left="0"/>
              <w:jc w:val="both"/>
              <w:rPr>
                <w:sz w:val="24"/>
                <w:szCs w:val="24"/>
              </w:rPr>
            </w:pPr>
            <w:r>
              <w:rPr>
                <w:sz w:val="24"/>
                <w:szCs w:val="24"/>
                <w:lang w:val="hy-AM"/>
              </w:rPr>
              <w:t xml:space="preserve">Ելնելով վերոգրյալից՝ առաջարկում ենք վերանայել </w:t>
            </w:r>
            <w:r>
              <w:rPr>
                <w:rFonts w:cs="Sylfaen"/>
                <w:sz w:val="24"/>
                <w:szCs w:val="24"/>
                <w:lang w:val="hy-AM"/>
              </w:rPr>
              <w:t>Նախագծի 11-րդ հոդվածով լրացվող Օրենքի 19.1-ին հոդվածով նախատեսվող կարգավորումները վերը նշված դիտարկումների հաշվառմամբ։</w:t>
            </w:r>
          </w:p>
          <w:p>
            <w:pPr>
              <w:pStyle w:val="Normal"/>
              <w:numPr>
                <w:ilvl w:val="0"/>
                <w:numId w:val="2"/>
              </w:numPr>
              <w:spacing w:lineRule="auto" w:line="360"/>
              <w:ind w:firstLine="630" w:left="0"/>
              <w:jc w:val="both"/>
              <w:rPr>
                <w:sz w:val="24"/>
                <w:szCs w:val="24"/>
              </w:rPr>
            </w:pPr>
            <w:r>
              <w:rPr>
                <w:rFonts w:cs="Sylfaen"/>
                <w:sz w:val="24"/>
                <w:szCs w:val="24"/>
                <w:lang w:val="hy-AM"/>
              </w:rPr>
              <w:t xml:space="preserve">2․ Նախագծի 13-րդ հոդվածով նախատեսվում է Օրենքի 21-րդ հոդվածի 5-րդ մասից հանել 2-րդ նախադասությունը, որի համաձայն՝ Ծառայության ծառայողի դիմումի հիման վրա երկու ամսից շուտ կադրերի ռեզերվից դուրս գալու դեպքում վճարումն իրականացվում է կադրերի ռեզերվում գտնվելու փաստացի ժամանակահատվածին համապատասխան: Որպես փոփոխության հիմնավորում նշվում է, որ </w:t>
            </w:r>
            <w:r>
              <w:rPr>
                <w:rFonts w:cs="Sylfaen"/>
                <w:i/>
                <w:sz w:val="24"/>
                <w:szCs w:val="24"/>
                <w:lang w:val="hy-AM"/>
              </w:rPr>
              <w:t>ըստ էության 21֊րդ հոդվածի 5֊րդ մասի 2֊րդ նախադասության շրջանակում կիրառված 2֊ամսյա ժամկետի վերաբերյալ կարգավորումը հակասում է նույն մասի 1֊ին նախադասությամբ կիրառված 3֊ամսյա ժամկետի համար վճարվելու վերաբերյալ կարգավորմանը և պարզ չէ թե 2֊ամսյա ժամկետային սահմանափակում նախատեսելը ինչ նպատակ է սպասարկում</w:t>
            </w:r>
            <w:r>
              <w:rPr>
                <w:rFonts w:cs="Sylfaen"/>
                <w:sz w:val="24"/>
                <w:szCs w:val="24"/>
                <w:lang w:val="hy-AM"/>
              </w:rPr>
              <w:t>։ Հակասությունը կարգավորելու նպատակով առաջարկում ենք 21-րդ հոդվածի 5-րդ մասից ոչ թե հանել 2-րդ նախադասությունը, այլ այդ նախադասությունից հանել «երկու ամսից շուտ» բառերը, որպեսզի սեփական դիմումի հիման վրա կադրերի ռեզերվից դուրս գալու դեպքում վճարումն իրականացվի կադրերի ռեզերվում գտնվելու փաստացի ժամանակահատվածին համապատասխան։ Հարկ է նկատել, որ այլ ծառայություններում ևս կիրառվում են նույնաբովանդակ կարգավորումներ։</w:t>
            </w:r>
          </w:p>
          <w:p>
            <w:pPr>
              <w:pStyle w:val="TableContents"/>
              <w:numPr>
                <w:ilvl w:val="0"/>
                <w:numId w:val="2"/>
              </w:numPr>
              <w:spacing w:lineRule="auto" w:line="360"/>
              <w:ind w:firstLine="630" w:left="0"/>
              <w:jc w:val="both"/>
              <w:rPr>
                <w:sz w:val="24"/>
                <w:szCs w:val="24"/>
              </w:rPr>
            </w:pPr>
            <w:r>
              <w:rPr>
                <w:rFonts w:cs="Sylfaen"/>
                <w:sz w:val="24"/>
                <w:szCs w:val="24"/>
                <w:lang w:val="hy-AM"/>
              </w:rPr>
              <w:t>3</w:t>
            </w:r>
            <w:r>
              <w:rPr>
                <w:rFonts w:cs="Sylfaen" w:ascii="Cambria Math" w:hAnsi="Cambria Math"/>
                <w:sz w:val="24"/>
                <w:szCs w:val="24"/>
                <w:lang w:val="hy-AM"/>
              </w:rPr>
              <w:t xml:space="preserve">․ </w:t>
            </w:r>
            <w:r>
              <w:rPr>
                <w:rFonts w:cs="Sylfaen"/>
                <w:sz w:val="24"/>
                <w:szCs w:val="24"/>
                <w:lang w:val="hy-AM"/>
              </w:rPr>
              <w:t>Նախագծի 25-րդ հոդվածով նոր խմբագրությամբ շարադրվող Օրենքի 42-րդ հոդվածի 1-ին մասի 1-ին կետի համաձայն՝ Ծառայության ծառայողն իրավունք չունի</w:t>
            </w:r>
            <w:r>
              <w:rPr>
                <w:rFonts w:cs="Sylfaen" w:ascii="Sylfaen" w:hAnsi="Sylfaen"/>
                <w:color w:val="000000"/>
                <w:sz w:val="24"/>
                <w:szCs w:val="24"/>
                <w:shd w:fill="FFFFFF" w:val="clear"/>
                <w:lang w:val="hy-AM"/>
              </w:rPr>
              <w:t xml:space="preserve"> </w:t>
            </w:r>
            <w:r>
              <w:rPr>
                <w:rFonts w:cs="Sylfaen"/>
                <w:sz w:val="24"/>
                <w:szCs w:val="24"/>
                <w:lang w:val="hy-AM"/>
              </w:rPr>
              <w:t xml:space="preserve">կատարելու վճարովի այլ աշխատանք, բացի գիտական, մանկավարժական և ստեղծագործական աշխատանքից, </w:t>
            </w:r>
            <w:r>
              <w:rPr>
                <w:rFonts w:cs="Sylfaen"/>
                <w:b/>
                <w:i/>
                <w:sz w:val="24"/>
                <w:szCs w:val="24"/>
                <w:lang w:val="hy-AM"/>
              </w:rPr>
              <w:t>ինչպես նաև՝ Ծառայության պետի հանձնարարությամբ սահմանված այն դեպքերում և պայմաններով կատարվող աշխատանքից, որոնք բխում են Ծառայության առջև դրված խնդիրների կատարումից</w:t>
            </w:r>
            <w:r>
              <w:rPr>
                <w:rFonts w:cs="Sylfaen"/>
                <w:sz w:val="24"/>
                <w:szCs w:val="24"/>
                <w:lang w:val="hy-AM"/>
              </w:rPr>
              <w:t xml:space="preserve">, իսկ նույն մասի 3-րդ կետի համաձայն՝ </w:t>
            </w:r>
            <w:r>
              <w:rPr>
                <w:rFonts w:cs="Sylfaen"/>
                <w:i/>
                <w:sz w:val="24"/>
                <w:szCs w:val="24"/>
                <w:lang w:val="hy-AM"/>
              </w:rPr>
              <w:t xml:space="preserve">ծառայության ծառայողն իրավունք չունի անձամբ զբաղվելու ձեռնարկատիրական գործունեությամբ, բացառությամբ Ծառայության պետի հանձնարարությամբ սահմանված այն դեպքերում և պայմաններով, որոնք բխում են Ծառայության առջև դրված խնդիրների կատարումից: </w:t>
            </w:r>
            <w:r>
              <w:rPr>
                <w:rFonts w:cs="Sylfaen"/>
                <w:sz w:val="24"/>
                <w:szCs w:val="24"/>
                <w:lang w:val="hy-AM"/>
              </w:rPr>
              <w:t>Այս կապակցությամբ</w:t>
            </w:r>
            <w:r>
              <w:rPr>
                <w:rFonts w:cs="Sylfaen"/>
                <w:i/>
                <w:sz w:val="24"/>
                <w:szCs w:val="24"/>
                <w:lang w:val="hy-AM"/>
              </w:rPr>
              <w:t xml:space="preserve"> </w:t>
            </w:r>
            <w:r>
              <w:rPr>
                <w:rFonts w:cs="Sylfaen"/>
                <w:sz w:val="24"/>
                <w:szCs w:val="24"/>
                <w:lang w:val="hy-AM"/>
              </w:rPr>
              <w:t xml:space="preserve">հարկ է նկատել, որ Ծառայությունում ծառայությունը համարվում է հանրային ծառայություն, իսկ հանրային պաշտոն զբաղեցնող անձանց և հանրային ծառայողների անհամատեղելիության պահանջները սահմանող «Հանրային ծառայության մասին» օրենքի 31-րդ հոդվածի 1-ին մասը, որի համաձայն՝ </w:t>
            </w:r>
            <w:r>
              <w:rPr>
                <w:rFonts w:cs="Calibri" w:ascii="Calibri" w:hAnsi="Calibri"/>
                <w:sz w:val="24"/>
                <w:szCs w:val="24"/>
                <w:lang w:val="hy-AM"/>
              </w:rPr>
              <w:t> </w:t>
            </w:r>
            <w:r>
              <w:rPr>
                <w:rFonts w:cs="Sylfaen"/>
                <w:i/>
                <w:sz w:val="24"/>
                <w:szCs w:val="24"/>
                <w:lang w:val="hy-AM"/>
              </w:rPr>
              <w:t>հանրային</w:t>
            </w:r>
            <w:r>
              <w:rPr>
                <w:rFonts w:cs="Calibri" w:ascii="Calibri" w:hAnsi="Calibri"/>
                <w:i/>
                <w:sz w:val="24"/>
                <w:szCs w:val="24"/>
                <w:lang w:val="hy-AM"/>
              </w:rPr>
              <w:t> </w:t>
            </w:r>
            <w:r>
              <w:rPr>
                <w:rFonts w:cs="Sylfaen"/>
                <w:i/>
                <w:sz w:val="24"/>
                <w:szCs w:val="24"/>
                <w:lang w:val="hy-AM"/>
              </w:rPr>
              <w:t>պաշտոն զբաղեցնող անձինք և</w:t>
            </w:r>
            <w:r>
              <w:rPr>
                <w:rFonts w:cs="Calibri" w:ascii="Calibri" w:hAnsi="Calibri"/>
                <w:i/>
                <w:sz w:val="24"/>
                <w:szCs w:val="24"/>
                <w:lang w:val="hy-AM"/>
              </w:rPr>
              <w:t> </w:t>
            </w:r>
            <w:r>
              <w:rPr>
                <w:rFonts w:cs="Sylfaen"/>
                <w:i/>
                <w:sz w:val="24"/>
                <w:szCs w:val="24"/>
                <w:lang w:val="hy-AM"/>
              </w:rPr>
              <w:t>հանրային</w:t>
            </w:r>
            <w:r>
              <w:rPr>
                <w:rFonts w:cs="Calibri" w:ascii="Calibri" w:hAnsi="Calibri"/>
                <w:i/>
                <w:sz w:val="24"/>
                <w:szCs w:val="24"/>
                <w:lang w:val="hy-AM"/>
              </w:rPr>
              <w:t> </w:t>
            </w:r>
            <w:r>
              <w:rPr>
                <w:rFonts w:cs="Sylfaen"/>
                <w:i/>
                <w:sz w:val="24"/>
                <w:szCs w:val="24"/>
                <w:lang w:val="hy-AM"/>
              </w:rPr>
              <w:t xml:space="preserve">ծառայողները չեն կարող զբաղեցնել իրենց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 Հարկ է նկատել նաև, որ վերը նշված հոդվածի </w:t>
            </w:r>
            <w:r>
              <w:rPr>
                <w:rFonts w:cs="Sylfaen"/>
                <w:sz w:val="24"/>
                <w:szCs w:val="24"/>
                <w:lang w:val="hy-AM"/>
              </w:rPr>
              <w:t xml:space="preserve">6-րդ մասի 4-րդ կետի համաձայն՝ </w:t>
            </w:r>
            <w:r>
              <w:rPr>
                <w:rFonts w:cs="Sylfaen"/>
                <w:i/>
                <w:sz w:val="24"/>
                <w:szCs w:val="24"/>
                <w:lang w:val="hy-AM"/>
              </w:rPr>
              <w:t>հանրային պաշտոն զբաղեցնող անձը (բացառությամբ Հայաստանի Հանրապետության նախագահի, պատգամավորի, Կառավարության անդամի, ինքնավար պաշտոն զբաղեցնող անձի) կամ հանրային ծառայողը կարող է ընդգրկվել 50 և ավելի տոկոս Հայաստանի Հանրապետության մասնակցությամբ առևտրային կազմակերպության տնօրենների խորհրդի (դիտորդ խորհուրդ) կազմում, եթե դա ուղղակիորեն առնչվում է իր պաշտոնավարման ոլորտի քաղաքականության իրականացման հետ` առանց վարձատրության կամ որևէ այլ ձևով փոխհատուցում ստանալու կամ հանրային պաշտոն չզբաղեցնող անձանց կամ ոչ հանրային ծառայողների համար նախատեսված սոցիալական երաշխիքներից կամ այլ ծառայություններից կամ արտոնություններից օգտվելու իրավունքի:</w:t>
            </w:r>
            <w:r>
              <w:rPr>
                <w:rFonts w:cs="Sylfaen"/>
                <w:sz w:val="24"/>
                <w:szCs w:val="24"/>
                <w:lang w:val="hy-AM"/>
              </w:rPr>
              <w:t xml:space="preserve">  Վերոհիշյալ կարգավորումից պարզ է դառնում, որ հանրային պաշտոն զբաղեցնող անձանց և հանրային ծառայողների ձեռնարկատիրական գործունեությամբ զբաղվելու այլ բացառություններ սահմանված չեն: Ուստի անհրաժեշտ է Նախագծով սահմանված կարգավորումը համապատասխանեցնել օրենսդրությամբ ամրագրված պահանջներին:</w:t>
            </w:r>
          </w:p>
          <w:p>
            <w:pPr>
              <w:pStyle w:val="Normal"/>
              <w:numPr>
                <w:ilvl w:val="0"/>
                <w:numId w:val="2"/>
              </w:numPr>
              <w:spacing w:lineRule="auto" w:line="360"/>
              <w:ind w:firstLine="630" w:left="0"/>
              <w:jc w:val="both"/>
              <w:rPr>
                <w:sz w:val="24"/>
                <w:szCs w:val="24"/>
              </w:rPr>
            </w:pPr>
            <w:r>
              <w:rPr>
                <w:sz w:val="24"/>
                <w:szCs w:val="24"/>
                <w:lang w:val="hy-AM"/>
              </w:rPr>
              <w:t xml:space="preserve">     </w:t>
            </w:r>
            <w:r>
              <w:rPr>
                <w:sz w:val="24"/>
                <w:szCs w:val="24"/>
                <w:lang w:val="hy-AM"/>
              </w:rPr>
              <w:t>4. «Պետական կենսաթոշակների մասին» օրենքում լրացում  կատարելու մասին» օրենքի նախագծով (այսուհետ՝ Նախագիծ) նախատեսվում է «Պետական կենսաթոշակների մասին» օրենքի 10-րդ հոդվածը լրացնել հետևյալ բովանդակությամբ 6-րդ մասով</w:t>
            </w:r>
            <w:r>
              <w:rPr>
                <w:rFonts w:ascii="Cambria Math" w:hAnsi="Cambria Math"/>
                <w:sz w:val="24"/>
                <w:szCs w:val="24"/>
                <w:lang w:val="hy-AM"/>
              </w:rPr>
              <w:t xml:space="preserve">․ </w:t>
            </w:r>
            <w:r>
              <w:rPr>
                <w:sz w:val="24"/>
                <w:szCs w:val="24"/>
                <w:lang w:val="hy-AM"/>
              </w:rPr>
              <w:t>«Արտոնյալ պայմաններով կենսաթոշակ նշանակվում է նաև Հայաստանի Հանրապետության արտաքին հետախուզության ծառայությունում աշխատանքից ազատվելու օրվա դրությամբ քաղաքացիական աշխատանք կամ տեխնիկական սպասարկում իրականացրած անձին, եթե լրացել է նրա 55 տարին և  նա ունի առնվազն 25 օրացուցային տարվա աշխատանքային ստաժ, որից առնվազն 15 տարին աշխատել է Հայաստանի Հանրապետության արտաքին հետախուզության ծառայությունում։»։ Հարկ է նկատել, որ պետական այլ մարմիններում քաղաքացիական աշխատանք կատարող և տեխնիկական սպասարկում իրականացնող անձանց համար նման երաշխիք սահմանված չէ, ուստի առաջարկում ենք նախագծերի փաթեթից հանել առաջարկվող վերոնշյալ լրացումը նույնաբովանդակ աշխատանք կատարող անձանց համար անհավասար պայմաններ ստեղծելուց զերծ մնալու նպատակով։</w:t>
            </w:r>
          </w:p>
          <w:p>
            <w:pPr>
              <w:pStyle w:val="Normal"/>
              <w:numPr>
                <w:ilvl w:val="0"/>
                <w:numId w:val="2"/>
              </w:numPr>
              <w:spacing w:lineRule="auto" w:line="360"/>
              <w:ind w:firstLine="630" w:left="0"/>
              <w:jc w:val="both"/>
              <w:rPr>
                <w:sz w:val="24"/>
                <w:szCs w:val="24"/>
              </w:rPr>
            </w:pPr>
            <w:r>
              <w:rPr>
                <w:rFonts w:cs="Sylfaen"/>
                <w:sz w:val="24"/>
                <w:szCs w:val="24"/>
                <w:lang w:val="hy-AM"/>
              </w:rPr>
              <w:tab/>
              <w:t>Միաժամանակ,</w:t>
            </w:r>
            <w:r>
              <w:rPr>
                <w:rFonts w:cs="Sylfaen" w:ascii="Cambria Math" w:hAnsi="Cambria Math"/>
                <w:sz w:val="24"/>
                <w:szCs w:val="24"/>
                <w:lang w:val="hy-AM"/>
              </w:rPr>
              <w:t xml:space="preserve"> </w:t>
            </w:r>
            <w:r>
              <w:rPr>
                <w:rFonts w:cs="Sylfaen"/>
                <w:sz w:val="24"/>
                <w:szCs w:val="24"/>
                <w:lang w:val="hy-AM"/>
              </w:rPr>
              <w:t xml:space="preserve">Նախագծով նախատեսվում է «Պետական պաշտոններ և պետական ծառայության պաշտոններ զբաղեցնող անձանց վարձատրության մասին» օրենքի 26-րդ հոդվածով սահմանված կարգավորումը չտարածել արտաքին հետախուզական ծառայության ծառայողների վրա և նույն հոդվածը լրացնել 3-րդ մասով, որի համաձայն՝ արտաքին հետախուզության ծառայության պետական պաշտոն և պետական ծառայության պաշտոն զբաղեցնող անձանց կամ նրանց ընտանիքի անմիջական անդամներին սույն հոդվածի 1֊ին մասով նախատեսված նպատակներով (բացառությամբ առողջապահության ծառայությունների) օգտագործելու համար ՀՀ արտաքին հետախուզության ծառայության պետի հրամանով սահմանված կարգով  տրամադրվում է պետական պաշտոն և պետական ծառայության պաշտոն զբաղեցնող անձանց հատկացվող սոցիալական փաթեթին համարժեք գումարի չափով հատուցում։ Հարկ է նկատել, որ Օրենքի 26-րդ հոդվածի 1-ին մասով սահմանված կարգավորումը վերաբերում է պետական պաշտոն և պետական ծառայության պաշտոն զբաղեցնող բոլոր անձանց, իսկ նախագծերի փաթեթին կից ներկայացված </w:t>
            </w:r>
            <w:bookmarkStart w:id="8" w:name="_GoBack_Copy_1_Copy_1_Copy_1_Copy_1_Copy"/>
            <w:r>
              <w:rPr>
                <w:rFonts w:cs="Sylfaen"/>
                <w:sz w:val="24"/>
                <w:szCs w:val="24"/>
                <w:lang w:val="hy-AM"/>
              </w:rPr>
              <w:t>հիմնա</w:t>
            </w:r>
            <w:bookmarkEnd w:id="8"/>
            <w:r>
              <w:rPr>
                <w:rFonts w:cs="Sylfaen"/>
                <w:sz w:val="24"/>
                <w:szCs w:val="24"/>
                <w:lang w:val="hy-AM"/>
              </w:rPr>
              <w:t>վորման մեջ (այսուհետ՝ Հիմնավորում) որևէ անդրադարձ չկա վերոնշյալ փոփոխության վերաբերյալ, ուստի առաջարկվող փոփոխության վերաբերյալ գնահատական տալ հնարավոր չէ։</w:t>
            </w:r>
          </w:p>
          <w:p>
            <w:pPr>
              <w:pStyle w:val="Normal"/>
              <w:spacing w:lineRule="auto" w:line="360"/>
              <w:ind w:hanging="0" w:left="0"/>
              <w:jc w:val="both"/>
              <w:rPr>
                <w:rFonts w:eastAsia="GHEA Grapalat" w:cs="GHEA Grapalat"/>
                <w:color w:val="000000"/>
                <w:lang w:val="hy-AM"/>
              </w:rPr>
            </w:pPr>
            <w:r>
              <w:rPr>
                <w:rFonts w:eastAsia="GHEA Grapalat" w:cs="GHEA Grapalat"/>
                <w:color w:val="000000"/>
                <w:lang w:val="hy-AM"/>
              </w:rPr>
            </w:r>
          </w:p>
          <w:p>
            <w:pPr>
              <w:pStyle w:val="Normal"/>
              <w:numPr>
                <w:ilvl w:val="0"/>
                <w:numId w:val="2"/>
              </w:numPr>
              <w:spacing w:lineRule="auto" w:line="360"/>
              <w:ind w:firstLine="630" w:left="0"/>
              <w:jc w:val="both"/>
              <w:rPr>
                <w:sz w:val="24"/>
                <w:szCs w:val="24"/>
              </w:rPr>
            </w:pPr>
            <w:r>
              <w:rPr>
                <w:rFonts w:eastAsia="GHEA Grapalat" w:cs="GHEA Grapalat"/>
                <w:color w:val="000000"/>
                <w:sz w:val="24"/>
                <w:szCs w:val="24"/>
                <w:lang w:val="hy-AM"/>
              </w:rPr>
              <w:t>5․ Հիմնավորման համաձայն՝</w:t>
            </w:r>
            <w:r>
              <w:rPr>
                <w:sz w:val="24"/>
                <w:szCs w:val="24"/>
                <w:lang w:val="hy-AM"/>
              </w:rPr>
              <w:t xml:space="preserve"> </w:t>
            </w:r>
            <w:r>
              <w:rPr>
                <w:i/>
                <w:sz w:val="24"/>
                <w:szCs w:val="24"/>
                <w:lang w:val="hy-AM"/>
              </w:rPr>
              <w:t>բացի փաթեթում ներառված այլ օրենքներում առաջարկվողներից, Նախագծի ընդունման դեպքում այլ իրավական ակտերում փոփոխություններ և/կամ լրացումներ կատարելու անհրաժեշտությունը բացակայում է</w:t>
            </w:r>
            <w:r>
              <w:rPr>
                <w:sz w:val="24"/>
                <w:szCs w:val="24"/>
                <w:lang w:val="hy-AM"/>
              </w:rPr>
              <w:t>։</w:t>
            </w:r>
          </w:p>
          <w:p>
            <w:pPr>
              <w:pStyle w:val="Normal"/>
              <w:numPr>
                <w:ilvl w:val="0"/>
                <w:numId w:val="2"/>
              </w:numPr>
              <w:spacing w:lineRule="auto" w:line="360"/>
              <w:ind w:firstLine="630" w:left="0"/>
              <w:jc w:val="both"/>
              <w:rPr>
                <w:sz w:val="24"/>
                <w:szCs w:val="24"/>
              </w:rPr>
            </w:pPr>
            <w:r>
              <w:rPr>
                <w:sz w:val="24"/>
                <w:szCs w:val="24"/>
                <w:lang w:val="hy-AM"/>
              </w:rPr>
              <w:t xml:space="preserve">Հարկ է նկատել, որ Նախագծի 15-րդ հոդվածով նոր խմբագրությամբ շարադրվող 8-րդ գլխի 23-րդ հոդվածով նախատեսվում են </w:t>
            </w:r>
            <w:r>
              <w:rPr>
                <w:b/>
                <w:bCs/>
                <w:sz w:val="24"/>
                <w:szCs w:val="24"/>
                <w:lang w:val="hy-AM"/>
              </w:rPr>
              <w:t>Ծառայությունում պաշտոն զբաղեցնող անձանց դասային աստիճանների սահմանում։</w:t>
            </w:r>
            <w:r>
              <w:rPr>
                <w:sz w:val="24"/>
                <w:szCs w:val="24"/>
                <w:lang w:val="hy-AM"/>
              </w:rPr>
              <w:t xml:space="preserve"> Հիմնավորման համաձայն՝ </w:t>
            </w:r>
            <w:r>
              <w:rPr>
                <w:i/>
                <w:sz w:val="24"/>
                <w:szCs w:val="24"/>
                <w:lang w:val="hy-AM"/>
              </w:rPr>
              <w:t>Նախագծով</w:t>
            </w:r>
            <w:r>
              <w:rPr>
                <w:sz w:val="24"/>
                <w:szCs w:val="24"/>
                <w:lang w:val="hy-AM"/>
              </w:rPr>
              <w:t xml:space="preserve"> </w:t>
            </w:r>
            <w:r>
              <w:rPr>
                <w:i/>
                <w:sz w:val="24"/>
                <w:szCs w:val="24"/>
                <w:lang w:val="hy-AM"/>
              </w:rPr>
              <w:t xml:space="preserve">առաջարկվում է ՀՀ արտաքին հետախուզության ծառայության ծառայողների համար կոչումների փոխարեն սահմանել դասային աստիճաններ, որոնք առավել համահունչ են Ծառայությունում իրականացվող ծառայության բնույթին։ Միաժամանակ նշվում է, որ օրենքի ընդունումից հետո Ծառայության դասային աստիճանները կհամապատասխանեցվեն այլ մարմիններում տրվող կոչումներին։ </w:t>
            </w:r>
            <w:r>
              <w:rPr>
                <w:sz w:val="24"/>
                <w:szCs w:val="24"/>
                <w:lang w:val="hy-AM"/>
              </w:rPr>
              <w:t xml:space="preserve">Այս կապակցությամբ հարկ է նկատել, որ </w:t>
            </w:r>
            <w:r>
              <w:rPr>
                <w:rFonts w:ascii="Sylfaen" w:hAnsi="Sylfaen"/>
                <w:color w:val="000000"/>
                <w:sz w:val="24"/>
                <w:szCs w:val="24"/>
                <w:shd w:fill="FFFFFF" w:val="clear"/>
                <w:lang w:val="hy-AM"/>
              </w:rPr>
              <w:t> </w:t>
            </w:r>
            <w:r>
              <w:rPr>
                <w:sz w:val="24"/>
                <w:szCs w:val="24"/>
                <w:lang w:val="hy-AM"/>
              </w:rPr>
              <w:t xml:space="preserve">«Հանրային ծառայության մասին» օրենքի 16-րդ հոդվածի 2-րդ մասի համաձայն՝ </w:t>
            </w:r>
            <w:r>
              <w:rPr>
                <w:i/>
                <w:sz w:val="24"/>
                <w:szCs w:val="24"/>
                <w:lang w:val="hy-AM"/>
              </w:rPr>
              <w:t>Հանրային</w:t>
            </w:r>
            <w:r>
              <w:rPr>
                <w:rFonts w:cs="Calibri" w:ascii="Calibri" w:hAnsi="Calibri"/>
                <w:i/>
                <w:sz w:val="24"/>
                <w:szCs w:val="24"/>
                <w:lang w:val="hy-AM"/>
              </w:rPr>
              <w:t> </w:t>
            </w:r>
            <w:r>
              <w:rPr>
                <w:i/>
                <w:sz w:val="24"/>
                <w:szCs w:val="24"/>
                <w:lang w:val="hy-AM"/>
              </w:rPr>
              <w:t>ծառայության</w:t>
            </w:r>
            <w:r>
              <w:rPr>
                <w:rFonts w:cs="Calibri" w:ascii="Calibri" w:hAnsi="Calibri"/>
                <w:i/>
                <w:sz w:val="24"/>
                <w:szCs w:val="24"/>
                <w:lang w:val="hy-AM"/>
              </w:rPr>
              <w:t> </w:t>
            </w:r>
            <w:r>
              <w:rPr>
                <w:i/>
                <w:sz w:val="24"/>
                <w:szCs w:val="24"/>
                <w:lang w:val="hy-AM"/>
              </w:rPr>
              <w:t>առանձին տեսակներով նախատեսված պաշտոնների, դասային կոչումների և աստիճանների</w:t>
            </w:r>
            <w:r>
              <w:rPr>
                <w:rFonts w:cs="Calibri" w:ascii="Calibri" w:hAnsi="Calibri"/>
                <w:i/>
                <w:sz w:val="24"/>
                <w:szCs w:val="24"/>
                <w:lang w:val="hy-AM"/>
              </w:rPr>
              <w:t> </w:t>
            </w:r>
            <w:hyperlink r:id="rId2">
              <w:r>
                <w:rPr>
                  <w:rStyle w:val="ListLabel28"/>
                  <w:i/>
                  <w:sz w:val="24"/>
                  <w:szCs w:val="24"/>
                  <w:lang w:val="hy-AM"/>
                </w:rPr>
                <w:t>համապատասխանությունը</w:t>
              </w:r>
            </w:hyperlink>
            <w:r>
              <w:rPr>
                <w:rFonts w:cs="Calibri" w:ascii="Calibri" w:hAnsi="Calibri"/>
                <w:i/>
                <w:sz w:val="24"/>
                <w:szCs w:val="24"/>
                <w:lang w:val="hy-AM"/>
              </w:rPr>
              <w:t> </w:t>
            </w:r>
            <w:r>
              <w:rPr>
                <w:i/>
                <w:sz w:val="24"/>
                <w:szCs w:val="24"/>
                <w:lang w:val="hy-AM"/>
              </w:rPr>
              <w:t xml:space="preserve">սահմանվել է </w:t>
            </w:r>
            <w:r>
              <w:rPr>
                <w:b/>
                <w:i/>
                <w:sz w:val="24"/>
                <w:szCs w:val="24"/>
                <w:lang w:val="hy-AM"/>
              </w:rPr>
              <w:t>Կառավարութան 2018 թվականի օգոստոսի 9-ի N 911-Ն որոշմամբ:</w:t>
            </w:r>
          </w:p>
          <w:p>
            <w:pPr>
              <w:pStyle w:val="Normal"/>
              <w:numPr>
                <w:ilvl w:val="0"/>
                <w:numId w:val="2"/>
              </w:numPr>
              <w:spacing w:lineRule="auto" w:line="360"/>
              <w:ind w:firstLine="630" w:left="0"/>
              <w:jc w:val="both"/>
              <w:rPr>
                <w:sz w:val="24"/>
                <w:szCs w:val="24"/>
              </w:rPr>
            </w:pPr>
            <w:r>
              <w:rPr>
                <w:sz w:val="24"/>
                <w:szCs w:val="24"/>
                <w:lang w:val="hy-AM"/>
              </w:rPr>
              <w:t>Ելնելով վերոգրյալից՝ առաջարկում ենք վերանայել Հիմնավորումը՝ Նախագծերի ընդունումից բխող այլ</w:t>
            </w:r>
            <w:r>
              <w:rPr>
                <w:b/>
                <w:sz w:val="24"/>
                <w:szCs w:val="24"/>
                <w:lang w:val="hy-AM"/>
              </w:rPr>
              <w:t xml:space="preserve"> </w:t>
            </w:r>
            <w:r>
              <w:rPr>
                <w:sz w:val="24"/>
                <w:szCs w:val="24"/>
                <w:lang w:val="hy-AM"/>
              </w:rPr>
              <w:t>իրավական ակտերում փոփոխություններ և/կամ լրացումներ կատարելու անհրաժեշտության մասով։</w:t>
            </w:r>
          </w:p>
          <w:p>
            <w:pPr>
              <w:pStyle w:val="TableContents"/>
              <w:numPr>
                <w:ilvl w:val="0"/>
                <w:numId w:val="2"/>
              </w:numPr>
              <w:spacing w:lineRule="auto" w:line="360"/>
              <w:ind w:firstLine="630" w:left="0"/>
              <w:jc w:val="both"/>
              <w:rPr>
                <w:sz w:val="24"/>
                <w:szCs w:val="24"/>
              </w:rPr>
            </w:pPr>
            <w:r>
              <w:rPr>
                <w:sz w:val="24"/>
                <w:szCs w:val="24"/>
                <w:lang w:val="hy-AM"/>
              </w:rPr>
              <w:t xml:space="preserve">     </w:t>
            </w:r>
            <w:r>
              <w:rPr>
                <w:rFonts w:cs="Sylfaen"/>
                <w:sz w:val="24"/>
                <w:szCs w:val="24"/>
                <w:lang w:val="hy-AM"/>
              </w:rPr>
              <w:t xml:space="preserve"> </w:t>
            </w:r>
            <w:r>
              <w:rPr>
                <w:rFonts w:cs="Sylfaen"/>
                <w:sz w:val="24"/>
                <w:szCs w:val="24"/>
                <w:lang w:val="hy-AM"/>
              </w:rPr>
              <w:tab/>
              <w:t>Ամփոփելով վերոգրյալը՝ գտնում ենք, որ Նախագիծն ու Հիմնավորումն ունեն վերանայման անհրաժեշտություն:</w:t>
            </w:r>
          </w:p>
          <w:p>
            <w:pPr>
              <w:pStyle w:val="TableContents"/>
              <w:numPr>
                <w:ilvl w:val="0"/>
                <w:numId w:val="2"/>
              </w:numPr>
              <w:spacing w:lineRule="auto" w:line="360"/>
              <w:ind w:firstLine="630" w:left="0"/>
              <w:jc w:val="both"/>
              <w:rPr>
                <w:sz w:val="24"/>
                <w:szCs w:val="24"/>
              </w:rPr>
            </w:pPr>
            <w:r>
              <w:rPr>
                <w:rFonts w:cs="Sylfaen"/>
                <w:sz w:val="24"/>
                <w:szCs w:val="24"/>
                <w:lang w:val="hy-AM"/>
              </w:rPr>
              <w:t xml:space="preserve">       </w:t>
            </w:r>
            <w:r>
              <w:rPr>
                <w:rFonts w:cs="Sylfaen"/>
                <w:sz w:val="24"/>
                <w:szCs w:val="24"/>
                <w:lang w:val="hy-AM"/>
              </w:rPr>
              <w:tab/>
              <w:t>Միաժամանակ հայտնում ենք, որ Փաթեթի մյուս նախագծերի վերաբերյալ դիտողություններ և (կամ) առաջարկություններ չկան:</w:t>
            </w:r>
          </w:p>
        </w:tc>
        <w:tc>
          <w:tcPr>
            <w:tcW w:w="5034" w:type="dxa"/>
            <w:tcBorders>
              <w:left w:val="single" w:sz="4" w:space="0" w:color="000000"/>
              <w:bottom w:val="single" w:sz="4" w:space="0" w:color="000000"/>
              <w:right w:val="single" w:sz="4" w:space="0" w:color="000000"/>
            </w:tcBorders>
          </w:tcPr>
          <w:p>
            <w:pPr>
              <w:pStyle w:val="Normal"/>
              <w:shd w:val="clear" w:fill="FFFFFF"/>
              <w:spacing w:lineRule="auto" w:line="276" w:before="0" w:after="0"/>
              <w:ind w:hanging="0" w:left="0" w:right="0"/>
              <w:jc w:val="center"/>
              <w:rPr>
                <w:sz w:val="24"/>
                <w:szCs w:val="24"/>
              </w:rPr>
            </w:pPr>
            <w:r>
              <w:rPr>
                <w:sz w:val="24"/>
                <w:szCs w:val="24"/>
              </w:rPr>
            </w:r>
          </w:p>
          <w:p>
            <w:pPr>
              <w:pStyle w:val="Normal"/>
              <w:shd w:val="clear" w:fill="FFFFFF"/>
              <w:spacing w:lineRule="auto" w:line="276" w:before="0" w:after="0"/>
              <w:ind w:hanging="0" w:left="0" w:right="0"/>
              <w:jc w:val="center"/>
              <w:rPr>
                <w:sz w:val="24"/>
                <w:szCs w:val="24"/>
              </w:rPr>
            </w:pPr>
            <w:r>
              <w:rPr>
                <w:sz w:val="24"/>
                <w:szCs w:val="24"/>
              </w:rPr>
            </w:r>
          </w:p>
          <w:p>
            <w:pPr>
              <w:pStyle w:val="Normal"/>
              <w:shd w:val="clear" w:fill="FFFFFF"/>
              <w:spacing w:lineRule="auto" w:line="276" w:before="0" w:after="0"/>
              <w:ind w:hanging="0" w:left="0" w:right="0"/>
              <w:jc w:val="center"/>
              <w:rPr>
                <w:b/>
                <w:bCs/>
                <w:sz w:val="24"/>
                <w:szCs w:val="24"/>
              </w:rPr>
            </w:pPr>
            <w:r>
              <w:rPr>
                <w:b/>
                <w:bCs/>
                <w:sz w:val="24"/>
                <w:szCs w:val="24"/>
              </w:rPr>
              <w:t>1․ Ընդունվել և նախագծում կատարվել է համապատասխան փոփոխություն</w:t>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t>2․ Ընդունվել և նախագծում կատարվել է համապատասխան փոփոխություն</w:t>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t>3․ Ընդունվել և նախագծի փաթեթում ներառվել է նաև «Հանրային ծառայության մասին» օրենքի նախագիծը</w:t>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r>
          </w:p>
          <w:p>
            <w:pPr>
              <w:pStyle w:val="Normal"/>
              <w:shd w:val="clear" w:fill="FFFFFF"/>
              <w:spacing w:lineRule="auto" w:line="276" w:before="0" w:after="0"/>
              <w:ind w:hanging="0" w:left="0" w:right="0"/>
              <w:jc w:val="center"/>
              <w:rPr>
                <w:b/>
                <w:bCs/>
                <w:sz w:val="24"/>
                <w:szCs w:val="24"/>
              </w:rPr>
            </w:pPr>
            <w:r>
              <w:rPr>
                <w:b/>
                <w:bCs/>
                <w:sz w:val="24"/>
                <w:szCs w:val="24"/>
              </w:rPr>
              <w:t>4․ Ընդունվել է մասնակի</w:t>
            </w:r>
          </w:p>
          <w:p>
            <w:pPr>
              <w:pStyle w:val="Normal"/>
              <w:shd w:val="clear" w:fill="FFFFFF"/>
              <w:spacing w:lineRule="auto" w:line="276" w:before="0" w:after="0"/>
              <w:ind w:hanging="0" w:left="0" w:right="0"/>
              <w:jc w:val="both"/>
              <w:rPr>
                <w:b/>
                <w:bCs/>
                <w:sz w:val="24"/>
                <w:szCs w:val="24"/>
              </w:rPr>
            </w:pPr>
            <w:r>
              <w:rPr>
                <w:b w:val="false"/>
                <w:bCs w:val="false"/>
                <w:kern w:val="2"/>
                <w:sz w:val="24"/>
                <w:szCs w:val="24"/>
                <w:lang w:eastAsia="zh-CN" w:bidi="hi-IN"/>
              </w:rPr>
              <w:t>Պետիրավական նախարարական կոմիտեի 02․03․2026թ․ նիստի հիման վրա Նախագծերի փաթեթից հանվ</w:t>
            </w:r>
            <w:r>
              <w:rPr>
                <w:b w:val="false"/>
                <w:bCs w:val="false"/>
                <w:sz w:val="24"/>
                <w:szCs w:val="24"/>
              </w:rPr>
              <w:t>ել է «Պետական կենսաթոշակների մասին» օրենքի նախագիծը</w:t>
            </w:r>
            <w:r>
              <w:rPr>
                <w:b/>
                <w:bCs/>
                <w:sz w:val="24"/>
                <w:szCs w:val="24"/>
              </w:rPr>
              <w:t>։</w:t>
            </w:r>
          </w:p>
          <w:p>
            <w:pPr>
              <w:pStyle w:val="Normal"/>
              <w:spacing w:lineRule="auto" w:line="360"/>
              <w:ind w:hanging="0" w:left="0"/>
              <w:jc w:val="both"/>
              <w:rPr>
                <w:sz w:val="24"/>
                <w:szCs w:val="24"/>
              </w:rPr>
            </w:pPr>
            <w:r>
              <w:rPr>
                <w:rStyle w:val="StrongEmphasis"/>
                <w:rFonts w:eastAsia="Times New Roman" w:cs="Sylfaen"/>
                <w:b w:val="false"/>
                <w:bCs w:val="false"/>
                <w:i w:val="false"/>
                <w:iCs w:val="false"/>
                <w:color w:val="000000"/>
                <w:kern w:val="2"/>
                <w:sz w:val="24"/>
                <w:szCs w:val="24"/>
                <w:u w:val="none"/>
                <w:shd w:fill="auto" w:val="clear"/>
                <w:lang w:val="hy-AM" w:eastAsia="zh-CN" w:bidi="hi-IN"/>
              </w:rPr>
              <w:t>«Պետական պաշտոններ և պետական ծառայության պաշտոններ զբաղեցնող անձանց վարձատրության մասին» օրենքի 26-րդ հոդվածի վերաբերյալ ներկայացված դիտարկման մասով հայտնում ենք, որ վերջինիս հիման վրա ընդունված ՀՀ կառավարության 2012 թվականի դեկտեմբերի 27֊ի 1691֊Ն որոշման մեջ համապատասխան հիմնավորումների հիման վրա 27․12․2024 թվականի N 2090֊Ն որոշմամբ կատարվել է փոփոխություն, որի արդյունքում ԱՀԾ ծառայողները հանվել են սոցփաթեթի շահառուների ցանկից։ Միաժամանակ հաշվի առնելով, որ ՀՀ կառավարության 2012 թվականի դեկտեմբերի 27֊ի 1691֊Ն որոշման չտարածումը ԱՀԾ ծառայողների նկատմամբ պայմանավորված է ընթացակարգային կարգավորումներով, ուստի նախագծով նախատեսվում է սոցիալական փաթեթից ԱՀԾ ծառայողներին չզրկելու նպատակով այն հատկացնել վերջիններիս՝ նշված կառավարության որոշմամբ սահմանված մոտեցումներին համահունչ ընդունվելիք՝ Ծառայության պետի հրամանով սահմանվելիք առանձնահատկությունների  հաշվառմամբ։</w:t>
            </w:r>
          </w:p>
          <w:p>
            <w:pPr>
              <w:pStyle w:val="Normal"/>
              <w:spacing w:lineRule="auto" w:line="360"/>
              <w:ind w:hanging="0" w:left="0"/>
              <w:jc w:val="both"/>
              <w:rPr>
                <w:sz w:val="24"/>
                <w:szCs w:val="24"/>
              </w:rPr>
            </w:pPr>
            <w:r>
              <w:rPr>
                <w:sz w:val="24"/>
                <w:szCs w:val="24"/>
              </w:rPr>
            </w:r>
          </w:p>
          <w:p>
            <w:pPr>
              <w:pStyle w:val="Normal"/>
              <w:spacing w:lineRule="auto" w:line="360"/>
              <w:ind w:hanging="0" w:left="0"/>
              <w:jc w:val="center"/>
              <w:rPr>
                <w:sz w:val="24"/>
                <w:szCs w:val="24"/>
              </w:rPr>
            </w:pPr>
            <w:r>
              <w:rPr>
                <w:rStyle w:val="StrongEmphasis"/>
                <w:rFonts w:eastAsia="Times New Roman" w:cs="Sylfaen"/>
                <w:b/>
                <w:bCs/>
                <w:i w:val="false"/>
                <w:iCs w:val="false"/>
                <w:color w:val="000000"/>
                <w:kern w:val="2"/>
                <w:sz w:val="24"/>
                <w:szCs w:val="24"/>
                <w:u w:val="none"/>
                <w:shd w:fill="auto" w:val="clear"/>
                <w:lang w:val="hy-AM" w:eastAsia="zh-CN" w:bidi="hi-IN"/>
              </w:rPr>
              <w:t>5․ Ընդունվել է ի գիտություն</w:t>
            </w:r>
          </w:p>
          <w:p>
            <w:pPr>
              <w:pStyle w:val="Normal"/>
              <w:spacing w:lineRule="auto" w:line="360"/>
              <w:ind w:hanging="0" w:left="0"/>
              <w:jc w:val="both"/>
              <w:rPr>
                <w:sz w:val="24"/>
                <w:szCs w:val="24"/>
              </w:rPr>
            </w:pPr>
            <w:r>
              <w:rPr>
                <w:rStyle w:val="StrongEmphasis"/>
                <w:rFonts w:eastAsia="Times New Roman" w:cs="Sylfaen"/>
                <w:b w:val="false"/>
                <w:bCs w:val="false"/>
                <w:i w:val="false"/>
                <w:iCs w:val="false"/>
                <w:color w:val="000000"/>
                <w:kern w:val="2"/>
                <w:sz w:val="24"/>
                <w:szCs w:val="24"/>
                <w:u w:val="none"/>
                <w:shd w:fill="auto" w:val="clear"/>
                <w:lang w:val="hy-AM" w:eastAsia="zh-CN" w:bidi="hi-IN"/>
              </w:rPr>
              <w:t>Հաշվի առնելով, որ ՀՀ կառավարության 2021 թվականի փետրվարի 25֊ի N 252֊Լ որոշմամբ ՀՀ կառավարության քննարկմանը ներկայացվող նախագծի հիմնավորման մեջ նշված գլխի վերաբերյալ տեղեկատվության ներկայացման իմպերատիվ պահանջ նախատեսված չէ, բացի այդ նկատի ունենալով, որ օրենքի նախագծի փաթեթի ընդունման արդյունքում բացի մատնանշվածից նաև այլ իրավական ակտերում են փոփոխություններ և լրացումներ իրականացվելու՝ հիմնավորումից «Այլ իրավական ակտերում փոփոխություններ և/կամ լրացումների անհրաժեշտությունը» վերտառությամբ գլուխը հանվել է։</w:t>
            </w:r>
          </w:p>
          <w:p>
            <w:pPr>
              <w:pStyle w:val="Normal"/>
              <w:spacing w:lineRule="auto" w:line="360"/>
              <w:ind w:hanging="0" w:left="0"/>
              <w:jc w:val="both"/>
              <w:rPr>
                <w:rStyle w:val="StrongEmphasis"/>
                <w:rFonts w:eastAsia="Times New Roman" w:cs="Sylfaen"/>
                <w:b w:val="false"/>
                <w:bCs w:val="false"/>
                <w:i w:val="false"/>
                <w:i w:val="false"/>
                <w:iCs w:val="false"/>
                <w:color w:val="000000"/>
                <w:kern w:val="2"/>
                <w:u w:val="none"/>
                <w:shd w:fill="auto" w:val="clear"/>
                <w:lang w:val="hy-AM" w:eastAsia="zh-CN" w:bidi="hi-IN"/>
              </w:rPr>
            </w:pPr>
            <w:r>
              <w:rPr>
                <w:rFonts w:eastAsia="Times New Roman" w:cs="Sylfaen"/>
                <w:b w:val="false"/>
                <w:bCs w:val="false"/>
                <w:i w:val="false"/>
                <w:iCs w:val="false"/>
                <w:color w:val="000000"/>
                <w:kern w:val="2"/>
                <w:u w:val="none"/>
                <w:shd w:fill="auto" w:val="clear"/>
                <w:lang w:val="hy-AM" w:eastAsia="zh-CN" w:bidi="hi-IN"/>
              </w:rPr>
            </w:r>
          </w:p>
          <w:p>
            <w:pPr>
              <w:pStyle w:val="Normal"/>
              <w:spacing w:lineRule="auto" w:line="360"/>
              <w:ind w:hanging="0" w:left="0"/>
              <w:jc w:val="both"/>
              <w:rPr>
                <w:rStyle w:val="StrongEmphasis"/>
                <w:rFonts w:eastAsia="Times New Roman" w:cs="Sylfaen"/>
                <w:b w:val="false"/>
                <w:bCs w:val="false"/>
                <w:i w:val="false"/>
                <w:i w:val="false"/>
                <w:iCs w:val="false"/>
                <w:color w:val="000000"/>
                <w:kern w:val="2"/>
                <w:u w:val="none"/>
                <w:shd w:fill="auto" w:val="clear"/>
                <w:lang w:val="hy-AM" w:eastAsia="zh-CN" w:bidi="hi-IN"/>
              </w:rPr>
            </w:pPr>
            <w:r>
              <w:rPr>
                <w:rFonts w:eastAsia="Times New Roman" w:cs="Sylfaen"/>
                <w:b w:val="false"/>
                <w:bCs w:val="false"/>
                <w:i w:val="false"/>
                <w:iCs w:val="false"/>
                <w:color w:val="000000"/>
                <w:kern w:val="2"/>
                <w:u w:val="none"/>
                <w:shd w:fill="auto" w:val="clear"/>
                <w:lang w:val="hy-AM" w:eastAsia="zh-CN" w:bidi="hi-IN"/>
              </w:rPr>
            </w:r>
          </w:p>
        </w:tc>
      </w:tr>
    </w:tbl>
    <w:p>
      <w:pPr>
        <w:pStyle w:val="Normal"/>
        <w:bidi w:val="0"/>
        <w:spacing w:lineRule="auto" w:line="276" w:before="0" w:after="0"/>
        <w:jc w:val="left"/>
        <w:rPr>
          <w:rFonts w:ascii="GHEA Grapalat" w:hAnsi="GHEA Grapalat"/>
          <w:sz w:val="24"/>
          <w:szCs w:val="24"/>
        </w:rPr>
      </w:pPr>
      <w:r>
        <w:rPr>
          <w:sz w:val="24"/>
          <w:szCs w:val="24"/>
        </w:rPr>
      </w:r>
    </w:p>
    <w:sectPr>
      <w:type w:val="nextPage"/>
      <w:pgSz w:orient="landscape" w:w="16838" w:h="11906"/>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GHEA Grapalat">
    <w:charset w:val="01"/>
    <w:family w:val="roman"/>
    <w:pitch w:val="variable"/>
  </w:font>
  <w:font w:name="Arial">
    <w:charset w:val="01"/>
    <w:family w:val="roman"/>
    <w:pitch w:val="variable"/>
  </w:font>
  <w:font w:name="Times New Roman">
    <w:charset w:val="01"/>
    <w:family w:val="roman"/>
    <w:pitch w:val="variable"/>
  </w:font>
  <w:font w:name="ArTarumianTimes">
    <w:charset w:val="01"/>
    <w:family w:val="roman"/>
    <w:pitch w:val="variable"/>
  </w:font>
  <w:font w:name="Calibri">
    <w:charset w:val="01"/>
    <w:family w:val="roman"/>
    <w:pitch w:val="variable"/>
  </w:font>
  <w:font w:name="Cambria Math">
    <w:charset w:val="01"/>
    <w:family w:val="roman"/>
    <w:pitch w:val="variable"/>
  </w:font>
  <w:font w:name="Sylfaen">
    <w:charset w:val="01"/>
    <w:family w:val="roman"/>
    <w:pitch w:val="variable"/>
  </w:font>
  <w:font w:name="Courier New">
    <w:charset w:val="01"/>
    <w:family w:val="modern"/>
    <w:pitch w:val="fixed"/>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HEA Grapalat" w:hAnsi="GHEA Grapalat" w:eastAsia="Noto Serif CJK SC" w:cs="Lohit Devanagari"/>
        <w:kern w:val="2"/>
        <w:sz w:val="22"/>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GHEA Grapalat" w:hAnsi="GHEA Grapalat" w:eastAsia="Noto Serif CJK SC" w:cs="Lohit Devanagari"/>
      <w:color w:val="auto"/>
      <w:kern w:val="2"/>
      <w:sz w:val="22"/>
      <w:szCs w:val="24"/>
      <w:lang w:val="en-US" w:eastAsia="zh-CN" w:bidi="hi-IN"/>
    </w:rPr>
  </w:style>
  <w:style w:type="character" w:styleId="StrongEmphasis">
    <w:name w:val="Strong Emphasis"/>
    <w:qFormat/>
    <w:rPr>
      <w:b/>
      <w:bCs/>
    </w:rPr>
  </w:style>
  <w:style w:type="character" w:styleId="StrongEmphasisWW">
    <w:name w:val="Strong Emphasis (WW)"/>
    <w:qFormat/>
    <w:rPr>
      <w:b/>
      <w:bCs/>
    </w:rPr>
  </w:style>
  <w:style w:type="character" w:styleId="DefaultParagraphFont">
    <w:name w:val="Default Paragraph Font"/>
    <w:qFormat/>
    <w:rPr/>
  </w:style>
  <w:style w:type="character" w:styleId="Heading1Char">
    <w:name w:val="Heading 1 Char"/>
    <w:basedOn w:val="DefaultParagraphFont"/>
    <w:qFormat/>
    <w:rPr>
      <w:rFonts w:ascii="Arial" w:hAnsi="Arial" w:eastAsia="Times New Roman" w:cs="Arial"/>
      <w:b/>
      <w:bCs/>
      <w:kern w:val="2"/>
      <w:sz w:val="32"/>
      <w:szCs w:val="32"/>
    </w:rPr>
  </w:style>
  <w:style w:type="character" w:styleId="StrongEmphasisWWWW">
    <w:name w:val="Strong Emphasis (WW) (WW)"/>
    <w:qFormat/>
    <w:rPr>
      <w:b/>
      <w:bCs/>
    </w:rPr>
  </w:style>
  <w:style w:type="character" w:styleId="Strong">
    <w:name w:val="Strong"/>
    <w:basedOn w:val="DefaultParagraphFont"/>
    <w:qFormat/>
    <w:rPr>
      <w:b/>
      <w:bCs/>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GHEA Grapalat" w:hAnsi="GHEA Grapalat" w:eastAsia="Noto Sans CJK SC" w:cs="Lohit Devanagari"/>
      <w:sz w:val="24"/>
      <w:szCs w:val="28"/>
    </w:rPr>
  </w:style>
  <w:style w:type="paragraph" w:styleId="BodyText">
    <w:name w:val="Body Text"/>
    <w:basedOn w:val="Normal"/>
    <w:pPr>
      <w:spacing w:lineRule="auto" w:line="276" w:before="0" w:after="140"/>
    </w:pPr>
    <w:rPr/>
  </w:style>
  <w:style w:type="paragraph" w:styleId="List">
    <w:name w:val="List"/>
    <w:basedOn w:val="BodyText"/>
    <w:pPr/>
    <w:rPr>
      <w:rFonts w:ascii="GHEA Grapalat" w:hAnsi="GHEA Grapalat" w:cs="Lohit Devanagari"/>
    </w:rPr>
  </w:style>
  <w:style w:type="paragraph" w:styleId="Caption">
    <w:name w:val="Caption"/>
    <w:basedOn w:val="Normal"/>
    <w:qFormat/>
    <w:pPr>
      <w:suppressLineNumbers/>
      <w:spacing w:before="120" w:after="120"/>
    </w:pPr>
    <w:rPr>
      <w:rFonts w:ascii="GHEA Grapalat" w:hAnsi="GHEA Grapalat" w:cs="Lohit Devanagari"/>
      <w:i/>
      <w:iCs/>
      <w:sz w:val="22"/>
      <w:szCs w:val="24"/>
    </w:rPr>
  </w:style>
  <w:style w:type="paragraph" w:styleId="Index">
    <w:name w:val="Index"/>
    <w:basedOn w:val="Normal"/>
    <w:qFormat/>
    <w:pPr>
      <w:suppressLineNumbers/>
    </w:pPr>
    <w:rPr>
      <w:rFonts w:ascii="GHEA Grapalat" w:hAnsi="GHEA Grapalat" w:cs="Lohit Devanagari"/>
      <w:sz w:val="21"/>
    </w:rPr>
  </w:style>
  <w:style w:type="paragraph" w:styleId="TableContents">
    <w:name w:val="Table Contents"/>
    <w:basedOn w:val="Normal"/>
    <w:qFormat/>
    <w:pPr>
      <w:widowControl w:val="false"/>
      <w:suppressLineNumbers/>
    </w:pPr>
    <w:rPr/>
  </w:style>
  <w:style w:type="paragraph" w:styleId="NormalWeb">
    <w:name w:val="Normal (Web)"/>
    <w:basedOn w:val="Normal"/>
    <w:qFormat/>
    <w:pPr>
      <w:spacing w:lineRule="auto" w:line="240" w:before="280" w:after="280"/>
    </w:pPr>
    <w:rPr>
      <w:rFonts w:ascii="Times New Roman" w:hAnsi="Times New Roman" w:eastAsia="Times New Roman"/>
      <w:sz w:val="24"/>
      <w:szCs w:val="24"/>
      <w:lang w:val="en-US"/>
    </w:rPr>
  </w:style>
  <w:style w:type="paragraph" w:styleId="ListParagraph">
    <w:name w:val="List Paragraph"/>
    <w:basedOn w:val="Normal"/>
    <w:qFormat/>
    <w:pPr>
      <w:suppressAutoHyphens w:val="false"/>
      <w:spacing w:lineRule="auto" w:line="240" w:before="360" w:after="240"/>
      <w:ind w:hanging="576" w:left="720"/>
      <w:contextualSpacing/>
    </w:pPr>
    <w:rPr>
      <w:rFonts w:cs="Times New Roman"/>
      <w:color w:val="auto"/>
      <w:lang w:val="hy-AM"/>
    </w:rPr>
  </w:style>
  <w:style w:type="paragraph" w:styleId="TableHeading">
    <w:name w:val="Table Heading"/>
    <w:basedOn w:val="TableContents"/>
    <w:qFormat/>
    <w:pPr>
      <w:suppressLineNumbers/>
      <w:jc w:val="center"/>
    </w:pPr>
    <w:rPr>
      <w:b/>
      <w:bCs/>
    </w:rPr>
  </w:style>
  <w:style w:type="paragraph" w:styleId="voroshmanbody">
    <w:name w:val="voroshman body"/>
    <w:basedOn w:val="Normal"/>
    <w:qFormat/>
    <w:pPr>
      <w:spacing w:lineRule="auto" w:line="360" w:before="0" w:after="0"/>
      <w:ind w:firstLine="397"/>
      <w:jc w:val="both"/>
    </w:pPr>
    <w:rPr>
      <w:rFonts w:ascii="ArTarumianTimes" w:hAnsi="ArTarumianTimes" w:eastAsia="Times New Roman"/>
      <w:kern w:val="2"/>
      <w:sz w:val="24"/>
      <w:szCs w:val="24"/>
      <w:lang w:val="af-ZA" w:eastAsia="ru-RU"/>
    </w:rPr>
  </w:style>
  <w:style w:type="paragraph" w:styleId="Comment">
    <w:name w:val="Comment"/>
    <w:basedOn w:val="Normal"/>
    <w:qFormat/>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old.arlis.am/DocumentView.aspx?docid=206896"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359</TotalTime>
  <Application>LibreOffice/24.2.7.2$Linux_X86_64 LibreOffice_project/420$Build-2</Application>
  <AppVersion>15.0000</AppVersion>
  <Pages>73</Pages>
  <Words>12196</Words>
  <Characters>89629</Characters>
  <CharactersWithSpaces>101738</CharactersWithSpaces>
  <Paragraphs>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2025-10-06T10:14:14Z</dcterms:created>
  <dc:creator/>
  <dc:description/>
  <dc:language>en-US</dc:language>
  <cp:lastModifiedBy/>
  <cp:lastPrinted>2026-03-06T10:56:55Z</cp:lastPrinted>
  <dcterms:modified xsi:type="dcterms:W3CDTF">2026-03-06T11:37:33Z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file>