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right"/>
        <w:rPr>
          <w:rFonts w:ascii="GHEA Grapalat" w:hAnsi="GHEA Grapalat"/>
        </w:rPr>
      </w:pPr>
      <w:r>
        <w:rPr>
          <w:rFonts w:ascii="GHEA Grapalat" w:hAnsi="GHEA Grapalat"/>
          <w:b/>
          <w:bCs/>
          <w:sz w:val="24"/>
          <w:szCs w:val="24"/>
        </w:rPr>
        <w:t>ՆԱԽԱԳԻԾ</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rPr>
      </w:pPr>
      <w:r>
        <w:rPr>
          <w:rFonts w:ascii="GHEA Grapalat" w:hAnsi="GHEA Grapalat"/>
          <w:b/>
          <w:bCs/>
          <w:sz w:val="24"/>
          <w:szCs w:val="24"/>
        </w:rPr>
        <w:t xml:space="preserve">ՀԱՅԱՍՏԱՆԻ ՀԱՆՐԱՊԵՏՈՒԹՅԱՆ </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rPr>
      </w:pPr>
      <w:r>
        <w:rPr>
          <w:rFonts w:ascii="GHEA Grapalat" w:hAnsi="GHEA Grapalat"/>
          <w:b/>
          <w:bCs/>
          <w:sz w:val="24"/>
          <w:szCs w:val="24"/>
        </w:rPr>
        <w:t>ՕՐԵՆՔԸ</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rPr>
      </w:pPr>
      <w:r>
        <w:rPr>
          <w:rFonts w:ascii="GHEA Grapalat" w:hAnsi="GHEA Grapalat"/>
          <w:b/>
          <w:bCs/>
          <w:sz w:val="24"/>
          <w:szCs w:val="24"/>
        </w:rPr>
        <w:t>«ՕՊԵՐԱՏԻՎ֊ՀԵՏԱԽՈՒԶԱԿԱՆ ԳՈՐԾՈՒՆԵՈՒԹՅԱՆ ՄԱՍԻՆ» ՕՐԵՆՔՈՒՄ ԼՐԱՑՈՒՄՆԵՐ ԵՎ ՓՈՓՈԽՈՒԹՅՈՒՆՆԵՐ ԿԱՏԱՐԵԼՈՒ ՄԱՍԻՆ</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rPr>
      </w:pPr>
      <w:r>
        <w:rPr>
          <w:rFonts w:ascii="GHEA Grapalat" w:hAnsi="GHEA Grapalat"/>
          <w:b/>
          <w:bCs/>
          <w:sz w:val="24"/>
          <w:szCs w:val="24"/>
        </w:rPr>
        <w:t xml:space="preserve">Հոդված 1․ </w:t>
      </w:r>
      <w:r>
        <w:rPr>
          <w:rFonts w:ascii="GHEA Grapalat" w:hAnsi="GHEA Grapalat"/>
          <w:b w:val="false"/>
          <w:bCs w:val="false"/>
          <w:sz w:val="24"/>
          <w:szCs w:val="24"/>
        </w:rPr>
        <w:t>«Օպերատիվ֊հետախուզական գործունեության մասին» 2007 թվականի հոկտեմբերի 22֊ի ՀՕ֊223֊Ն օրենքի (այսուհետ՝ Օրենք) 9֊րդ հոդվածում՝</w:t>
      </w:r>
    </w:p>
    <w:p>
      <w:pPr>
        <w:pStyle w:val="Normal"/>
        <w:bidi w:val="0"/>
        <w:jc w:val="both"/>
        <w:rPr>
          <w:rFonts w:ascii="GHEA Grapalat" w:hAnsi="GHEA Grapalat"/>
        </w:rPr>
      </w:pPr>
      <w:r>
        <w:rPr>
          <w:rFonts w:ascii="GHEA Grapalat" w:hAnsi="GHEA Grapalat"/>
          <w:b w:val="false"/>
          <w:bCs w:val="false"/>
          <w:sz w:val="24"/>
          <w:szCs w:val="24"/>
        </w:rPr>
        <w:t>1) վերնագիրը շարադրել հետևյալ խմբագրությամբ</w:t>
      </w:r>
    </w:p>
    <w:p>
      <w:pPr>
        <w:pStyle w:val="Normal"/>
        <w:bidi w:val="0"/>
        <w:jc w:val="both"/>
        <w:rPr>
          <w:rFonts w:ascii="GHEA Grapalat" w:hAnsi="GHEA Grapalat"/>
        </w:rPr>
      </w:pPr>
      <w:r>
        <w:rPr>
          <w:rFonts w:ascii="GHEA Grapalat" w:hAnsi="GHEA Grapalat"/>
          <w:b/>
          <w:bCs/>
          <w:sz w:val="24"/>
          <w:szCs w:val="24"/>
          <w:shd w:fill="auto" w:val="clear"/>
        </w:rPr>
        <w:t>«Հոդված 9․ Հայաստանի Հանրապետության ազգային անվտանգության ծառայության և Հայաստանի Հանրապետության արտաքին հետախուզության ծառայության համակարգերում գործող օպերատիվ֊տեխնիկական ստորաբաժանումները»</w:t>
      </w:r>
    </w:p>
    <w:p>
      <w:pPr>
        <w:pStyle w:val="Normal"/>
        <w:bidi w:val="0"/>
        <w:jc w:val="both"/>
        <w:rPr>
          <w:rFonts w:ascii="GHEA Grapalat" w:hAnsi="GHEA Grapalat"/>
          <w:b/>
          <w:bCs/>
          <w:sz w:val="24"/>
          <w:szCs w:val="24"/>
          <w:shd w:fill="auto" w:val="clear"/>
        </w:rPr>
      </w:pPr>
      <w:r>
        <w:rPr>
          <w:rFonts w:ascii="GHEA Grapalat" w:hAnsi="GHEA Grapalat"/>
          <w:b/>
          <w:bCs/>
          <w:sz w:val="24"/>
          <w:szCs w:val="24"/>
          <w:shd w:fill="auto" w:val="clear"/>
        </w:rPr>
      </w:r>
    </w:p>
    <w:p>
      <w:pPr>
        <w:pStyle w:val="Normal"/>
        <w:bidi w:val="0"/>
        <w:jc w:val="both"/>
        <w:rPr>
          <w:rFonts w:ascii="GHEA Grapalat" w:hAnsi="GHEA Grapalat"/>
        </w:rPr>
      </w:pPr>
      <w:r>
        <w:rPr>
          <w:rFonts w:ascii="GHEA Grapalat" w:hAnsi="GHEA Grapalat"/>
          <w:b w:val="false"/>
          <w:bCs w:val="false"/>
          <w:sz w:val="24"/>
          <w:szCs w:val="24"/>
        </w:rPr>
        <w:t>2)</w:t>
      </w:r>
      <w:r>
        <w:rPr>
          <w:rFonts w:ascii="GHEA Grapalat" w:hAnsi="GHEA Grapalat"/>
          <w:b/>
          <w:bCs/>
          <w:sz w:val="24"/>
          <w:szCs w:val="24"/>
        </w:rPr>
        <w:t xml:space="preserve"> </w:t>
      </w:r>
      <w:r>
        <w:rPr>
          <w:rFonts w:ascii="GHEA Grapalat" w:hAnsi="GHEA Grapalat"/>
          <w:b w:val="false"/>
          <w:bCs w:val="false"/>
          <w:sz w:val="24"/>
          <w:szCs w:val="24"/>
        </w:rPr>
        <w:t>1֊ին մասը շարադրել հետևյալ խմբագրությամբ․</w:t>
      </w:r>
    </w:p>
    <w:p>
      <w:pPr>
        <w:pStyle w:val="Normal"/>
        <w:bidi w:val="0"/>
        <w:jc w:val="both"/>
        <w:rPr>
          <w:rFonts w:ascii="GHEA Grapalat" w:hAnsi="GHEA Grapalat"/>
        </w:rPr>
      </w:pPr>
      <w:r>
        <w:rPr>
          <w:rFonts w:ascii="GHEA Grapalat" w:hAnsi="GHEA Grapalat"/>
          <w:b w:val="false"/>
          <w:bCs w:val="false"/>
          <w:sz w:val="24"/>
          <w:szCs w:val="24"/>
        </w:rPr>
        <w:t xml:space="preserve">«1․ Սույն օրենքով նախատեսված թվային, այդ թվում՝ հեռախոսային հաղորդակցության վերահսկում օպերատիվ֊հետախուզական միջոցառման անցկացումն ապահովում են Հայաստանի Հանրապետության ազգային անվտանգության հանրապետական մարմնի համակարգում գործող օպերատիվ֊տեխնիկական գլխավոր վարչությունը (այսուհետ՝ Գլխավոր վարչություն) այդ օպերատիվ֊հետախուզական միջոցառումն իրականացնելու իրավասություն ունեցող մարմինների միջնորդության հիման վրա՝ սույն օրենքով սահմանված կարգով, ինչպես նաև՝ </w:t>
      </w:r>
      <w:r>
        <w:rPr>
          <w:rFonts w:ascii="GHEA Grapalat" w:hAnsi="GHEA Grapalat"/>
          <w:b w:val="false"/>
          <w:bCs w:val="false"/>
          <w:sz w:val="24"/>
          <w:szCs w:val="24"/>
          <w:shd w:fill="auto" w:val="clear"/>
        </w:rPr>
        <w:t xml:space="preserve">ՀՀ արտաքին հետախուզության ծառայության օպերատիվ֊տեխնիկական միջոցառումն իրականացնող ստորաբաժանումը՝ ՀՀ արտաքին հետախուզության ծառայության տվյալ օպերատիվ֊հետախուզական միջոցառումն իրականացնող ստորաբաժանումների նախաձեռնությամբ։ ՀՀ արտաքին հետախուզության ծառայության համակարգում գործող օպերատիվ֊տեխնիկական </w:t>
      </w:r>
      <w:r>
        <w:rPr>
          <w:rFonts w:ascii="GHEA Grapalat" w:hAnsi="GHEA Grapalat"/>
          <w:b w:val="false"/>
          <w:bCs w:val="false"/>
          <w:sz w:val="24"/>
          <w:szCs w:val="24"/>
        </w:rPr>
        <w:t>միջոցառումն իրականացնող ստորաբաժանումն ապահովում է միայն ՀՀ արտաքին հետախուզության ծառայության տվյալ օպերատիվ֊հետախուզական միջոցառումն իրականացնող ստորաբաժանումների նախաձեռնությամբ  իրականացվող թվային, այդ թվում՝ հեռախոսային հաղորդակցության վերահսկում օպերատիվ֊հետախուզական միջոցառման անցկացումը՝ սույն օրենքով սահմանված կարգով։»։</w:t>
      </w:r>
    </w:p>
    <w:p>
      <w:pPr>
        <w:pStyle w:val="Normal"/>
        <w:bidi w:val="0"/>
        <w:jc w:val="both"/>
        <w:rPr>
          <w:rFonts w:ascii="GHEA Grapalat" w:hAnsi="GHEA Grapalat"/>
        </w:rPr>
      </w:pPr>
      <w:r>
        <w:rPr>
          <w:rFonts w:ascii="GHEA Grapalat" w:hAnsi="GHEA Grapalat"/>
          <w:b/>
          <w:bCs/>
          <w:sz w:val="24"/>
          <w:szCs w:val="24"/>
          <w:shd w:fill="auto" w:val="clear"/>
        </w:rPr>
        <w:t xml:space="preserve">3) </w:t>
      </w:r>
      <w:r>
        <w:rPr>
          <w:rFonts w:ascii="GHEA Grapalat" w:hAnsi="GHEA Grapalat"/>
          <w:b w:val="false"/>
          <w:bCs w:val="false"/>
          <w:sz w:val="24"/>
          <w:szCs w:val="24"/>
          <w:shd w:fill="auto" w:val="clear"/>
        </w:rPr>
        <w:t>լրացնել նոր 2․1 մասով․</w:t>
      </w:r>
    </w:p>
    <w:p>
      <w:pPr>
        <w:pStyle w:val="Normal"/>
        <w:bidi w:val="0"/>
        <w:jc w:val="both"/>
        <w:rPr>
          <w:rFonts w:ascii="GHEA Grapalat" w:hAnsi="GHEA Grapalat"/>
        </w:rPr>
      </w:pPr>
      <w:r>
        <w:rPr>
          <w:rFonts w:ascii="GHEA Grapalat" w:hAnsi="GHEA Grapalat"/>
          <w:b w:val="false"/>
          <w:bCs w:val="false"/>
          <w:sz w:val="24"/>
          <w:szCs w:val="24"/>
          <w:shd w:fill="auto" w:val="clear"/>
        </w:rPr>
        <w:t>«2․1․ՀՀ արտաքին հետախուզության ծառայության օպերատիվ֊տեխնիկական միջոցառումն իրականացնող ստորաբաժանման ղեկավարումն իրականացնում է ՀՀ արտաքին հետախուզության ծառայության պետը, իսկ անմիջական ղեկավարումը՝ ստորաբաժանման ղեկավարը, որին պաշտոնի նշանակում և պաշտոնից ազատում է Հայաստանի Հանրապետության վարչապետը՝ Հայաստանի Հանրապետության արտաքին հետախուզության ծառայության պետի ներկայացմամբ։»։</w:t>
      </w:r>
    </w:p>
    <w:p>
      <w:pPr>
        <w:pStyle w:val="Normal"/>
        <w:bidi w:val="0"/>
        <w:jc w:val="both"/>
        <w:rPr>
          <w:rFonts w:ascii="GHEA Grapalat" w:hAnsi="GHEA Grapalat"/>
        </w:rPr>
      </w:pPr>
      <w:r>
        <w:rPr>
          <w:rFonts w:ascii="GHEA Grapalat" w:hAnsi="GHEA Grapalat"/>
          <w:b/>
          <w:bCs/>
          <w:sz w:val="24"/>
          <w:szCs w:val="24"/>
          <w:shd w:fill="auto" w:val="clear"/>
        </w:rPr>
        <w:t xml:space="preserve">4) </w:t>
      </w:r>
      <w:r>
        <w:rPr>
          <w:rFonts w:ascii="GHEA Grapalat" w:hAnsi="GHEA Grapalat"/>
          <w:b w:val="false"/>
          <w:bCs w:val="false"/>
          <w:sz w:val="24"/>
          <w:szCs w:val="24"/>
          <w:shd w:fill="auto" w:val="clear"/>
        </w:rPr>
        <w:t>4֊րդ մասում «սույն օրենքով լիազորված մարմինների» բառերից հետո լրացնել «(բացառությամբ ՀՀ արտաքին հետախուզության ծառայության)» բառերով․</w:t>
      </w:r>
    </w:p>
    <w:p>
      <w:pPr>
        <w:pStyle w:val="Normal"/>
        <w:bidi w:val="0"/>
        <w:jc w:val="both"/>
        <w:rPr>
          <w:rFonts w:ascii="GHEA Grapalat" w:hAnsi="GHEA Grapalat"/>
        </w:rPr>
      </w:pPr>
      <w:r>
        <w:rPr>
          <w:rFonts w:ascii="GHEA Grapalat" w:hAnsi="GHEA Grapalat"/>
          <w:b/>
          <w:bCs/>
          <w:sz w:val="24"/>
          <w:szCs w:val="24"/>
          <w:shd w:fill="auto" w:val="clear"/>
        </w:rPr>
        <w:t xml:space="preserve">5) </w:t>
      </w:r>
      <w:r>
        <w:rPr>
          <w:rFonts w:ascii="GHEA Grapalat" w:hAnsi="GHEA Grapalat"/>
          <w:b w:val="false"/>
          <w:bCs w:val="false"/>
          <w:sz w:val="24"/>
          <w:szCs w:val="24"/>
          <w:shd w:fill="auto" w:val="clear"/>
        </w:rPr>
        <w:t>լրացնել նոր 5֊րդ մասով․</w:t>
      </w:r>
    </w:p>
    <w:p>
      <w:pPr>
        <w:pStyle w:val="Normal"/>
        <w:bidi w:val="0"/>
        <w:jc w:val="both"/>
        <w:rPr>
          <w:rFonts w:ascii="GHEA Grapalat" w:hAnsi="GHEA Grapalat"/>
        </w:rPr>
      </w:pPr>
      <w:r>
        <w:rPr>
          <w:rFonts w:ascii="GHEA Grapalat" w:hAnsi="GHEA Grapalat"/>
          <w:b/>
          <w:bCs/>
          <w:sz w:val="24"/>
          <w:szCs w:val="24"/>
        </w:rPr>
        <w:t>«</w:t>
      </w:r>
      <w:r>
        <w:rPr>
          <w:rFonts w:ascii="GHEA Grapalat" w:hAnsi="GHEA Grapalat"/>
          <w:b/>
          <w:bCs/>
          <w:sz w:val="24"/>
          <w:szCs w:val="24"/>
          <w:shd w:fill="auto" w:val="clear"/>
        </w:rPr>
        <w:t xml:space="preserve">5․ </w:t>
      </w:r>
      <w:r>
        <w:rPr>
          <w:rFonts w:ascii="GHEA Grapalat" w:hAnsi="GHEA Grapalat"/>
          <w:b w:val="false"/>
          <w:bCs w:val="false"/>
          <w:sz w:val="24"/>
          <w:szCs w:val="24"/>
          <w:shd w:fill="auto" w:val="clear"/>
        </w:rPr>
        <w:t>ՀՀ արտաքին հետախուզության ծառայության օպերատիվ֊տեխնիկական ստորաբաժանումը հեռահաղորդակցության օպերատորի մոտ ապահովում է համապատասխան օպերատիվ֊տեխնիկական անհրաժեշտ պայմաններ՝ թվային, այդ թվում՝ հեռախոսային հաղորդակցության վերահսկում օպերատիվ֊հետախուզական միջոցառումն իրականացնելու համար։»։</w:t>
      </w:r>
    </w:p>
    <w:p>
      <w:pPr>
        <w:pStyle w:val="Normal"/>
        <w:bidi w:val="0"/>
        <w:jc w:val="both"/>
        <w:rPr>
          <w:rFonts w:ascii="GHEA Grapalat" w:hAnsi="GHEA Grapalat"/>
          <w:b w:val="false"/>
          <w:bCs w:val="false"/>
          <w:shd w:fill="auto" w:val="clear"/>
        </w:rPr>
      </w:pPr>
      <w:r>
        <w:rPr>
          <w:rFonts w:ascii="GHEA Grapalat" w:hAnsi="GHEA Grapalat"/>
          <w:b w:val="false"/>
          <w:bCs w:val="false"/>
          <w:shd w:fill="auto" w:val="clear"/>
        </w:rPr>
      </w:r>
    </w:p>
    <w:p>
      <w:pPr>
        <w:pStyle w:val="Normal"/>
        <w:bidi w:val="0"/>
        <w:jc w:val="both"/>
        <w:rPr>
          <w:rFonts w:ascii="GHEA Grapalat" w:hAnsi="GHEA Grapalat"/>
        </w:rPr>
      </w:pPr>
      <w:r>
        <w:rPr>
          <w:rFonts w:ascii="GHEA Grapalat" w:hAnsi="GHEA Grapalat"/>
          <w:b/>
          <w:bCs/>
          <w:sz w:val="24"/>
          <w:szCs w:val="24"/>
          <w:shd w:fill="auto" w:val="clear"/>
        </w:rPr>
        <w:t xml:space="preserve">Հոդված 2․ </w:t>
      </w:r>
      <w:r>
        <w:rPr>
          <w:rFonts w:ascii="GHEA Grapalat" w:hAnsi="GHEA Grapalat"/>
          <w:b w:val="false"/>
          <w:bCs w:val="false"/>
          <w:sz w:val="24"/>
          <w:szCs w:val="24"/>
          <w:shd w:fill="auto" w:val="clear"/>
        </w:rPr>
        <w:t>Օրենքի 31֊րդ հոդվածի 1֊ին մասում «արտաքին հետախուզության ծառայության կամ» բառերը հանել։</w:t>
      </w:r>
    </w:p>
    <w:p>
      <w:pPr>
        <w:pStyle w:val="Normal"/>
        <w:bidi w:val="0"/>
        <w:jc w:val="both"/>
        <w:rPr>
          <w:rFonts w:ascii="GHEA Grapalat" w:hAnsi="GHEA Grapalat"/>
          <w:b w:val="false"/>
          <w:bCs w:val="false"/>
          <w:shd w:fill="auto" w:val="clear"/>
        </w:rPr>
      </w:pPr>
      <w:r>
        <w:rPr>
          <w:rFonts w:ascii="GHEA Grapalat" w:hAnsi="GHEA Grapalat"/>
          <w:b w:val="false"/>
          <w:bCs w:val="false"/>
          <w:shd w:fill="auto" w:val="clear"/>
        </w:rPr>
      </w:r>
    </w:p>
    <w:p>
      <w:pPr>
        <w:pStyle w:val="Normal"/>
        <w:bidi w:val="0"/>
        <w:jc w:val="both"/>
        <w:rPr>
          <w:rFonts w:ascii="GHEA Grapalat" w:hAnsi="GHEA Grapalat"/>
        </w:rPr>
      </w:pPr>
      <w:r>
        <w:rPr>
          <w:rFonts w:ascii="GHEA Grapalat" w:hAnsi="GHEA Grapalat"/>
          <w:b/>
          <w:bCs/>
          <w:sz w:val="24"/>
          <w:szCs w:val="24"/>
          <w:shd w:fill="auto" w:val="clear"/>
        </w:rPr>
        <w:t xml:space="preserve">Հոդված 3․ </w:t>
      </w:r>
      <w:r>
        <w:rPr>
          <w:rFonts w:ascii="GHEA Grapalat" w:hAnsi="GHEA Grapalat"/>
          <w:b w:val="false"/>
          <w:bCs w:val="false"/>
          <w:sz w:val="24"/>
          <w:szCs w:val="24"/>
          <w:shd w:fill="auto" w:val="clear"/>
        </w:rPr>
        <w:t>Օրենքի 32֊րդ հոդվածի`</w:t>
      </w:r>
    </w:p>
    <w:p>
      <w:pPr>
        <w:pStyle w:val="Normal"/>
        <w:bidi w:val="0"/>
        <w:jc w:val="both"/>
        <w:rPr>
          <w:rFonts w:ascii="GHEA Grapalat" w:hAnsi="GHEA Grapalat"/>
        </w:rPr>
      </w:pPr>
      <w:r>
        <w:rPr>
          <w:rFonts w:ascii="GHEA Grapalat" w:hAnsi="GHEA Grapalat"/>
          <w:b/>
          <w:bCs/>
          <w:sz w:val="24"/>
          <w:szCs w:val="24"/>
          <w:shd w:fill="auto" w:val="clear"/>
        </w:rPr>
        <w:t>«</w:t>
      </w:r>
      <w:r>
        <w:rPr>
          <w:rFonts w:ascii="GHEA Grapalat" w:hAnsi="GHEA Grapalat"/>
          <w:b w:val="false"/>
          <w:bCs w:val="false"/>
          <w:sz w:val="24"/>
          <w:szCs w:val="24"/>
          <w:shd w:fill="auto" w:val="clear"/>
        </w:rPr>
        <w:t>1) 1֊ին մասում «օպերատիվ֊հետախուզական միջոցառումն իրականացնելու իրավասություն ունեցող մարմինները» բառերից հետո լրացնել «(բացառությամբ ՀՀ արտաքին հետախուզության ծառայության)» բառերով։</w:t>
      </w:r>
    </w:p>
    <w:p>
      <w:pPr>
        <w:pStyle w:val="Normal"/>
        <w:bidi w:val="0"/>
        <w:jc w:val="both"/>
        <w:rPr>
          <w:rFonts w:ascii="GHEA Grapalat" w:hAnsi="GHEA Grapalat"/>
        </w:rPr>
      </w:pPr>
      <w:r>
        <w:rPr>
          <w:rFonts w:ascii="GHEA Grapalat" w:hAnsi="GHEA Grapalat"/>
          <w:b w:val="false"/>
          <w:bCs w:val="false"/>
          <w:sz w:val="24"/>
          <w:szCs w:val="24"/>
          <w:shd w:fill="auto" w:val="clear"/>
        </w:rPr>
        <w:t>2) լրացնել նոր 5֊7֊րդ մասեր․</w:t>
      </w:r>
    </w:p>
    <w:p>
      <w:pPr>
        <w:pStyle w:val="Normal"/>
        <w:bidi w:val="0"/>
        <w:jc w:val="both"/>
        <w:rPr>
          <w:rFonts w:ascii="GHEA Grapalat" w:hAnsi="GHEA Grapalat"/>
        </w:rPr>
      </w:pPr>
      <w:r>
        <w:rPr>
          <w:rFonts w:ascii="GHEA Grapalat" w:hAnsi="GHEA Grapalat"/>
          <w:b w:val="false"/>
          <w:bCs w:val="false"/>
          <w:sz w:val="24"/>
          <w:szCs w:val="24"/>
          <w:shd w:fill="auto" w:val="clear"/>
        </w:rPr>
        <w:t>«5․ ՀՀ արտաքին հետախուզության ծառայությունը թվային, այդ թվում՝ հեռախոսային հաղորդակցության վերահսկում օպերատիվ֊հետախուզական միջոցառումն իրականացնում է դատարանի թույլտվությամբ՝ սույն օրենքով սահմանված կարգով։</w:t>
      </w:r>
    </w:p>
    <w:p>
      <w:pPr>
        <w:pStyle w:val="Normal"/>
        <w:bidi w:val="0"/>
        <w:jc w:val="both"/>
        <w:rPr>
          <w:rFonts w:ascii="GHEA Grapalat" w:hAnsi="GHEA Grapalat"/>
        </w:rPr>
      </w:pPr>
      <w:r>
        <w:rPr>
          <w:rFonts w:ascii="GHEA Grapalat" w:hAnsi="GHEA Grapalat"/>
          <w:b w:val="false"/>
          <w:bCs w:val="false"/>
          <w:sz w:val="24"/>
          <w:szCs w:val="24"/>
          <w:shd w:fill="auto" w:val="clear"/>
        </w:rPr>
        <w:t>6․ Այն դեպքում, եթե թվային, այդ թվում՝ հեռախոսային հաղորդակցության վերահսկում օպերատիվ֊հետախուզական միջոցառման անցկացման հապաղումը կարող է հանգեցնել ահաբեկչության կատարման կամ վտանգել Հայաստանի Հանրապետության պետական, ռազմական կամ բնապահպանական անվտանգությունը, ՀՀ արտաքին հետախուզության ծառայության օպերատիվ֊հետախուզական ստորաբաժանումն իրականացնում է այդ օպերատիվ֊հետախուզական միջոցառումը՝ 48 ժամվա ընթացքում ապահովելով դրա իրականացումը թույլատրելու կամ չթույլատրելու մասին դատարանի որոշման քաղվածքի ներկայացումը՝ ՀՀ արտաքին հետախուզության ծառայության օպերատիվ֊տեխնիկական ստորաբաժանմանը։</w:t>
      </w:r>
    </w:p>
    <w:p>
      <w:pPr>
        <w:pStyle w:val="Normal"/>
        <w:bidi w:val="0"/>
        <w:jc w:val="both"/>
        <w:rPr>
          <w:rFonts w:ascii="GHEA Grapalat" w:hAnsi="GHEA Grapalat"/>
        </w:rPr>
      </w:pPr>
      <w:r>
        <w:rPr>
          <w:rFonts w:ascii="GHEA Grapalat" w:hAnsi="GHEA Grapalat"/>
          <w:b w:val="false"/>
          <w:bCs w:val="false"/>
          <w:sz w:val="24"/>
          <w:szCs w:val="24"/>
          <w:shd w:fill="auto" w:val="clear"/>
        </w:rPr>
        <w:t>7․ Սույն հոդվածի 6֊րդ մասով նախատեսված ժամկետում թվային, այդ թվում՝ հեռախոսային հաղորդակցության վերահսկում օպերատիվ֊հետախուզական միջոցառման իրականացումը թույլատրելու մասին դատարանի որոշման քաղվածքը չներկայացնելու կամ դրա իրականացումը չթույլատրելու մասին դատարանի որոշման քաղվածքը օպերատիվ֊տեխնիկական ստորաբաժանմանը ներկայացնելու դեպքում օպերատիվ֊հետախուզական միջոցառման անցկացումն անմիջապես դադարեցվում է, իսկ արդեն ձեռք բերված տեղեկությունները և նյութերը միջոցառումն իրականացնող ստորաբաժանման կողմից ենթակա են անհապաղ ոչնչացման։ Սույն մասով նախատեսված յուրաքանչյուր դեպքի վերաբերյալ ՀՀ արտաքին հետախուզության ծառայության օպերատիվ֊տեխնիկական ստորաբաժանման ղեկավարը զեկուցում է ՀՀ արտաքին հետախուզսության ծառայության պետին:»։</w:t>
      </w:r>
    </w:p>
    <w:p>
      <w:pPr>
        <w:pStyle w:val="Normal"/>
        <w:bidi w:val="0"/>
        <w:jc w:val="both"/>
        <w:rPr>
          <w:rFonts w:ascii="GHEA Grapalat" w:hAnsi="GHEA Grapalat"/>
          <w:b w:val="false"/>
          <w:bCs w:val="false"/>
        </w:rPr>
      </w:pPr>
      <w:r>
        <w:rPr>
          <w:rFonts w:ascii="GHEA Grapalat" w:hAnsi="GHEA Grapalat"/>
          <w:b w:val="false"/>
          <w:bCs w:val="false"/>
        </w:rPr>
      </w:r>
    </w:p>
    <w:p>
      <w:pPr>
        <w:pStyle w:val="Normal"/>
        <w:bidi w:val="0"/>
        <w:jc w:val="both"/>
        <w:rPr>
          <w:rFonts w:ascii="GHEA Grapalat" w:hAnsi="GHEA Grapalat"/>
        </w:rPr>
      </w:pPr>
      <w:r>
        <w:rPr>
          <w:rFonts w:ascii="GHEA Grapalat" w:hAnsi="GHEA Grapalat"/>
          <w:b/>
          <w:bCs/>
          <w:sz w:val="24"/>
          <w:szCs w:val="24"/>
          <w:shd w:fill="auto" w:val="clear"/>
        </w:rPr>
        <w:t>Հոդված 4․ Եզրափակիչ մաս</w:t>
      </w:r>
    </w:p>
    <w:p>
      <w:pPr>
        <w:pStyle w:val="Normal"/>
        <w:bidi w:val="0"/>
        <w:jc w:val="both"/>
        <w:rPr>
          <w:rFonts w:ascii="GHEA Grapalat" w:hAnsi="GHEA Grapalat"/>
        </w:rPr>
      </w:pPr>
      <w:r>
        <w:rPr>
          <w:rFonts w:ascii="GHEA Grapalat" w:hAnsi="GHEA Grapalat"/>
          <w:b w:val="false"/>
          <w:bCs w:val="false"/>
          <w:sz w:val="24"/>
          <w:szCs w:val="24"/>
          <w:shd w:fill="auto" w:val="clear"/>
        </w:rPr>
        <w:t>1․ Սույն օրենքն ուժի մեջ է մտնում 2028 թվականի հունվարի 1֊ից։</w:t>
      </w:r>
    </w:p>
    <w:p>
      <w:pPr>
        <w:pStyle w:val="Normal"/>
        <w:bidi w:val="0"/>
        <w:jc w:val="both"/>
        <w:rPr>
          <w:rFonts w:ascii="GHEA Grapalat" w:hAnsi="GHEA Grapalat"/>
          <w:b w:val="false"/>
          <w:bCs w:val="false"/>
          <w:sz w:val="24"/>
          <w:szCs w:val="24"/>
          <w:shd w:fill="auto" w:val="clear"/>
        </w:rPr>
      </w:pPr>
      <w:r>
        <w:rPr>
          <w:rFonts w:ascii="GHEA Grapalat" w:hAnsi="GHEA Grapalat"/>
          <w:b w:val="false"/>
          <w:bCs w:val="false"/>
          <w:sz w:val="24"/>
          <w:szCs w:val="24"/>
          <w:shd w:fill="auto" w:val="clear"/>
        </w:rPr>
      </w:r>
    </w:p>
    <w:p>
      <w:pPr>
        <w:pStyle w:val="Normal"/>
        <w:bidi w:val="0"/>
        <w:jc w:val="both"/>
        <w:rPr>
          <w:rFonts w:ascii="GHEA Grapalat" w:hAnsi="GHEA Grapalat"/>
          <w:b w:val="false"/>
          <w:bCs w:val="false"/>
          <w:sz w:val="24"/>
          <w:szCs w:val="24"/>
          <w:shd w:fill="auto" w:val="clear"/>
        </w:rPr>
      </w:pPr>
      <w:r>
        <w:rPr>
          <w:rFonts w:ascii="GHEA Grapalat" w:hAnsi="GHEA Grapalat"/>
          <w:b w:val="false"/>
          <w:bCs w:val="false"/>
          <w:sz w:val="24"/>
          <w:szCs w:val="24"/>
          <w:shd w:fill="auto" w:val="clear"/>
        </w:rPr>
      </w:r>
    </w:p>
    <w:p>
      <w:pPr>
        <w:pStyle w:val="Normal"/>
        <w:bidi w:val="0"/>
        <w:jc w:val="both"/>
        <w:rPr>
          <w:rFonts w:ascii="GHEA Grapalat" w:hAnsi="GHEA Grapalat"/>
          <w:b w:val="false"/>
          <w:bCs w:val="false"/>
          <w:sz w:val="24"/>
          <w:szCs w:val="24"/>
          <w:shd w:fill="auto" w:val="clear"/>
        </w:rPr>
      </w:pPr>
      <w:r>
        <w:rPr>
          <w:rFonts w:ascii="GHEA Grapalat" w:hAnsi="GHEA Grapalat"/>
          <w:b w:val="false"/>
          <w:bCs w:val="false"/>
          <w:sz w:val="24"/>
          <w:szCs w:val="24"/>
          <w:shd w:fill="auto" w:val="clear"/>
        </w:rPr>
      </w:r>
    </w:p>
    <w:p>
      <w:pPr>
        <w:pStyle w:val="Normal"/>
        <w:bidi w:val="0"/>
        <w:jc w:val="right"/>
        <w:rPr>
          <w:rFonts w:ascii="GHEA Grapalat" w:hAnsi="GHEA Grapalat"/>
        </w:rPr>
      </w:pPr>
      <w:r>
        <w:rPr>
          <w:rFonts w:ascii="GHEA Grapalat" w:hAnsi="GHEA Grapalat"/>
          <w:b/>
          <w:bCs/>
          <w:sz w:val="24"/>
          <w:szCs w:val="24"/>
          <w:shd w:fill="auto" w:val="clear"/>
        </w:rPr>
        <w:t>ՆԱԽԱԳԻԾ</w:t>
      </w:r>
    </w:p>
    <w:p>
      <w:pPr>
        <w:pStyle w:val="Normal"/>
        <w:bidi w:val="0"/>
        <w:jc w:val="right"/>
        <w:rPr>
          <w:rFonts w:ascii="GHEA Grapalat" w:hAnsi="GHEA Grapalat"/>
          <w:b w:val="false"/>
          <w:bCs w:val="false"/>
          <w:sz w:val="24"/>
          <w:szCs w:val="24"/>
          <w:shd w:fill="auto" w:val="clear"/>
        </w:rPr>
      </w:pPr>
      <w:r>
        <w:rPr>
          <w:rFonts w:ascii="GHEA Grapalat" w:hAnsi="GHEA Grapalat"/>
          <w:b w:val="false"/>
          <w:bCs w:val="false"/>
          <w:sz w:val="24"/>
          <w:szCs w:val="24"/>
          <w:shd w:fill="auto" w:val="clear"/>
        </w:rPr>
      </w:r>
    </w:p>
    <w:p>
      <w:pPr>
        <w:pStyle w:val="Normal"/>
        <w:bidi w:val="0"/>
        <w:jc w:val="center"/>
        <w:rPr>
          <w:rFonts w:ascii="GHEA Grapalat" w:hAnsi="GHEA Grapalat"/>
        </w:rPr>
      </w:pPr>
      <w:r>
        <w:rPr>
          <w:rFonts w:ascii="GHEA Grapalat" w:hAnsi="GHEA Grapalat"/>
          <w:b/>
          <w:bCs/>
          <w:sz w:val="24"/>
          <w:szCs w:val="24"/>
        </w:rPr>
        <w:t xml:space="preserve">ՀԱՅԱՍՏԱՆԻ ՀԱՆՐԱՊԵՏՈՒԹՅԱՆ </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rPr>
      </w:pPr>
      <w:r>
        <w:rPr>
          <w:rFonts w:ascii="GHEA Grapalat" w:hAnsi="GHEA Grapalat"/>
          <w:b/>
          <w:bCs/>
          <w:sz w:val="24"/>
          <w:szCs w:val="24"/>
        </w:rPr>
        <w:t>ՕՐԵՆՔԸ</w:t>
      </w:r>
    </w:p>
    <w:p>
      <w:pPr>
        <w:pStyle w:val="Normal"/>
        <w:bidi w:val="0"/>
        <w:jc w:val="both"/>
        <w:rPr>
          <w:rFonts w:ascii="GHEA Grapalat" w:hAnsi="GHEA Grapalat"/>
          <w:b w:val="false"/>
          <w:bCs w:val="false"/>
          <w:sz w:val="24"/>
          <w:szCs w:val="24"/>
          <w:shd w:fill="auto" w:val="clear"/>
        </w:rPr>
      </w:pPr>
      <w:r>
        <w:rPr>
          <w:rFonts w:ascii="GHEA Grapalat" w:hAnsi="GHEA Grapalat"/>
          <w:b w:val="false"/>
          <w:bCs w:val="false"/>
          <w:sz w:val="24"/>
          <w:szCs w:val="24"/>
          <w:shd w:fill="auto" w:val="clear"/>
        </w:rPr>
      </w:r>
    </w:p>
    <w:p>
      <w:pPr>
        <w:pStyle w:val="Normal"/>
        <w:shd w:val="clear" w:fill="FFFFFF"/>
        <w:bidi w:val="0"/>
        <w:spacing w:lineRule="auto" w:line="360" w:before="0" w:after="0"/>
        <w:ind w:hanging="0" w:left="0" w:right="0"/>
        <w:jc w:val="center"/>
        <w:rPr>
          <w:rFonts w:ascii="GHEA Grapalat" w:hAnsi="GHEA Grapalat"/>
        </w:rPr>
      </w:pPr>
      <w:r>
        <w:rPr>
          <w:rFonts w:eastAsia="Times New Roman" w:cs="Times New Roman" w:ascii="GHEA Grapalat" w:hAnsi="GHEA Grapalat"/>
          <w:b/>
          <w:bCs/>
          <w:color w:val="000000"/>
          <w:sz w:val="24"/>
          <w:szCs w:val="24"/>
          <w:lang w:val="hy-AM"/>
        </w:rPr>
        <w:t>«ՊԱՇՏՈՆԱՏԱՐ ԱՆՁԱՆՑ ԳՈՐԾՈՒՆԵՈՒԹՅԱՆ ԱՊԱՀՈՎՄԱՆ, ՍՊԱՍԱՐԿՄԱՆ ԵՒ ՍՈՑԻԱԼԱԿԱՆ ԵՐԱՇԽԻՔՆԵՐԻ ՄԱՍԻՆ» ՕՐԵՆՔՈՒՄ ՓՈՓՈԽՈՒԹՅՈՒՆ ԵՎ ԼՐԱՑՈՒՄՆԵՐ ԿԱՏԱՐԵԼՈՒ ՄԱՍԻՆ</w:t>
      </w:r>
    </w:p>
    <w:p>
      <w:pPr>
        <w:pStyle w:val="Normal"/>
        <w:shd w:val="clear" w:fill="FFFFFF"/>
        <w:bidi w:val="0"/>
        <w:spacing w:lineRule="auto" w:line="360" w:before="0" w:after="0"/>
        <w:ind w:hanging="0" w:left="0" w:right="0"/>
        <w:jc w:val="center"/>
        <w:rPr>
          <w:rFonts w:ascii="GHEA Grapalat" w:hAnsi="GHEA Grapalat" w:eastAsia="Times New Roman" w:cs="Times New Roman"/>
          <w:b/>
          <w:bCs/>
          <w:color w:val="000000"/>
          <w:sz w:val="24"/>
          <w:szCs w:val="24"/>
          <w:lang w:val="hy-AM"/>
        </w:rPr>
      </w:pPr>
      <w:r>
        <w:rPr>
          <w:rFonts w:eastAsia="Times New Roman" w:cs="Times New Roman" w:ascii="GHEA Grapalat" w:hAnsi="GHEA Grapalat"/>
          <w:b/>
          <w:bCs/>
          <w:color w:val="000000"/>
          <w:sz w:val="24"/>
          <w:szCs w:val="24"/>
          <w:lang w:val="hy-AM"/>
        </w:rPr>
      </w:r>
    </w:p>
    <w:p>
      <w:pPr>
        <w:pStyle w:val="Normal"/>
        <w:shd w:val="clear" w:fill="FFFFFF"/>
        <w:bidi w:val="0"/>
        <w:spacing w:lineRule="auto" w:line="360" w:before="0" w:after="0"/>
        <w:ind w:hanging="0" w:left="0" w:right="0"/>
        <w:jc w:val="both"/>
        <w:rPr>
          <w:rFonts w:ascii="GHEA Grapalat" w:hAnsi="GHEA Grapalat"/>
        </w:rPr>
      </w:pPr>
      <w:r>
        <w:rPr>
          <w:rFonts w:eastAsia="Times New Roman" w:cs="Times New Roman" w:ascii="GHEA Grapalat" w:hAnsi="GHEA Grapalat"/>
          <w:b/>
          <w:bCs/>
          <w:color w:val="000000"/>
          <w:sz w:val="24"/>
          <w:szCs w:val="24"/>
          <w:lang w:val="hy-AM"/>
        </w:rPr>
        <w:t xml:space="preserve">Հոդված 1․ </w:t>
      </w:r>
      <w:r>
        <w:rPr>
          <w:rFonts w:eastAsia="Times New Roman" w:cs="Times New Roman" w:ascii="GHEA Grapalat" w:hAnsi="GHEA Grapalat"/>
          <w:b w:val="false"/>
          <w:bCs w:val="false"/>
          <w:color w:val="000000"/>
          <w:sz w:val="24"/>
          <w:szCs w:val="24"/>
          <w:lang w:val="hy-AM"/>
        </w:rPr>
        <w:t>«Պաշտոնատար անձանց գործունեության ապահովման, սպասարկման և սոցիալական երաշխիքների մասին» 2014 թվականի փետրվարի 4֊ի ՀՕ֊1֊Ն օրենքի (այսուհետ՝ Օրենք)</w:t>
      </w:r>
      <w:r>
        <w:rPr>
          <w:rFonts w:eastAsia="Times New Roman" w:cs="Times New Roman" w:ascii="GHEA Grapalat" w:hAnsi="GHEA Grapalat"/>
          <w:b/>
          <w:bCs/>
          <w:color w:val="000000"/>
          <w:sz w:val="24"/>
          <w:szCs w:val="24"/>
          <w:lang w:val="hy-AM"/>
        </w:rPr>
        <w:t xml:space="preserve"> </w:t>
      </w:r>
      <w:r>
        <w:rPr>
          <w:rFonts w:eastAsia="Times New Roman" w:cs="Times New Roman" w:ascii="GHEA Grapalat" w:hAnsi="GHEA Grapalat"/>
          <w:b w:val="false"/>
          <w:bCs w:val="false"/>
          <w:color w:val="000000"/>
          <w:sz w:val="24"/>
          <w:szCs w:val="24"/>
          <w:lang w:val="hy-AM"/>
        </w:rPr>
        <w:t>2֊րդ հոդվածի 1֊ին մասի 12․1֊րդ կետը շարադրել նոր խմբագրությամբ.</w:t>
      </w:r>
    </w:p>
    <w:p>
      <w:pPr>
        <w:pStyle w:val="Normal"/>
        <w:shd w:val="clear" w:fill="FFFFFF"/>
        <w:bidi w:val="0"/>
        <w:spacing w:lineRule="auto" w:line="360" w:before="0" w:after="0"/>
        <w:ind w:hanging="0" w:left="0" w:right="0"/>
        <w:jc w:val="both"/>
        <w:rPr>
          <w:rFonts w:ascii="GHEA Grapalat" w:hAnsi="GHEA Grapalat"/>
        </w:rPr>
      </w:pPr>
      <w:r>
        <w:rPr>
          <w:rFonts w:eastAsia="Times New Roman" w:cs="Times New Roman" w:ascii="GHEA Grapalat" w:hAnsi="GHEA Grapalat"/>
          <w:b w:val="false"/>
          <w:bCs w:val="false"/>
          <w:color w:val="000000"/>
          <w:sz w:val="24"/>
          <w:szCs w:val="24"/>
          <w:shd w:fill="auto" w:val="clear"/>
          <w:lang w:val="hy-AM"/>
        </w:rPr>
        <w:t>«12․1)</w:t>
      </w:r>
      <w:r>
        <w:rPr>
          <w:rFonts w:eastAsia="Times New Roman" w:cs="Times New Roman" w:ascii="GHEA Grapalat" w:hAnsi="GHEA Grapalat"/>
          <w:b w:val="false"/>
          <w:bCs w:val="false"/>
          <w:i/>
          <w:iCs/>
          <w:color w:val="000000"/>
          <w:sz w:val="24"/>
          <w:szCs w:val="24"/>
          <w:shd w:fill="auto" w:val="clear"/>
          <w:lang w:val="hy-AM"/>
        </w:rPr>
        <w:t xml:space="preserve"> Արտաքին հետախուզության ծառայությունում պաշտոն զբաղեցրած անձը՝</w:t>
      </w:r>
    </w:p>
    <w:p>
      <w:pPr>
        <w:pStyle w:val="Normal"/>
        <w:shd w:val="clear" w:fill="FFFFFF"/>
        <w:bidi w:val="0"/>
        <w:spacing w:lineRule="auto" w:line="360" w:before="0" w:after="0"/>
        <w:ind w:hanging="0" w:left="0" w:right="0"/>
        <w:jc w:val="both"/>
        <w:rPr>
          <w:rFonts w:ascii="GHEA Grapalat" w:hAnsi="GHEA Grapalat"/>
        </w:rPr>
      </w:pPr>
      <w:r>
        <w:rPr>
          <w:rFonts w:eastAsia="Times New Roman" w:cs="Times New Roman" w:ascii="GHEA Grapalat" w:hAnsi="GHEA Grapalat"/>
          <w:b w:val="false"/>
          <w:bCs w:val="false"/>
          <w:color w:val="000000"/>
          <w:sz w:val="24"/>
          <w:szCs w:val="24"/>
          <w:lang w:val="hy-AM"/>
        </w:rPr>
        <w:t>ա․ որը պաշտոնից ազատվելու օրվա դրությամբ ունի առնվազն 20 տարվա ծառայության ստաժ, կամ</w:t>
      </w:r>
    </w:p>
    <w:p>
      <w:pPr>
        <w:pStyle w:val="Normal"/>
        <w:shd w:val="clear" w:fill="FFFFFF"/>
        <w:bidi w:val="0"/>
        <w:spacing w:lineRule="auto" w:line="360" w:before="0" w:after="0"/>
        <w:ind w:hanging="0" w:left="0" w:right="0"/>
        <w:jc w:val="both"/>
        <w:rPr>
          <w:rFonts w:ascii="GHEA Grapalat" w:hAnsi="GHEA Grapalat"/>
        </w:rPr>
      </w:pPr>
      <w:r>
        <w:rPr>
          <w:rFonts w:eastAsia="Times New Roman" w:cs="Times New Roman" w:ascii="GHEA Grapalat" w:hAnsi="GHEA Grapalat"/>
          <w:b w:val="false"/>
          <w:bCs w:val="false"/>
          <w:color w:val="000000"/>
          <w:sz w:val="24"/>
          <w:szCs w:val="24"/>
          <w:lang w:val="hy-AM"/>
        </w:rPr>
        <w:t>բ. որի ծառայությունը դադարեցվել է դատական կարգով անգործունակ ճանաչվելու կամ «Արտաքին հետախուզական գործունեության և արտաքին հետախուզության ծառայության մասին» օրենքի 38֊րդ հոդվածի 1֊ին մասի 11֊րդ կետով նախատեսված հիմքով։»։</w:t>
      </w:r>
    </w:p>
    <w:p>
      <w:pPr>
        <w:pStyle w:val="Normal"/>
        <w:bidi w:val="0"/>
        <w:spacing w:lineRule="auto" w:line="360" w:before="0" w:after="0"/>
        <w:ind w:hanging="0" w:left="0" w:right="0"/>
        <w:jc w:val="both"/>
        <w:rPr/>
      </w:pPr>
      <w:r>
        <w:rPr>
          <w:rStyle w:val="StrongEmphasis"/>
          <w:rFonts w:eastAsia="Times New Roman" w:cs="Times New Roman" w:ascii="GHEA Grapalat" w:hAnsi="GHEA Grapalat"/>
          <w:b/>
          <w:bCs/>
          <w:color w:val="000000"/>
          <w:sz w:val="24"/>
          <w:szCs w:val="24"/>
          <w:lang w:val="hy-AM"/>
        </w:rPr>
        <w:t xml:space="preserve">Հոդված 2․ </w:t>
      </w:r>
      <w:r>
        <w:rPr>
          <w:rStyle w:val="StrongEmphasis"/>
          <w:rFonts w:eastAsia="Times New Roman" w:cs="Times New Roman" w:ascii="GHEA Grapalat" w:hAnsi="GHEA Grapalat"/>
          <w:b w:val="false"/>
          <w:bCs w:val="false"/>
          <w:color w:val="000000"/>
          <w:sz w:val="24"/>
          <w:szCs w:val="24"/>
          <w:lang w:val="hy-AM"/>
        </w:rPr>
        <w:t xml:space="preserve">Օրենքի 5֊րդ հոդվածի </w:t>
      </w: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10-11֊րդ մասերում «9֊12․1֊ին կետերում նշված մասնագիտական» բառերից հետո լրացնել «և ծառայության» բառը, իսկ 10֊րդ մասի փակագծերում նշված «մասնագիտական» բառից հետո լրացնել «և ծառայության»։</w:t>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pPr>
      <w:r>
        <w:rPr>
          <w:rStyle w:val="StrongEmphasis"/>
          <w:rFonts w:eastAsia="Times New Roman" w:cs="Times New Roman" w:ascii="GHEA Grapalat" w:hAnsi="GHEA Grapalat"/>
          <w:color w:val="000000"/>
          <w:kern w:val="2"/>
          <w:sz w:val="24"/>
          <w:szCs w:val="24"/>
          <w:shd w:fill="auto" w:val="clear"/>
          <w:lang w:val="hy-AM" w:eastAsia="zh-CN" w:bidi="hi-IN"/>
        </w:rPr>
        <w:t>Հոդված 3․</w:t>
      </w: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 xml:space="preserve"> Օրենքի N 1 հավելվածը լրացնել հետևյալ բովանդակությամբ նոր 6֊րդ կետով․</w:t>
      </w:r>
    </w:p>
    <w:p>
      <w:pPr>
        <w:pStyle w:val="Normal"/>
        <w:bidi w:val="0"/>
        <w:jc w:val="both"/>
        <w:rPr/>
      </w:pP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«6. Հայաստանի Հանրապետության արտաքին հետախուզության ծառայության ծառայողի պաշտոն»։</w:t>
      </w:r>
    </w:p>
    <w:p>
      <w:pPr>
        <w:pStyle w:val="Normal"/>
        <w:bidi w:val="0"/>
        <w:jc w:val="both"/>
        <w:rPr>
          <w:rFonts w:ascii="GHEA Grapalat" w:hAnsi="GHEA Grapalat" w:eastAsia="Times New Roman" w:cs="Times New Roman"/>
          <w:color w:val="000000"/>
          <w:kern w:val="2"/>
          <w:sz w:val="24"/>
          <w:szCs w:val="24"/>
          <w:shd w:fill="auto" w:val="clear"/>
          <w:lang w:val="hy-AM" w:eastAsia="zh-CN" w:bidi="hi-IN"/>
        </w:rPr>
      </w:pPr>
      <w:r>
        <w:rPr>
          <w:rFonts w:eastAsia="Times New Roman" w:cs="Times New Roman" w:ascii="GHEA Grapalat" w:hAnsi="GHEA Grapalat"/>
          <w:color w:val="000000"/>
          <w:kern w:val="2"/>
          <w:sz w:val="24"/>
          <w:szCs w:val="24"/>
          <w:shd w:fill="auto" w:val="clear"/>
          <w:lang w:val="hy-AM" w:eastAsia="zh-CN" w:bidi="hi-IN"/>
        </w:rPr>
      </w:r>
    </w:p>
    <w:p>
      <w:pPr>
        <w:pStyle w:val="Normal"/>
        <w:bidi w:val="0"/>
        <w:jc w:val="both"/>
        <w:rPr/>
      </w:pPr>
      <w:r>
        <w:rPr>
          <w:rStyle w:val="StrongEmphasis"/>
          <w:rFonts w:eastAsia="Times New Roman" w:cs="Times New Roman" w:ascii="GHEA Grapalat" w:hAnsi="GHEA Grapalat"/>
          <w:color w:val="000000"/>
          <w:kern w:val="2"/>
          <w:sz w:val="24"/>
          <w:szCs w:val="24"/>
          <w:shd w:fill="auto" w:val="clear"/>
          <w:lang w:val="hy-AM" w:eastAsia="zh-CN" w:bidi="hi-IN"/>
        </w:rPr>
        <w:t>Հոդված 4․</w:t>
      </w:r>
      <w:r>
        <w:rPr>
          <w:rStyle w:val="StrongEmphasis"/>
          <w:rFonts w:eastAsia="Times New Roman" w:cs="Times New Roman" w:ascii="GHEA Grapalat" w:hAnsi="GHEA Grapalat"/>
          <w:b/>
          <w:bCs/>
          <w:color w:val="000000"/>
          <w:kern w:val="2"/>
          <w:sz w:val="24"/>
          <w:szCs w:val="24"/>
          <w:shd w:fill="auto" w:val="clear"/>
          <w:lang w:val="hy-AM" w:eastAsia="zh-CN" w:bidi="hi-IN"/>
        </w:rPr>
        <w:t xml:space="preserve"> Եզրափակիչ մաս և անցումային դրույթ</w:t>
      </w:r>
    </w:p>
    <w:p>
      <w:pPr>
        <w:pStyle w:val="Normal"/>
        <w:bidi w:val="0"/>
        <w:jc w:val="both"/>
        <w:rPr/>
      </w:pP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1․ Սույն օրենքն ուժի մեջ է մտնում պաշտոնական հրապարակմանը հաջորդող օրվանից։</w:t>
      </w:r>
    </w:p>
    <w:p>
      <w:pPr>
        <w:pStyle w:val="Normal"/>
        <w:bidi w:val="0"/>
        <w:jc w:val="center"/>
        <w:rPr>
          <w:rFonts w:ascii="GHEA Grapalat" w:hAnsi="GHEA Grapalat" w:eastAsia="Times New Roman" w:cs="Times New Roman"/>
          <w:b w:val="false"/>
          <w:bCs w:val="false"/>
          <w:color w:val="000000"/>
          <w:kern w:val="2"/>
          <w:sz w:val="24"/>
          <w:szCs w:val="24"/>
          <w:lang w:val="hy-AM" w:eastAsia="zh-CN" w:bidi="hi-IN"/>
        </w:rPr>
      </w:pPr>
      <w:r>
        <w:rPr>
          <w:rFonts w:eastAsia="Times New Roman" w:cs="Times New Roman" w:ascii="GHEA Grapalat" w:hAnsi="GHEA Grapalat"/>
          <w:b w:val="false"/>
          <w:bCs w:val="false"/>
          <w:color w:val="000000"/>
          <w:kern w:val="2"/>
          <w:sz w:val="24"/>
          <w:szCs w:val="24"/>
          <w:lang w:val="hy-AM" w:eastAsia="zh-CN" w:bidi="hi-IN"/>
        </w:rPr>
      </w:r>
    </w:p>
    <w:p>
      <w:pPr>
        <w:pStyle w:val="Normal"/>
        <w:bidi w:val="0"/>
        <w:jc w:val="center"/>
        <w:rPr>
          <w:rFonts w:ascii="GHEA Grapalat" w:hAnsi="GHEA Grapalat" w:eastAsia="Times New Roman" w:cs="Times New Roman"/>
          <w:b/>
          <w:bCs/>
          <w:color w:val="000000"/>
          <w:kern w:val="2"/>
          <w:sz w:val="24"/>
          <w:szCs w:val="24"/>
          <w:lang w:val="hy-AM" w:eastAsia="zh-CN" w:bidi="hi-IN"/>
        </w:rPr>
      </w:pPr>
      <w:r>
        <w:rPr>
          <w:rFonts w:ascii="GHEA Grapalat" w:hAnsi="GHEA Grapalat"/>
          <w:b w:val="false"/>
          <w:bCs w:val="false"/>
          <w:sz w:val="24"/>
          <w:szCs w:val="24"/>
          <w:shd w:fill="auto" w:val="clear"/>
        </w:rPr>
      </w:r>
    </w:p>
    <w:p>
      <w:pPr>
        <w:pStyle w:val="Normal"/>
        <w:bidi w:val="0"/>
        <w:jc w:val="center"/>
        <w:rPr>
          <w:rFonts w:ascii="GHEA Grapalat" w:hAnsi="GHEA Grapalat"/>
          <w:b w:val="false"/>
          <w:bCs w:val="false"/>
          <w:sz w:val="24"/>
          <w:szCs w:val="24"/>
          <w:shd w:fill="auto" w:val="clear"/>
        </w:rPr>
      </w:pPr>
      <w:r>
        <w:rPr>
          <w:rFonts w:ascii="GHEA Grapalat" w:hAnsi="GHEA Grapalat"/>
          <w:b w:val="false"/>
          <w:bCs w:val="false"/>
          <w:sz w:val="24"/>
          <w:szCs w:val="24"/>
          <w:shd w:fill="auto" w:val="clear"/>
        </w:rPr>
      </w:r>
    </w:p>
    <w:p>
      <w:pPr>
        <w:pStyle w:val="Normal"/>
        <w:bidi w:val="0"/>
        <w:jc w:val="center"/>
        <w:rPr>
          <w:rFonts w:ascii="GHEA Grapalat" w:hAnsi="GHEA Grapalat"/>
          <w:b w:val="false"/>
          <w:bCs w:val="false"/>
          <w:sz w:val="24"/>
          <w:szCs w:val="24"/>
          <w:shd w:fill="auto" w:val="clear"/>
        </w:rPr>
      </w:pPr>
      <w:r>
        <w:rPr>
          <w:rFonts w:ascii="GHEA Grapalat" w:hAnsi="GHEA Grapalat"/>
          <w:b w:val="false"/>
          <w:bCs w:val="false"/>
          <w:sz w:val="24"/>
          <w:szCs w:val="24"/>
          <w:shd w:fill="auto" w:val="clear"/>
        </w:rPr>
      </w:r>
    </w:p>
    <w:p>
      <w:pPr>
        <w:pStyle w:val="Normal"/>
        <w:bidi w:val="0"/>
        <w:jc w:val="center"/>
        <w:rPr>
          <w:rFonts w:ascii="GHEA Grapalat" w:hAnsi="GHEA Grapalat"/>
          <w:b w:val="false"/>
          <w:bCs w:val="false"/>
          <w:sz w:val="24"/>
          <w:szCs w:val="24"/>
          <w:shd w:fill="auto" w:val="clear"/>
        </w:rPr>
      </w:pPr>
      <w:r>
        <w:rPr>
          <w:rFonts w:ascii="GHEA Grapalat" w:hAnsi="GHEA Grapalat"/>
          <w:b w:val="false"/>
          <w:bCs w:val="false"/>
          <w:sz w:val="24"/>
          <w:szCs w:val="24"/>
          <w:shd w:fill="auto" w:val="clear"/>
        </w:rPr>
      </w:r>
    </w:p>
    <w:p>
      <w:pPr>
        <w:pStyle w:val="Normal"/>
        <w:bidi w:val="0"/>
        <w:jc w:val="right"/>
        <w:rPr/>
      </w:pPr>
      <w:r>
        <w:rPr>
          <w:rStyle w:val="StrongEmphasis"/>
          <w:rFonts w:eastAsia="Times New Roman" w:cs="Times New Roman" w:ascii="GHEA Grapalat" w:hAnsi="GHEA Grapalat"/>
          <w:b/>
          <w:bCs/>
          <w:color w:val="000000"/>
          <w:kern w:val="2"/>
          <w:sz w:val="24"/>
          <w:szCs w:val="24"/>
          <w:shd w:fill="auto" w:val="clear"/>
          <w:lang w:val="hy-AM" w:eastAsia="zh-CN" w:bidi="hi-IN"/>
        </w:rPr>
        <w:t>ՆԱԽԱԳԻԾ</w:t>
      </w:r>
    </w:p>
    <w:p>
      <w:pPr>
        <w:pStyle w:val="Normal"/>
        <w:bidi w:val="0"/>
        <w:jc w:val="right"/>
        <w:rPr>
          <w:rFonts w:ascii="GHEA Grapalat" w:hAnsi="GHEA Grapalat" w:eastAsia="Times New Roman" w:cs="Times New Roman"/>
          <w:b/>
          <w:bCs/>
          <w:color w:val="000000"/>
          <w:kern w:val="2"/>
          <w:sz w:val="24"/>
          <w:szCs w:val="24"/>
          <w:lang w:val="hy-AM" w:eastAsia="zh-CN" w:bidi="hi-IN"/>
        </w:rPr>
      </w:pPr>
      <w:r>
        <w:rPr>
          <w:rFonts w:eastAsia="Times New Roman" w:cs="Times New Roman" w:ascii="GHEA Grapalat" w:hAnsi="GHEA Grapalat"/>
          <w:b/>
          <w:bCs/>
          <w:color w:val="000000"/>
          <w:kern w:val="2"/>
          <w:sz w:val="24"/>
          <w:szCs w:val="24"/>
          <w:lang w:val="hy-AM" w:eastAsia="zh-CN" w:bidi="hi-IN"/>
        </w:rPr>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rPr>
      </w:pPr>
      <w:r>
        <w:rPr>
          <w:rFonts w:ascii="GHEA Grapalat" w:hAnsi="GHEA Grapalat"/>
          <w:b/>
          <w:bCs/>
          <w:sz w:val="24"/>
          <w:szCs w:val="24"/>
        </w:rPr>
        <w:t xml:space="preserve">ՀԱՅԱՍՏԱՆԻ ՀԱՆՐԱՊԵՏՈՒԹՅԱՆ </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pPr>
      <w:r>
        <w:rPr>
          <w:rStyle w:val="StrongEmphasis"/>
          <w:rFonts w:eastAsia="Times New Roman" w:cs="Times New Roman" w:ascii="GHEA Grapalat" w:hAnsi="GHEA Grapalat"/>
          <w:b/>
          <w:bCs/>
          <w:color w:val="000000"/>
          <w:kern w:val="2"/>
          <w:sz w:val="24"/>
          <w:szCs w:val="24"/>
          <w:lang w:val="hy-AM" w:eastAsia="zh-CN" w:bidi="hi-IN"/>
        </w:rPr>
        <w:t>ՕՐԵՆՔԸ</w:t>
      </w:r>
    </w:p>
    <w:p>
      <w:pPr>
        <w:pStyle w:val="Normal"/>
        <w:bidi w:val="0"/>
        <w:jc w:val="center"/>
        <w:rPr>
          <w:rFonts w:ascii="GHEA Grapalat" w:hAnsi="GHEA Grapalat" w:eastAsia="Times New Roman" w:cs="Times New Roman"/>
          <w:b/>
          <w:bCs/>
          <w:color w:val="000000"/>
          <w:kern w:val="2"/>
          <w:sz w:val="24"/>
          <w:szCs w:val="24"/>
          <w:lang w:val="hy-AM" w:eastAsia="zh-CN" w:bidi="hi-IN"/>
        </w:rPr>
      </w:pPr>
      <w:r>
        <w:rPr>
          <w:rFonts w:eastAsia="Times New Roman" w:cs="Times New Roman" w:ascii="GHEA Grapalat" w:hAnsi="GHEA Grapalat"/>
          <w:b/>
          <w:bCs/>
          <w:color w:val="000000"/>
          <w:kern w:val="2"/>
          <w:sz w:val="24"/>
          <w:szCs w:val="24"/>
          <w:lang w:val="hy-AM" w:eastAsia="zh-CN" w:bidi="hi-IN"/>
        </w:rPr>
      </w:r>
    </w:p>
    <w:p>
      <w:pPr>
        <w:pStyle w:val="Normal"/>
        <w:bidi w:val="0"/>
        <w:jc w:val="center"/>
        <w:rPr/>
      </w:pPr>
      <w:r>
        <w:rPr>
          <w:rStyle w:val="StrongEmphasis"/>
          <w:rFonts w:eastAsia="Times New Roman" w:cs="Times New Roman" w:ascii="GHEA Grapalat" w:hAnsi="GHEA Grapalat"/>
          <w:b/>
          <w:bCs/>
          <w:color w:val="000000"/>
          <w:kern w:val="2"/>
          <w:sz w:val="24"/>
          <w:szCs w:val="24"/>
          <w:shd w:fill="auto" w:val="clear"/>
          <w:lang w:val="hy-AM" w:eastAsia="zh-CN" w:bidi="hi-IN"/>
        </w:rPr>
        <w:t>«ՊԵՏԱԿԱՆ ՊԱՇՏՈՆՆԵՐ ԵՎ ՊԵՏԱԿԱՆ ԾԱՌԱՅՈՒԹՅԱՆ ՊԱՇՏՈՆՆԵՐ ԶԲԱՂԵՑՆՈՂ ԱՆՁԱՆՑ ՎԱՐՁԱՏՐՈՒԹՅԱՆ ՄԱՍԻՆ» ՕՐԵՆՔՈՒՄ ԼՐԱՑՈՒՄՆԵՐ ԿԱՏԱՐԵԼՈՒ ՄԱՍԻՆ»</w:t>
      </w:r>
    </w:p>
    <w:p>
      <w:pPr>
        <w:pStyle w:val="Normal"/>
        <w:bidi w:val="0"/>
        <w:jc w:val="center"/>
        <w:rPr>
          <w:rFonts w:ascii="GHEA Grapalat" w:hAnsi="GHEA Grapalat" w:eastAsia="Times New Roman" w:cs="Times New Roman"/>
          <w:b/>
          <w:bCs/>
          <w:color w:val="000000"/>
          <w:kern w:val="2"/>
          <w:sz w:val="24"/>
          <w:szCs w:val="24"/>
          <w:lang w:val="hy-AM" w:eastAsia="zh-CN" w:bidi="hi-IN"/>
        </w:rPr>
      </w:pPr>
      <w:r>
        <w:rPr>
          <w:rFonts w:eastAsia="Times New Roman" w:cs="Times New Roman" w:ascii="GHEA Grapalat" w:hAnsi="GHEA Grapalat"/>
          <w:b/>
          <w:bCs/>
          <w:color w:val="000000"/>
          <w:kern w:val="2"/>
          <w:sz w:val="24"/>
          <w:szCs w:val="24"/>
          <w:lang w:val="hy-AM" w:eastAsia="zh-CN" w:bidi="hi-IN"/>
        </w:rPr>
      </w:r>
    </w:p>
    <w:p>
      <w:pPr>
        <w:pStyle w:val="Normal"/>
        <w:bidi w:val="0"/>
        <w:jc w:val="center"/>
        <w:rPr>
          <w:rFonts w:ascii="GHEA Grapalat" w:hAnsi="GHEA Grapalat" w:eastAsia="Times New Roman" w:cs="Times New Roman"/>
          <w:b w:val="false"/>
          <w:bCs w:val="false"/>
          <w:color w:val="000000"/>
          <w:kern w:val="2"/>
          <w:sz w:val="24"/>
          <w:szCs w:val="24"/>
          <w:lang w:val="hy-AM" w:eastAsia="zh-CN" w:bidi="hi-IN"/>
        </w:rPr>
      </w:pPr>
      <w:r>
        <w:rPr>
          <w:rFonts w:eastAsia="Times New Roman" w:cs="Times New Roman" w:ascii="GHEA Grapalat" w:hAnsi="GHEA Grapalat"/>
          <w:b w:val="false"/>
          <w:bCs w:val="false"/>
          <w:color w:val="000000"/>
          <w:kern w:val="2"/>
          <w:sz w:val="24"/>
          <w:szCs w:val="24"/>
          <w:lang w:val="hy-AM" w:eastAsia="zh-CN" w:bidi="hi-IN"/>
        </w:rPr>
      </w:r>
    </w:p>
    <w:p>
      <w:pPr>
        <w:pStyle w:val="Normal"/>
        <w:bidi w:val="0"/>
        <w:jc w:val="both"/>
        <w:rPr/>
      </w:pPr>
      <w:r>
        <w:rPr>
          <w:rStyle w:val="StrongEmphasis"/>
          <w:rFonts w:eastAsia="Times New Roman" w:cs="Times New Roman" w:ascii="GHEA Grapalat" w:hAnsi="GHEA Grapalat"/>
          <w:color w:val="000000"/>
          <w:kern w:val="2"/>
          <w:sz w:val="24"/>
          <w:szCs w:val="24"/>
          <w:shd w:fill="auto" w:val="clear"/>
          <w:lang w:val="hy-AM" w:eastAsia="zh-CN" w:bidi="hi-IN"/>
        </w:rPr>
        <w:t xml:space="preserve">Հոդված 1․ </w:t>
      </w: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«Պետական պաշտոններ և պետական ծառայության պաշտոններ զբաղեցնող անձանց վարձատրության մասին» 2013 թվականի դեկտեմբերի 12֊ի ՀՕ֊157֊Ն օրենքի (այսուհետ՝ Օրենք) 26֊րդ հոդվածում՝</w:t>
      </w:r>
    </w:p>
    <w:p>
      <w:pPr>
        <w:pStyle w:val="Normal"/>
        <w:bidi w:val="0"/>
        <w:jc w:val="both"/>
        <w:rPr/>
      </w:pP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1) 1-ին մասի «Պետական պաշտոն և պետական ծառայության պաշտոն» բառերից հետո լրացնել «(բացառությամբ Արտաքին հետախուզության ծառայության)» բառերով.</w:t>
      </w:r>
    </w:p>
    <w:p>
      <w:pPr>
        <w:pStyle w:val="Normal"/>
        <w:bidi w:val="0"/>
        <w:jc w:val="both"/>
        <w:rPr/>
      </w:pP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2) լրացնել հետևյալ բովանդակությամբ նոր 3֊րդ մասով.</w:t>
      </w:r>
    </w:p>
    <w:p>
      <w:pPr>
        <w:pStyle w:val="Normal"/>
        <w:bidi w:val="0"/>
        <w:jc w:val="both"/>
        <w:rPr/>
      </w:pP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«3. Արտաքին հետախուզության ծառայության պետական պաշտոն և պետական ծառայության պաշտոն զբաղեցնող անձանց  սույն հոդվածի 1֊ին մասով նախատեսված նպատակներով (բացառությամբ առողջապահության ծառայությունների) օգտագործելու համար ՀՀ արտաքին հետախուզության ծառայության պետի հրամանով սահմանված կարգով  տրամադրվում է պետական պաշտոն և պետական ծառայության պաշտոն զբաղեցնող անձանց հատկացվող սոցիալական փաթեթին համարժեք գումարի չափով հատուցում։</w:t>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pPr>
      <w:r>
        <w:rPr>
          <w:rStyle w:val="StrongEmphasis"/>
          <w:rFonts w:eastAsia="Times New Roman" w:cs="Times New Roman" w:ascii="GHEA Grapalat" w:hAnsi="GHEA Grapalat"/>
          <w:color w:val="000000"/>
          <w:kern w:val="2"/>
          <w:sz w:val="24"/>
          <w:szCs w:val="24"/>
          <w:shd w:fill="auto" w:val="clear"/>
          <w:lang w:val="hy-AM" w:eastAsia="zh-CN" w:bidi="hi-IN"/>
        </w:rPr>
        <w:t>Հոդված 2.</w:t>
      </w:r>
      <w:r>
        <w:rPr>
          <w:rStyle w:val="StrongEmphasis"/>
          <w:rFonts w:eastAsia="Times New Roman" w:cs="Times New Roman" w:ascii="GHEA Grapalat" w:hAnsi="GHEA Grapalat"/>
          <w:b/>
          <w:bCs/>
          <w:color w:val="000000"/>
          <w:kern w:val="2"/>
          <w:sz w:val="24"/>
          <w:szCs w:val="24"/>
          <w:shd w:fill="auto" w:val="clear"/>
          <w:lang w:val="hy-AM" w:eastAsia="zh-CN" w:bidi="hi-IN"/>
        </w:rPr>
        <w:t xml:space="preserve"> Եզրափակիչ մաս և անցումային դրույթ</w:t>
      </w:r>
    </w:p>
    <w:p>
      <w:pPr>
        <w:pStyle w:val="Normal"/>
        <w:bidi w:val="0"/>
        <w:jc w:val="both"/>
        <w:rPr/>
      </w:pPr>
      <w:r>
        <w:rPr>
          <w:rFonts w:ascii="GHEA Grapalat" w:hAnsi="GHEA Grapalat"/>
          <w:b w:val="false"/>
          <w:bCs w:val="false"/>
          <w:sz w:val="24"/>
          <w:szCs w:val="24"/>
          <w:shd w:fill="auto" w:val="clear"/>
        </w:rPr>
        <w:t xml:space="preserve">1․ </w:t>
      </w: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Սույն օրենքն ուժի մեջ է մտնում պաշտոնական հրապարակմանը հաջորդող օրվանից։</w:t>
      </w:r>
    </w:p>
    <w:p>
      <w:pPr>
        <w:pStyle w:val="Normal"/>
        <w:bidi w:val="0"/>
        <w:jc w:val="both"/>
        <w:rPr/>
      </w:pP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2․ Սույն օրենքն ուժի մեջ մտնելու օրը ուժը կորցրած է ճանաչվում «Պետական պաշտոններ և պետական ծառայության պաշտոններ զբաղեցնող անձանց վարձատրության մասին» օրենքում լրացումներ և փոփոխություն կատարելու մասին» 2022 թվականի դեկտեմբերի 23֊ի ՀՕ֊604֊Ն օրենքի «Եզրափակիչ մաս և անցումային դրույթ» վերտառությամբ 6֊րդ հոդվածի 2֊րդ մասը։</w:t>
      </w:r>
    </w:p>
    <w:p>
      <w:pPr>
        <w:pStyle w:val="Normal"/>
        <w:bidi w:val="0"/>
        <w:jc w:val="both"/>
        <w:rPr>
          <w:rFonts w:ascii="GHEA Grapalat" w:hAnsi="GHEA Grapalat"/>
        </w:rPr>
      </w:pPr>
      <w:r>
        <w:rPr>
          <w:rFonts w:ascii="GHEA Grapalat" w:hAnsi="GHEA Grapalat"/>
          <w:b w:val="false"/>
          <w:bCs w:val="false"/>
          <w:sz w:val="24"/>
          <w:szCs w:val="24"/>
          <w:shd w:fill="auto" w:val="clear"/>
        </w:rPr>
        <w:t>3․ Սույն օրենքի 1֊ին հոդվածում նշված իրավական ակտն ընդունվում է սույն օրենքն ուժի մեջ մտնելուց հետո՝ եռամսյա ժամկետում։</w:t>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right"/>
        <w:rPr/>
      </w:pPr>
      <w:r>
        <w:rPr>
          <w:rStyle w:val="StrongEmphasis"/>
          <w:rFonts w:eastAsia="Times New Roman" w:cs="Times New Roman" w:ascii="GHEA Grapalat" w:hAnsi="GHEA Grapalat"/>
          <w:b/>
          <w:bCs/>
          <w:color w:val="000000"/>
          <w:kern w:val="2"/>
          <w:sz w:val="24"/>
          <w:szCs w:val="24"/>
          <w:shd w:fill="auto" w:val="clear"/>
          <w:lang w:val="hy-AM" w:eastAsia="zh-CN" w:bidi="hi-IN"/>
        </w:rPr>
        <w:t>ՆԱԽԱԳԻԾ</w:t>
      </w:r>
    </w:p>
    <w:p>
      <w:pPr>
        <w:pStyle w:val="Normal"/>
        <w:bidi w:val="0"/>
        <w:jc w:val="right"/>
        <w:rPr>
          <w:rFonts w:ascii="GHEA Grapalat" w:hAnsi="GHEA Grapalat" w:eastAsia="Times New Roman" w:cs="Times New Roman"/>
          <w:b/>
          <w:bCs/>
          <w:color w:val="000000"/>
          <w:kern w:val="2"/>
          <w:sz w:val="24"/>
          <w:szCs w:val="24"/>
          <w:lang w:val="hy-AM" w:eastAsia="zh-CN" w:bidi="hi-IN"/>
        </w:rPr>
      </w:pPr>
      <w:r>
        <w:rPr>
          <w:rFonts w:eastAsia="Times New Roman" w:cs="Times New Roman" w:ascii="GHEA Grapalat" w:hAnsi="GHEA Grapalat"/>
          <w:b/>
          <w:bCs/>
          <w:color w:val="000000"/>
          <w:kern w:val="2"/>
          <w:sz w:val="24"/>
          <w:szCs w:val="24"/>
          <w:lang w:val="hy-AM" w:eastAsia="zh-CN" w:bidi="hi-IN"/>
        </w:rPr>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rPr>
      </w:pPr>
      <w:r>
        <w:rPr>
          <w:rFonts w:ascii="GHEA Grapalat" w:hAnsi="GHEA Grapalat"/>
          <w:b/>
          <w:bCs/>
          <w:sz w:val="24"/>
          <w:szCs w:val="24"/>
        </w:rPr>
        <w:t xml:space="preserve">ՀԱՅԱՍՏԱՆԻ ՀԱՆՐԱՊԵՏՈՒԹՅԱՆ </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center"/>
        <w:rPr/>
      </w:pPr>
      <w:r>
        <w:rPr>
          <w:rStyle w:val="StrongEmphasis"/>
          <w:rFonts w:eastAsia="Times New Roman" w:cs="Times New Roman" w:ascii="GHEA Grapalat" w:hAnsi="GHEA Grapalat"/>
          <w:b/>
          <w:bCs/>
          <w:color w:val="000000"/>
          <w:kern w:val="2"/>
          <w:sz w:val="24"/>
          <w:szCs w:val="24"/>
          <w:lang w:val="hy-AM" w:eastAsia="zh-CN" w:bidi="hi-IN"/>
        </w:rPr>
        <w:t>ՕՐԵՆՔԸ</w:t>
      </w:r>
    </w:p>
    <w:p>
      <w:pPr>
        <w:pStyle w:val="Normal"/>
        <w:bidi w:val="0"/>
        <w:jc w:val="center"/>
        <w:rPr>
          <w:rFonts w:ascii="GHEA Grapalat" w:hAnsi="GHEA Grapalat" w:eastAsia="Times New Roman" w:cs="Times New Roman"/>
          <w:b/>
          <w:bCs/>
          <w:color w:val="000000"/>
          <w:kern w:val="2"/>
          <w:sz w:val="24"/>
          <w:szCs w:val="24"/>
          <w:lang w:val="hy-AM" w:eastAsia="zh-CN" w:bidi="hi-IN"/>
        </w:rPr>
      </w:pPr>
      <w:r>
        <w:rPr>
          <w:rFonts w:eastAsia="Times New Roman" w:cs="Times New Roman" w:ascii="GHEA Grapalat" w:hAnsi="GHEA Grapalat"/>
          <w:b/>
          <w:bCs/>
          <w:color w:val="000000"/>
          <w:kern w:val="2"/>
          <w:sz w:val="24"/>
          <w:szCs w:val="24"/>
          <w:lang w:val="hy-AM" w:eastAsia="zh-CN" w:bidi="hi-IN"/>
        </w:rPr>
      </w:r>
    </w:p>
    <w:p>
      <w:pPr>
        <w:pStyle w:val="Normal"/>
        <w:bidi w:val="0"/>
        <w:jc w:val="center"/>
        <w:rPr/>
      </w:pPr>
      <w:r>
        <w:rPr>
          <w:rStyle w:val="StrongEmphasis"/>
          <w:rFonts w:ascii="GHEA Grapalat" w:hAnsi="GHEA Grapalat"/>
          <w:b/>
          <w:bCs/>
        </w:rPr>
        <w:t>«ՀԱՆՐԱՅԻՆ ԾԱՌԱՅՈՒԹՅԱՆ ՄԱՍԻՆ» ՕՐԵՆՔՈՒՄ ԼՐԱՑՈՒՄ ԿԱՏԱՐԵԼՈՒ ՄԱՍԻՆ»</w:t>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4"/>
          <w:szCs w:val="24"/>
          <w:shd w:fill="auto" w:val="clear"/>
          <w:lang w:val="hy-AM" w:eastAsia="zh-CN" w:bidi="hi-IN"/>
        </w:rPr>
      </w:pPr>
      <w:r>
        <w:rPr>
          <w:rFonts w:eastAsia="Times New Roman" w:cs="Times New Roman" w:ascii="GHEA Grapalat" w:hAnsi="GHEA Grapalat"/>
          <w:b w:val="false"/>
          <w:bCs w:val="false"/>
          <w:color w:val="000000"/>
          <w:kern w:val="2"/>
          <w:sz w:val="24"/>
          <w:szCs w:val="24"/>
          <w:shd w:fill="auto" w:val="clear"/>
          <w:lang w:val="hy-AM" w:eastAsia="zh-CN" w:bidi="hi-IN"/>
        </w:rPr>
      </w:r>
    </w:p>
    <w:p>
      <w:pPr>
        <w:pStyle w:val="Normal"/>
        <w:bidi w:val="0"/>
        <w:jc w:val="both"/>
        <w:rPr/>
      </w:pPr>
      <w:r>
        <w:rPr>
          <w:rStyle w:val="StrongEmphasis"/>
          <w:rFonts w:ascii="GHEA Grapalat" w:hAnsi="GHEA Grapalat"/>
        </w:rPr>
        <w:t xml:space="preserve">Հոդված 1․ </w:t>
      </w:r>
      <w:r>
        <w:rPr>
          <w:rStyle w:val="StrongEmphasis"/>
          <w:rFonts w:ascii="GHEA Grapalat" w:hAnsi="GHEA Grapalat"/>
          <w:b w:val="false"/>
          <w:bCs w:val="false"/>
        </w:rPr>
        <w:t xml:space="preserve">«Հանրային ծառայության մասին» 2018 թվականի մարտի 23֊ի ՀՀՕ-206-Ն օրենքի (այսուհետ՝ Օրենք) 31֊րդ հոդվածը լրացնել </w:t>
      </w: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հետևյալ բովանդակությամբ նոր 20-րդ մասով.</w:t>
      </w:r>
    </w:p>
    <w:p>
      <w:pPr>
        <w:pStyle w:val="Normal"/>
        <w:jc w:val="both"/>
        <w:rPr/>
      </w:pPr>
      <w:r>
        <w:rPr>
          <w:rFonts w:ascii="GHEA Grapalat" w:hAnsi="GHEA Grapalat"/>
        </w:rPr>
        <w:t>« 20</w:t>
      </w:r>
      <w:r>
        <w:rPr>
          <w:rStyle w:val="StrongEmphasis"/>
          <w:rFonts w:ascii="GHEA Grapalat" w:hAnsi="GHEA Grapalat"/>
          <w:b w:val="false"/>
          <w:bCs w:val="false"/>
        </w:rPr>
        <w:t>․ Սույն հոդվածով սահմանված անհամատեղելիության պահանջների խախտում չի համարվում «Արտաքին հետախուզական գործունեության և արտաքին հետախուզության ծառայության մասին» օրենքով սահմանված կարգով Արտաքին հետախուզության ծառայության ծառայողի կողմից իրականացվող աշխատանքը կամ ձեռնարկատիրական գործունեությունը։»։</w:t>
      </w:r>
    </w:p>
    <w:p>
      <w:pPr>
        <w:pStyle w:val="Normal"/>
        <w:jc w:val="both"/>
        <w:rPr>
          <w:rStyle w:val="StrongEmphasis"/>
          <w:rFonts w:ascii="GHEA Grapalat" w:hAnsi="GHEA Grapalat"/>
          <w:b w:val="false"/>
          <w:bCs w:val="false"/>
        </w:rPr>
      </w:pPr>
      <w:r>
        <w:rPr>
          <w:rFonts w:ascii="GHEA Grapalat" w:hAnsi="GHEA Grapalat"/>
          <w:b w:val="false"/>
          <w:bCs w:val="false"/>
        </w:rPr>
      </w:r>
    </w:p>
    <w:p>
      <w:pPr>
        <w:pStyle w:val="Normal"/>
        <w:bidi w:val="0"/>
        <w:jc w:val="both"/>
        <w:rPr/>
      </w:pPr>
      <w:r>
        <w:rPr>
          <w:rStyle w:val="StrongEmphasis"/>
          <w:rFonts w:eastAsia="Times New Roman" w:cs="Times New Roman" w:ascii="GHEA Grapalat" w:hAnsi="GHEA Grapalat"/>
          <w:color w:val="000000"/>
          <w:kern w:val="2"/>
          <w:sz w:val="24"/>
          <w:szCs w:val="24"/>
          <w:shd w:fill="auto" w:val="clear"/>
          <w:lang w:val="hy-AM" w:eastAsia="zh-CN" w:bidi="hi-IN"/>
        </w:rPr>
        <w:t>Հոդված 2.</w:t>
      </w:r>
      <w:r>
        <w:rPr>
          <w:rStyle w:val="StrongEmphasis"/>
          <w:rFonts w:eastAsia="Times New Roman" w:cs="Times New Roman" w:ascii="GHEA Grapalat" w:hAnsi="GHEA Grapalat"/>
          <w:b/>
          <w:bCs/>
          <w:color w:val="000000"/>
          <w:kern w:val="2"/>
          <w:sz w:val="24"/>
          <w:szCs w:val="24"/>
          <w:shd w:fill="auto" w:val="clear"/>
          <w:lang w:val="hy-AM" w:eastAsia="zh-CN" w:bidi="hi-IN"/>
        </w:rPr>
        <w:t xml:space="preserve"> Եզրափակիչ մաս և անցումային դրույթ</w:t>
      </w:r>
    </w:p>
    <w:p>
      <w:pPr>
        <w:pStyle w:val="Normal"/>
        <w:bidi w:val="0"/>
        <w:jc w:val="both"/>
        <w:rPr/>
      </w:pPr>
      <w:r>
        <w:rPr>
          <w:rStyle w:val="StrongEmphasis"/>
          <w:rFonts w:ascii="GHEA Grapalat" w:hAnsi="GHEA Grapalat"/>
          <w:b w:val="false"/>
          <w:bCs w:val="false"/>
          <w:sz w:val="24"/>
          <w:szCs w:val="24"/>
          <w:shd w:fill="auto" w:val="clear"/>
        </w:rPr>
        <w:t xml:space="preserve">1․ </w:t>
      </w:r>
      <w:r>
        <w:rPr>
          <w:rStyle w:val="StrongEmphasis"/>
          <w:rFonts w:eastAsia="Times New Roman" w:cs="Times New Roman" w:ascii="GHEA Grapalat" w:hAnsi="GHEA Grapalat"/>
          <w:b w:val="false"/>
          <w:bCs w:val="false"/>
          <w:color w:val="000000"/>
          <w:kern w:val="2"/>
          <w:sz w:val="24"/>
          <w:szCs w:val="24"/>
          <w:shd w:fill="auto" w:val="clear"/>
          <w:lang w:val="hy-AM" w:eastAsia="zh-CN" w:bidi="hi-IN"/>
        </w:rPr>
        <w:t>Սույն օրենքն ուժի մեջ է մտնում պաշտոնական հրապարակմանը հաջորդող օրվանից։</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GHEA Grapalat">
    <w:charset w:val="01"/>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oto Serif CJK SC" w:cs="Noto Sans Devanagari"/>
      <w:color w:val="auto"/>
      <w:kern w:val="2"/>
      <w:sz w:val="24"/>
      <w:szCs w:val="24"/>
      <w:lang w:val="en-US" w:eastAsia="zh-CN" w:bidi="hi-IN"/>
    </w:rPr>
  </w:style>
  <w:style w:type="character" w:styleId="StrongEmphasis">
    <w:name w:val="Strong Emphasis"/>
    <w:qFormat/>
    <w:rPr>
      <w:b/>
      <w:bCs/>
    </w:rPr>
  </w:style>
  <w:style w:type="character" w:styleId="LineNumber">
    <w:name w:val="Line Number"/>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Comment">
    <w:name w:val="Comment"/>
    <w:basedOn w:val="Normal"/>
    <w:qFormat/>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607</TotalTime>
  <Application>LibreOffice/24.2.7.2$Linux_X86_64 LibreOffice_project/420$Build-2</Application>
  <AppVersion>15.0000</AppVersion>
  <Pages>5</Pages>
  <Words>889</Words>
  <Characters>7049</Characters>
  <CharactersWithSpaces>7889</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2025-07-03T09:28:19Z</dcterms:created>
  <dc:creator/>
  <dc:description/>
  <dc:language>en-US</dc:language>
  <cp:lastModifiedBy/>
  <dcterms:modified xsi:type="dcterms:W3CDTF">2026-03-06T10:45:01Z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file>