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671F9" w14:textId="74BAA908" w:rsidR="001036EF" w:rsidRPr="00EE4C57" w:rsidRDefault="00763CB9" w:rsidP="000E5E7C">
      <w:pPr>
        <w:spacing w:after="0" w:line="240" w:lineRule="auto"/>
        <w:ind w:firstLine="567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E4C57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92FD14A" w14:textId="1500444E" w:rsidR="008559FB" w:rsidRPr="00EE4C57" w:rsidRDefault="00172F10" w:rsidP="000E5E7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E4C57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ԵՎ ՎԵՐԱԿԱՆԳՆՄԱՆ ՎԱՐԿԵՐԻ ԲԱՆԿԻ ՄԻՋԵՎ «ԿՈՎԿԱՍՅԱՆ ԷԼԵԿՏՐԱՀԱՂՈՐԴՄԱՆ ՑԱՆՑ IV» ՎԱՐԿԱՅԻՆ ՀԱՄԱՁԱՅՆԱԳՐԻ» </w:t>
      </w:r>
      <w:r w:rsidR="008559FB" w:rsidRPr="00EE4C57">
        <w:rPr>
          <w:rFonts w:ascii="GHEA Grapalat" w:hAnsi="GHEA Grapalat"/>
          <w:b/>
          <w:caps/>
          <w:sz w:val="24"/>
          <w:szCs w:val="24"/>
          <w:lang w:val="hy-AM"/>
        </w:rPr>
        <w:t>ՍՏՈՐԱԳՄԱՆ ԱՌԱՋԱՐԿՈՒԹՅԱՆԸ ՀԱՎԱՆՈՒԹՅՈՒՆ ՏԱԼՈՒ ՄԱՍԻՆ</w:t>
      </w:r>
    </w:p>
    <w:p w14:paraId="11431626" w14:textId="366B013B" w:rsidR="00EE6291" w:rsidRPr="00EE4C57" w:rsidRDefault="008559FB" w:rsidP="000E5E7C">
      <w:pPr>
        <w:spacing w:after="0" w:line="240" w:lineRule="auto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EE4C57">
        <w:rPr>
          <w:rFonts w:ascii="GHEA Grapalat" w:hAnsi="GHEA Grapalat"/>
          <w:b/>
          <w:caps/>
          <w:sz w:val="24"/>
          <w:szCs w:val="24"/>
          <w:lang w:val="hy-AM"/>
        </w:rPr>
        <w:t>ՀՀ ԿԱՌԱՎԱՐՈՒԹՅԱՆ ՈՐՈՇՄԱՆ ՆԱԽԱԳԾԻ ԸՆԴՈՒՆՄԱՆ</w:t>
      </w:r>
    </w:p>
    <w:p w14:paraId="3483E64D" w14:textId="3B1EDF58" w:rsidR="00763CB9" w:rsidRPr="00EE4C57" w:rsidRDefault="00763CB9" w:rsidP="000E5E7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A6AF5CE" w14:textId="77777777" w:rsidR="001036EF" w:rsidRPr="00EE4C57" w:rsidRDefault="001036EF" w:rsidP="000E5E7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3A74996" w14:textId="77777777" w:rsidR="00881E3D" w:rsidRDefault="00881E3D" w:rsidP="00881E3D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>Վերականգնման վարկերի բանկի (ՎՎԲ) աջակցությամբ իրականացվող «Կովկասյան  էլեկտրահաղորդման ցանց (Հայաստան-Վրաստան հաղորդիչ գիծ/ ենթակայաններ) ծրագրի (այսուհետ՝ Ծրագիր) իրականացման նպատակով կնքվել են</w:t>
      </w:r>
      <w:r>
        <w:rPr>
          <w:rFonts w:ascii="GHEA Grapalat" w:hAnsi="GHEA Grapalat"/>
          <w:lang w:val="hy-AM"/>
        </w:rPr>
        <w:t xml:space="preserve"> հետևյալ վարկային և դրամաշնորհային համաձայնագրերը</w:t>
      </w:r>
      <w:r w:rsidRPr="00EE4C57">
        <w:rPr>
          <w:rFonts w:ascii="GHEA Grapalat" w:hAnsi="GHEA Grapalat"/>
          <w:lang w:val="hy-AM"/>
        </w:rPr>
        <w:t>`</w:t>
      </w:r>
    </w:p>
    <w:p w14:paraId="63BECFBD" w14:textId="77777777" w:rsidR="00881E3D" w:rsidRPr="00EC0C0C" w:rsidRDefault="00881E3D" w:rsidP="00881E3D">
      <w:pPr>
        <w:pStyle w:val="BodyText"/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EC0C0C">
        <w:rPr>
          <w:rFonts w:ascii="GHEA Grapalat" w:hAnsi="GHEA Grapalat"/>
          <w:lang w:val="hy-AM"/>
        </w:rPr>
        <w:t xml:space="preserve">Հայաստանի Հանրապետության և Վերականգնման վարկերի բանկի (ՎՎԲ) միջև 2014թ. դեկտեմբերի 9-ին 75 մլն եվրոյի և 10.2 մլն եվրոյի և 2015թ. դեկտեմբերի 11-ին 83 մլն եվրոյի վարկային համաձայնագրեր, </w:t>
      </w:r>
    </w:p>
    <w:p w14:paraId="2A34741B" w14:textId="77777777" w:rsidR="00881E3D" w:rsidRPr="00EC0C0C" w:rsidRDefault="00881E3D" w:rsidP="00881E3D">
      <w:pPr>
        <w:pStyle w:val="BodyText"/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EC0C0C">
        <w:rPr>
          <w:rFonts w:ascii="GHEA Grapalat" w:hAnsi="GHEA Grapalat"/>
          <w:lang w:val="hy-AM"/>
        </w:rPr>
        <w:t>2016թ. մայիսի 30-ին 10 մլն եվրոյի դրամաշնորհային համաձայնագիր ԵՄ Հարևանության Ներդրումային Գործիքի (“NIF”) շրջանակներում,</w:t>
      </w:r>
    </w:p>
    <w:p w14:paraId="3956FF9C" w14:textId="77777777" w:rsidR="00881E3D" w:rsidRDefault="00881E3D" w:rsidP="00881E3D">
      <w:pPr>
        <w:pStyle w:val="BodyText"/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EC0C0C">
        <w:rPr>
          <w:rFonts w:ascii="GHEA Grapalat" w:hAnsi="GHEA Grapalat"/>
          <w:lang w:val="hy-AM"/>
        </w:rPr>
        <w:t>Հայաստանի Հանրապետության և Եվրոպական ներդրումային բանկի (ԵՆԲ) միջև 2015թ. մարտի 16-ին 10 մ</w:t>
      </w:r>
      <w:r>
        <w:rPr>
          <w:rFonts w:ascii="GHEA Grapalat" w:hAnsi="GHEA Grapalat"/>
          <w:lang w:val="hy-AM"/>
        </w:rPr>
        <w:t>լն եվրոյի վարկային համաձայնագիր,</w:t>
      </w:r>
    </w:p>
    <w:p w14:paraId="5998C84E" w14:textId="77777777" w:rsidR="00881E3D" w:rsidRDefault="00881E3D" w:rsidP="00881E3D">
      <w:pPr>
        <w:pStyle w:val="BodyText"/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>ՎՎԲ-ի, Հայաստանի Հանրապետության՝ ի դեմս ՀՀ ֆինանսների նախարարության և ի դեմս ՀՀ տարածքային կառավարման և ենթակառուցվածքների նախարարության և Ծրագիրն իրականացնող «Բարձրավոլտ էլեկտրացանցեր» ՓԲ ընկերության (այսուհետ՝ Ընկերություն) միջև կնքվել է Փորձագիտական ծառայություններ մատուցելու համար ֆինանսավորման դրամաշնորհային համաձայնագիր՝ 550 հ</w:t>
      </w:r>
      <w:r>
        <w:rPr>
          <w:rFonts w:ascii="GHEA Grapalat" w:hAnsi="GHEA Grapalat"/>
          <w:lang w:val="hy-AM"/>
        </w:rPr>
        <w:t>ազ. եվրոյի չափով օժանդակություն:</w:t>
      </w:r>
    </w:p>
    <w:p w14:paraId="19CF893F" w14:textId="6DB6A792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 xml:space="preserve">Ծրագրի նպատակն է միացնել հայկական և վրացական էներգահամակարգերը վրացական սահմանին մոտ` Այրումում (Հայաստան) տեղակայվող 500/400/220 կՎ բարձր լարման հաստատուն հոսանքի փոխակերպիչ կայանով (վերջնական հզորությունը 1050 ՄՎտ): Վրացական կողմից միացումը կլինի «Մառնեուլի» ենթակայանից 500 կՎ օդային գծի միջոցով, հայկական կողմից միացումը կլինի Դդմաշենում տեղակայվող 400/220 կՎ ենթակայանից 400 կՎ օդային գծի միջոցով: Արդյունքում, Հայաստան-Վրաստան էլեկտրաէներգիայի փոխանակման հզորությունը նախատեսվել է ներկայիս 200 ՄՎտ-ից </w:t>
      </w:r>
      <w:r w:rsidRPr="00EE4C57">
        <w:rPr>
          <w:rFonts w:ascii="GHEA Grapalat" w:hAnsi="GHEA Grapalat"/>
          <w:lang w:val="hy-AM"/>
        </w:rPr>
        <w:lastRenderedPageBreak/>
        <w:t>առաջին փուլում հասցնել 350 ՄՎտ-ի, հետագայում, ելնելով տարածաշրջանային շուկայի պահանջարկից, հասցնել մինչև 1050 ՄՎտ-ի:</w:t>
      </w:r>
    </w:p>
    <w:p w14:paraId="49D0E89D" w14:textId="77777777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>Նոր էլեկտրահաղորդման օդային գծերի կառուցմամբ նկատելիորեն կբարելավվի ծառայության որակը, զգալիորեն կխթանվի էներգետիկայի բնագավառում տարածաշրջանային փոխշահավետ համագործակցության զարգացումը, ինչպես նաև կստեղծվի նախապայման` ԱՊՀ երկրների էլեկտրաէներգետիկ համակարգի հետ զուգահեռ աշխատանք կազմակերպելու համար:</w:t>
      </w:r>
    </w:p>
    <w:p w14:paraId="25C84CFD" w14:textId="77777777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 xml:space="preserve">Ծրագրի շրջանակներում կնքվել է խորհրդատվական պայմանագիր «Fichtner GmbH &amp; Co.KG» ընկերության (այսուհետ՝ Խորհրդատու) հետ: Վերջինիս աջակցությամբ իրականացվում են Ծրագրի 3 լոտով (Լոտ 1՝ Դդմաշենի ենթակայանի, Լոտ 2՝ Էլեկտրահաղորդման գծերի և Լոտ 3՝ Բարձր լարման հաստատուն հոսանքի փոխակերպիչ կայանի (ԲԼՀՀՓԿ)  կառուցում) գլխավոր կապալառուների ընտրության մրցութային գործընթացներ, այդ թվում՝ Լոտ 1-ի մասով. Մրցութային հայտ են ներկայացրել Andritz Hydro GmbH և China National Electric Engineering ընկերությունները: Իրականացվում է տեխնիկական հայտերի ուսումնասիրման գործընթաց, որից հետո սահմանված կարգով կբացվի ֆինանսական հայտերը: </w:t>
      </w:r>
    </w:p>
    <w:p w14:paraId="103E5078" w14:textId="77777777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b/>
          <w:lang w:val="hy-AM"/>
        </w:rPr>
        <w:t>Լոտ 2-ի մասով.</w:t>
      </w:r>
      <w:r w:rsidRPr="00EE4C57">
        <w:rPr>
          <w:rFonts w:ascii="GHEA Grapalat" w:hAnsi="GHEA Grapalat"/>
          <w:lang w:val="hy-AM"/>
        </w:rPr>
        <w:t xml:space="preserve"> Իրականացված մրցույթի արդյունքում հնդկական KEC International limited (այսուհետ՝ KEC) ընկերության հետ սահմանված կարգով կնքվել է պայմանագիր՝ 70 մլն եվրո գումարով՝ առանց ԱԱՀ: KEC-ին վճարվել է կանխավճար (17,5 մլն եվրո), ինչն էլ համարվել է պայմանագրի աշխատանքների սկսման ամսաթիվ: Իրականացվում են պայմանագրով նախատեսված աշխատանքները: </w:t>
      </w:r>
    </w:p>
    <w:p w14:paraId="41A1B4CE" w14:textId="77777777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b/>
          <w:lang w:val="hy-AM"/>
        </w:rPr>
        <w:t>Լոտ 3-ի մասով.</w:t>
      </w:r>
      <w:r w:rsidRPr="00EE4C57">
        <w:rPr>
          <w:rFonts w:ascii="GHEA Grapalat" w:hAnsi="GHEA Grapalat"/>
          <w:lang w:val="hy-AM"/>
        </w:rPr>
        <w:t xml:space="preserve"> Մրցութային հայտ է ներկայացրել State Grid Corporatin of China - CET ընկերությունը (Չինաստան): Իրականացվում է տեխնիկական հայտի ուսումնասիրման գործընթաց, որից հետո սահմանված կարգով կբացվի ֆինանսական հայտը:</w:t>
      </w:r>
    </w:p>
    <w:p w14:paraId="3BBBE6AD" w14:textId="391AB3B3" w:rsidR="00EE4C57" w:rsidRPr="00EE4C57" w:rsidRDefault="007C6EAE" w:rsidP="000D1B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>Ծրագրի իրականացման համար կնքված վարկային և դրամաշնորհային միջոցների ընդհանուր առկա բյուջեն առանց հարկերի կազմում է 188,75 մլն եվրո, մինչդեռ 2024թ. նոյեմբերին Խորհրդատուի կողմից ներկայացված Ծրագրի իրականացման համար թարմացված նախահաշվային արժեքը կազմում է 542,75 մլն եվրո, որն ունի հետևյալ բաշխվածութունը.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3118"/>
      </w:tblGrid>
      <w:tr w:rsidR="007C6EAE" w:rsidRPr="000D1B7C" w14:paraId="586E48D7" w14:textId="77777777" w:rsidTr="007A3AB5">
        <w:tc>
          <w:tcPr>
            <w:tcW w:w="3936" w:type="dxa"/>
          </w:tcPr>
          <w:p w14:paraId="2CA330F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/>
                <w:bCs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lastRenderedPageBreak/>
              <w:t>Լոտ 1՝ Դդմաշենի ենթակայան</w:t>
            </w: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ab/>
            </w:r>
          </w:p>
        </w:tc>
        <w:tc>
          <w:tcPr>
            <w:tcW w:w="3118" w:type="dxa"/>
          </w:tcPr>
          <w:p w14:paraId="0B9B1B2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/>
                <w:bCs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47 մլն եվրո (+/- 15%)*</w:t>
            </w:r>
          </w:p>
        </w:tc>
      </w:tr>
      <w:tr w:rsidR="007C6EAE" w:rsidRPr="000D1B7C" w14:paraId="65C7DD6A" w14:textId="77777777" w:rsidTr="007A3AB5">
        <w:tc>
          <w:tcPr>
            <w:tcW w:w="3936" w:type="dxa"/>
          </w:tcPr>
          <w:p w14:paraId="19ED427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Լոտ 2՝ էլեկտրահաղորդման գիծ</w:t>
            </w: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ab/>
            </w:r>
          </w:p>
        </w:tc>
        <w:tc>
          <w:tcPr>
            <w:tcW w:w="3118" w:type="dxa"/>
          </w:tcPr>
          <w:p w14:paraId="3E1C7BD8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75 մլն եվրո</w:t>
            </w:r>
          </w:p>
        </w:tc>
      </w:tr>
      <w:tr w:rsidR="007C6EAE" w:rsidRPr="000D1B7C" w14:paraId="268E1D61" w14:textId="77777777" w:rsidTr="007A3AB5">
        <w:tc>
          <w:tcPr>
            <w:tcW w:w="3936" w:type="dxa"/>
          </w:tcPr>
          <w:p w14:paraId="3F862471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Լոտ 3՝ Այրում ԲԼՀՀ փոխակերպիչ կայան</w:t>
            </w:r>
          </w:p>
        </w:tc>
        <w:tc>
          <w:tcPr>
            <w:tcW w:w="3118" w:type="dxa"/>
          </w:tcPr>
          <w:p w14:paraId="1830E356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343 մլն եվրո (+/- 25%)*</w:t>
            </w:r>
          </w:p>
        </w:tc>
      </w:tr>
      <w:tr w:rsidR="007C6EAE" w:rsidRPr="000D1B7C" w14:paraId="31A0BA93" w14:textId="77777777" w:rsidTr="007A3AB5">
        <w:tc>
          <w:tcPr>
            <w:tcW w:w="3936" w:type="dxa"/>
          </w:tcPr>
          <w:p w14:paraId="3509E27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Չնախատեսված ծախսեր</w:t>
            </w:r>
          </w:p>
        </w:tc>
        <w:tc>
          <w:tcPr>
            <w:tcW w:w="3118" w:type="dxa"/>
          </w:tcPr>
          <w:p w14:paraId="57429D7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69, 75 մլն եվրո</w:t>
            </w:r>
          </w:p>
        </w:tc>
      </w:tr>
      <w:tr w:rsidR="007C6EAE" w:rsidRPr="000D1B7C" w14:paraId="1760BF93" w14:textId="77777777" w:rsidTr="007A3AB5">
        <w:tc>
          <w:tcPr>
            <w:tcW w:w="3936" w:type="dxa"/>
          </w:tcPr>
          <w:p w14:paraId="7E225E08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theme="minorBidi"/>
                <w:bCs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Խորհրդատու</w:t>
            </w:r>
          </w:p>
        </w:tc>
        <w:tc>
          <w:tcPr>
            <w:tcW w:w="3118" w:type="dxa"/>
          </w:tcPr>
          <w:p w14:paraId="077E67CC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8  մլն եվրո</w:t>
            </w:r>
          </w:p>
        </w:tc>
      </w:tr>
      <w:tr w:rsidR="007C6EAE" w:rsidRPr="000D1B7C" w14:paraId="7C468728" w14:textId="77777777" w:rsidTr="007A3AB5">
        <w:tc>
          <w:tcPr>
            <w:tcW w:w="3936" w:type="dxa"/>
          </w:tcPr>
          <w:p w14:paraId="75A2224C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  <w:lang w:val="hy-AM"/>
              </w:rPr>
              <w:t>Ընդհանուր</w:t>
            </w:r>
            <w:r w:rsidRPr="000D1B7C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  <w:lang w:val="hy-AM"/>
              </w:rPr>
              <w:tab/>
            </w:r>
          </w:p>
        </w:tc>
        <w:tc>
          <w:tcPr>
            <w:tcW w:w="3118" w:type="dxa"/>
          </w:tcPr>
          <w:p w14:paraId="680AAAC7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i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b/>
                <w:bCs/>
                <w:i/>
                <w:sz w:val="20"/>
                <w:szCs w:val="20"/>
                <w:lang w:val="hy-AM"/>
              </w:rPr>
              <w:t>542,75 մլն եվրո</w:t>
            </w:r>
          </w:p>
        </w:tc>
      </w:tr>
    </w:tbl>
    <w:p w14:paraId="38BBF4D4" w14:textId="77777777" w:rsidR="007C6EAE" w:rsidRPr="00EE4C57" w:rsidRDefault="007C6EAE" w:rsidP="000E5E7C">
      <w:pPr>
        <w:pStyle w:val="BodyText"/>
        <w:spacing w:after="0" w:line="360" w:lineRule="auto"/>
        <w:jc w:val="both"/>
        <w:rPr>
          <w:rFonts w:ascii="GHEA Grapalat" w:hAnsi="GHEA Grapalat"/>
          <w:sz w:val="20"/>
          <w:szCs w:val="20"/>
          <w:lang w:val="hy-AM"/>
        </w:rPr>
      </w:pPr>
      <w:r w:rsidRPr="00EE4C57">
        <w:rPr>
          <w:rFonts w:ascii="GHEA Grapalat" w:hAnsi="GHEA Grapalat"/>
          <w:sz w:val="20"/>
          <w:szCs w:val="20"/>
          <w:lang w:val="hy-AM"/>
        </w:rPr>
        <w:t>*Ըստ Խորհրդատուի՝ Լոտ 1-ի համար նշված բյուջեն կարող է տատանվել +/- 15%, իսկ Լոտ 3-ի համար՝ +/- 25%:</w:t>
      </w:r>
    </w:p>
    <w:p w14:paraId="7D9611EC" w14:textId="77777777" w:rsidR="005212E3" w:rsidRDefault="005212E3" w:rsidP="000E5E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6371067" w14:textId="222F26F7" w:rsidR="007C6EAE" w:rsidRPr="00EE4C57" w:rsidRDefault="007C6EAE" w:rsidP="000E5E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4C57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վերոգրյալը, ինչպես նաև Ծրագրի իրականացման համար ֆինանսական բացը լրացնելու և Ծրագրի բնականոն ընթացքն ապահովելու նպատակով Նախարարությունը և Ընկերությունը գտնում են, որ անհրաժեշտ է Հայաստանի Հանրապետության և Վերականգնման վարկերի բանկի (ՎՎԲ) միջև 120 մլն եվրո արժողությամբ «Կովկասյան էլեկտրահաղորդման ցանց IV» վարկային </w:t>
      </w:r>
      <w:r w:rsidR="0040645A">
        <w:rPr>
          <w:rFonts w:ascii="GHEA Grapalat" w:hAnsi="GHEA Grapalat"/>
          <w:sz w:val="24"/>
          <w:szCs w:val="24"/>
          <w:lang w:val="hy-AM"/>
        </w:rPr>
        <w:t>համաձայնագր</w:t>
      </w:r>
      <w:bookmarkStart w:id="0" w:name="_GoBack"/>
      <w:bookmarkEnd w:id="0"/>
      <w:r w:rsidRPr="00EE4C57">
        <w:rPr>
          <w:rFonts w:ascii="GHEA Grapalat" w:hAnsi="GHEA Grapalat"/>
          <w:sz w:val="24"/>
          <w:szCs w:val="24"/>
          <w:lang w:val="hy-AM"/>
        </w:rPr>
        <w:t>ի կնքումը:</w:t>
      </w:r>
    </w:p>
    <w:p w14:paraId="3AA45023" w14:textId="7A279A07" w:rsidR="00D94489" w:rsidRPr="00EE4C57" w:rsidRDefault="00D94489" w:rsidP="000E5E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4C57">
        <w:rPr>
          <w:rFonts w:ascii="GHEA Grapalat" w:hAnsi="GHEA Grapalat"/>
          <w:sz w:val="24"/>
          <w:szCs w:val="24"/>
          <w:lang w:val="hy-AM"/>
        </w:rPr>
        <w:t xml:space="preserve">Միաժամանակ, Վարկային համաձայնագրի շրջանակներում ՀՀ 2026թ. պետական բյուջեով 1167 ծրագրի 42008 միջոցառմամբ նախատեսված է 45.6 մլրդ դրամ, որից վարկային միջոցներ՝ 43.5 մլրդ դրամ և 2.1 մլրդ դրամ՝ համաֆինանսավորում (103.5 մլն եվրո, որից վարկային միջոցներ՝ 98.9 մլն եվրո, համաֆինանսավորում՝ 4.6 մլն եվրո): </w:t>
      </w:r>
    </w:p>
    <w:p w14:paraId="211C5C07" w14:textId="77777777" w:rsidR="00925EEC" w:rsidRDefault="00925EEC" w:rsidP="000E5E7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</w:pPr>
    </w:p>
    <w:p w14:paraId="0F79EDF0" w14:textId="77777777" w:rsidR="00925EEC" w:rsidRDefault="00925EEC" w:rsidP="000E5E7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</w:pPr>
    </w:p>
    <w:p w14:paraId="49F52D5D" w14:textId="58033E4D" w:rsidR="003F71BA" w:rsidRPr="00EE4C57" w:rsidRDefault="003F71BA" w:rsidP="000E5E7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</w:pPr>
      <w:r w:rsidRPr="00EE4C57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Կապը ռազմավարական փաստաթղթերի հետ</w:t>
      </w:r>
    </w:p>
    <w:p w14:paraId="231DA834" w14:textId="36D41C55" w:rsidR="003F71BA" w:rsidRPr="00EE4C57" w:rsidRDefault="003F71BA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>Ծրագրի իրականացման անհրաժեշտությունը բխում է ՀՀ կառավարության 2021թ. հունվարի 14-ի № 48-Լ որոշմամբ հաստատված՝ Հայաստանի Հանրապետության էներգետիկայի բնագավառի զարգացման ռազմավարական ծրագրից (մինչև 2040 թվականը) և դրա իրագործումն ապահովող ծրագիր-ժամանակացույցից:</w:t>
      </w:r>
    </w:p>
    <w:sectPr w:rsidR="003F71BA" w:rsidRPr="00EE4C57" w:rsidSect="002B4FF2">
      <w:pgSz w:w="12240" w:h="15840"/>
      <w:pgMar w:top="851" w:right="900" w:bottom="63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00B"/>
    <w:multiLevelType w:val="hybridMultilevel"/>
    <w:tmpl w:val="02EC6EB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A076DFC"/>
    <w:multiLevelType w:val="hybridMultilevel"/>
    <w:tmpl w:val="2C701F9E"/>
    <w:lvl w:ilvl="0" w:tplc="518CF5E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015E87"/>
    <w:multiLevelType w:val="hybridMultilevel"/>
    <w:tmpl w:val="67BE3A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565A1"/>
    <w:multiLevelType w:val="multilevel"/>
    <w:tmpl w:val="2B54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75368E"/>
    <w:multiLevelType w:val="hybridMultilevel"/>
    <w:tmpl w:val="A1D25E9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46DCB"/>
    <w:multiLevelType w:val="hybridMultilevel"/>
    <w:tmpl w:val="29503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81639"/>
    <w:multiLevelType w:val="hybridMultilevel"/>
    <w:tmpl w:val="5ACCB90E"/>
    <w:lvl w:ilvl="0" w:tplc="32987B9C">
      <w:start w:val="1"/>
      <w:numFmt w:val="bullet"/>
      <w:lvlText w:val=""/>
      <w:lvlJc w:val="left"/>
      <w:pPr>
        <w:ind w:left="1287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6450FC"/>
    <w:multiLevelType w:val="hybridMultilevel"/>
    <w:tmpl w:val="2BACB0F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AAF4428"/>
    <w:multiLevelType w:val="multilevel"/>
    <w:tmpl w:val="D2F6B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FE5D55"/>
    <w:multiLevelType w:val="hybridMultilevel"/>
    <w:tmpl w:val="9814E35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D7D1C40"/>
    <w:multiLevelType w:val="hybridMultilevel"/>
    <w:tmpl w:val="D1925130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15A6A6B"/>
    <w:multiLevelType w:val="hybridMultilevel"/>
    <w:tmpl w:val="CF34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F61DA"/>
    <w:multiLevelType w:val="multilevel"/>
    <w:tmpl w:val="445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AE7621"/>
    <w:multiLevelType w:val="hybridMultilevel"/>
    <w:tmpl w:val="50CCF4DE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6" w15:restartNumberingAfterBreak="0">
    <w:nsid w:val="7FD8452F"/>
    <w:multiLevelType w:val="hybridMultilevel"/>
    <w:tmpl w:val="B596DCC4"/>
    <w:lvl w:ilvl="0" w:tplc="8C96FB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2"/>
  </w:num>
  <w:num w:numId="4">
    <w:abstractNumId w:val="11"/>
  </w:num>
  <w:num w:numId="5">
    <w:abstractNumId w:val="6"/>
  </w:num>
  <w:num w:numId="6">
    <w:abstractNumId w:val="9"/>
  </w:num>
  <w:num w:numId="7">
    <w:abstractNumId w:val="13"/>
  </w:num>
  <w:num w:numId="8">
    <w:abstractNumId w:val="3"/>
  </w:num>
  <w:num w:numId="9">
    <w:abstractNumId w:val="4"/>
  </w:num>
  <w:num w:numId="10">
    <w:abstractNumId w:val="5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6"/>
  </w:num>
  <w:num w:numId="14">
    <w:abstractNumId w:val="10"/>
  </w:num>
  <w:num w:numId="15">
    <w:abstractNumId w:val="8"/>
  </w:num>
  <w:num w:numId="16">
    <w:abstractNumId w:val="7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D1"/>
    <w:rsid w:val="00046A5B"/>
    <w:rsid w:val="000D1B7C"/>
    <w:rsid w:val="000D4ADB"/>
    <w:rsid w:val="000D7942"/>
    <w:rsid w:val="000E5E7C"/>
    <w:rsid w:val="001036EF"/>
    <w:rsid w:val="00111B36"/>
    <w:rsid w:val="001447B5"/>
    <w:rsid w:val="00172F10"/>
    <w:rsid w:val="0021401B"/>
    <w:rsid w:val="00215FB4"/>
    <w:rsid w:val="00227249"/>
    <w:rsid w:val="00244A17"/>
    <w:rsid w:val="002524DF"/>
    <w:rsid w:val="002B4FF2"/>
    <w:rsid w:val="002F757D"/>
    <w:rsid w:val="00365CA8"/>
    <w:rsid w:val="00372E60"/>
    <w:rsid w:val="003C330E"/>
    <w:rsid w:val="003F12C7"/>
    <w:rsid w:val="003F159A"/>
    <w:rsid w:val="003F71BA"/>
    <w:rsid w:val="0040645A"/>
    <w:rsid w:val="00410A60"/>
    <w:rsid w:val="00415D21"/>
    <w:rsid w:val="004217A4"/>
    <w:rsid w:val="004D7CB6"/>
    <w:rsid w:val="004E610B"/>
    <w:rsid w:val="004E6898"/>
    <w:rsid w:val="005212E3"/>
    <w:rsid w:val="0054499F"/>
    <w:rsid w:val="00580A25"/>
    <w:rsid w:val="00581A52"/>
    <w:rsid w:val="00585617"/>
    <w:rsid w:val="00592FB3"/>
    <w:rsid w:val="005D4F73"/>
    <w:rsid w:val="005F7E7D"/>
    <w:rsid w:val="006475CF"/>
    <w:rsid w:val="006735D1"/>
    <w:rsid w:val="00695791"/>
    <w:rsid w:val="006B27D9"/>
    <w:rsid w:val="0072038E"/>
    <w:rsid w:val="00763CB9"/>
    <w:rsid w:val="00771E4F"/>
    <w:rsid w:val="007731F1"/>
    <w:rsid w:val="007752A5"/>
    <w:rsid w:val="007C2037"/>
    <w:rsid w:val="007C6EAE"/>
    <w:rsid w:val="007C7979"/>
    <w:rsid w:val="008559FB"/>
    <w:rsid w:val="00863F22"/>
    <w:rsid w:val="00881E3D"/>
    <w:rsid w:val="008C3154"/>
    <w:rsid w:val="00913754"/>
    <w:rsid w:val="00925EEC"/>
    <w:rsid w:val="00936CCB"/>
    <w:rsid w:val="009416C3"/>
    <w:rsid w:val="009701BE"/>
    <w:rsid w:val="009763F9"/>
    <w:rsid w:val="00976416"/>
    <w:rsid w:val="009C2D45"/>
    <w:rsid w:val="009E33DA"/>
    <w:rsid w:val="00A7045B"/>
    <w:rsid w:val="00A90C9F"/>
    <w:rsid w:val="00B11050"/>
    <w:rsid w:val="00B72B31"/>
    <w:rsid w:val="00BC6243"/>
    <w:rsid w:val="00BD4631"/>
    <w:rsid w:val="00CB0827"/>
    <w:rsid w:val="00D00738"/>
    <w:rsid w:val="00D94489"/>
    <w:rsid w:val="00DF63C1"/>
    <w:rsid w:val="00E06C55"/>
    <w:rsid w:val="00E418EA"/>
    <w:rsid w:val="00EB33CB"/>
    <w:rsid w:val="00EB5AA3"/>
    <w:rsid w:val="00EE4C57"/>
    <w:rsid w:val="00EE6291"/>
    <w:rsid w:val="00F0502A"/>
    <w:rsid w:val="00F301D3"/>
    <w:rsid w:val="00F56970"/>
    <w:rsid w:val="00F95225"/>
    <w:rsid w:val="00FB4B6B"/>
    <w:rsid w:val="00FB7998"/>
    <w:rsid w:val="00FC4B3B"/>
    <w:rsid w:val="00FD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FC7F"/>
  <w15:chartTrackingRefBased/>
  <w15:docId w15:val="{189C36EB-14EC-413D-8F0F-2D1036F6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6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BD4631"/>
  </w:style>
  <w:style w:type="character" w:customStyle="1" w:styleId="a">
    <w:name w:val="Текст выноски Знак"/>
    <w:basedOn w:val="DefaultParagraphFont"/>
    <w:uiPriority w:val="99"/>
    <w:semiHidden/>
    <w:qFormat/>
    <w:rsid w:val="00BD463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Report Par"/>
    <w:basedOn w:val="Normal"/>
    <w:link w:val="ListParagraphChar"/>
    <w:uiPriority w:val="34"/>
    <w:qFormat/>
    <w:rsid w:val="008559F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8559FB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4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4F73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7C6E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C6EAE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7C6EAE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 w:cs="Times New Roman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7C6EAE"/>
    <w:rPr>
      <w:rFonts w:ascii="Arial" w:eastAsia="Times New Roman" w:hAnsi="Arial" w:cs="Times New Roman"/>
      <w:lang w:val="de-AT"/>
    </w:rPr>
  </w:style>
  <w:style w:type="table" w:styleId="TableGrid">
    <w:name w:val="Table Grid"/>
    <w:basedOn w:val="TableNormal"/>
    <w:uiPriority w:val="59"/>
    <w:rsid w:val="007C6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6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618</Words>
  <Characters>4332</Characters>
  <Application>Microsoft Office Word</Application>
  <DocSecurity>0</DocSecurity>
  <Lines>92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https://mul2-minfin.gov.am/tasks/1153504/oneclick?token=e947ed8f7e8e491fcfd51252c7873898</cp:keywords>
  <dc:description/>
  <cp:lastModifiedBy>Diana Santrosyan</cp:lastModifiedBy>
  <cp:revision>26</cp:revision>
  <dcterms:created xsi:type="dcterms:W3CDTF">2025-11-25T07:00:00Z</dcterms:created>
  <dcterms:modified xsi:type="dcterms:W3CDTF">2026-03-05T14:19:00Z</dcterms:modified>
</cp:coreProperties>
</file>