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C4A2F4" w14:textId="77777777" w:rsidR="00E13621" w:rsidRDefault="00E13621" w:rsidP="00E13621">
      <w:pPr>
        <w:spacing w:before="240" w:after="0" w:line="360" w:lineRule="auto"/>
        <w:jc w:val="right"/>
        <w:rPr>
          <w:rFonts w:ascii="GHEA Grapalat" w:eastAsia="GHEA Grapalat" w:hAnsi="GHEA Grapalat" w:cs="GHEA Grapalat"/>
          <w:b/>
          <w:sz w:val="24"/>
          <w:szCs w:val="24"/>
        </w:rPr>
      </w:pPr>
      <w:r>
        <w:rPr>
          <w:rFonts w:ascii="GHEA Grapalat" w:eastAsia="GHEA Grapalat" w:hAnsi="GHEA Grapalat" w:cs="GHEA Grapalat"/>
          <w:b/>
          <w:sz w:val="24"/>
          <w:szCs w:val="24"/>
        </w:rPr>
        <w:t>ՆԱԽԱԳԻԾ</w:t>
      </w:r>
    </w:p>
    <w:p w14:paraId="4EAC672C" w14:textId="77777777" w:rsidR="00E13621" w:rsidRDefault="00E13621" w:rsidP="00E13621">
      <w:pPr>
        <w:spacing w:before="240"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ՀԱՅԱՍՏԱՆԻ ՀԱՆՐԱՊԵՏՈւԹՅԱՆ ԿԱՌԱՎԱՐՈՒԹՅՈւՆ</w:t>
      </w:r>
    </w:p>
    <w:p w14:paraId="46FED8A1" w14:textId="77777777" w:rsidR="00E13621" w:rsidRDefault="00E13621" w:rsidP="00E13621">
      <w:pPr>
        <w:spacing w:before="240"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Ո Ր Ո Շ ՈՒ Մ</w:t>
      </w:r>
    </w:p>
    <w:p w14:paraId="39C96391" w14:textId="77777777" w:rsidR="00E13621" w:rsidRDefault="00E13621" w:rsidP="00E13621">
      <w:pPr>
        <w:spacing w:before="240"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«______»____________ 2026 ԹՎԱԿԱՆԻ N______Ն</w:t>
      </w:r>
    </w:p>
    <w:p w14:paraId="7DFD8BA9" w14:textId="77777777" w:rsidR="00E13621" w:rsidRDefault="00E13621" w:rsidP="00E13621">
      <w:pPr>
        <w:spacing w:before="240"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ՀԱՅԱՍՏԱՆԻ ՀԱՆՐԱՊԵՏՈՒԹՅԱՆ ԿԱՌԱՎԱՐՈՒԹՅԱՆ 2022 ԹՎԱԿԱՆԻ ՀՈՒԼԻՍԻ 28-Ի N 1177-Ն, N 1180-Ն ԵՎ N 1161-Ն ՈՐՈՇՈՒՄՆԵՐՈՒՄ ՓՈՓՈԽՈՒԹՅՈՒՆՆԵՐ ԵՎ ԼՐԱՑՈՒՄՆԵՐ ԿԱՏԱՐԵԼՈՒ ՄԱՍԻՆ</w:t>
      </w:r>
    </w:p>
    <w:p w14:paraId="02E3D85F" w14:textId="77777777" w:rsidR="00E13621" w:rsidRDefault="00E13621" w:rsidP="00E13621">
      <w:pPr>
        <w:spacing w:before="240" w:after="0" w:line="360" w:lineRule="auto"/>
        <w:jc w:val="both"/>
        <w:rPr>
          <w:rFonts w:ascii="GHEA Grapalat" w:eastAsia="GHEA Grapalat" w:hAnsi="GHEA Grapalat" w:cs="GHEA Grapalat"/>
          <w:i/>
          <w:sz w:val="24"/>
          <w:szCs w:val="24"/>
        </w:rPr>
      </w:pPr>
      <w:r>
        <w:rPr>
          <w:rFonts w:ascii="GHEA Grapalat" w:eastAsia="GHEA Grapalat" w:hAnsi="GHEA Grapalat" w:cs="GHEA Grapalat"/>
          <w:sz w:val="24"/>
          <w:szCs w:val="24"/>
        </w:rPr>
        <w:t xml:space="preserve">Ղեկավարվելով «Նորմատիվ իրավական ակտերի մասին» օրենքի 33-րդ և 34-րդ հոդվածներով ՝ </w:t>
      </w:r>
      <w:r>
        <w:rPr>
          <w:rFonts w:ascii="GHEA Grapalat" w:eastAsia="GHEA Grapalat" w:hAnsi="GHEA Grapalat" w:cs="GHEA Grapalat"/>
          <w:i/>
          <w:sz w:val="24"/>
          <w:szCs w:val="24"/>
        </w:rPr>
        <w:t xml:space="preserve">Հայաստանի Հանրապետության կառավարությունը որոշում է. </w:t>
      </w:r>
    </w:p>
    <w:p w14:paraId="79F05F4B" w14:textId="77777777" w:rsidR="00E13621" w:rsidRDefault="00E13621" w:rsidP="00E13621">
      <w:pPr>
        <w:shd w:val="clear" w:color="auto" w:fill="FFFFFF"/>
        <w:spacing w:after="0" w:line="360" w:lineRule="auto"/>
        <w:jc w:val="both"/>
        <w:rPr>
          <w:rFonts w:ascii="GHEA Grapalat" w:hAnsi="GHEA Grapalat"/>
          <w:bCs/>
          <w:color w:val="000000"/>
          <w:sz w:val="24"/>
          <w:szCs w:val="24"/>
          <w:shd w:val="clear" w:color="auto" w:fill="FFFFFF"/>
        </w:rPr>
      </w:pPr>
      <w:r>
        <w:rPr>
          <w:rFonts w:ascii="GHEA Grapalat" w:hAnsi="GHEA Grapalat"/>
          <w:bCs/>
          <w:color w:val="000000"/>
          <w:sz w:val="24"/>
          <w:szCs w:val="24"/>
          <w:shd w:val="clear" w:color="auto" w:fill="FFFFFF"/>
        </w:rPr>
        <w:t>1</w:t>
      </w:r>
      <w:r>
        <w:rPr>
          <w:rFonts w:ascii="MS Gothic" w:eastAsia="MS Gothic" w:hAnsi="MS Gothic" w:cs="MS Gothic" w:hint="eastAsia"/>
          <w:bCs/>
          <w:color w:val="000000"/>
          <w:sz w:val="24"/>
          <w:szCs w:val="24"/>
          <w:shd w:val="clear" w:color="auto" w:fill="FFFFFF"/>
          <w:lang w:val="ru-RU"/>
        </w:rPr>
        <w:t>․</w:t>
      </w:r>
      <w:r>
        <w:rPr>
          <w:rFonts w:ascii="GHEA Grapalat" w:hAnsi="GHEA Grapalat"/>
          <w:bCs/>
          <w:color w:val="000000"/>
          <w:sz w:val="24"/>
          <w:szCs w:val="24"/>
          <w:shd w:val="clear" w:color="auto" w:fill="FFFFFF"/>
          <w:lang w:val="ru-RU"/>
        </w:rPr>
        <w:t xml:space="preserve"> </w:t>
      </w:r>
      <w:r>
        <w:rPr>
          <w:rFonts w:ascii="GHEA Grapalat" w:hAnsi="GHEA Grapalat"/>
          <w:bCs/>
          <w:color w:val="000000"/>
          <w:sz w:val="24"/>
          <w:szCs w:val="24"/>
          <w:shd w:val="clear" w:color="auto" w:fill="FFFFFF"/>
        </w:rPr>
        <w:t>Հայաստանի Հանրապետության կառավարության 2022 թվականի հուլիսի 28-ի «Անձի ֆունկցիոնալության գնահատման չափորոշիչները և գործիքները հաստատելու մասին» N 1177-Ն որոշման (այսուհետ՝ որոշում) հավելվածում կատարել հետևյալ լրացումները ու փոփոխությունը՝</w:t>
      </w:r>
    </w:p>
    <w:p w14:paraId="1584B597" w14:textId="77777777" w:rsidR="00E13621" w:rsidRDefault="00E13621" w:rsidP="00E13621">
      <w:pPr>
        <w:shd w:val="clear" w:color="auto" w:fill="FFFFFF"/>
        <w:spacing w:after="0" w:line="360" w:lineRule="auto"/>
        <w:jc w:val="both"/>
        <w:rPr>
          <w:rFonts w:ascii="GHEA Grapalat" w:hAnsi="GHEA Grapalat"/>
          <w:bCs/>
          <w:color w:val="000000"/>
          <w:sz w:val="24"/>
          <w:szCs w:val="24"/>
          <w:shd w:val="clear" w:color="auto" w:fill="FFFFFF"/>
        </w:rPr>
      </w:pPr>
      <w:r>
        <w:rPr>
          <w:rFonts w:ascii="GHEA Grapalat" w:hAnsi="GHEA Grapalat"/>
          <w:bCs/>
          <w:color w:val="000000"/>
          <w:sz w:val="24"/>
          <w:szCs w:val="24"/>
          <w:shd w:val="clear" w:color="auto" w:fill="FFFFFF"/>
        </w:rPr>
        <w:t>1) որոշման հավելվածի 7-րդ կետից հանել «ծածկագրից բաժանվում է կետով,» բառերը</w:t>
      </w:r>
      <w:r>
        <w:rPr>
          <w:rFonts w:ascii="MS Gothic" w:eastAsia="MS Gothic" w:hAnsi="MS Gothic" w:cs="MS Gothic" w:hint="eastAsia"/>
          <w:bCs/>
          <w:color w:val="000000"/>
          <w:sz w:val="24"/>
          <w:szCs w:val="24"/>
          <w:shd w:val="clear" w:color="auto" w:fill="FFFFFF"/>
          <w:lang w:val="ru-RU"/>
        </w:rPr>
        <w:t>․</w:t>
      </w:r>
    </w:p>
    <w:p w14:paraId="1F371748" w14:textId="77777777" w:rsidR="00E13621" w:rsidRDefault="00E13621" w:rsidP="00E13621">
      <w:pPr>
        <w:shd w:val="clear" w:color="auto" w:fill="FFFFFF"/>
        <w:spacing w:after="0" w:line="360" w:lineRule="auto"/>
        <w:jc w:val="both"/>
        <w:rPr>
          <w:rFonts w:ascii="GHEA Grapalat" w:hAnsi="GHEA Grapalat"/>
          <w:bCs/>
          <w:color w:val="000000"/>
          <w:sz w:val="24"/>
          <w:szCs w:val="24"/>
          <w:shd w:val="clear" w:color="auto" w:fill="FFFFFF"/>
        </w:rPr>
      </w:pPr>
      <w:r>
        <w:rPr>
          <w:rFonts w:ascii="GHEA Grapalat" w:hAnsi="GHEA Grapalat"/>
          <w:bCs/>
          <w:color w:val="000000"/>
          <w:sz w:val="24"/>
          <w:szCs w:val="24"/>
          <w:shd w:val="clear" w:color="auto" w:fill="FFFFFF"/>
        </w:rPr>
        <w:t>2) որոշման հավելվածի 8-րդ կետից հանել «</w:t>
      </w:r>
      <w:r>
        <w:rPr>
          <w:rFonts w:ascii="GHEA Grapalat" w:eastAsia="Times New Roman" w:hAnsi="GHEA Grapalat" w:cs="Arial"/>
          <w:color w:val="333333"/>
          <w:sz w:val="24"/>
          <w:szCs w:val="24"/>
        </w:rPr>
        <w:t>՝ Հայաստանի Հանրապետության կառավարության 2022 թվականի հուլիսի 28-ի N 1180-Ն որոշման հավելվածի 41.1-ին կետի համաձայն՝ մինչև 18 տարեկան անձանց համար» բառերը ու</w:t>
      </w:r>
      <w:r>
        <w:rPr>
          <w:rFonts w:ascii="GHEA Grapalat" w:hAnsi="GHEA Grapalat"/>
          <w:bCs/>
          <w:color w:val="000000"/>
          <w:sz w:val="24"/>
          <w:szCs w:val="24"/>
          <w:shd w:val="clear" w:color="auto" w:fill="FFFFFF"/>
        </w:rPr>
        <w:t xml:space="preserve"> </w:t>
      </w:r>
      <w:r>
        <w:rPr>
          <w:rFonts w:ascii="GHEA Grapalat" w:eastAsia="Arial Unicode" w:hAnsi="GHEA Grapalat" w:cs="Arial Unicode"/>
          <w:color w:val="000000"/>
          <w:sz w:val="24"/>
          <w:szCs w:val="24"/>
        </w:rPr>
        <w:t xml:space="preserve">լրացնել հետևյալ բովանդակությամբ նոր նախադասություններով. </w:t>
      </w:r>
      <w:r>
        <w:rPr>
          <w:rFonts w:ascii="GHEA Grapalat" w:hAnsi="GHEA Grapalat"/>
          <w:bCs/>
          <w:color w:val="000000"/>
          <w:sz w:val="24"/>
          <w:szCs w:val="24"/>
          <w:shd w:val="clear" w:color="auto" w:fill="FFFFFF"/>
        </w:rPr>
        <w:t>«Գործունեության ու մասնակցության «d» ծածկագրերի մասնակցության բաղադրիչի գնահատման համար հիմք է հանդիսանում նաև միջավայրային գործոնների «е» ծածկագրերի վերաբերյալ ձեռքբերված տեղեկությունները։ «e» ծածկագրերի գնահատականները հաշվի են առնվում նաև ԾԱԾ-ի մշակման ժամանակ և ուղղված են հասարակական կյանքին անձի սոցիալական ներառմանը և լիարժեք ու արդյունավետ մասնակցությանը։».</w:t>
      </w:r>
    </w:p>
    <w:p w14:paraId="1F84EC31" w14:textId="77777777" w:rsidR="00E13621" w:rsidRDefault="00E13621" w:rsidP="00E13621">
      <w:pPr>
        <w:spacing w:line="360" w:lineRule="auto"/>
        <w:jc w:val="both"/>
        <w:rPr>
          <w:rFonts w:ascii="GHEA Grapalat" w:hAnsi="GHEA Grapalat"/>
          <w:bCs/>
          <w:color w:val="000000"/>
          <w:sz w:val="24"/>
          <w:szCs w:val="24"/>
          <w:shd w:val="clear" w:color="auto" w:fill="FFFFFF"/>
        </w:rPr>
      </w:pPr>
      <w:r>
        <w:rPr>
          <w:rFonts w:ascii="GHEA Grapalat" w:hAnsi="GHEA Grapalat"/>
          <w:bCs/>
          <w:color w:val="000000"/>
          <w:sz w:val="24"/>
          <w:szCs w:val="24"/>
          <w:shd w:val="clear" w:color="auto" w:fill="FFFFFF"/>
        </w:rPr>
        <w:t>3) որոշման հավելվածի 5-րդ գլուխը շարադրել նոր խմբագրությամբ՝ հետևյալ բովանդակությամբ՝</w:t>
      </w:r>
    </w:p>
    <w:p w14:paraId="4965CEC5" w14:textId="77777777" w:rsidR="00E13621" w:rsidRDefault="00E13621" w:rsidP="00E13621">
      <w:pPr>
        <w:spacing w:line="360" w:lineRule="auto"/>
        <w:jc w:val="center"/>
        <w:rPr>
          <w:rFonts w:ascii="GHEA Grapalat" w:hAnsi="GHEA Grapalat"/>
          <w:bCs/>
          <w:color w:val="000000"/>
          <w:sz w:val="24"/>
          <w:szCs w:val="24"/>
          <w:shd w:val="clear" w:color="auto" w:fill="FFFFFF"/>
        </w:rPr>
      </w:pPr>
      <w:r>
        <w:rPr>
          <w:rFonts w:ascii="GHEA Grapalat" w:hAnsi="GHEA Grapalat"/>
          <w:bCs/>
          <w:color w:val="000000"/>
          <w:sz w:val="24"/>
          <w:szCs w:val="24"/>
          <w:shd w:val="clear" w:color="auto" w:fill="FFFFFF"/>
        </w:rPr>
        <w:br/>
        <w:t>«</w:t>
      </w:r>
      <w:r>
        <w:rPr>
          <w:rFonts w:ascii="GHEA Grapalat" w:hAnsi="GHEA Grapalat"/>
          <w:b/>
          <w:bCs/>
          <w:sz w:val="24"/>
          <w:szCs w:val="24"/>
        </w:rPr>
        <w:t>5. ՎԵՐԱԿԱՆԳՆՄԱՆ ՀԵՌԱՆԿԱՐԻ ԲԱՑԱԿԱՅՈՒԹՅԱՆ ԿԱՆԽԱՏԵՍՈՒՄՈՎ ՖՈՒՆԿՑԻՈՆԱԼՈՒԹՅԱՆ ՍԱՀՄԱՆԱՓԱԿՈՒՄՆԵՐԻ ՀԱՆԳԵՑՆՈՂ ԱԽՏԱԲԱՆԱԿԱՆ ՎԻՃԱԿՆԵՐ ԿԱՄ ԱՅԼ ԴԵՊՔԵՐ</w:t>
      </w:r>
    </w:p>
    <w:p w14:paraId="61BA3388" w14:textId="77777777" w:rsidR="00E13621" w:rsidRDefault="00E13621" w:rsidP="00E13621">
      <w:pPr>
        <w:spacing w:line="360" w:lineRule="auto"/>
        <w:rPr>
          <w:rFonts w:ascii="GHEA Grapalat" w:hAnsi="GHEA Grapalat"/>
          <w:sz w:val="24"/>
          <w:szCs w:val="24"/>
        </w:rPr>
      </w:pPr>
      <w:r>
        <w:rPr>
          <w:sz w:val="24"/>
          <w:szCs w:val="24"/>
        </w:rPr>
        <w:t> </w:t>
      </w:r>
    </w:p>
    <w:p w14:paraId="3F57CBB0" w14:textId="77777777" w:rsidR="00E13621" w:rsidRDefault="00E13621" w:rsidP="00E13621">
      <w:pPr>
        <w:spacing w:line="360" w:lineRule="auto"/>
        <w:rPr>
          <w:rFonts w:ascii="GHEA Grapalat" w:hAnsi="GHEA Grapalat"/>
          <w:sz w:val="24"/>
          <w:szCs w:val="24"/>
        </w:rPr>
      </w:pPr>
      <w:r>
        <w:rPr>
          <w:rFonts w:ascii="GHEA Grapalat" w:hAnsi="GHEA Grapalat"/>
          <w:b/>
          <w:bCs/>
          <w:sz w:val="24"/>
          <w:szCs w:val="24"/>
        </w:rPr>
        <w:t>24. Առողջական խնդիրներ, որոնց դեպքում անձի ֆունկցիոնալության գնահատման (այդ թվում՝ առաջին գնահատումը) արդյունքում հաշմանդամությունը սահմանվում է անժամկետ՝</w:t>
      </w:r>
    </w:p>
    <w:p w14:paraId="262DEC44" w14:textId="77777777" w:rsidR="00E13621" w:rsidRDefault="00E13621" w:rsidP="00E13621">
      <w:pPr>
        <w:spacing w:after="0" w:line="360" w:lineRule="auto"/>
        <w:jc w:val="both"/>
        <w:rPr>
          <w:rFonts w:ascii="GHEA Grapalat" w:hAnsi="GHEA Grapalat"/>
          <w:sz w:val="24"/>
          <w:szCs w:val="24"/>
        </w:rPr>
      </w:pPr>
      <w:r>
        <w:rPr>
          <w:rFonts w:ascii="GHEA Grapalat" w:hAnsi="GHEA Grapalat"/>
          <w:b/>
          <w:bCs/>
          <w:sz w:val="24"/>
          <w:szCs w:val="24"/>
        </w:rPr>
        <w:t>1) նյարդային համակարգի հիվանդություններ՝</w:t>
      </w:r>
    </w:p>
    <w:p w14:paraId="4ACDB190"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ա</w:t>
      </w:r>
      <w:r>
        <w:rPr>
          <w:rFonts w:ascii="MS Gothic" w:eastAsia="MS Gothic" w:hAnsi="MS Gothic" w:cs="MS Gothic" w:hint="eastAsia"/>
          <w:sz w:val="24"/>
          <w:szCs w:val="24"/>
          <w:lang w:val="ru-RU"/>
        </w:rPr>
        <w:t>․</w:t>
      </w:r>
      <w:r>
        <w:rPr>
          <w:rFonts w:ascii="GHEA Grapalat" w:hAnsi="GHEA Grapalat"/>
          <w:sz w:val="24"/>
          <w:szCs w:val="24"/>
          <w:lang w:val="ru-RU"/>
        </w:rPr>
        <w:t xml:space="preserve"> </w:t>
      </w:r>
      <w:r>
        <w:rPr>
          <w:rFonts w:ascii="GHEA Grapalat" w:hAnsi="GHEA Grapalat"/>
          <w:sz w:val="24"/>
          <w:szCs w:val="24"/>
        </w:rPr>
        <w:t>վնասվածքներով, նեյրոինֆեկցիաներով (պոլիոմիելիտ), վիրահատական բուժման ոչ ենթակա ուռուցքներով, բնածին արատներով և ժառանգական համախտանիշներով պայմանավորված խիստ արտահայտված շարժողական խանգարումներ՝ տետրապլեգիա կամ տրիպլեգիա, պարապլեգիա կամ հեմիպլեգիա կամ մոնոպլեգիա, գեներալիզացված խիստ արտահայտված հիպերկինզներ, դիստոնիաներ (G04, G11, G81-G83) (անձի ֆունկցիոնալության խորը աստիճանի սահմանափակումով),</w:t>
      </w:r>
    </w:p>
    <w:p w14:paraId="5021B861"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 xml:space="preserve">բ. մանկական ուղեղային կաթվածով պայմանավորված խիստ արտահայտված, արտահայտված, չափավոր շարժողական խանգարումներ՝ տետրապլեգիա կամ տրիպլեգիակամ պարապլեգիակամ հեմիպլեգիակամ տետրապարեզկամ տրիպարեզ կամ պարապարեզ կամ հեմիպարեզ, գեներալիզացված խիստ արտահայտված, արտահայտված, չափավոր հիպերկինզներ, դիստոնիաներ, խոսքի խիստ արտահայտված խանգարումներ (G80-G83) </w:t>
      </w:r>
      <w:bookmarkStart w:id="0" w:name="_Hlk203391737"/>
      <w:r>
        <w:rPr>
          <w:rFonts w:ascii="GHEA Grapalat" w:hAnsi="GHEA Grapalat"/>
          <w:sz w:val="24"/>
          <w:szCs w:val="24"/>
        </w:rPr>
        <w:t>(անձի ֆունկցիոնալության խորը, ծանր, միջին աստիճանի սահմանափակումով),</w:t>
      </w:r>
    </w:p>
    <w:bookmarkEnd w:id="0"/>
    <w:p w14:paraId="38AB3DA0"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գ</w:t>
      </w:r>
      <w:r>
        <w:rPr>
          <w:rFonts w:ascii="MS Gothic" w:eastAsia="MS Gothic" w:hAnsi="MS Gothic" w:cs="MS Gothic" w:hint="eastAsia"/>
          <w:sz w:val="24"/>
          <w:szCs w:val="24"/>
          <w:lang w:val="ru-RU"/>
        </w:rPr>
        <w:t>․</w:t>
      </w:r>
      <w:r>
        <w:rPr>
          <w:rFonts w:ascii="GHEA Grapalat" w:hAnsi="GHEA Grapalat"/>
          <w:sz w:val="24"/>
          <w:szCs w:val="24"/>
          <w:lang w:val="ru-RU"/>
        </w:rPr>
        <w:t xml:space="preserve"> </w:t>
      </w:r>
      <w:r>
        <w:rPr>
          <w:rFonts w:ascii="GHEA Grapalat" w:hAnsi="GHEA Grapalat"/>
          <w:sz w:val="24"/>
          <w:szCs w:val="24"/>
        </w:rPr>
        <w:t>խուլհամրություն, պրակտիկ խուլհամրություն (երկկողմանի խլություն խոսքի խիստ արտահայտված խանգարումով) (H90, H91.3) (անձի ֆունկցիոնալության ծանր, միջին աստիճանի սահմանափակումով),</w:t>
      </w:r>
    </w:p>
    <w:p w14:paraId="1C67FB8B" w14:textId="77777777" w:rsidR="00E13621" w:rsidRDefault="00E13621" w:rsidP="00E13621">
      <w:pPr>
        <w:spacing w:after="0" w:line="360" w:lineRule="auto"/>
        <w:jc w:val="both"/>
        <w:rPr>
          <w:rFonts w:ascii="GHEA Grapalat" w:hAnsi="GHEA Grapalat"/>
          <w:sz w:val="24"/>
          <w:szCs w:val="24"/>
        </w:rPr>
      </w:pPr>
      <w:r>
        <w:rPr>
          <w:rFonts w:ascii="GHEA Grapalat" w:hAnsi="GHEA Grapalat"/>
          <w:b/>
          <w:bCs/>
          <w:sz w:val="24"/>
          <w:szCs w:val="24"/>
        </w:rPr>
        <w:t>2) հոգեկան և մտավոր խանգարումներ՝</w:t>
      </w:r>
    </w:p>
    <w:p w14:paraId="5C29C3DC"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ա.մտավոր հետամնացություն F70-F79,</w:t>
      </w:r>
    </w:p>
    <w:p w14:paraId="494BA9E2"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բ. թուլամտություն (դեմենցիա) F00-F03,</w:t>
      </w:r>
    </w:p>
    <w:p w14:paraId="76C13092"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գ. զարգացման ընդհանուր խանգարումներ F84.0-F84.9. (անձի ֆունկցիոնալության խորը, ծանր, միջին աստիճանի սահմանափակումով).</w:t>
      </w:r>
    </w:p>
    <w:p w14:paraId="6C713956" w14:textId="77777777" w:rsidR="00E13621" w:rsidRDefault="00E13621" w:rsidP="00E13621">
      <w:pPr>
        <w:spacing w:after="0" w:line="360" w:lineRule="auto"/>
        <w:jc w:val="both"/>
        <w:rPr>
          <w:rFonts w:ascii="GHEA Grapalat" w:hAnsi="GHEA Grapalat"/>
          <w:sz w:val="24"/>
          <w:szCs w:val="24"/>
        </w:rPr>
      </w:pPr>
      <w:r>
        <w:rPr>
          <w:rFonts w:ascii="GHEA Grapalat" w:hAnsi="GHEA Grapalat"/>
          <w:b/>
          <w:bCs/>
          <w:sz w:val="24"/>
          <w:szCs w:val="24"/>
        </w:rPr>
        <w:t>3) վիրաբուժական հիվանդություններ՝</w:t>
      </w:r>
    </w:p>
    <w:p w14:paraId="4EB19273" w14:textId="77777777" w:rsidR="00E13621" w:rsidRDefault="00E13621" w:rsidP="00E13621">
      <w:pPr>
        <w:spacing w:after="0" w:line="360" w:lineRule="auto"/>
        <w:jc w:val="both"/>
        <w:rPr>
          <w:rFonts w:ascii="GHEA Grapalat" w:hAnsi="GHEA Grapalat"/>
          <w:sz w:val="24"/>
          <w:szCs w:val="24"/>
        </w:rPr>
      </w:pPr>
      <w:r>
        <w:rPr>
          <w:sz w:val="24"/>
          <w:szCs w:val="24"/>
        </w:rPr>
        <w:t> </w:t>
      </w:r>
      <w:r>
        <w:rPr>
          <w:rFonts w:ascii="GHEA Grapalat" w:hAnsi="GHEA Grapalat"/>
          <w:sz w:val="24"/>
          <w:szCs w:val="24"/>
        </w:rPr>
        <w:t>ա</w:t>
      </w:r>
      <w:r>
        <w:rPr>
          <w:rFonts w:ascii="MS Gothic" w:eastAsia="MS Gothic" w:hAnsi="MS Gothic" w:cs="MS Gothic" w:hint="eastAsia"/>
          <w:sz w:val="24"/>
          <w:szCs w:val="24"/>
          <w:lang w:val="ru-RU"/>
        </w:rPr>
        <w:t>․</w:t>
      </w:r>
      <w:r>
        <w:rPr>
          <w:rFonts w:ascii="GHEA Grapalat" w:hAnsi="GHEA Grapalat"/>
          <w:sz w:val="24"/>
          <w:szCs w:val="24"/>
          <w:lang w:val="ru-RU"/>
        </w:rPr>
        <w:t xml:space="preserve"> </w:t>
      </w:r>
      <w:r>
        <w:rPr>
          <w:rFonts w:ascii="GHEA Grapalat" w:hAnsi="GHEA Grapalat"/>
          <w:sz w:val="24"/>
          <w:szCs w:val="24"/>
        </w:rPr>
        <w:t>անդամահատումներ, եթե առկա չէ արատավոր ծայրատ(S48, S58, S68, S78, S88, S98,T05</w:t>
      </w:r>
      <w:bookmarkStart w:id="1" w:name="_Hlk203394405"/>
      <w:r>
        <w:rPr>
          <w:rFonts w:ascii="GHEA Grapalat" w:hAnsi="GHEA Grapalat"/>
          <w:sz w:val="24"/>
          <w:szCs w:val="24"/>
        </w:rPr>
        <w:t>). (անձի ֆունկցիոնալության խորը, ծանր, միջին աստիճանի սահմանափակումով),</w:t>
      </w:r>
    </w:p>
    <w:bookmarkEnd w:id="1"/>
    <w:p w14:paraId="0D4C2983"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բ. կոկորդի հեռացում (Z90.0).</w:t>
      </w:r>
    </w:p>
    <w:p w14:paraId="3DE13100" w14:textId="77777777" w:rsidR="00E13621" w:rsidRDefault="00E13621" w:rsidP="00E13621">
      <w:pPr>
        <w:spacing w:after="0" w:line="360" w:lineRule="auto"/>
        <w:jc w:val="both"/>
        <w:rPr>
          <w:rFonts w:ascii="GHEA Grapalat" w:hAnsi="GHEA Grapalat"/>
          <w:b/>
          <w:sz w:val="24"/>
          <w:szCs w:val="24"/>
        </w:rPr>
      </w:pPr>
      <w:r>
        <w:rPr>
          <w:b/>
          <w:sz w:val="24"/>
          <w:szCs w:val="24"/>
        </w:rPr>
        <w:t> </w:t>
      </w:r>
      <w:r>
        <w:rPr>
          <w:rFonts w:ascii="GHEA Grapalat" w:hAnsi="GHEA Grapalat"/>
          <w:b/>
          <w:sz w:val="24"/>
          <w:szCs w:val="24"/>
        </w:rPr>
        <w:t>4) չարորակ նորագոյացություններ՝</w:t>
      </w:r>
    </w:p>
    <w:p w14:paraId="03219F80"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 xml:space="preserve"> ա. արմատական բուժումից հետո, մետաստազներով, ախտադարձներով, բուժման անարդյունավետության կամ բուժման ոչ ենթակա դեպքերում արտահայտված ինտոքսիկացիայով, կախեքսիայով, ուռուցքի քայքայումով (C00-C97),</w:t>
      </w:r>
    </w:p>
    <w:p w14:paraId="3BF0A474"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բ.գլխուղեղի և ողնուղեղի բուժման չենթարկվող ուռուցքներ (C70-C71).</w:t>
      </w:r>
    </w:p>
    <w:p w14:paraId="19E1BD67" w14:textId="77777777" w:rsidR="00E13621" w:rsidRDefault="00E13621" w:rsidP="00E13621">
      <w:pPr>
        <w:spacing w:after="0" w:line="360" w:lineRule="auto"/>
        <w:jc w:val="both"/>
        <w:rPr>
          <w:rFonts w:ascii="GHEA Grapalat" w:hAnsi="GHEA Grapalat"/>
          <w:sz w:val="24"/>
          <w:szCs w:val="24"/>
        </w:rPr>
      </w:pPr>
      <w:r>
        <w:rPr>
          <w:rFonts w:ascii="GHEA Grapalat" w:hAnsi="GHEA Grapalat"/>
          <w:b/>
          <w:bCs/>
          <w:sz w:val="24"/>
          <w:szCs w:val="24"/>
        </w:rPr>
        <w:t>5) ներքին օրգանների հիվանդություններ՝</w:t>
      </w:r>
    </w:p>
    <w:p w14:paraId="042BD8EF" w14:textId="77777777" w:rsidR="00E13621" w:rsidRDefault="00E13621" w:rsidP="00E13621">
      <w:pPr>
        <w:spacing w:after="0" w:line="360" w:lineRule="auto"/>
        <w:jc w:val="both"/>
        <w:rPr>
          <w:rFonts w:ascii="GHEA Grapalat" w:hAnsi="GHEA Grapalat"/>
          <w:sz w:val="24"/>
          <w:szCs w:val="24"/>
        </w:rPr>
      </w:pPr>
      <w:r>
        <w:rPr>
          <w:sz w:val="24"/>
          <w:szCs w:val="24"/>
        </w:rPr>
        <w:t> </w:t>
      </w:r>
      <w:r>
        <w:rPr>
          <w:rFonts w:ascii="GHEA Grapalat" w:hAnsi="GHEA Grapalat"/>
          <w:b/>
          <w:bCs/>
          <w:sz w:val="24"/>
          <w:szCs w:val="24"/>
        </w:rPr>
        <w:t>ա. սրտի բնածին արատներ`</w:t>
      </w:r>
      <w:r>
        <w:rPr>
          <w:sz w:val="24"/>
          <w:szCs w:val="24"/>
        </w:rPr>
        <w:t> </w:t>
      </w:r>
      <w:r>
        <w:rPr>
          <w:rFonts w:ascii="GHEA Grapalat" w:hAnsi="GHEA Grapalat"/>
          <w:sz w:val="24"/>
          <w:szCs w:val="24"/>
        </w:rPr>
        <w:t xml:space="preserve"> միափորոք սիրտ, ատրեզիաներ, մագիստրալ անոթների տրանսպոզիցիայի որոշ ձևեր, ամոքիչ վիրահատություններից հետո (արյան շրջանառության ֆիզիոլոգիական շտկում կամ աորտաթոքային շունտավորում) արյան շրջանառության կայուն չափավոր, արտահայտված և խիստ արտահայտված խանգարումով (Q20-Q21) (անձի ֆունկցիոնալության խորը, ծանր, միջին աստիճանի սահմանափակումով)</w:t>
      </w:r>
      <w:r>
        <w:rPr>
          <w:rFonts w:ascii="MS Gothic" w:eastAsia="MS Gothic" w:hAnsi="MS Gothic" w:cs="MS Gothic" w:hint="eastAsia"/>
          <w:sz w:val="24"/>
          <w:szCs w:val="24"/>
          <w:lang w:val="ru-RU"/>
        </w:rPr>
        <w:t>․</w:t>
      </w:r>
    </w:p>
    <w:p w14:paraId="212E0B5D" w14:textId="77777777" w:rsidR="00E13621" w:rsidRDefault="00E13621" w:rsidP="00E13621">
      <w:pPr>
        <w:spacing w:after="0" w:line="360" w:lineRule="auto"/>
        <w:jc w:val="both"/>
        <w:rPr>
          <w:rFonts w:ascii="GHEA Grapalat" w:hAnsi="GHEA Grapalat"/>
          <w:sz w:val="24"/>
          <w:szCs w:val="24"/>
        </w:rPr>
      </w:pPr>
      <w:r>
        <w:rPr>
          <w:rFonts w:ascii="GHEA Grapalat" w:hAnsi="GHEA Grapalat"/>
          <w:b/>
          <w:bCs/>
          <w:sz w:val="24"/>
          <w:szCs w:val="24"/>
        </w:rPr>
        <w:t>6) շարակցական հյուսվածքի հիվանդություններ՝</w:t>
      </w:r>
    </w:p>
    <w:p w14:paraId="7E76ADA6" w14:textId="77777777" w:rsidR="00E13621" w:rsidRDefault="00E13621" w:rsidP="00E13621">
      <w:pPr>
        <w:spacing w:after="0" w:line="360" w:lineRule="auto"/>
        <w:jc w:val="both"/>
        <w:rPr>
          <w:rFonts w:ascii="GHEA Grapalat" w:hAnsi="GHEA Grapalat"/>
          <w:sz w:val="24"/>
          <w:szCs w:val="24"/>
        </w:rPr>
      </w:pPr>
      <w:r>
        <w:rPr>
          <w:rFonts w:ascii="GHEA Grapalat" w:hAnsi="GHEA Grapalat"/>
          <w:b/>
          <w:bCs/>
          <w:sz w:val="24"/>
          <w:szCs w:val="24"/>
        </w:rPr>
        <w:t>ա. ռևմատոիդ արթրիտ՝</w:t>
      </w:r>
      <w:r>
        <w:rPr>
          <w:sz w:val="24"/>
          <w:szCs w:val="24"/>
        </w:rPr>
        <w:t> </w:t>
      </w:r>
      <w:r>
        <w:rPr>
          <w:rFonts w:ascii="GHEA Grapalat" w:hAnsi="GHEA Grapalat"/>
          <w:sz w:val="24"/>
          <w:szCs w:val="24"/>
        </w:rPr>
        <w:t>բարդություններով պայմանավորված հենաշարժական ֆունկցիայի խիստ արտահայտված խանգարումներ (հոդերի արտահայտված դեֆորմացիա, կոնտրակտուրաներ, անկիլոզներ) (M05-M06),</w:t>
      </w:r>
    </w:p>
    <w:p w14:paraId="29F0A25B" w14:textId="77777777" w:rsidR="00E13621" w:rsidRDefault="00E13621" w:rsidP="00E13621">
      <w:pPr>
        <w:spacing w:after="0" w:line="360" w:lineRule="auto"/>
        <w:jc w:val="both"/>
        <w:rPr>
          <w:rFonts w:ascii="GHEA Grapalat" w:hAnsi="GHEA Grapalat"/>
          <w:sz w:val="24"/>
          <w:szCs w:val="24"/>
        </w:rPr>
      </w:pPr>
      <w:r>
        <w:rPr>
          <w:rFonts w:ascii="GHEA Grapalat" w:hAnsi="GHEA Grapalat"/>
          <w:b/>
          <w:bCs/>
          <w:sz w:val="24"/>
          <w:szCs w:val="24"/>
        </w:rPr>
        <w:t>բ. անկիլոզացնող սպոնդիլոարթրիտ (Բեխտերևի հիվանդություն)՝</w:t>
      </w:r>
      <w:r>
        <w:rPr>
          <w:sz w:val="24"/>
          <w:szCs w:val="24"/>
        </w:rPr>
        <w:t> </w:t>
      </w:r>
      <w:r>
        <w:rPr>
          <w:rFonts w:ascii="GHEA Grapalat" w:hAnsi="GHEA Grapalat"/>
          <w:sz w:val="24"/>
          <w:szCs w:val="24"/>
        </w:rPr>
        <w:t>անկիլոզացնող սպոնդիլոարթրիտի բարդություններով պայմանավորված հենաշարժական ֆունկցիայի խիստ արտահայտված խանգարումներ` ողնաշարի արտահայտված դեֆորմացիա, պերիֆերիկ հոդերի կոնտրակտուրոներ, անկիլոզներ (M45), (անձի ֆունկցիոնալության խորը, ծանր աստիճանի սահմանափակումով),</w:t>
      </w:r>
    </w:p>
    <w:p w14:paraId="0F914A03" w14:textId="77777777" w:rsidR="00E13621" w:rsidRDefault="00E13621" w:rsidP="00E13621">
      <w:pPr>
        <w:spacing w:after="0" w:line="360" w:lineRule="auto"/>
        <w:jc w:val="both"/>
        <w:rPr>
          <w:rFonts w:ascii="GHEA Grapalat" w:hAnsi="GHEA Grapalat"/>
          <w:sz w:val="24"/>
          <w:szCs w:val="24"/>
        </w:rPr>
      </w:pPr>
      <w:r>
        <w:rPr>
          <w:rFonts w:ascii="GHEA Grapalat" w:hAnsi="GHEA Grapalat"/>
          <w:b/>
          <w:bCs/>
          <w:sz w:val="24"/>
          <w:szCs w:val="24"/>
        </w:rPr>
        <w:t>գ. համակարգային սկլերոդերմիա՝</w:t>
      </w:r>
      <w:r>
        <w:rPr>
          <w:sz w:val="24"/>
          <w:szCs w:val="24"/>
        </w:rPr>
        <w:t> </w:t>
      </w:r>
      <w:r>
        <w:rPr>
          <w:rFonts w:ascii="GHEA Grapalat" w:hAnsi="GHEA Grapalat"/>
          <w:sz w:val="24"/>
          <w:szCs w:val="24"/>
        </w:rPr>
        <w:t xml:space="preserve">մաշկի խիստ արտահայտված կարծրացում հոդերի խիստ արտահայտված կոնտրակտուրաների զարգացմամբ (M34). </w:t>
      </w:r>
      <w:bookmarkStart w:id="2" w:name="_Hlk203393633"/>
      <w:r>
        <w:rPr>
          <w:rFonts w:ascii="GHEA Grapalat" w:hAnsi="GHEA Grapalat"/>
          <w:sz w:val="24"/>
          <w:szCs w:val="24"/>
        </w:rPr>
        <w:t>(անձի ֆունկցիոնալության խորը, ծանր աստիճանի սահմանափակումով)</w:t>
      </w:r>
      <w:r>
        <w:rPr>
          <w:rFonts w:ascii="MS Gothic" w:eastAsia="MS Gothic" w:hAnsi="MS Gothic" w:cs="MS Gothic" w:hint="eastAsia"/>
          <w:sz w:val="24"/>
          <w:szCs w:val="24"/>
          <w:lang w:val="ru-RU"/>
        </w:rPr>
        <w:t>․</w:t>
      </w:r>
    </w:p>
    <w:bookmarkEnd w:id="2"/>
    <w:p w14:paraId="53D11D78" w14:textId="77777777" w:rsidR="00E13621" w:rsidRDefault="00E13621" w:rsidP="00E13621">
      <w:pPr>
        <w:spacing w:after="0" w:line="360" w:lineRule="auto"/>
        <w:jc w:val="both"/>
        <w:rPr>
          <w:rFonts w:ascii="GHEA Grapalat" w:hAnsi="GHEA Grapalat"/>
          <w:b/>
          <w:bCs/>
          <w:sz w:val="24"/>
          <w:szCs w:val="24"/>
        </w:rPr>
      </w:pPr>
      <w:r>
        <w:rPr>
          <w:rFonts w:ascii="GHEA Grapalat" w:hAnsi="GHEA Grapalat"/>
          <w:b/>
          <w:bCs/>
          <w:sz w:val="24"/>
          <w:szCs w:val="24"/>
        </w:rPr>
        <w:t>7) ներզատական համակարգի հիվանդություններ`</w:t>
      </w:r>
    </w:p>
    <w:p w14:paraId="18647045" w14:textId="77777777" w:rsidR="00E13621" w:rsidRDefault="00E13621" w:rsidP="00E13621">
      <w:pPr>
        <w:spacing w:after="0" w:line="360" w:lineRule="auto"/>
        <w:jc w:val="both"/>
        <w:rPr>
          <w:rFonts w:ascii="GHEA Grapalat" w:hAnsi="GHEA Grapalat"/>
          <w:sz w:val="24"/>
          <w:szCs w:val="24"/>
        </w:rPr>
      </w:pPr>
      <w:r>
        <w:rPr>
          <w:rFonts w:ascii="GHEA Grapalat" w:hAnsi="GHEA Grapalat"/>
          <w:b/>
          <w:bCs/>
          <w:sz w:val="24"/>
          <w:szCs w:val="24"/>
        </w:rPr>
        <w:t>ա</w:t>
      </w:r>
      <w:r>
        <w:rPr>
          <w:rFonts w:ascii="MS Gothic" w:eastAsia="MS Gothic" w:hAnsi="MS Gothic" w:cs="MS Gothic" w:hint="eastAsia"/>
          <w:b/>
          <w:bCs/>
          <w:sz w:val="24"/>
          <w:szCs w:val="24"/>
          <w:lang w:val="ru-RU"/>
        </w:rPr>
        <w:t>․</w:t>
      </w:r>
      <w:r>
        <w:rPr>
          <w:rFonts w:ascii="GHEA Grapalat" w:hAnsi="GHEA Grapalat"/>
          <w:b/>
          <w:bCs/>
          <w:sz w:val="24"/>
          <w:szCs w:val="24"/>
          <w:lang w:val="ru-RU"/>
        </w:rPr>
        <w:t xml:space="preserve"> </w:t>
      </w:r>
      <w:r>
        <w:rPr>
          <w:rFonts w:ascii="GHEA Grapalat" w:hAnsi="GHEA Grapalat"/>
          <w:b/>
          <w:bCs/>
          <w:sz w:val="24"/>
          <w:szCs w:val="24"/>
        </w:rPr>
        <w:t>բնածին հիպոթիրեոզ մտավոր և ֆիզիկական զարգացման չափավոր խանգարումով</w:t>
      </w:r>
      <w:r>
        <w:rPr>
          <w:b/>
          <w:bCs/>
          <w:sz w:val="24"/>
          <w:szCs w:val="24"/>
        </w:rPr>
        <w:t> </w:t>
      </w:r>
      <w:r>
        <w:rPr>
          <w:rFonts w:ascii="GHEA Grapalat" w:hAnsi="GHEA Grapalat"/>
          <w:sz w:val="24"/>
          <w:szCs w:val="24"/>
        </w:rPr>
        <w:t>(E00-E03) (անձի ֆունկցիոնալության խորը, ծանր, միջին աստիճանի սահմանափակումով)</w:t>
      </w:r>
      <w:r>
        <w:rPr>
          <w:rFonts w:ascii="MS Gothic" w:eastAsia="MS Gothic" w:hAnsi="MS Gothic" w:cs="MS Gothic" w:hint="eastAsia"/>
          <w:sz w:val="24"/>
          <w:szCs w:val="24"/>
          <w:lang w:val="ru-RU"/>
        </w:rPr>
        <w:t>․</w:t>
      </w:r>
    </w:p>
    <w:p w14:paraId="6033BB37" w14:textId="77777777" w:rsidR="00E13621" w:rsidRDefault="00E13621" w:rsidP="00E13621">
      <w:pPr>
        <w:tabs>
          <w:tab w:val="left" w:pos="1035"/>
        </w:tabs>
        <w:spacing w:after="0" w:line="360" w:lineRule="auto"/>
        <w:jc w:val="both"/>
        <w:rPr>
          <w:rFonts w:ascii="GHEA Grapalat" w:hAnsi="GHEA Grapalat"/>
          <w:sz w:val="24"/>
          <w:szCs w:val="24"/>
        </w:rPr>
      </w:pPr>
      <w:r>
        <w:rPr>
          <w:rFonts w:ascii="GHEA Grapalat" w:hAnsi="GHEA Grapalat"/>
          <w:sz w:val="24"/>
          <w:szCs w:val="24"/>
        </w:rPr>
        <w:t>8)  տեսողական օրգանի հիվանդություններ՝</w:t>
      </w:r>
    </w:p>
    <w:p w14:paraId="3BA21701"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ա</w:t>
      </w:r>
      <w:r>
        <w:rPr>
          <w:rFonts w:ascii="MS Gothic" w:eastAsia="MS Gothic" w:hAnsi="MS Gothic" w:cs="MS Gothic" w:hint="eastAsia"/>
          <w:sz w:val="24"/>
          <w:szCs w:val="24"/>
          <w:lang w:val="ru-RU"/>
        </w:rPr>
        <w:t>․</w:t>
      </w:r>
      <w:r>
        <w:rPr>
          <w:rFonts w:ascii="GHEA Grapalat" w:hAnsi="GHEA Grapalat"/>
          <w:sz w:val="24"/>
          <w:szCs w:val="24"/>
          <w:lang w:val="ru-RU"/>
        </w:rPr>
        <w:t xml:space="preserve"> </w:t>
      </w:r>
      <w:r>
        <w:rPr>
          <w:rFonts w:ascii="GHEA Grapalat" w:hAnsi="GHEA Grapalat"/>
          <w:sz w:val="24"/>
          <w:szCs w:val="24"/>
        </w:rPr>
        <w:t>մեկ կամ զույգ ակնագնդի բացակայություն, մեկ կամ զույգ աչքի տեսողության անվերադարձ բացակայություն կամ առարկայական տեսողության անվերադարձ բացակայություն (կուրություն)՝ տեսողության սրությունը լավ տեսնող աչքում օպտիմալ կրելի շտկումով 0,03, մեկ կամ զույգ աչքի տեսադաշտի նեղացում մինչև 10 աստիճան (ֆիքսացիոն կետից)` կայուն և անդառնալի փոփոխության հետևանքով (H54.4 H54.0):</w:t>
      </w:r>
    </w:p>
    <w:p w14:paraId="54595C07" w14:textId="77777777" w:rsidR="00E13621" w:rsidRDefault="00E13621" w:rsidP="00E13621">
      <w:pPr>
        <w:spacing w:after="0" w:line="360" w:lineRule="auto"/>
        <w:jc w:val="both"/>
        <w:rPr>
          <w:rFonts w:ascii="GHEA Grapalat" w:hAnsi="GHEA Grapalat"/>
          <w:sz w:val="24"/>
          <w:szCs w:val="24"/>
        </w:rPr>
      </w:pPr>
      <w:r>
        <w:rPr>
          <w:rFonts w:ascii="GHEA Grapalat" w:hAnsi="GHEA Grapalat"/>
          <w:b/>
          <w:bCs/>
          <w:sz w:val="24"/>
          <w:szCs w:val="24"/>
        </w:rPr>
        <w:t>25. Առողջական խնդիրներ, որոնց դեպքում անձի ֆունկցիոնալության 3-րդ գնահատման արդյունքում հաշմանդամությունը սահմանվում է անժամկետ՝</w:t>
      </w:r>
    </w:p>
    <w:p w14:paraId="032C4A25" w14:textId="77777777" w:rsidR="00E13621" w:rsidRDefault="00E13621" w:rsidP="00E13621">
      <w:pPr>
        <w:spacing w:after="0" w:line="360" w:lineRule="auto"/>
        <w:jc w:val="both"/>
        <w:rPr>
          <w:rFonts w:ascii="GHEA Grapalat" w:hAnsi="GHEA Grapalat"/>
          <w:sz w:val="24"/>
          <w:szCs w:val="24"/>
        </w:rPr>
      </w:pPr>
      <w:r>
        <w:rPr>
          <w:rFonts w:ascii="GHEA Grapalat" w:hAnsi="GHEA Grapalat"/>
          <w:b/>
          <w:bCs/>
          <w:sz w:val="24"/>
          <w:szCs w:val="24"/>
        </w:rPr>
        <w:t>1) ներքին օրգանների հիվանդություններ՝</w:t>
      </w:r>
    </w:p>
    <w:p w14:paraId="55251980"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ա. զարկերակային գերճնշում, բարդացած կենտրոնական նյարդային համակարգի (շարժողական, խոսքի) սրտամկանի, ակնահատակի, երիկամների ախտահարումով` ֆունկցիաների կայուն խիստ արտահայտված խանգարումով (I10-I15), (անձի ֆունկցիոնալության կայուն խորը աստիճանի սահմանափակումով),</w:t>
      </w:r>
    </w:p>
    <w:p w14:paraId="0B5015DA"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բ. սրտի իշեմիկ հիվանդություն` կորոնար անբավարարությամբ, լարման ստենոկարդիա ֆունկցիոնալ դաս III, IV, արյան շրջանառության 3-րդ աստիճանի կայուն անբավարարությամբ` ըստ Ստրաժեսկոյի, կամ IV ֆունկցիոնալ դաս` ըստ NYHA (I20-I25,I50), (անձի ֆունկցիոնալության կայուն խորը աստիճանի սահմանափակումով),</w:t>
      </w:r>
    </w:p>
    <w:p w14:paraId="1A630837"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 xml:space="preserve">գ. թոքերի խրոնիկ հիվանդություններ, որոնք ուղեկցվում են շնչական ֆունկցիայի կայուն խիստ արտահայտված խանգարմամբ և արյան շրջանառության 3-րդ աստիճանի անբավարարությամբ (J44) </w:t>
      </w:r>
      <w:bookmarkStart w:id="3" w:name="_Hlk203394065"/>
      <w:r>
        <w:rPr>
          <w:rFonts w:ascii="GHEA Grapalat" w:hAnsi="GHEA Grapalat"/>
          <w:sz w:val="24"/>
          <w:szCs w:val="24"/>
        </w:rPr>
        <w:t>(անձի ֆունկցիոնալության կայուն խորը աստիճանի սահմանափակումով)</w:t>
      </w:r>
      <w:r>
        <w:rPr>
          <w:rFonts w:ascii="MS Gothic" w:eastAsia="MS Gothic" w:hAnsi="MS Gothic" w:cs="MS Gothic" w:hint="eastAsia"/>
          <w:sz w:val="24"/>
          <w:szCs w:val="24"/>
          <w:lang w:val="ru-RU"/>
        </w:rPr>
        <w:t>․</w:t>
      </w:r>
    </w:p>
    <w:bookmarkEnd w:id="3"/>
    <w:p w14:paraId="643EEC69"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2) շաքարային դիաբետ, ծանր ընթացքով և խիստ արտահայտված բարդություններով (E10-E14)`</w:t>
      </w:r>
    </w:p>
    <w:p w14:paraId="5D006E74"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ա</w:t>
      </w:r>
      <w:r>
        <w:rPr>
          <w:rFonts w:ascii="MS Gothic" w:eastAsia="MS Gothic" w:hAnsi="MS Gothic" w:cs="MS Gothic" w:hint="eastAsia"/>
          <w:sz w:val="24"/>
          <w:szCs w:val="24"/>
          <w:lang w:val="ru-RU"/>
        </w:rPr>
        <w:t>․</w:t>
      </w:r>
      <w:r>
        <w:rPr>
          <w:rFonts w:ascii="GHEA Grapalat" w:hAnsi="GHEA Grapalat"/>
          <w:sz w:val="24"/>
          <w:szCs w:val="24"/>
          <w:lang w:val="ru-RU"/>
        </w:rPr>
        <w:t xml:space="preserve"> </w:t>
      </w:r>
      <w:r>
        <w:rPr>
          <w:rFonts w:ascii="GHEA Grapalat" w:hAnsi="GHEA Grapalat"/>
          <w:sz w:val="24"/>
          <w:szCs w:val="24"/>
        </w:rPr>
        <w:t>դիաբետիկ պրոլիֆերատիվ անգիոռետինոպաթիա (տեսողության սրության արտահայտված անկումով և/կամ տեսողության դաշտի երկկողմանի նեղացումով),</w:t>
      </w:r>
    </w:p>
    <w:p w14:paraId="749A5112"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բ</w:t>
      </w:r>
      <w:r>
        <w:rPr>
          <w:rFonts w:ascii="MS Gothic" w:eastAsia="MS Gothic" w:hAnsi="MS Gothic" w:cs="MS Gothic" w:hint="eastAsia"/>
          <w:sz w:val="24"/>
          <w:szCs w:val="24"/>
          <w:lang w:val="ru-RU"/>
        </w:rPr>
        <w:t>․</w:t>
      </w:r>
      <w:r>
        <w:rPr>
          <w:rFonts w:ascii="GHEA Grapalat" w:hAnsi="GHEA Grapalat"/>
          <w:sz w:val="24"/>
          <w:szCs w:val="24"/>
          <w:lang w:val="ru-RU"/>
        </w:rPr>
        <w:t xml:space="preserve"> </w:t>
      </w:r>
      <w:r>
        <w:rPr>
          <w:rFonts w:ascii="GHEA Grapalat" w:hAnsi="GHEA Grapalat"/>
          <w:sz w:val="24"/>
          <w:szCs w:val="24"/>
        </w:rPr>
        <w:t>դիաբետիկ նեֆրոպաթիա՝ տերմինալ երիկամային անբավարարության փուլում (N18.0),</w:t>
      </w:r>
    </w:p>
    <w:p w14:paraId="5F25262F"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գ</w:t>
      </w:r>
      <w:r>
        <w:rPr>
          <w:rFonts w:ascii="MS Gothic" w:eastAsia="MS Gothic" w:hAnsi="MS Gothic" w:cs="MS Gothic" w:hint="eastAsia"/>
          <w:sz w:val="24"/>
          <w:szCs w:val="24"/>
          <w:lang w:val="ru-RU"/>
        </w:rPr>
        <w:t>․</w:t>
      </w:r>
      <w:r>
        <w:rPr>
          <w:rFonts w:ascii="GHEA Grapalat" w:hAnsi="GHEA Grapalat"/>
          <w:sz w:val="24"/>
          <w:szCs w:val="24"/>
          <w:lang w:val="ru-RU"/>
        </w:rPr>
        <w:t xml:space="preserve"> </w:t>
      </w:r>
      <w:r>
        <w:rPr>
          <w:rFonts w:ascii="GHEA Grapalat" w:hAnsi="GHEA Grapalat"/>
          <w:sz w:val="24"/>
          <w:szCs w:val="24"/>
        </w:rPr>
        <w:t>սրտային անբավարարություն` 3-րդ փուլ ըստ Ստրաժեսկոյի, կամ IV ֆունկցիոնալ դաս` ըստ NYHA (I20-I25,I50),</w:t>
      </w:r>
    </w:p>
    <w:p w14:paraId="2F36C2A6"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դ</w:t>
      </w:r>
      <w:r>
        <w:rPr>
          <w:rFonts w:ascii="MS Gothic" w:eastAsia="MS Gothic" w:hAnsi="MS Gothic" w:cs="MS Gothic" w:hint="eastAsia"/>
          <w:sz w:val="24"/>
          <w:szCs w:val="24"/>
          <w:lang w:val="ru-RU"/>
        </w:rPr>
        <w:t>․</w:t>
      </w:r>
      <w:r>
        <w:rPr>
          <w:rFonts w:ascii="GHEA Grapalat" w:hAnsi="GHEA Grapalat"/>
          <w:sz w:val="24"/>
          <w:szCs w:val="24"/>
          <w:lang w:val="ru-RU"/>
        </w:rPr>
        <w:t xml:space="preserve"> </w:t>
      </w:r>
      <w:r>
        <w:rPr>
          <w:rFonts w:ascii="GHEA Grapalat" w:hAnsi="GHEA Grapalat"/>
          <w:sz w:val="24"/>
          <w:szCs w:val="24"/>
        </w:rPr>
        <w:t>դիաբետիկ ոտնաթաթ` ստորին ծայրանդամների դիաբետիկ խիստ արտահայտված անգիոպաթիա և նեյրոպաթիա` նեկրոտիկ փուլ),</w:t>
      </w:r>
    </w:p>
    <w:p w14:paraId="62D63185"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 xml:space="preserve"> (անձի ֆունկցիոնալության կայուն խորը, ծանր աստիճանի սահմանափակումով).</w:t>
      </w:r>
    </w:p>
    <w:p w14:paraId="4E36A5A4"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3) երիկամների խրոնիկ հիվանդություններ, խրոնիկ երիկամային անբավարարության տերմինալ շրջան՝ ծրագրային հեմոդիալիզի պայմաններում (N18.5). (անձի ֆունկցիոնալության կայուն խորը, ծանր աստիճանի սահմանափակումով).</w:t>
      </w:r>
    </w:p>
    <w:p w14:paraId="217D54C1"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4) պատվաստված օրգաններ (Z94).</w:t>
      </w:r>
    </w:p>
    <w:p w14:paraId="60293139"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5) ստամոքսի լրիվ հեռացում(Z90.3).</w:t>
      </w:r>
    </w:p>
    <w:p w14:paraId="275251FE"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6) մեկ թոքի բացակայություն(Z90.2)</w:t>
      </w:r>
      <w:bookmarkStart w:id="4" w:name="_Hlk203394346"/>
      <w:r>
        <w:rPr>
          <w:rFonts w:ascii="GHEA Grapalat" w:hAnsi="GHEA Grapalat"/>
          <w:sz w:val="24"/>
          <w:szCs w:val="24"/>
        </w:rPr>
        <w:t xml:space="preserve"> (անձի ֆունկցիոնալության խորը, ծանր, միջին աստիճանի սահմանափակումով).</w:t>
      </w:r>
    </w:p>
    <w:bookmarkEnd w:id="4"/>
    <w:p w14:paraId="1C204189" w14:textId="77777777" w:rsidR="00E13621" w:rsidRDefault="00E13621" w:rsidP="00E13621">
      <w:pPr>
        <w:spacing w:after="0" w:line="360" w:lineRule="auto"/>
        <w:jc w:val="both"/>
        <w:rPr>
          <w:rFonts w:ascii="GHEA Grapalat" w:hAnsi="GHEA Grapalat"/>
          <w:sz w:val="24"/>
          <w:szCs w:val="24"/>
        </w:rPr>
      </w:pPr>
      <w:r>
        <w:rPr>
          <w:rFonts w:ascii="GHEA Grapalat" w:hAnsi="GHEA Grapalat"/>
          <w:b/>
          <w:bCs/>
          <w:sz w:val="24"/>
          <w:szCs w:val="24"/>
        </w:rPr>
        <w:t>7) նյարդային համակարգի հիվանդություններ՝</w:t>
      </w:r>
    </w:p>
    <w:p w14:paraId="1C7EEA75"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ա. կենտրոնական նյարդային համակարգի խրոնիկ պրոգրեսիվող հիվանդություններ (էնցեֆալիտ, կողմնային ամիոտրոֆիկ սկլերոզ, ցրված սկլերոզ, պարկինսոնիզմ և այլն), շարժողական, խոսակցական, տեսողական և գլխուղեղի, ողնուղեղի վնասվածքային ախտահարման հեռավոր կայուն մնացորդային երևույթներ արտահայտված շարժողական խանգարումներով` հեմիպլեգիա կամ պարապլեգիա կամ տրիպլեգիա կամ տետրապլեգիա կամ տոտալ աֆազիա, (G00- G99, G04, G11, G81-G83), (անձի ֆունկցիոնալության ծանր աստիճանի սահմանափակումով)</w:t>
      </w:r>
      <w:r>
        <w:rPr>
          <w:rFonts w:ascii="MS Gothic" w:eastAsia="MS Gothic" w:hAnsi="MS Gothic" w:cs="MS Gothic" w:hint="eastAsia"/>
          <w:sz w:val="24"/>
          <w:szCs w:val="24"/>
          <w:lang w:val="ru-RU"/>
        </w:rPr>
        <w:t>․</w:t>
      </w:r>
    </w:p>
    <w:p w14:paraId="4BF53B22" w14:textId="77777777" w:rsidR="00E13621" w:rsidRDefault="00E13621" w:rsidP="00E13621">
      <w:pPr>
        <w:spacing w:after="0" w:line="360" w:lineRule="auto"/>
        <w:jc w:val="both"/>
        <w:rPr>
          <w:rFonts w:ascii="GHEA Grapalat" w:hAnsi="GHEA Grapalat"/>
          <w:sz w:val="24"/>
          <w:szCs w:val="24"/>
        </w:rPr>
      </w:pPr>
      <w:r>
        <w:rPr>
          <w:rFonts w:ascii="GHEA Grapalat" w:hAnsi="GHEA Grapalat"/>
          <w:b/>
          <w:bCs/>
          <w:sz w:val="24"/>
          <w:szCs w:val="24"/>
        </w:rPr>
        <w:t>8) վիրաբուժական հիվանդություններ և ձևախեղումներ՝</w:t>
      </w:r>
    </w:p>
    <w:p w14:paraId="19EA5CC6"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ա. կղանքային կայուն խուղակներ և ստոմաներ (Z93) (անձի ֆունկցիոնալության խորը, ծանր, միջին աստիճանի սահմանափակումով)</w:t>
      </w:r>
      <w:r>
        <w:rPr>
          <w:rFonts w:ascii="MS Gothic" w:eastAsia="MS Gothic" w:hAnsi="MS Gothic" w:cs="MS Gothic" w:hint="eastAsia"/>
          <w:sz w:val="24"/>
          <w:szCs w:val="24"/>
          <w:lang w:val="ru-RU"/>
        </w:rPr>
        <w:t>․</w:t>
      </w:r>
    </w:p>
    <w:p w14:paraId="4EF5CE1A" w14:textId="77777777" w:rsidR="00E13621" w:rsidRDefault="00E13621" w:rsidP="00E13621">
      <w:pPr>
        <w:spacing w:after="0" w:line="360" w:lineRule="auto"/>
        <w:jc w:val="both"/>
        <w:rPr>
          <w:rFonts w:ascii="GHEA Grapalat" w:hAnsi="GHEA Grapalat"/>
          <w:b/>
          <w:bCs/>
          <w:sz w:val="24"/>
          <w:szCs w:val="24"/>
        </w:rPr>
      </w:pPr>
      <w:r>
        <w:rPr>
          <w:rFonts w:ascii="GHEA Grapalat" w:hAnsi="GHEA Grapalat"/>
          <w:sz w:val="24"/>
          <w:szCs w:val="24"/>
        </w:rPr>
        <w:t>9</w:t>
      </w:r>
      <w:r>
        <w:rPr>
          <w:rFonts w:ascii="GHEA Grapalat" w:hAnsi="GHEA Grapalat"/>
          <w:b/>
          <w:bCs/>
          <w:sz w:val="24"/>
          <w:szCs w:val="24"/>
        </w:rPr>
        <w:t>) հոգեկան խանգարումներ</w:t>
      </w:r>
    </w:p>
    <w:p w14:paraId="46F0A1CC"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 xml:space="preserve"> ա</w:t>
      </w:r>
      <w:r>
        <w:rPr>
          <w:rFonts w:ascii="MS Gothic" w:eastAsia="MS Gothic" w:hAnsi="MS Gothic" w:cs="MS Gothic" w:hint="eastAsia"/>
          <w:sz w:val="24"/>
          <w:szCs w:val="24"/>
          <w:lang w:val="ru-RU"/>
        </w:rPr>
        <w:t>․</w:t>
      </w:r>
      <w:r>
        <w:rPr>
          <w:rFonts w:ascii="GHEA Grapalat" w:hAnsi="GHEA Grapalat"/>
          <w:sz w:val="24"/>
          <w:szCs w:val="24"/>
          <w:lang w:val="ru-RU"/>
        </w:rPr>
        <w:t xml:space="preserve"> </w:t>
      </w:r>
      <w:r>
        <w:rPr>
          <w:rFonts w:ascii="GHEA Grapalat" w:hAnsi="GHEA Grapalat"/>
          <w:sz w:val="24"/>
          <w:szCs w:val="24"/>
        </w:rPr>
        <w:t>Շիզոֆրենիա, կայուն դեֆեկտ), (անձի ֆունկցիոնալության խորը, ծանր աստիճանի սահմանափակումով).</w:t>
      </w:r>
    </w:p>
    <w:p w14:paraId="187BED99" w14:textId="77777777" w:rsidR="00E13621" w:rsidRDefault="00E13621" w:rsidP="00E13621">
      <w:pPr>
        <w:tabs>
          <w:tab w:val="left" w:pos="1260"/>
        </w:tabs>
        <w:spacing w:line="360" w:lineRule="auto"/>
        <w:jc w:val="both"/>
        <w:rPr>
          <w:rFonts w:ascii="GHEA Grapalat" w:hAnsi="GHEA Grapalat"/>
          <w:b/>
          <w:bCs/>
          <w:sz w:val="24"/>
          <w:szCs w:val="24"/>
        </w:rPr>
      </w:pPr>
      <w:r>
        <w:rPr>
          <w:rFonts w:ascii="GHEA Grapalat" w:hAnsi="GHEA Grapalat"/>
          <w:sz w:val="24"/>
          <w:szCs w:val="24"/>
        </w:rPr>
        <w:t>10</w:t>
      </w:r>
      <w:r>
        <w:rPr>
          <w:rFonts w:ascii="GHEA Grapalat" w:hAnsi="GHEA Grapalat"/>
          <w:b/>
          <w:bCs/>
          <w:sz w:val="24"/>
          <w:szCs w:val="24"/>
        </w:rPr>
        <w:t>)  տեսողական օրգանի հիվանդություններ՝</w:t>
      </w:r>
    </w:p>
    <w:p w14:paraId="6556BBEE" w14:textId="77777777" w:rsidR="00E13621" w:rsidRDefault="00E13621" w:rsidP="00E13621">
      <w:pPr>
        <w:pStyle w:val="ListParagraph"/>
        <w:tabs>
          <w:tab w:val="left" w:pos="1260"/>
        </w:tabs>
        <w:spacing w:line="360" w:lineRule="auto"/>
        <w:ind w:left="0"/>
        <w:jc w:val="both"/>
        <w:rPr>
          <w:rFonts w:ascii="GHEA Grapalat" w:hAnsi="GHEA Grapalat"/>
          <w:color w:val="000000"/>
          <w:sz w:val="24"/>
          <w:szCs w:val="24"/>
          <w:shd w:val="clear" w:color="auto" w:fill="FFFFFF"/>
        </w:rPr>
      </w:pPr>
      <w:r>
        <w:rPr>
          <w:rFonts w:ascii="GHEA Grapalat" w:hAnsi="GHEA Grapalat"/>
          <w:sz w:val="24"/>
          <w:szCs w:val="24"/>
        </w:rPr>
        <w:t xml:space="preserve">ա. </w:t>
      </w:r>
      <w:r>
        <w:rPr>
          <w:rFonts w:ascii="GHEA Grapalat" w:hAnsi="GHEA Grapalat"/>
          <w:color w:val="000000"/>
          <w:sz w:val="24"/>
          <w:szCs w:val="24"/>
          <w:shd w:val="clear" w:color="auto" w:fill="FFFFFF"/>
        </w:rPr>
        <w:t xml:space="preserve">բարձր աստիճանի բարդացած կարճատեսություն օպտիմալ կորեկցիայի պայմաններում լավ տեսնող աչքում ոչ ավելի, քան 0,2՝ առանց զուգակցման այլ հիվանդության հետ. </w:t>
      </w:r>
    </w:p>
    <w:p w14:paraId="4B747FE3" w14:textId="77777777" w:rsidR="00E13621" w:rsidRDefault="00E13621" w:rsidP="00E13621">
      <w:pPr>
        <w:spacing w:after="0" w:line="360" w:lineRule="auto"/>
        <w:jc w:val="both"/>
        <w:rPr>
          <w:rFonts w:ascii="GHEA Grapalat" w:hAnsi="GHEA Grapalat"/>
          <w:sz w:val="24"/>
          <w:szCs w:val="24"/>
        </w:rPr>
      </w:pPr>
      <w:r>
        <w:rPr>
          <w:rFonts w:ascii="GHEA Grapalat" w:hAnsi="GHEA Grapalat"/>
          <w:color w:val="000000"/>
          <w:sz w:val="24"/>
          <w:szCs w:val="24"/>
          <w:shd w:val="clear" w:color="auto" w:fill="FFFFFF"/>
        </w:rPr>
        <w:t xml:space="preserve">բ. </w:t>
      </w:r>
      <w:r>
        <w:rPr>
          <w:rFonts w:ascii="GHEA Grapalat" w:hAnsi="GHEA Grapalat"/>
          <w:b/>
          <w:bCs/>
          <w:sz w:val="24"/>
          <w:szCs w:val="24"/>
        </w:rPr>
        <w:t xml:space="preserve">տեսողական նյարդի սուբատրոֆիա, </w:t>
      </w:r>
      <w:r>
        <w:rPr>
          <w:rFonts w:ascii="GHEA Grapalat" w:hAnsi="GHEA Grapalat"/>
          <w:sz w:val="24"/>
          <w:szCs w:val="24"/>
        </w:rPr>
        <w:t>որը հանգեցնում է տեսողական ֆունկցիայի կայուն չափավոր կամ արտահայտված խանգարման:</w:t>
      </w:r>
    </w:p>
    <w:p w14:paraId="4F5B0CEB" w14:textId="77777777" w:rsidR="00E13621" w:rsidRDefault="00E13621" w:rsidP="00E13621">
      <w:pPr>
        <w:spacing w:after="0" w:line="360" w:lineRule="auto"/>
        <w:jc w:val="both"/>
        <w:rPr>
          <w:rFonts w:ascii="GHEA Grapalat" w:hAnsi="GHEA Grapalat"/>
          <w:sz w:val="24"/>
          <w:szCs w:val="24"/>
        </w:rPr>
      </w:pPr>
      <w:r>
        <w:rPr>
          <w:rFonts w:ascii="GHEA Grapalat" w:hAnsi="GHEA Grapalat"/>
          <w:b/>
          <w:bCs/>
          <w:sz w:val="24"/>
          <w:szCs w:val="24"/>
        </w:rPr>
        <w:t>26. Առողջական խնդիրներ, որոնց դեպքում անձի ֆունկցիոնալության 5-րդ գնահատման արդյունքում հաշմանդամությունը սահմանվում է անժամկետ՝</w:t>
      </w:r>
    </w:p>
    <w:p w14:paraId="730B6AF6" w14:textId="77777777" w:rsidR="00E13621" w:rsidRDefault="00E13621" w:rsidP="00E13621">
      <w:pPr>
        <w:spacing w:after="0" w:line="360" w:lineRule="auto"/>
        <w:jc w:val="both"/>
        <w:rPr>
          <w:rFonts w:ascii="GHEA Grapalat" w:hAnsi="GHEA Grapalat"/>
          <w:sz w:val="24"/>
          <w:szCs w:val="24"/>
        </w:rPr>
      </w:pPr>
      <w:r>
        <w:rPr>
          <w:rFonts w:ascii="GHEA Grapalat" w:hAnsi="GHEA Grapalat"/>
          <w:b/>
          <w:bCs/>
          <w:sz w:val="24"/>
          <w:szCs w:val="24"/>
        </w:rPr>
        <w:t>1) ներքին օրգանների հիվանդություններ՝</w:t>
      </w:r>
    </w:p>
    <w:p w14:paraId="1813462C"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ա. լյարդի ցիռոզ հեպատոսպլենոմեգալիա, դռներակային գերճնշում 3-րդ աստիճանի, ասցիտ (K74),</w:t>
      </w:r>
    </w:p>
    <w:p w14:paraId="3677C18E"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բ. լիմֆոիդ, արյունաստեղծ և նրանց նման հյուսվածքների չարորակ նորագոյացություններ արտահայտված ինտոքսիկացիայով և ընդհանուր ծանր վիճակով (C81-C96)</w:t>
      </w:r>
      <w:r>
        <w:rPr>
          <w:rFonts w:ascii="MS Gothic" w:eastAsia="MS Gothic" w:hAnsi="MS Gothic" w:cs="MS Gothic" w:hint="eastAsia"/>
          <w:sz w:val="24"/>
          <w:szCs w:val="24"/>
          <w:lang w:val="ru-RU"/>
        </w:rPr>
        <w:t>․</w:t>
      </w:r>
    </w:p>
    <w:p w14:paraId="2B492793" w14:textId="77777777" w:rsidR="00E13621" w:rsidRDefault="00E13621" w:rsidP="00E13621">
      <w:pPr>
        <w:spacing w:after="0" w:line="360" w:lineRule="auto"/>
        <w:jc w:val="both"/>
        <w:rPr>
          <w:rFonts w:ascii="GHEA Grapalat" w:hAnsi="GHEA Grapalat"/>
          <w:sz w:val="24"/>
          <w:szCs w:val="24"/>
        </w:rPr>
      </w:pPr>
      <w:r>
        <w:rPr>
          <w:rFonts w:ascii="GHEA Grapalat" w:hAnsi="GHEA Grapalat"/>
          <w:b/>
          <w:bCs/>
          <w:sz w:val="24"/>
          <w:szCs w:val="24"/>
        </w:rPr>
        <w:t>2) նյարդային համակարգի հիվանդություններ՝</w:t>
      </w:r>
    </w:p>
    <w:p w14:paraId="307FF4B7"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ա. կենտրոնական նյարդային համակարգի խրոնիկ պրոգրեսիվող հիվանդություններ (էնցեֆալիտ, կողմնային ամիոտրոֆիկ սկլերոզ, ցրված սկլերոզ, պարկինսոնիզմ և այլն), գլխուղեղի վնասվածքային ախտահարման հեռավոր կայուն մնացորդային երևույթներ, շարժողական, խոսակցական, տեսողական չափավոր կայուն խանգարումներով (հեմիպարեզ կամ պարապարեզ կամ տրիպարեզ կամ տետրապարեզ) (S14G00- G99, G04, G11, G81-G83), անձի ֆունկցիոնալության միջին աստիճանի սահմանափակումով)</w:t>
      </w:r>
      <w:r>
        <w:rPr>
          <w:rFonts w:ascii="MS Gothic" w:eastAsia="MS Gothic" w:hAnsi="MS Gothic" w:cs="MS Gothic" w:hint="eastAsia"/>
          <w:sz w:val="24"/>
          <w:szCs w:val="24"/>
          <w:lang w:val="ru-RU"/>
        </w:rPr>
        <w:t>․</w:t>
      </w:r>
    </w:p>
    <w:p w14:paraId="37DBE0CE" w14:textId="77777777" w:rsidR="00E13621" w:rsidRDefault="00E13621" w:rsidP="00E13621">
      <w:pPr>
        <w:spacing w:after="0" w:line="360" w:lineRule="auto"/>
        <w:jc w:val="both"/>
        <w:rPr>
          <w:rFonts w:ascii="GHEA Grapalat" w:hAnsi="GHEA Grapalat"/>
          <w:b/>
          <w:bCs/>
          <w:sz w:val="24"/>
          <w:szCs w:val="24"/>
        </w:rPr>
      </w:pPr>
      <w:r>
        <w:rPr>
          <w:rFonts w:ascii="GHEA Grapalat" w:hAnsi="GHEA Grapalat"/>
          <w:sz w:val="24"/>
          <w:szCs w:val="24"/>
        </w:rPr>
        <w:t>3</w:t>
      </w:r>
      <w:r>
        <w:rPr>
          <w:rFonts w:ascii="GHEA Grapalat" w:hAnsi="GHEA Grapalat"/>
          <w:b/>
          <w:bCs/>
          <w:sz w:val="24"/>
          <w:szCs w:val="24"/>
        </w:rPr>
        <w:t>) հոգեկան խանգարումներ</w:t>
      </w:r>
    </w:p>
    <w:p w14:paraId="094C0DE4"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 xml:space="preserve"> ա</w:t>
      </w:r>
      <w:r>
        <w:rPr>
          <w:rFonts w:ascii="MS Gothic" w:eastAsia="MS Gothic" w:hAnsi="MS Gothic" w:cs="MS Gothic" w:hint="eastAsia"/>
          <w:sz w:val="24"/>
          <w:szCs w:val="24"/>
          <w:lang w:val="ru-RU"/>
        </w:rPr>
        <w:t>․</w:t>
      </w:r>
      <w:r>
        <w:rPr>
          <w:rFonts w:ascii="GHEA Grapalat" w:hAnsi="GHEA Grapalat"/>
          <w:sz w:val="24"/>
          <w:szCs w:val="24"/>
          <w:lang w:val="ru-RU"/>
        </w:rPr>
        <w:t xml:space="preserve"> </w:t>
      </w:r>
      <w:r>
        <w:rPr>
          <w:rFonts w:ascii="GHEA Grapalat" w:hAnsi="GHEA Grapalat"/>
          <w:sz w:val="24"/>
          <w:szCs w:val="24"/>
        </w:rPr>
        <w:t>Շիզոֆրենիա, աճող դեֆեկտ), (անձի ֆունկցիոնալության ծանր աստիճանի սահմանափակումով).</w:t>
      </w:r>
    </w:p>
    <w:p w14:paraId="45BD8924"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 xml:space="preserve">4) </w:t>
      </w:r>
      <w:r>
        <w:rPr>
          <w:rFonts w:ascii="GHEA Grapalat" w:hAnsi="GHEA Grapalat"/>
          <w:b/>
          <w:bCs/>
          <w:sz w:val="24"/>
          <w:szCs w:val="24"/>
        </w:rPr>
        <w:t xml:space="preserve">տեսողական օրգանի հիվանդություններ՝ </w:t>
      </w:r>
      <w:r>
        <w:rPr>
          <w:rFonts w:ascii="GHEA Grapalat" w:hAnsi="GHEA Grapalat"/>
          <w:sz w:val="24"/>
          <w:szCs w:val="24"/>
        </w:rPr>
        <w:t>դիաբետիկ ռետինոպաթիա, ցանցաթաղանթի աբիոտրոֆիաներ, գլաուկոմա, որոնք հանգեցրել են տեսողական ֆունկցիայի կայուն արտահայտված խանգարման:</w:t>
      </w:r>
    </w:p>
    <w:p w14:paraId="13431574" w14:textId="77777777" w:rsidR="00E13621" w:rsidRDefault="00E13621" w:rsidP="00E13621">
      <w:pPr>
        <w:spacing w:after="0" w:line="360" w:lineRule="auto"/>
        <w:jc w:val="both"/>
        <w:rPr>
          <w:rFonts w:ascii="GHEA Grapalat" w:hAnsi="GHEA Grapalat"/>
          <w:sz w:val="24"/>
          <w:szCs w:val="24"/>
        </w:rPr>
      </w:pPr>
      <w:r>
        <w:rPr>
          <w:rFonts w:ascii="GHEA Grapalat" w:hAnsi="GHEA Grapalat"/>
          <w:b/>
          <w:bCs/>
          <w:sz w:val="24"/>
          <w:szCs w:val="24"/>
        </w:rPr>
        <w:t>27. Առողջական խնդիրներ, որոնց դեպքում երեխայի ֆունկցիոնալության գնահատման արդյունքում հաշմանդամությունը սահմանվում է մինչև 18 տարին լրանալը`</w:t>
      </w:r>
    </w:p>
    <w:p w14:paraId="0F9AC1C9"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1) երիկամների խրոնիկական հիվանդություններ, ԽԵԱ տերմինալ շրջան, ծրագրային հեմոդիալիզ (N10-N16).</w:t>
      </w:r>
    </w:p>
    <w:p w14:paraId="3F08E9CD"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2) լյարդի ցիռոզ՝ հեպատոսպլենոմեգալյայով և պորտալ հիպերտենզիայով, 3-րդ աստիճանի (K74)</w:t>
      </w:r>
      <w:r>
        <w:rPr>
          <w:rFonts w:ascii="MS Gothic" w:eastAsia="MS Gothic" w:hAnsi="MS Gothic" w:cs="MS Gothic" w:hint="eastAsia"/>
          <w:sz w:val="24"/>
          <w:szCs w:val="24"/>
          <w:lang w:val="ru-RU"/>
        </w:rPr>
        <w:t>․</w:t>
      </w:r>
    </w:p>
    <w:p w14:paraId="53FE36A3"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3) բնածին անավարտ (անկատար) օստեոգենեզ՝ հենաշարժական ֆունկցիայի արտահայտված կամ խիստ արտահայտված խանգարումներով (Q78.0).</w:t>
      </w:r>
    </w:p>
    <w:p w14:paraId="5A82EAE6"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4) նյութափոխանակության բնածին, ժառանգական հիվանդություններ՝ հարաճուն (պրոգրեսիվող) ընթացքով, դեղակայուն, օրգանիզմի ֆունկցիաների կայուն արտահայտված կամ խիստ արտահայտված խանգարումներով (մուկովիսցիդոզ (E84.1), ացիդեմիա կամ ացիդուրիա (E71.1), գլյուտարիկացիդուրիա (E72.2), գալակտոզեմիա (E74.2), Ֆաբրիի, Գոխի Նիմանն-Պիկի հիվանդություններ (E75.2), մուկոպոլիսախարիդոզ (E75.2), ֆենիլկետոնուրիա (E70.0).</w:t>
      </w:r>
    </w:p>
    <w:p w14:paraId="6B7A51AB"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5) պատանեկան արթրիտ (M08.3) կոնտրակտուրաներով, դեֆորմացիաներով՝ հենաշարժական ֆունկցիայի կայուն արտահայտված կամ խիստ արտահայտված խանգարումներով.</w:t>
      </w:r>
    </w:p>
    <w:p w14:paraId="4E9BFE56"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6) համակարգային կարմիր գայլախտ (M32.1)՝ ծանր ընթացքով, բարձր ակտիվությամբ, արագ հարաճուն (պրոգրեսիվող) ընթացքով, ներքին օրգանների ախտահարմամբ, օրգանիզմի ֆունկցիաների կայուն արտահայտված կամ խիստ արտահայտված խանգարումներով, բուժման հեռանկարի բացակայությամբ.</w:t>
      </w:r>
    </w:p>
    <w:p w14:paraId="517914C3"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7) համակարգային սկլերոզ (M34.0)՝ տարածուն ձև, բարձր ակտիվությամբ, արագ հարաճուն (պրոգրեսիվող) ընթացքով, ներքին օրգանների ախտահարմամբ, օրգանիզմի ֆունկցիաների կայուն արտահայտված կամ խիստ արտահայտված խանգարումներով, բուժման հեռանկարի բացակայությամբ.</w:t>
      </w:r>
    </w:p>
    <w:p w14:paraId="2D1E6FC8"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8) բնածին բուլոզ էպիդերմոլիզ՝ ծանր ընթացքով, բուժման չենթարկվող (Q81.0) դերմատոմիոզիտ (M33.1)՝ ծանր ընթացքով, բարձր ակտիվությամբ, արագ հարաճուն (պրոգրեսիվող) ընթացքով, ներքին օրգանների ախտահարմամբ, օրգանիզմի ֆունկցիաների կայուն արտահայտված կամ խիստ արտահայտված խանգարումներով, բուժման հեռանկարի բացակայությամբ.</w:t>
      </w:r>
    </w:p>
    <w:p w14:paraId="03B31790"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9) օրգանիզմի կառուցվածքային չշտկվող խախտումներ՝ ֆունկցիոնալ արտահայտված կամ խիստ արտահայտված խանգարումներով.</w:t>
      </w:r>
    </w:p>
    <w:p w14:paraId="089BA2DE"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10) ողնաշարի և ողնուղեղի զարգացման բնածին խախտումներ՝ կանգուն կեցվածքի, նյարդամկանային, հենաշարժական, զգայական ֆունկցիաների կայուն արտահայտված կամ խիստ արտահայտված խանգարումներով.</w:t>
      </w:r>
    </w:p>
    <w:p w14:paraId="55C3D0ED"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11) շիզոֆրենիայի տարբեր ձևեր, այդ թվում՝ մանկական, հոգեկան ֆունկցիայի արտահայտված և խիստ արտահայտված խանգարում (F20).</w:t>
      </w:r>
    </w:p>
    <w:p w14:paraId="5432E95D"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12) մանկական ուղեղային լուծանք՝ նյարդամկանային և հենաշարժական, լեզվական և խոսքի ֆունկցիաների կայուն արտահայտված կամ խիստ արտահայտված խանգարումներով (G80.1).</w:t>
      </w:r>
    </w:p>
    <w:p w14:paraId="402F89C0"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13) բնածին պրոգրեսիվող նյարդամկանային հիվանդություններ՝ Դյուշենի միոդիստրոֆիա (G71.0), Վերդինգ-Գոֆմանի ողնուղեղային ամիոտրոֆիա (G54) և այլն՝ հենաշարժական ֆունկցիայի արտահայտված կամ խիստ արտահայտված խանգարումներով.</w:t>
      </w:r>
    </w:p>
    <w:p w14:paraId="7AC452FA"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14) Ձեռքբերովի իմունային անբավարարության համախտանիշ (ՁԻԱՀ)՝ առաջացած մարդու իմունային անբավարարության վիրուսով հարուցված հիվանդությամբ (B20-24).</w:t>
      </w:r>
    </w:p>
    <w:p w14:paraId="58B044EB"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15) մեկ կամ զույգ ակնագնդի բացակայություն, մեկ կամ զույգ աչքի տեսողության անվերադարձ բացակայություն կամ առարկայական տեսողության անվերադարձ բացակայություն (կուրություն)՝ տեսողության սրությունը լավ տեսնող աչքում օպտիմալ</w:t>
      </w:r>
      <w:r>
        <w:rPr>
          <w:sz w:val="24"/>
          <w:szCs w:val="24"/>
        </w:rPr>
        <w:t> </w:t>
      </w:r>
      <w:r>
        <w:rPr>
          <w:rFonts w:ascii="GHEA Grapalat" w:hAnsi="GHEA Grapalat"/>
          <w:sz w:val="24"/>
          <w:szCs w:val="24"/>
        </w:rPr>
        <w:t>կրելի շտկումով 0,03, մեկ կամ զույգ աչքի տեսադաշտի նեղացում մինչև 10 աստիճան (ֆիքսացիոն կետից)` կայուն և անդառնալի փոփոխության հետևանքով (H54.4 H54.0).</w:t>
      </w:r>
    </w:p>
    <w:p w14:paraId="7D50CE33"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16) բնածին բազմաթիվ արտրոգրիպոզ (Q74.3).</w:t>
      </w:r>
    </w:p>
    <w:p w14:paraId="20036AC6"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17) վերին վերջույթների կառուցվածքային խախտումներ՝ ուսագոտու, բազկային հոդի, բազկի, նախաբազկի, դաստակի ամպուտացիաներ, 4 մատների բոլոր ֆալանգների բացակայություն՝ բացառությամբ 1-ին մատի, կամ 3 մատների բացակայություն՝ 1-ին մատի ներառումով: Ստորին վերջույթների կառուցվածքային խախտումներ՝ ամպուտացիաներ. կոնք-ազդրային հոդի (հոդերի), ազդրի էկզարտիկուլացիա, ազդրի, սրունքի ծայրատ, թաթի բացակայություն (S48, S58, S68, S78, S88, S98).</w:t>
      </w:r>
    </w:p>
    <w:p w14:paraId="3E23E54D"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18) անկիլոզացնող սպոնդիլիտ՝ հենաշարժական ֆունկցիայի կայուն արտահայտված կամ խիստ արտահայտված խանգարումներով (M45).</w:t>
      </w:r>
    </w:p>
    <w:p w14:paraId="02209DBB"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19) չարորակ նորագոյացություններ (մետաստազներով և կրկնություններով)՝ արմատական բուժումից հետո, հիվանդության անբուժելիություն (C00 – C97).</w:t>
      </w:r>
    </w:p>
    <w:p w14:paraId="384FD1D8"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20) կոկորդի բացակայություն՝ վիրաբուժական հեռացումից հետո.</w:t>
      </w:r>
    </w:p>
    <w:p w14:paraId="69322D2D"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21) վերին և ստորին վերջույթների խոշոր հոդերի արտահայտված կոնտրակտուրա՝ ֆունկցիոնալ անհարմար դիրքով, էնդոպրոթեզավորման անհնարինություն.</w:t>
      </w:r>
    </w:p>
    <w:p w14:paraId="44FC02CB"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22) բնածին վիրահատված հիդրոցեֆալիա՝ կանգուն կեցվածքի, նյարդամկանային, հենաշարժական, հոգեկան, զգայական ֆունկցիաների կայուն արտահայտված կամ խիստ արտահայտված խանգարումներով (Q03):</w:t>
      </w:r>
    </w:p>
    <w:p w14:paraId="130411B9" w14:textId="77777777" w:rsidR="00E13621" w:rsidRDefault="00E13621" w:rsidP="00E13621">
      <w:pPr>
        <w:spacing w:after="0" w:line="360" w:lineRule="auto"/>
        <w:jc w:val="both"/>
        <w:rPr>
          <w:rFonts w:ascii="GHEA Grapalat" w:hAnsi="GHEA Grapalat"/>
          <w:sz w:val="24"/>
          <w:szCs w:val="24"/>
        </w:rPr>
      </w:pPr>
      <w:r>
        <w:rPr>
          <w:rFonts w:ascii="GHEA Grapalat" w:hAnsi="GHEA Grapalat"/>
          <w:b/>
          <w:bCs/>
          <w:sz w:val="24"/>
          <w:szCs w:val="24"/>
        </w:rPr>
        <w:t>28. Առողջական խնդիրներ, որոնց դեպքում երեխայի ֆունկցիոնալության 3-րդ գնահատման արդյունքում հաշմանդամությունը սահմանվում է մինչև 18 տարին լրանալը՝</w:t>
      </w:r>
    </w:p>
    <w:p w14:paraId="1E288FDF"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1) գլխուղեղի և ողնուղեղի տարբեր ծագման ախտահարումներ, անվիրահատելի բարորակ նորագոյացություններ՝ կանգուն կեցվածքի, նյարդամկանային, հենաշարժական, հոգեկան, տեսողական, խոսքի և լիկվորոդինամիկայի ֆունկցիաների կայուն արտահայտված արտահայտված խանգարումներով (D33).</w:t>
      </w:r>
    </w:p>
    <w:p w14:paraId="15241131"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2) նյարդային համակարգի խրոնիկական հարաճուն (պրոգրեսիվող) հիվանդություններ (այդ թվում՝ գլխուղեղի նեյրոդեգեներատիվ հիվանդություններ)՝ կանգուն կեցվածքի, նյարդամկանային, հենաշարժական, տեսողական, խոսքի ֆունկցիաների կայուն արտահայտված խանգարումներով.</w:t>
      </w:r>
    </w:p>
    <w:p w14:paraId="23B43A9A"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3) սրտի ռիթմի խանգարումներ, որոնց դեպքում տեղադրված են սրտի ռիթմը վարող տարատեսակ սարքեր (I44-45, I47-49).</w:t>
      </w:r>
    </w:p>
    <w:p w14:paraId="5438E974"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4) կղանքային, միզային կայուն խուղակներ, ստոմաներ (N32, K91.4, J95.0).</w:t>
      </w:r>
    </w:p>
    <w:p w14:paraId="2660FA3B"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5) ոսկրամկանային համակարգի կառուցվածքային բնածին խախտումներ՝ կանգուն կեցվածքի, նյարդամկանային, հենաշարժական ֆունկցիաների կայուն արտահայտված արտահայտված խանգարումներով:</w:t>
      </w:r>
    </w:p>
    <w:p w14:paraId="716C8345" w14:textId="77777777" w:rsidR="00E13621" w:rsidRDefault="00E13621" w:rsidP="00E13621">
      <w:pPr>
        <w:spacing w:after="0" w:line="360" w:lineRule="auto"/>
        <w:jc w:val="both"/>
        <w:rPr>
          <w:rFonts w:ascii="GHEA Grapalat" w:hAnsi="GHEA Grapalat"/>
          <w:sz w:val="24"/>
          <w:szCs w:val="24"/>
        </w:rPr>
      </w:pPr>
      <w:r>
        <w:rPr>
          <w:rFonts w:ascii="GHEA Grapalat" w:hAnsi="GHEA Grapalat"/>
          <w:b/>
          <w:bCs/>
          <w:sz w:val="24"/>
          <w:szCs w:val="24"/>
        </w:rPr>
        <w:t>29. Առողջական խնդիրներ, որոնց դեպքում երեխայի ֆունկցիոնալության գնահատման արդյունքում հաշմանդամությունը սահմանվում է հինգ տարի ժամկետով՝</w:t>
      </w:r>
    </w:p>
    <w:p w14:paraId="6AF4E619"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1) չարորակ նորագոյացություններ, այդ թվում՝ սուր և խրոնիկ լեյկոզի ցանկացած ձև (C00 – C97).</w:t>
      </w:r>
    </w:p>
    <w:p w14:paraId="502C4CFC"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2) զարգացման ընդհանուր խանգարումներ (F84.0-F84.9).</w:t>
      </w:r>
    </w:p>
    <w:p w14:paraId="4E923BC8"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3) սկոլիոզ՝ 3-4-րդ աստիճանի, արագ զարգացող, երկարատև և բարդ վերականգնողական բուժում պահանջող (M41, Q67.5).</w:t>
      </w:r>
    </w:p>
    <w:p w14:paraId="5B0C587F"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4) դիմածնոտային շրջանի բնածին կամ ժառանգական կառուցվածքային խախտումներ (շրթունքների, կոշտ քիմքի և փափուկ քիմքի լրիվ երկատում և այլն)՝ մարսողական ֆունկցիայի կայուն՝ արտահայտված կամ խիստ արտահայտված խանգարմամբ (Q35, Q36).</w:t>
      </w:r>
    </w:p>
    <w:p w14:paraId="03ABEF1C"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5) երկկողմանի բնածին խուլհամրություն (հնարավոր է կոխլեար իմպլանտացիա), երկկողմանի պրակտիկ խլություն (2 կողմից 4-րդ աստիճանի ծանրալսություն՝ խոսքի խիստ արտահայտված խանգարումով), երկկողմանի 4-րդ կամ 3-4-րդ աստիճանի ծանրալսություն, լսողական սարքի կրման անարդյունավետությամբ, խոսքի արտահայտված խանգարումով (H90.5- H91.3).</w:t>
      </w:r>
    </w:p>
    <w:p w14:paraId="7600B905"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6) երկկողմանի նեյրոսենսոր ծանրալսություն՝ 3-4-րդ աստիճանի, լսողական ապարատի կրման անարդյունավետություն, խոսքի խանգարումով (H90.5- H91.3).</w:t>
      </w:r>
    </w:p>
    <w:p w14:paraId="14C6E955"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7) մանկական ուղեղային լուծանք՝ նյարդամկանային և հենաշարժական, լեզվական և խոսքի ֆունկցիաների կայուն չափավոր արտահայտված խանգարումներով (G80.1).</w:t>
      </w:r>
    </w:p>
    <w:p w14:paraId="2DF226BD"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8) ոտնաթաթերի բնածին դեֆորմացիաներ (ծուռթաթություն)՝ հենաշարժական ֆունկցիայի արտահայտված խանգարումով (Q66).</w:t>
      </w:r>
    </w:p>
    <w:p w14:paraId="3DC4F7BA"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9) մակերիկամների կեղևի բնածին դիսֆունկցիա, աղ կորցնող ձև (E25).</w:t>
      </w:r>
    </w:p>
    <w:p w14:paraId="486076F5"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10) առաջնային մակերիկամային անբավարարություն (E27.1).</w:t>
      </w:r>
    </w:p>
    <w:p w14:paraId="37C06D6C"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11) պանհիպոպիտուիտարիզմ կամ հիպոպիտուիտարիզմ (E23).</w:t>
      </w:r>
    </w:p>
    <w:p w14:paraId="6C328898"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12) շաքարային դիաբետ՝ 1-ին տիպ, միջին ծանրության, անկայուն ընթացքով, առանց բարդությունների (E10).</w:t>
      </w:r>
    </w:p>
    <w:p w14:paraId="69AF308B"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13) բնածին քրոմոսոմային և գենետիկ խանգարումներ (Դաունի համախտանիշ)՝ հարաճուն (պրոգրեսիվող) ընթացքով, անբարենպաստ կանխատեսմամբ, օրգանիզմի ֆունկցիաների կայուն արտահայտված կամ խիստ արտահայտված խանգարմամբ, այդ թվում՝ հոգեկան և մտավոր ֆունկցիաների չափավոր, արտահայտված կամ խիստ արտահայտված խանգարումներով (Q81.0, F70-F79).</w:t>
      </w:r>
    </w:p>
    <w:p w14:paraId="00E6321F"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14) սիմպտոմատիկ, իդեոպատիկ էպիլեպսիա՝ նոպաների բուժման ռեզիստենտությամբ, արտահայտված կամ խիստ արտահայտված հոգեկան ֆունկցիայի խանգարմամբ (G40):</w:t>
      </w:r>
    </w:p>
    <w:p w14:paraId="1A1D78C6"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30. Օրենքով  սահմանված տարիքային կենսաթոշակի իրավունք տվող տարիքը լրացած անձանց հաշմանդամությունը սահմանվում է անժամկետ։</w:t>
      </w:r>
    </w:p>
    <w:p w14:paraId="77AF0F88" w14:textId="77777777" w:rsidR="00E13621" w:rsidRDefault="00E13621" w:rsidP="00E13621">
      <w:pPr>
        <w:spacing w:after="0" w:line="360" w:lineRule="auto"/>
        <w:jc w:val="both"/>
        <w:rPr>
          <w:rFonts w:ascii="GHEA Grapalat" w:hAnsi="GHEA Grapalat"/>
          <w:sz w:val="24"/>
          <w:szCs w:val="24"/>
        </w:rPr>
      </w:pPr>
      <w:r>
        <w:rPr>
          <w:rFonts w:ascii="GHEA Grapalat" w:hAnsi="GHEA Grapalat"/>
          <w:sz w:val="24"/>
          <w:szCs w:val="24"/>
        </w:rPr>
        <w:t>31. Նույն հիվանդություններով կամ ախտաբանական վիճակներով 7 տարվա դիտարկումից հետո հաշմանդամություն ունեցող անձ ճանաչվածներին՝ 8-րդ տարվա դիտարկման դեպքում հաշմանդամությունը սահմանվում է անժամկետ։»:</w:t>
      </w:r>
    </w:p>
    <w:p w14:paraId="11F3C451" w14:textId="77777777" w:rsidR="00E13621" w:rsidRDefault="00E13621" w:rsidP="00E13621">
      <w:pPr>
        <w:tabs>
          <w:tab w:val="left" w:pos="851"/>
          <w:tab w:val="left" w:pos="993"/>
        </w:tabs>
        <w:spacing w:after="0" w:line="360" w:lineRule="auto"/>
        <w:jc w:val="both"/>
        <w:rPr>
          <w:rFonts w:ascii="GHEA Grapalat" w:hAnsi="GHEA Grapalat"/>
          <w:bCs/>
          <w:color w:val="000000"/>
          <w:sz w:val="24"/>
          <w:szCs w:val="24"/>
          <w:shd w:val="clear" w:color="auto" w:fill="FFFFFF"/>
        </w:rPr>
      </w:pPr>
      <w:r>
        <w:rPr>
          <w:rFonts w:ascii="GHEA Grapalat" w:hAnsi="GHEA Grapalat"/>
          <w:bCs/>
          <w:color w:val="000000"/>
          <w:sz w:val="24"/>
          <w:szCs w:val="24"/>
          <w:shd w:val="clear" w:color="auto" w:fill="FFFFFF"/>
        </w:rPr>
        <w:tab/>
        <w:t>2</w:t>
      </w:r>
      <w:r>
        <w:rPr>
          <w:rFonts w:ascii="Cambria Math" w:eastAsia="MS Mincho" w:hAnsi="Cambria Math" w:cs="Cambria Math"/>
          <w:bCs/>
          <w:color w:val="000000"/>
          <w:sz w:val="24"/>
          <w:szCs w:val="24"/>
          <w:shd w:val="clear" w:color="auto" w:fill="FFFFFF"/>
        </w:rPr>
        <w:t>․</w:t>
      </w:r>
      <w:r>
        <w:rPr>
          <w:rFonts w:ascii="GHEA Grapalat" w:hAnsi="GHEA Grapalat"/>
          <w:bCs/>
          <w:color w:val="000000"/>
          <w:sz w:val="24"/>
          <w:szCs w:val="24"/>
          <w:shd w:val="clear" w:color="auto" w:fill="FFFFFF"/>
        </w:rPr>
        <w:t xml:space="preserve"> </w:t>
      </w:r>
      <w:r>
        <w:rPr>
          <w:bCs/>
          <w:color w:val="000000"/>
          <w:sz w:val="24"/>
          <w:szCs w:val="24"/>
          <w:shd w:val="clear" w:color="auto" w:fill="FFFFFF"/>
        </w:rPr>
        <w:t> </w:t>
      </w:r>
      <w:r>
        <w:rPr>
          <w:rFonts w:ascii="GHEA Grapalat" w:hAnsi="GHEA Grapalat"/>
          <w:bCs/>
          <w:color w:val="000000"/>
          <w:sz w:val="24"/>
          <w:szCs w:val="24"/>
          <w:shd w:val="clear" w:color="auto" w:fill="FFFFFF"/>
        </w:rPr>
        <w:t xml:space="preserve">Հայաստանի Հանրապետության կառավարության 2022 թվականի հուլիսի 28-ի «Անձի ֆունկցիոնալության գնահատման կարգը հաստատելու մասին» N 1180-Ն որոշման (այսուհետ՝ որոշում 1) մեջ կատարել հետևյալ լրացումները և փոփոխությունները՝ </w:t>
      </w:r>
    </w:p>
    <w:p w14:paraId="4FBF0282" w14:textId="77777777" w:rsidR="00E13621" w:rsidRDefault="00E13621" w:rsidP="00E13621">
      <w:pPr>
        <w:tabs>
          <w:tab w:val="left" w:pos="90"/>
          <w:tab w:val="left" w:pos="993"/>
        </w:tabs>
        <w:spacing w:after="0" w:line="360" w:lineRule="auto"/>
        <w:jc w:val="both"/>
        <w:rPr>
          <w:rFonts w:ascii="GHEA Grapalat" w:hAnsi="GHEA Grapalat"/>
          <w:bCs/>
          <w:color w:val="000000"/>
          <w:sz w:val="24"/>
          <w:szCs w:val="24"/>
          <w:shd w:val="clear" w:color="auto" w:fill="FFFFFF"/>
        </w:rPr>
      </w:pPr>
      <w:r>
        <w:rPr>
          <w:rFonts w:ascii="GHEA Grapalat" w:hAnsi="GHEA Grapalat"/>
          <w:bCs/>
          <w:color w:val="000000"/>
          <w:sz w:val="24"/>
          <w:szCs w:val="24"/>
          <w:shd w:val="clear" w:color="auto" w:fill="FFFFFF"/>
        </w:rPr>
        <w:t xml:space="preserve"> 1) </w:t>
      </w:r>
      <w:r>
        <w:rPr>
          <w:rFonts w:ascii="GHEA Grapalat" w:hAnsi="GHEA Grapalat"/>
          <w:color w:val="000000"/>
          <w:sz w:val="24"/>
          <w:szCs w:val="24"/>
          <w:shd w:val="clear" w:color="auto" w:fill="FFFFFF"/>
        </w:rPr>
        <w:t xml:space="preserve">որոշում 1-ի հավելվածի 6-րդ կետը 2-րդ նախադասությունից հետո լրացնել հետևյալ բովանդակությամբ նոր նախադասությունով՝ «Հայաստանի Հանրապետության պաշտպանության նախարարի կողմից հաստատված զինվորական ծառայության հետ պատճառական կապի վերաբերյալ ՀՀ պաշտպանության նախարարության կենտրոնական ռազմաբժշկական փորձաքննական կենտրոնի պատճառական կապի վերաբերյալ կայացված եզրակացությունները սահմանված ձևաչափով մուտքագրվում են էլեկտրոնային առողջապահության «Արմեդ» համակարգ՝ ապահովելով հասանելիություն </w:t>
      </w:r>
      <w:r>
        <w:rPr>
          <w:rFonts w:ascii="GHEA Grapalat" w:hAnsi="GHEA Grapalat"/>
          <w:color w:val="000000"/>
          <w:sz w:val="24"/>
          <w:szCs w:val="24"/>
          <w:shd w:val="clear" w:color="auto" w:fill="FFFFFF"/>
        </w:rPr>
        <w:br/>
        <w:t>Հայաստանի Հանրապետության աշխատանքի և սոցիալական հարցերի նախարարության համար։»</w:t>
      </w:r>
      <w:r>
        <w:rPr>
          <w:rFonts w:ascii="MS Gothic" w:eastAsia="MS Gothic" w:hAnsi="MS Gothic" w:cs="MS Gothic" w:hint="eastAsia"/>
          <w:color w:val="000000"/>
          <w:sz w:val="24"/>
          <w:szCs w:val="24"/>
          <w:shd w:val="clear" w:color="auto" w:fill="FFFFFF"/>
          <w:lang w:val="ru-RU"/>
        </w:rPr>
        <w:t>․</w:t>
      </w:r>
    </w:p>
    <w:p w14:paraId="6DD02012" w14:textId="77777777" w:rsidR="00E13621" w:rsidRDefault="00E13621" w:rsidP="00E13621">
      <w:pPr>
        <w:tabs>
          <w:tab w:val="left" w:pos="90"/>
          <w:tab w:val="left" w:pos="993"/>
        </w:tabs>
        <w:spacing w:after="0" w:line="360" w:lineRule="auto"/>
        <w:jc w:val="both"/>
        <w:rPr>
          <w:rFonts w:ascii="GHEA Grapalat" w:hAnsi="GHEA Grapalat"/>
          <w:bCs/>
          <w:color w:val="000000"/>
          <w:sz w:val="24"/>
          <w:szCs w:val="24"/>
          <w:shd w:val="clear" w:color="auto" w:fill="FFFFFF"/>
        </w:rPr>
      </w:pPr>
      <w:r>
        <w:rPr>
          <w:rFonts w:ascii="GHEA Grapalat" w:hAnsi="GHEA Grapalat"/>
          <w:bCs/>
          <w:color w:val="000000"/>
          <w:sz w:val="24"/>
          <w:szCs w:val="24"/>
          <w:shd w:val="clear" w:color="auto" w:fill="FFFFFF"/>
        </w:rPr>
        <w:tab/>
        <w:t>2) որոշում 1-ի հավելվածի 7-րդ կետում «մասնագետները» բառից հետո լրացնել «՝ մասնագետների ռեեստրում ընգրկված լինելու պարագայում» բառերը</w:t>
      </w:r>
      <w:r>
        <w:rPr>
          <w:rFonts w:ascii="MS Gothic" w:eastAsia="MS Gothic" w:hAnsi="MS Gothic" w:cs="MS Gothic" w:hint="eastAsia"/>
          <w:bCs/>
          <w:color w:val="000000"/>
          <w:sz w:val="24"/>
          <w:szCs w:val="24"/>
          <w:shd w:val="clear" w:color="auto" w:fill="FFFFFF"/>
          <w:lang w:val="ru-RU"/>
        </w:rPr>
        <w:t>․</w:t>
      </w:r>
    </w:p>
    <w:p w14:paraId="646B537D" w14:textId="77777777" w:rsidR="00E13621" w:rsidRDefault="00E13621" w:rsidP="00E13621">
      <w:pPr>
        <w:tabs>
          <w:tab w:val="left" w:pos="90"/>
          <w:tab w:val="left" w:pos="993"/>
        </w:tabs>
        <w:spacing w:after="0" w:line="360" w:lineRule="auto"/>
        <w:jc w:val="both"/>
        <w:rPr>
          <w:rFonts w:ascii="GHEA Grapalat" w:hAnsi="GHEA Grapalat"/>
          <w:bCs/>
          <w:color w:val="000000"/>
          <w:sz w:val="24"/>
          <w:szCs w:val="24"/>
          <w:shd w:val="clear" w:color="auto" w:fill="FFFFFF"/>
        </w:rPr>
      </w:pPr>
      <w:r>
        <w:rPr>
          <w:rFonts w:ascii="GHEA Grapalat" w:hAnsi="GHEA Grapalat"/>
          <w:bCs/>
          <w:color w:val="000000"/>
          <w:sz w:val="24"/>
          <w:szCs w:val="24"/>
          <w:shd w:val="clear" w:color="auto" w:fill="FFFFFF"/>
        </w:rPr>
        <w:tab/>
        <w:t>3)</w:t>
      </w:r>
      <w:bookmarkStart w:id="5" w:name="_Hlk200701049"/>
      <w:r>
        <w:rPr>
          <w:rFonts w:ascii="GHEA Grapalat" w:hAnsi="GHEA Grapalat"/>
          <w:bCs/>
          <w:color w:val="000000"/>
          <w:sz w:val="24"/>
          <w:szCs w:val="24"/>
          <w:shd w:val="clear" w:color="auto" w:fill="FFFFFF"/>
        </w:rPr>
        <w:t xml:space="preserve"> որոշում 1-ի հավելվածի 17-րդ կետը </w:t>
      </w:r>
      <w:bookmarkEnd w:id="5"/>
      <w:r>
        <w:rPr>
          <w:rFonts w:ascii="GHEA Grapalat" w:hAnsi="GHEA Grapalat"/>
          <w:bCs/>
          <w:color w:val="000000"/>
          <w:sz w:val="24"/>
          <w:szCs w:val="24"/>
          <w:shd w:val="clear" w:color="auto" w:fill="FFFFFF"/>
        </w:rPr>
        <w:t xml:space="preserve">շարադրել հետևյալ նոր խմբագրությամբ՝ </w:t>
      </w:r>
      <w:r>
        <w:rPr>
          <w:rFonts w:ascii="GHEA Grapalat" w:hAnsi="GHEA Grapalat"/>
          <w:bCs/>
          <w:color w:val="000000"/>
          <w:sz w:val="24"/>
          <w:szCs w:val="24"/>
          <w:shd w:val="clear" w:color="auto" w:fill="FFFFFF"/>
        </w:rPr>
        <w:br/>
      </w:r>
      <w:r>
        <w:rPr>
          <w:rFonts w:ascii="GHEA Grapalat" w:hAnsi="GHEA Grapalat"/>
          <w:color w:val="000000"/>
          <w:sz w:val="24"/>
          <w:szCs w:val="24"/>
          <w:shd w:val="clear" w:color="auto" w:fill="FFFFFF"/>
        </w:rPr>
        <w:t>«17.</w:t>
      </w:r>
      <w:r>
        <w:rPr>
          <w:rFonts w:ascii="GHEA Grapalat" w:hAnsi="GHEA Grapalat" w:cs="Arial"/>
          <w:color w:val="333333"/>
          <w:sz w:val="24"/>
          <w:szCs w:val="24"/>
          <w:shd w:val="clear" w:color="auto" w:fill="FFFFFF"/>
        </w:rPr>
        <w:t xml:space="preserve"> Սույն կարգի  13-րդ կետով և 14-րդ կետի 2-րդ ենթակետով սահմանված դեպքերում համապատասխան բժշկական օգնություն կամ սպասարկում իրականացնող կազմակերպությունն անհրաժեշտ ախտորոշիչ, բուժական և վերականգնողական միջոցառումներ իրականացնելուց հետո, իսկ տևական բուժում պահանջող հիվանդությունների ժամանակ` նաև բուժման ընթացքում, սակայն ոչ վաղ, քան բուժման (այդ թվում վիրահատական) սկզբից  3 ամիս հետո (բացառությամբ սույն կարգի 9-րդ գլխով սահմանված` անձի առողջական վիճակի վերականգնման հեռանկարի բացակայություն ունեցող հիվանդությունների ցանկի) անձին ուղեգրում է ֆունկցիոնալության գնահատման: Սույն կարգի 9-րդ գլխում թվարկված հիվանդություններից (ախտաբանական վիճակներից) որևէ մեկի առկայությունը բավարար է անձի առողջական վիճակը որպես վերականգնման հեռանկար չունեցող որակելու և անձի ֆունկցիոնալության գնահատման՝ առանց եռամսյա ժամկետի պահպանման, ուղեգրելու համար: Բժշկական օգնություն և սպասարկում իրականացնող կազմակերպության ուղեգրում առնվազն նշվում են գնահատվող անձի ախտորոշումը, իրականացված բուժական վերականգնողական միջոցառումների արդյունքները` մանրամասն ներկայացնելով բոլոր օրգան-համակարգերի մասին տվյալները, ֆունկցիայի խանգարման </w:t>
      </w:r>
      <w:r>
        <w:rPr>
          <w:rFonts w:ascii="GHEA Grapalat" w:hAnsi="GHEA Grapalat"/>
          <w:bCs/>
          <w:color w:val="000000"/>
          <w:sz w:val="24"/>
          <w:szCs w:val="24"/>
          <w:shd w:val="clear" w:color="auto" w:fill="FFFFFF"/>
        </w:rPr>
        <w:t>տեսակը և աստիճանը:»</w:t>
      </w:r>
      <w:r>
        <w:rPr>
          <w:rFonts w:ascii="MS Gothic" w:eastAsia="MS Gothic" w:hAnsi="MS Gothic" w:cs="MS Gothic" w:hint="eastAsia"/>
          <w:bCs/>
          <w:color w:val="000000"/>
          <w:sz w:val="24"/>
          <w:szCs w:val="24"/>
          <w:shd w:val="clear" w:color="auto" w:fill="FFFFFF"/>
          <w:lang w:val="ru-RU"/>
        </w:rPr>
        <w:t>․</w:t>
      </w:r>
    </w:p>
    <w:p w14:paraId="046ED37B" w14:textId="77777777" w:rsidR="00E13621" w:rsidRDefault="00E13621" w:rsidP="00E13621">
      <w:pPr>
        <w:tabs>
          <w:tab w:val="left" w:pos="90"/>
          <w:tab w:val="left" w:pos="993"/>
        </w:tabs>
        <w:spacing w:after="0" w:line="360" w:lineRule="auto"/>
        <w:jc w:val="both"/>
        <w:rPr>
          <w:rFonts w:ascii="GHEA Grapalat" w:hAnsi="GHEA Grapalat"/>
          <w:bCs/>
          <w:color w:val="000000"/>
          <w:sz w:val="24"/>
          <w:szCs w:val="24"/>
          <w:shd w:val="clear" w:color="auto" w:fill="FFFFFF"/>
        </w:rPr>
      </w:pPr>
      <w:r>
        <w:rPr>
          <w:rFonts w:ascii="GHEA Grapalat" w:hAnsi="GHEA Grapalat"/>
          <w:bCs/>
          <w:color w:val="000000"/>
          <w:sz w:val="24"/>
          <w:szCs w:val="24"/>
          <w:shd w:val="clear" w:color="auto" w:fill="FFFFFF"/>
        </w:rPr>
        <w:tab/>
        <w:t>4) որոշում 1-ի հավելվածը 17-րդ կետից հետո լրացնել հետևյալ բովանդակությամբ  նոր՝ 17.1-ին կետով՝ «17.1 Սույն կարգի 14-րդ կետի 1-ին</w:t>
      </w:r>
      <w:r>
        <w:rPr>
          <w:rFonts w:ascii="GHEA Grapalat" w:eastAsia="Arial Unicode" w:hAnsi="GHEA Grapalat" w:cs="Arial Unicode"/>
          <w:color w:val="000000"/>
          <w:sz w:val="24"/>
          <w:szCs w:val="24"/>
          <w:lang w:eastAsia="en-US"/>
        </w:rPr>
        <w:t>, 2-րդ</w:t>
      </w:r>
      <w:r>
        <w:rPr>
          <w:rFonts w:ascii="GHEA Grapalat" w:hAnsi="GHEA Grapalat"/>
          <w:bCs/>
          <w:color w:val="000000"/>
          <w:sz w:val="24"/>
          <w:szCs w:val="24"/>
          <w:shd w:val="clear" w:color="auto" w:fill="FFFFFF"/>
        </w:rPr>
        <w:t xml:space="preserve"> և 3-րդ ենթակետերով սահմանված դեպքերում համապատասխան բժշկական օգնություն կամ սպասարկում իրականացնող կազմակերպությունն անձին ուղեգրում է ֆունկցիոնալության գնահատման առողջապահության նախարարի 2022 թ. հոկտեմբերի 25-ի N72-Ն</w:t>
      </w:r>
      <w:r>
        <w:rPr>
          <w:bCs/>
          <w:color w:val="000000"/>
          <w:sz w:val="24"/>
          <w:szCs w:val="24"/>
          <w:shd w:val="clear" w:color="auto" w:fill="FFFFFF"/>
        </w:rPr>
        <w:t> </w:t>
      </w:r>
      <w:r>
        <w:rPr>
          <w:rFonts w:ascii="GHEA Grapalat" w:hAnsi="GHEA Grapalat"/>
          <w:bCs/>
          <w:color w:val="000000"/>
          <w:sz w:val="24"/>
          <w:szCs w:val="24"/>
          <w:shd w:val="clear" w:color="auto" w:fill="FFFFFF"/>
        </w:rPr>
        <w:t>հրամանով սահմանված՝ ուղեգրման պահին անհրաժեշտ պարտադիր տեղեկատվության առկայության պարագայում։»</w:t>
      </w:r>
      <w:r>
        <w:rPr>
          <w:rFonts w:ascii="Cambria Math" w:hAnsi="Cambria Math" w:cs="Cambria Math"/>
          <w:bCs/>
          <w:color w:val="000000"/>
          <w:sz w:val="24"/>
          <w:szCs w:val="24"/>
          <w:shd w:val="clear" w:color="auto" w:fill="FFFFFF"/>
          <w:lang w:val="ru-RU"/>
        </w:rPr>
        <w:t>․</w:t>
      </w:r>
      <w:r>
        <w:rPr>
          <w:rFonts w:ascii="GHEA Grapalat" w:hAnsi="GHEA Grapalat"/>
          <w:bCs/>
          <w:color w:val="000000"/>
          <w:sz w:val="24"/>
          <w:szCs w:val="24"/>
          <w:shd w:val="clear" w:color="auto" w:fill="FFFFFF"/>
          <w:lang w:val="ru-RU"/>
        </w:rPr>
        <w:t xml:space="preserve"> </w:t>
      </w:r>
    </w:p>
    <w:p w14:paraId="2AB3CCD5" w14:textId="77777777" w:rsidR="00E13621" w:rsidRDefault="00E13621" w:rsidP="00E13621">
      <w:pPr>
        <w:tabs>
          <w:tab w:val="left" w:pos="90"/>
          <w:tab w:val="left" w:pos="993"/>
        </w:tabs>
        <w:spacing w:after="0" w:line="360" w:lineRule="auto"/>
        <w:jc w:val="both"/>
        <w:rPr>
          <w:rFonts w:ascii="GHEA Grapalat" w:hAnsi="GHEA Grapalat"/>
          <w:bCs/>
          <w:sz w:val="24"/>
          <w:szCs w:val="24"/>
          <w:shd w:val="clear" w:color="auto" w:fill="FFFFFF"/>
        </w:rPr>
      </w:pPr>
      <w:r>
        <w:rPr>
          <w:rFonts w:ascii="GHEA Grapalat" w:hAnsi="GHEA Grapalat"/>
          <w:bCs/>
          <w:color w:val="000000"/>
          <w:sz w:val="24"/>
          <w:szCs w:val="24"/>
          <w:shd w:val="clear" w:color="auto" w:fill="FFFFFF"/>
        </w:rPr>
        <w:t xml:space="preserve"> </w:t>
      </w:r>
      <w:r>
        <w:rPr>
          <w:rFonts w:ascii="GHEA Grapalat" w:hAnsi="GHEA Grapalat"/>
          <w:bCs/>
          <w:color w:val="000000"/>
          <w:sz w:val="24"/>
          <w:szCs w:val="24"/>
          <w:shd w:val="clear" w:color="auto" w:fill="FFFFFF"/>
        </w:rPr>
        <w:tab/>
        <w:t xml:space="preserve">5) որոշում 1-ի հավելվածի 20-րդ կետը շարադրել հետևյալ խմբագրությամբ՝ </w:t>
      </w:r>
      <w:r>
        <w:rPr>
          <w:rFonts w:ascii="GHEA Grapalat" w:hAnsi="GHEA Grapalat"/>
          <w:bCs/>
          <w:color w:val="000000"/>
          <w:sz w:val="24"/>
          <w:szCs w:val="24"/>
          <w:shd w:val="clear" w:color="auto" w:fill="FFFFFF"/>
        </w:rPr>
        <w:br/>
        <w:t>«20. Ֆունկցիոնալության գնահատման համար</w:t>
      </w:r>
      <w:r>
        <w:rPr>
          <w:rFonts w:ascii="GHEA Grapalat" w:hAnsi="GHEA Grapalat" w:cs="Arial"/>
          <w:color w:val="333333"/>
          <w:sz w:val="24"/>
          <w:szCs w:val="24"/>
          <w:shd w:val="clear" w:color="auto" w:fill="FFFFFF"/>
        </w:rPr>
        <w:t xml:space="preserve"> դիմումը էլեկտրոնային համակարգ է մուտքագրում այն անձը, որի ֆունկցիոնալությունը պետք է գնահատվի (այսուհետ՝ գնահատվող) կամ նրա ներկայացուցիչը՝ Հայաստանի Հանրապետության աշխատանքի և սոցիալական հարցերի նախարարի 2025 թվականի հունիսի 18-ի </w:t>
      </w:r>
      <w:r>
        <w:rPr>
          <w:rFonts w:ascii="GHEA Grapalat" w:hAnsi="GHEA Grapalat" w:cs="Arial"/>
          <w:color w:val="333333"/>
          <w:sz w:val="24"/>
          <w:szCs w:val="24"/>
          <w:shd w:val="clear" w:color="auto" w:fill="FFFFFF"/>
        </w:rPr>
        <w:br/>
        <w:t xml:space="preserve">N 58-Ա/1 հրամանով հաստատված օրինակելի ձևին համապատասխան։ Դիմումը մուտքագրելիս լրացվում է գնահատվողի անձը հաստատող փաստաթղթի համարը և հանրային ծառայությունների համարանիշը կամ </w:t>
      </w:r>
      <w:bookmarkStart w:id="6" w:name="_Hlk200701506"/>
      <w:r>
        <w:rPr>
          <w:rFonts w:ascii="GHEA Grapalat" w:hAnsi="GHEA Grapalat" w:cs="Arial"/>
          <w:color w:val="333333"/>
          <w:sz w:val="24"/>
          <w:szCs w:val="24"/>
          <w:shd w:val="clear" w:color="auto" w:fill="FFFFFF"/>
        </w:rPr>
        <w:t>հանրային ծառայությունների համարանիշ չունենալու վերաբերյալ տեղեկանքի համարը</w:t>
      </w:r>
      <w:bookmarkEnd w:id="6"/>
      <w:r>
        <w:rPr>
          <w:rFonts w:ascii="GHEA Grapalat" w:hAnsi="GHEA Grapalat" w:cs="Arial"/>
          <w:color w:val="333333"/>
          <w:sz w:val="24"/>
          <w:szCs w:val="24"/>
          <w:shd w:val="clear" w:color="auto" w:fill="FFFFFF"/>
        </w:rPr>
        <w:t xml:space="preserve">։ Եթե դիմումատուն ներկայացուցիչն է, ապա մուտքագրում է նաև իր անձնագրի համարը, հանրային </w:t>
      </w:r>
      <w:r>
        <w:rPr>
          <w:rFonts w:ascii="GHEA Grapalat" w:hAnsi="GHEA Grapalat"/>
          <w:bCs/>
          <w:color w:val="000000"/>
          <w:sz w:val="24"/>
          <w:szCs w:val="24"/>
          <w:shd w:val="clear" w:color="auto" w:fill="FFFFFF"/>
        </w:rPr>
        <w:t xml:space="preserve">ծառայությունների համարանիշը </w:t>
      </w:r>
      <w:r>
        <w:rPr>
          <w:rFonts w:ascii="GHEA Grapalat" w:hAnsi="GHEA Grapalat"/>
          <w:bCs/>
          <w:sz w:val="24"/>
          <w:szCs w:val="24"/>
          <w:shd w:val="clear" w:color="auto" w:fill="FFFFFF"/>
        </w:rPr>
        <w:t xml:space="preserve">կամ հանրային ծառայությունների համարանիշ չունենալու վերաբերյալ տեղեկանքի համարը, </w:t>
      </w:r>
      <w:r>
        <w:rPr>
          <w:rFonts w:ascii="GHEA Grapalat" w:hAnsi="GHEA Grapalat"/>
          <w:sz w:val="24"/>
          <w:szCs w:val="24"/>
          <w:lang w:eastAsia="en-US"/>
        </w:rPr>
        <w:t>խնամակալ (հոգաբարձու) հանդիսանալու փաստը հաստատող փաստաթուղթը,</w:t>
      </w:r>
      <w:r>
        <w:rPr>
          <w:rFonts w:ascii="GHEA Grapalat" w:hAnsi="GHEA Grapalat"/>
          <w:bCs/>
          <w:sz w:val="24"/>
          <w:szCs w:val="24"/>
          <w:shd w:val="clear" w:color="auto" w:fill="FFFFFF"/>
        </w:rPr>
        <w:t xml:space="preserve"> </w:t>
      </w:r>
      <w:r>
        <w:rPr>
          <w:rFonts w:ascii="GHEA Grapalat" w:eastAsia="Arial Unicode" w:hAnsi="GHEA Grapalat" w:cs="Arial Unicode"/>
          <w:sz w:val="24"/>
          <w:szCs w:val="24"/>
          <w:lang w:eastAsia="en-US"/>
        </w:rPr>
        <w:t>16 տարեկանից բարձր անձանց դեպքում՝ լիազորագիրը</w:t>
      </w:r>
      <w:r>
        <w:rPr>
          <w:rFonts w:ascii="GHEA Grapalat" w:hAnsi="GHEA Grapalat"/>
          <w:bCs/>
          <w:sz w:val="24"/>
          <w:szCs w:val="24"/>
          <w:shd w:val="clear" w:color="auto" w:fill="FFFFFF"/>
        </w:rPr>
        <w:t>։»</w:t>
      </w:r>
      <w:r>
        <w:rPr>
          <w:rFonts w:ascii="Cambria Math" w:eastAsia="MS Mincho" w:hAnsi="Cambria Math" w:cs="Cambria Math"/>
          <w:bCs/>
          <w:sz w:val="24"/>
          <w:szCs w:val="24"/>
          <w:shd w:val="clear" w:color="auto" w:fill="FFFFFF"/>
        </w:rPr>
        <w:t>․</w:t>
      </w:r>
      <w:r>
        <w:rPr>
          <w:rFonts w:ascii="GHEA Grapalat" w:hAnsi="GHEA Grapalat"/>
          <w:bCs/>
          <w:sz w:val="24"/>
          <w:szCs w:val="24"/>
          <w:shd w:val="clear" w:color="auto" w:fill="FFFFFF"/>
        </w:rPr>
        <w:t xml:space="preserve"> </w:t>
      </w:r>
    </w:p>
    <w:p w14:paraId="4EC5D53B" w14:textId="77777777" w:rsidR="00E13621" w:rsidRDefault="00E13621" w:rsidP="00E13621">
      <w:pPr>
        <w:tabs>
          <w:tab w:val="left" w:pos="90"/>
          <w:tab w:val="left" w:pos="993"/>
        </w:tabs>
        <w:spacing w:after="0" w:line="360" w:lineRule="auto"/>
        <w:jc w:val="both"/>
        <w:rPr>
          <w:rFonts w:ascii="Cambria Math" w:hAnsi="Cambria Math"/>
          <w:bCs/>
          <w:color w:val="000000"/>
          <w:sz w:val="24"/>
          <w:szCs w:val="24"/>
          <w:shd w:val="clear" w:color="auto" w:fill="FFFFFF"/>
        </w:rPr>
      </w:pPr>
      <w:r>
        <w:rPr>
          <w:rFonts w:ascii="GHEA Grapalat" w:hAnsi="GHEA Grapalat"/>
          <w:bCs/>
          <w:color w:val="000000"/>
          <w:sz w:val="24"/>
          <w:szCs w:val="24"/>
          <w:shd w:val="clear" w:color="auto" w:fill="FFFFFF"/>
        </w:rPr>
        <w:tab/>
        <w:t>6) որոշում 1-ի հավելվածի 21-րդ կետի 2-րդ նախադասության «ներկայացվում են» բառը փոխարինել «մուտքագրվում են» բառերով, իսկ «անձնագիրը կամ նույնականացման քարտը» բառերը փոխարինել «</w:t>
      </w:r>
      <w:r>
        <w:rPr>
          <w:rFonts w:ascii="GHEA Grapalat" w:hAnsi="GHEA Grapalat" w:cs="Arial"/>
          <w:color w:val="333333"/>
          <w:sz w:val="24"/>
          <w:szCs w:val="24"/>
          <w:shd w:val="clear" w:color="auto" w:fill="FFFFFF"/>
        </w:rPr>
        <w:t xml:space="preserve">անձնագրի համարը, հանրային </w:t>
      </w:r>
      <w:r>
        <w:rPr>
          <w:rFonts w:ascii="GHEA Grapalat" w:hAnsi="GHEA Grapalat"/>
          <w:bCs/>
          <w:color w:val="000000"/>
          <w:sz w:val="24"/>
          <w:szCs w:val="24"/>
          <w:shd w:val="clear" w:color="auto" w:fill="FFFFFF"/>
        </w:rPr>
        <w:t>ծառայությունների համարանիշը կամ հանրային ծառայությունների համարանիշ չունենալու վերաբերյալ տեղեկանքի համարը» բառերով</w:t>
      </w:r>
      <w:r>
        <w:rPr>
          <w:rFonts w:ascii="Cambria Math" w:hAnsi="Cambria Math"/>
          <w:bCs/>
          <w:color w:val="000000"/>
          <w:sz w:val="24"/>
          <w:szCs w:val="24"/>
          <w:shd w:val="clear" w:color="auto" w:fill="FFFFFF"/>
        </w:rPr>
        <w:t>․</w:t>
      </w:r>
    </w:p>
    <w:p w14:paraId="169207B6" w14:textId="77777777" w:rsidR="00E13621" w:rsidRDefault="00E13621" w:rsidP="00E13621">
      <w:pPr>
        <w:tabs>
          <w:tab w:val="left" w:pos="90"/>
          <w:tab w:val="left" w:pos="993"/>
        </w:tabs>
        <w:spacing w:after="0" w:line="360" w:lineRule="auto"/>
        <w:jc w:val="both"/>
        <w:rPr>
          <w:rFonts w:ascii="GHEA Grapalat" w:hAnsi="GHEA Grapalat"/>
          <w:bCs/>
          <w:color w:val="000000"/>
          <w:sz w:val="24"/>
          <w:szCs w:val="24"/>
          <w:shd w:val="clear" w:color="auto" w:fill="FFFFFF"/>
        </w:rPr>
      </w:pPr>
      <w:r>
        <w:rPr>
          <w:rFonts w:ascii="GHEA Grapalat" w:hAnsi="GHEA Grapalat"/>
          <w:bCs/>
          <w:color w:val="000000"/>
          <w:sz w:val="24"/>
          <w:szCs w:val="24"/>
          <w:shd w:val="clear" w:color="auto" w:fill="FFFFFF"/>
        </w:rPr>
        <w:tab/>
        <w:t>7) որոշում 1-ի հավելվածի 23-րդ կետի՝</w:t>
      </w:r>
    </w:p>
    <w:p w14:paraId="7B3E8B55" w14:textId="77777777" w:rsidR="00E13621" w:rsidRDefault="00E13621" w:rsidP="00E13621">
      <w:pPr>
        <w:tabs>
          <w:tab w:val="left" w:pos="90"/>
          <w:tab w:val="left" w:pos="993"/>
        </w:tabs>
        <w:spacing w:after="0" w:line="360" w:lineRule="auto"/>
        <w:jc w:val="both"/>
        <w:rPr>
          <w:rFonts w:ascii="GHEA Grapalat" w:hAnsi="GHEA Grapalat" w:cs="Arial"/>
          <w:color w:val="333333"/>
          <w:sz w:val="24"/>
          <w:szCs w:val="24"/>
          <w:shd w:val="clear" w:color="auto" w:fill="FFFFFF"/>
        </w:rPr>
      </w:pPr>
      <w:r>
        <w:rPr>
          <w:rFonts w:ascii="GHEA Grapalat" w:hAnsi="GHEA Grapalat"/>
          <w:bCs/>
          <w:color w:val="000000"/>
          <w:sz w:val="24"/>
          <w:szCs w:val="24"/>
          <w:shd w:val="clear" w:color="auto" w:fill="FFFFFF"/>
        </w:rPr>
        <w:tab/>
        <w:t>ա</w:t>
      </w:r>
      <w:r>
        <w:rPr>
          <w:rFonts w:ascii="MS Gothic" w:eastAsia="MS Gothic" w:hAnsi="MS Gothic" w:cs="MS Gothic" w:hint="eastAsia"/>
          <w:bCs/>
          <w:color w:val="000000"/>
          <w:sz w:val="24"/>
          <w:szCs w:val="24"/>
          <w:shd w:val="clear" w:color="auto" w:fill="FFFFFF"/>
          <w:lang w:val="ru-RU"/>
        </w:rPr>
        <w:t>․</w:t>
      </w:r>
      <w:r>
        <w:rPr>
          <w:rFonts w:ascii="GHEA Grapalat" w:hAnsi="GHEA Grapalat"/>
          <w:bCs/>
          <w:color w:val="000000"/>
          <w:sz w:val="24"/>
          <w:szCs w:val="24"/>
          <w:shd w:val="clear" w:color="auto" w:fill="FFFFFF"/>
          <w:lang w:val="ru-RU"/>
        </w:rPr>
        <w:t xml:space="preserve"> </w:t>
      </w:r>
      <w:r>
        <w:rPr>
          <w:rFonts w:ascii="GHEA Grapalat" w:hAnsi="GHEA Grapalat"/>
          <w:bCs/>
          <w:color w:val="000000"/>
          <w:sz w:val="24"/>
          <w:szCs w:val="24"/>
          <w:shd w:val="clear" w:color="auto" w:fill="FFFFFF"/>
        </w:rPr>
        <w:t xml:space="preserve">առաջին նախադասության մեջ «փաստաթղթերից» բառը փոխարինել </w:t>
      </w:r>
      <w:r>
        <w:rPr>
          <w:rFonts w:ascii="GHEA Grapalat" w:hAnsi="GHEA Grapalat" w:cs="Arial"/>
          <w:color w:val="333333"/>
          <w:sz w:val="24"/>
          <w:szCs w:val="24"/>
          <w:shd w:val="clear" w:color="auto" w:fill="FFFFFF"/>
        </w:rPr>
        <w:t>«</w:t>
      </w:r>
      <w:r>
        <w:rPr>
          <w:rFonts w:ascii="GHEA Grapalat" w:hAnsi="GHEA Grapalat" w:cs="Sylfaen"/>
          <w:bCs/>
          <w:sz w:val="24"/>
          <w:szCs w:val="24"/>
        </w:rPr>
        <w:t>տվյալներից</w:t>
      </w:r>
      <w:r>
        <w:rPr>
          <w:rFonts w:ascii="GHEA Grapalat" w:hAnsi="GHEA Grapalat" w:cs="Arial"/>
          <w:color w:val="333333"/>
          <w:sz w:val="24"/>
          <w:szCs w:val="24"/>
          <w:shd w:val="clear" w:color="auto" w:fill="FFFFFF"/>
        </w:rPr>
        <w:t xml:space="preserve">» բառով, </w:t>
      </w:r>
      <w:r>
        <w:rPr>
          <w:rFonts w:ascii="GHEA Grapalat" w:hAnsi="GHEA Grapalat"/>
          <w:bCs/>
          <w:color w:val="000000"/>
          <w:sz w:val="24"/>
          <w:szCs w:val="24"/>
          <w:shd w:val="clear" w:color="auto" w:fill="FFFFFF"/>
        </w:rPr>
        <w:t>իսկ «փաստաթղթերը</w:t>
      </w:r>
      <w:r>
        <w:rPr>
          <w:rFonts w:ascii="GHEA Grapalat" w:hAnsi="GHEA Grapalat" w:cs="Arial"/>
          <w:color w:val="333333"/>
          <w:sz w:val="24"/>
          <w:szCs w:val="24"/>
          <w:shd w:val="clear" w:color="auto" w:fill="FFFFFF"/>
        </w:rPr>
        <w:t>» բառը փոխարինել «</w:t>
      </w:r>
      <w:r>
        <w:rPr>
          <w:rFonts w:ascii="GHEA Grapalat" w:hAnsi="GHEA Grapalat" w:cs="Sylfaen"/>
          <w:bCs/>
          <w:sz w:val="24"/>
          <w:szCs w:val="24"/>
        </w:rPr>
        <w:t>տեղեկությունները</w:t>
      </w:r>
      <w:r>
        <w:rPr>
          <w:rFonts w:ascii="GHEA Grapalat" w:hAnsi="GHEA Grapalat" w:cs="Arial"/>
          <w:color w:val="333333"/>
          <w:sz w:val="24"/>
          <w:szCs w:val="24"/>
          <w:shd w:val="clear" w:color="auto" w:fill="FFFFFF"/>
        </w:rPr>
        <w:t>» բառով,</w:t>
      </w:r>
    </w:p>
    <w:p w14:paraId="29744141" w14:textId="77777777" w:rsidR="00E13621" w:rsidRDefault="00E13621" w:rsidP="00E13621">
      <w:pPr>
        <w:tabs>
          <w:tab w:val="left" w:pos="90"/>
          <w:tab w:val="left" w:pos="993"/>
        </w:tabs>
        <w:spacing w:after="0" w:line="360" w:lineRule="auto"/>
        <w:jc w:val="both"/>
        <w:rPr>
          <w:rFonts w:ascii="GHEA Grapalat" w:hAnsi="GHEA Grapalat"/>
          <w:color w:val="000000"/>
          <w:sz w:val="24"/>
          <w:szCs w:val="24"/>
          <w:shd w:val="clear" w:color="auto" w:fill="FFFFFF"/>
        </w:rPr>
      </w:pPr>
      <w:r>
        <w:rPr>
          <w:rFonts w:ascii="GHEA Grapalat" w:hAnsi="GHEA Grapalat" w:cs="Arial"/>
          <w:color w:val="333333"/>
          <w:sz w:val="24"/>
          <w:szCs w:val="24"/>
          <w:shd w:val="clear" w:color="auto" w:fill="FFFFFF"/>
        </w:rPr>
        <w:tab/>
        <w:t>բ</w:t>
      </w:r>
      <w:r>
        <w:rPr>
          <w:rFonts w:ascii="MS Gothic" w:eastAsia="MS Gothic" w:hAnsi="MS Gothic" w:cs="MS Gothic" w:hint="eastAsia"/>
          <w:color w:val="333333"/>
          <w:sz w:val="24"/>
          <w:szCs w:val="24"/>
          <w:shd w:val="clear" w:color="auto" w:fill="FFFFFF"/>
          <w:lang w:val="ru-RU"/>
        </w:rPr>
        <w:t>․</w:t>
      </w:r>
      <w:r>
        <w:rPr>
          <w:rFonts w:ascii="GHEA Grapalat" w:hAnsi="GHEA Grapalat" w:cs="Arial"/>
          <w:color w:val="333333"/>
          <w:sz w:val="24"/>
          <w:szCs w:val="24"/>
          <w:shd w:val="clear" w:color="auto" w:fill="FFFFFF"/>
        </w:rPr>
        <w:t xml:space="preserve">23-րդ </w:t>
      </w:r>
      <w:r>
        <w:rPr>
          <w:rFonts w:ascii="GHEA Grapalat" w:hAnsi="GHEA Grapalat"/>
          <w:color w:val="000000"/>
          <w:sz w:val="24"/>
          <w:szCs w:val="24"/>
          <w:shd w:val="clear" w:color="auto" w:fill="FFFFFF"/>
        </w:rPr>
        <w:t>կետի 1-ին ենթակետի «, որն</w:t>
      </w:r>
      <w:r>
        <w:rPr>
          <w:rFonts w:ascii="GHEA Grapalat" w:hAnsi="GHEA Grapalat" w:cs="Arial"/>
          <w:color w:val="333333"/>
          <w:sz w:val="24"/>
          <w:szCs w:val="24"/>
          <w:shd w:val="clear" w:color="auto" w:fill="FFFFFF"/>
        </w:rPr>
        <w:t xml:space="preserve"> ստացվում է</w:t>
      </w:r>
      <w:r>
        <w:rPr>
          <w:rFonts w:ascii="GHEA Grapalat" w:hAnsi="GHEA Grapalat"/>
          <w:color w:val="000000"/>
          <w:sz w:val="24"/>
          <w:szCs w:val="24"/>
          <w:shd w:val="clear" w:color="auto" w:fill="FFFFFF"/>
        </w:rPr>
        <w:t xml:space="preserve">» բառերը փոխարինել «որոնք ստացվում են» բառերով, </w:t>
      </w:r>
    </w:p>
    <w:p w14:paraId="6BF81A60" w14:textId="77777777" w:rsidR="00E13621" w:rsidRDefault="00E13621" w:rsidP="00E13621">
      <w:pPr>
        <w:tabs>
          <w:tab w:val="left" w:pos="90"/>
          <w:tab w:val="left" w:pos="993"/>
        </w:tabs>
        <w:spacing w:after="0" w:line="360" w:lineRule="auto"/>
        <w:jc w:val="both"/>
        <w:rPr>
          <w:rFonts w:ascii="GHEA Grapalat" w:hAnsi="GHEA Grapalat"/>
          <w:bCs/>
          <w:color w:val="000000"/>
          <w:sz w:val="24"/>
          <w:szCs w:val="24"/>
          <w:shd w:val="clear" w:color="auto" w:fill="FFFFFF"/>
        </w:rPr>
      </w:pPr>
      <w:r>
        <w:rPr>
          <w:rFonts w:ascii="GHEA Grapalat" w:hAnsi="GHEA Grapalat"/>
          <w:color w:val="000000"/>
          <w:sz w:val="24"/>
          <w:szCs w:val="24"/>
          <w:shd w:val="clear" w:color="auto" w:fill="FFFFFF"/>
        </w:rPr>
        <w:tab/>
        <w:t>գ</w:t>
      </w:r>
      <w:r>
        <w:rPr>
          <w:rFonts w:ascii="MS Gothic" w:eastAsia="MS Gothic" w:hAnsi="MS Gothic" w:cs="MS Gothic" w:hint="eastAsia"/>
          <w:color w:val="000000"/>
          <w:sz w:val="24"/>
          <w:szCs w:val="24"/>
          <w:shd w:val="clear" w:color="auto" w:fill="FFFFFF"/>
          <w:lang w:val="ru-RU"/>
        </w:rPr>
        <w:t>․</w:t>
      </w:r>
      <w:r>
        <w:rPr>
          <w:rFonts w:ascii="GHEA Grapalat" w:hAnsi="GHEA Grapalat"/>
          <w:color w:val="000000"/>
          <w:sz w:val="24"/>
          <w:szCs w:val="24"/>
          <w:shd w:val="clear" w:color="auto" w:fill="FFFFFF"/>
        </w:rPr>
        <w:t xml:space="preserve">2-րդ ենթակետում «ինքնագնահատման» բառից առաջ լրացնել «դիմումը </w:t>
      </w:r>
      <w:r>
        <w:rPr>
          <w:rFonts w:ascii="GHEA Grapalat" w:hAnsi="GHEA Grapalat"/>
          <w:bCs/>
          <w:color w:val="000000"/>
          <w:sz w:val="24"/>
          <w:szCs w:val="24"/>
          <w:shd w:val="clear" w:color="auto" w:fill="FFFFFF"/>
        </w:rPr>
        <w:t xml:space="preserve">մուտքագրելիս լրացվում է </w:t>
      </w:r>
      <w:r>
        <w:rPr>
          <w:rFonts w:ascii="GHEA Grapalat" w:hAnsi="GHEA Grapalat"/>
          <w:bCs/>
          <w:sz w:val="24"/>
          <w:szCs w:val="24"/>
          <w:shd w:val="clear" w:color="auto" w:fill="FFFFFF"/>
        </w:rPr>
        <w:t>նաև</w:t>
      </w:r>
      <w:r>
        <w:rPr>
          <w:rFonts w:ascii="GHEA Grapalat" w:hAnsi="GHEA Grapalat"/>
          <w:bCs/>
          <w:color w:val="000000"/>
          <w:sz w:val="24"/>
          <w:szCs w:val="24"/>
          <w:shd w:val="clear" w:color="auto" w:fill="FFFFFF"/>
        </w:rPr>
        <w:t xml:space="preserve">» բառերը, </w:t>
      </w:r>
      <w:r>
        <w:rPr>
          <w:rFonts w:ascii="GHEA Grapalat" w:hAnsi="GHEA Grapalat"/>
          <w:bCs/>
          <w:color w:val="000000"/>
          <w:sz w:val="24"/>
          <w:szCs w:val="24"/>
          <w:shd w:val="clear" w:color="auto" w:fill="FFFFFF"/>
        </w:rPr>
        <w:tab/>
      </w:r>
      <w:r>
        <w:rPr>
          <w:rFonts w:ascii="GHEA Grapalat" w:hAnsi="GHEA Grapalat"/>
          <w:bCs/>
          <w:color w:val="000000"/>
          <w:sz w:val="24"/>
          <w:szCs w:val="24"/>
          <w:shd w:val="clear" w:color="auto" w:fill="FFFFFF"/>
        </w:rPr>
        <w:tab/>
      </w:r>
    </w:p>
    <w:p w14:paraId="2818C4D2" w14:textId="77777777" w:rsidR="00E13621" w:rsidRDefault="00E13621" w:rsidP="00E13621">
      <w:pPr>
        <w:tabs>
          <w:tab w:val="left" w:pos="90"/>
          <w:tab w:val="left" w:pos="993"/>
        </w:tabs>
        <w:spacing w:after="0" w:line="360" w:lineRule="auto"/>
        <w:jc w:val="both"/>
        <w:rPr>
          <w:rFonts w:ascii="GHEA Grapalat" w:eastAsia="MS Mincho" w:hAnsi="GHEA Grapalat" w:cs="MS Mincho"/>
          <w:bCs/>
          <w:color w:val="000000"/>
          <w:sz w:val="24"/>
          <w:szCs w:val="24"/>
          <w:shd w:val="clear" w:color="auto" w:fill="FFFFFF"/>
        </w:rPr>
      </w:pPr>
      <w:r>
        <w:rPr>
          <w:rFonts w:ascii="GHEA Grapalat" w:hAnsi="GHEA Grapalat"/>
          <w:bCs/>
          <w:color w:val="000000"/>
          <w:sz w:val="24"/>
          <w:szCs w:val="24"/>
          <w:shd w:val="clear" w:color="auto" w:fill="FFFFFF"/>
        </w:rPr>
        <w:tab/>
        <w:t>դ</w:t>
      </w:r>
      <w:r>
        <w:rPr>
          <w:rFonts w:ascii="MS Gothic" w:eastAsia="MS Gothic" w:hAnsi="MS Gothic" w:cs="MS Gothic" w:hint="eastAsia"/>
          <w:bCs/>
          <w:color w:val="000000"/>
          <w:sz w:val="24"/>
          <w:szCs w:val="24"/>
          <w:shd w:val="clear" w:color="auto" w:fill="FFFFFF"/>
          <w:lang w:val="ru-RU"/>
        </w:rPr>
        <w:t>․</w:t>
      </w:r>
      <w:r>
        <w:rPr>
          <w:rFonts w:ascii="GHEA Grapalat" w:hAnsi="GHEA Grapalat"/>
          <w:bCs/>
          <w:color w:val="000000"/>
          <w:sz w:val="24"/>
          <w:szCs w:val="24"/>
          <w:shd w:val="clear" w:color="auto" w:fill="FFFFFF"/>
        </w:rPr>
        <w:t xml:space="preserve">3-րդ ենթակետում՝ «դեպքում» բառից հետո լրացնել «մուտքագրվում է» բառը, </w:t>
      </w:r>
      <w:r>
        <w:rPr>
          <w:sz w:val="24"/>
          <w:szCs w:val="24"/>
        </w:rPr>
        <w:t xml:space="preserve"> </w:t>
      </w:r>
      <w:r>
        <w:rPr>
          <w:rFonts w:ascii="GHEA Grapalat" w:hAnsi="GHEA Grapalat"/>
          <w:sz w:val="24"/>
          <w:szCs w:val="24"/>
        </w:rPr>
        <w:t xml:space="preserve">«։» կետադրական նշանը փոխարինել </w:t>
      </w:r>
      <w:r>
        <w:rPr>
          <w:rFonts w:ascii="GHEA Grapalat" w:hAnsi="GHEA Grapalat"/>
          <w:b/>
          <w:sz w:val="24"/>
          <w:szCs w:val="24"/>
        </w:rPr>
        <w:t>«</w:t>
      </w:r>
      <w:r>
        <w:rPr>
          <w:rFonts w:ascii="Cambria Math" w:eastAsia="MS Mincho" w:hAnsi="Cambria Math" w:cs="Cambria Math"/>
          <w:b/>
          <w:sz w:val="24"/>
          <w:szCs w:val="24"/>
        </w:rPr>
        <w:t>․</w:t>
      </w:r>
      <w:r>
        <w:rPr>
          <w:rFonts w:ascii="GHEA Grapalat" w:hAnsi="GHEA Grapalat"/>
          <w:b/>
          <w:sz w:val="24"/>
          <w:szCs w:val="24"/>
        </w:rPr>
        <w:t>»</w:t>
      </w:r>
      <w:r>
        <w:rPr>
          <w:rFonts w:ascii="GHEA Grapalat" w:hAnsi="GHEA Grapalat"/>
          <w:sz w:val="24"/>
          <w:szCs w:val="24"/>
        </w:rPr>
        <w:t xml:space="preserve"> կետադրական նշանով</w:t>
      </w:r>
      <w:r>
        <w:rPr>
          <w:rFonts w:ascii="GHEA Grapalat" w:eastAsia="MS Mincho" w:hAnsi="GHEA Grapalat" w:cs="MS Mincho"/>
          <w:bCs/>
          <w:color w:val="000000"/>
          <w:sz w:val="24"/>
          <w:szCs w:val="24"/>
          <w:shd w:val="clear" w:color="auto" w:fill="FFFFFF"/>
        </w:rPr>
        <w:t xml:space="preserve"> </w:t>
      </w:r>
      <w:r>
        <w:rPr>
          <w:rFonts w:ascii="Cambria Math" w:eastAsia="MS Mincho" w:hAnsi="Cambria Math" w:cs="Cambria Math"/>
          <w:bCs/>
          <w:color w:val="000000"/>
          <w:sz w:val="24"/>
          <w:szCs w:val="24"/>
          <w:shd w:val="clear" w:color="auto" w:fill="FFFFFF"/>
        </w:rPr>
        <w:t>․</w:t>
      </w:r>
    </w:p>
    <w:p w14:paraId="59436E26" w14:textId="77777777" w:rsidR="00E13621" w:rsidRDefault="00E13621" w:rsidP="00E13621">
      <w:pPr>
        <w:shd w:val="clear" w:color="auto" w:fill="FFFFFF"/>
        <w:spacing w:after="0" w:line="360" w:lineRule="auto"/>
        <w:jc w:val="both"/>
        <w:rPr>
          <w:rFonts w:ascii="GHEA Grapalat" w:eastAsia="Meiryo UI" w:hAnsi="GHEA Grapalat" w:cs="Meiryo UI"/>
          <w:color w:val="333333"/>
          <w:sz w:val="24"/>
          <w:szCs w:val="24"/>
        </w:rPr>
      </w:pPr>
      <w:r>
        <w:rPr>
          <w:rFonts w:ascii="GHEA Grapalat" w:hAnsi="GHEA Grapalat"/>
          <w:bCs/>
          <w:color w:val="000000"/>
          <w:sz w:val="24"/>
          <w:szCs w:val="24"/>
          <w:shd w:val="clear" w:color="auto" w:fill="FFFFFF"/>
        </w:rPr>
        <w:t xml:space="preserve"> ե</w:t>
      </w:r>
      <w:r>
        <w:rPr>
          <w:rFonts w:ascii="Cambria Math" w:eastAsia="MS Mincho" w:hAnsi="Cambria Math" w:cs="Cambria Math"/>
          <w:bCs/>
          <w:color w:val="000000"/>
          <w:sz w:val="24"/>
          <w:szCs w:val="24"/>
          <w:shd w:val="clear" w:color="auto" w:fill="FFFFFF"/>
        </w:rPr>
        <w:t>․</w:t>
      </w:r>
      <w:r>
        <w:rPr>
          <w:rFonts w:ascii="GHEA Grapalat" w:hAnsi="GHEA Grapalat"/>
          <w:bCs/>
          <w:color w:val="000000"/>
          <w:sz w:val="24"/>
          <w:szCs w:val="24"/>
          <w:shd w:val="clear" w:color="auto" w:fill="FFFFFF"/>
        </w:rPr>
        <w:t xml:space="preserve"> 3-րդ ենթակետից հետո լրացնել հետևյալ բովանդակությամբ նոր՝ 4-րդ ենթակետ՝ «</w:t>
      </w:r>
      <w:r>
        <w:rPr>
          <w:rFonts w:ascii="GHEA Grapalat" w:eastAsia="MS Mincho" w:hAnsi="GHEA Grapalat" w:cs="MS Mincho"/>
          <w:color w:val="333333"/>
          <w:sz w:val="24"/>
          <w:szCs w:val="24"/>
        </w:rPr>
        <w:t xml:space="preserve">4) Ղարաբաղից տեղահանված և </w:t>
      </w:r>
      <w:r>
        <w:rPr>
          <w:rFonts w:ascii="GHEA Grapalat" w:hAnsi="GHEA Grapalat" w:cs="Sylfaen"/>
          <w:sz w:val="24"/>
          <w:szCs w:val="24"/>
          <w:lang w:val="es-ES"/>
        </w:rPr>
        <w:t xml:space="preserve">Ղարաբաղում վնասվածք ու վիրավորում ստացած ՀՀ քաղաքացիների դեպքում՝ </w:t>
      </w:r>
      <w:r>
        <w:rPr>
          <w:rFonts w:ascii="GHEA Grapalat" w:eastAsia="MS Mincho" w:hAnsi="GHEA Grapalat" w:cs="MS Mincho"/>
          <w:color w:val="333333"/>
          <w:sz w:val="24"/>
          <w:szCs w:val="24"/>
          <w:lang w:val="es-ES"/>
        </w:rPr>
        <w:t xml:space="preserve"> </w:t>
      </w:r>
      <w:r>
        <w:rPr>
          <w:rFonts w:ascii="GHEA Grapalat" w:eastAsia="GHEA Grapalat" w:hAnsi="GHEA Grapalat" w:cs="GHEA Grapalat"/>
          <w:sz w:val="24"/>
          <w:szCs w:val="24"/>
        </w:rPr>
        <w:t>պետական կենսաթոշակային համակարգի տվյալների շտեմարանում կամ հաշմանդամություն ունեցող անձանց տվյալների բազայում կամ զինծառայողների կյանքին կամ առողջությանը պատճառված վնասների հատուցման հիմնադրամի հատուցման համակարգում պատճառական կապերի վերաբերյալ առկա տեղեկատվությունը հավաստող փաստաթուղթը</w:t>
      </w:r>
      <w:r>
        <w:rPr>
          <w:rFonts w:ascii="GHEA Grapalat" w:eastAsia="Times New Roman" w:hAnsi="GHEA Grapalat" w:cs="Tahoma"/>
          <w:color w:val="333333"/>
          <w:sz w:val="24"/>
          <w:szCs w:val="24"/>
        </w:rPr>
        <w:t>։»</w:t>
      </w:r>
      <w:r>
        <w:rPr>
          <w:rFonts w:ascii="Cambria Math" w:eastAsia="MS Mincho" w:hAnsi="Cambria Math" w:cs="Cambria Math"/>
          <w:color w:val="333333"/>
          <w:sz w:val="24"/>
          <w:szCs w:val="24"/>
        </w:rPr>
        <w:t>․</w:t>
      </w:r>
    </w:p>
    <w:p w14:paraId="0AE59B0C" w14:textId="77777777" w:rsidR="00E13621" w:rsidRDefault="00E13621" w:rsidP="00E13621">
      <w:pPr>
        <w:tabs>
          <w:tab w:val="left" w:pos="90"/>
          <w:tab w:val="left" w:pos="993"/>
        </w:tabs>
        <w:spacing w:after="0" w:line="360" w:lineRule="auto"/>
        <w:jc w:val="both"/>
        <w:rPr>
          <w:rFonts w:ascii="GHEA Grapalat" w:hAnsi="GHEA Grapalat"/>
          <w:bCs/>
          <w:color w:val="000000"/>
          <w:sz w:val="24"/>
          <w:szCs w:val="24"/>
          <w:shd w:val="clear" w:color="auto" w:fill="FFFFFF"/>
        </w:rPr>
      </w:pPr>
      <w:r>
        <w:rPr>
          <w:rFonts w:ascii="GHEA Grapalat" w:hAnsi="GHEA Grapalat"/>
          <w:bCs/>
          <w:color w:val="000000"/>
          <w:sz w:val="24"/>
          <w:szCs w:val="24"/>
          <w:shd w:val="clear" w:color="auto" w:fill="FFFFFF"/>
        </w:rPr>
        <w:tab/>
        <w:t xml:space="preserve">8) որոշում 1-ի հավելվածի 24-րդ կետում «Ըստ անհրաժեշտության կարող են ներկայացվել» բառերը փոխարինել «Էլեկտրոնային համակարգը ինքնաշխատ կարող է  </w:t>
      </w:r>
      <w:r>
        <w:rPr>
          <w:rFonts w:ascii="GHEA Grapalat" w:hAnsi="GHEA Grapalat"/>
          <w:bCs/>
          <w:color w:val="000000" w:themeColor="text1"/>
          <w:sz w:val="24"/>
          <w:szCs w:val="24"/>
          <w:shd w:val="clear" w:color="auto" w:fill="FFFFFF"/>
        </w:rPr>
        <w:t xml:space="preserve">ստանալ» բառերով, իսկ նույն կետի </w:t>
      </w:r>
      <w:r>
        <w:rPr>
          <w:rFonts w:ascii="GHEA Grapalat" w:hAnsi="GHEA Grapalat" w:cs="Sylfaen"/>
          <w:bCs/>
          <w:color w:val="000000" w:themeColor="text1"/>
          <w:sz w:val="24"/>
          <w:szCs w:val="24"/>
        </w:rPr>
        <w:t>1-ին ենթակետի</w:t>
      </w:r>
      <w:r>
        <w:rPr>
          <w:rFonts w:ascii="GHEA Grapalat" w:hAnsi="GHEA Grapalat"/>
          <w:bCs/>
          <w:color w:val="000000" w:themeColor="text1"/>
          <w:sz w:val="24"/>
          <w:szCs w:val="24"/>
          <w:shd w:val="clear" w:color="auto" w:fill="FFFFFF"/>
        </w:rPr>
        <w:t xml:space="preserve"> «պատճենները» բառը փոխարինել «վերաբերյալ տեղեկատվություն» բառերով, իսկ 2-րդ և 4-րդ ենթակետում «տեղեկանք» և «տեղեկանքը»</w:t>
      </w:r>
      <w:r>
        <w:rPr>
          <w:rFonts w:ascii="GHEA Grapalat" w:hAnsi="GHEA Grapalat"/>
          <w:bCs/>
          <w:color w:val="000000"/>
          <w:sz w:val="24"/>
          <w:szCs w:val="24"/>
          <w:shd w:val="clear" w:color="auto" w:fill="FFFFFF"/>
        </w:rPr>
        <w:t xml:space="preserve">   բառերը փոխարինել «տեղեկատվությունը» բառով</w:t>
      </w:r>
      <w:r>
        <w:rPr>
          <w:rFonts w:ascii="MS Gothic" w:eastAsia="MS Gothic" w:hAnsi="MS Gothic" w:cs="MS Gothic" w:hint="eastAsia"/>
          <w:bCs/>
          <w:color w:val="000000"/>
          <w:sz w:val="24"/>
          <w:szCs w:val="24"/>
          <w:shd w:val="clear" w:color="auto" w:fill="FFFFFF"/>
          <w:lang w:val="ru-RU"/>
        </w:rPr>
        <w:t>․</w:t>
      </w:r>
    </w:p>
    <w:p w14:paraId="2579DCC6" w14:textId="77777777" w:rsidR="00E13621" w:rsidRDefault="00E13621" w:rsidP="00E13621">
      <w:pPr>
        <w:tabs>
          <w:tab w:val="left" w:pos="90"/>
          <w:tab w:val="left" w:pos="993"/>
        </w:tabs>
        <w:spacing w:after="0" w:line="360" w:lineRule="auto"/>
        <w:jc w:val="both"/>
        <w:rPr>
          <w:rFonts w:ascii="GHEA Grapalat" w:hAnsi="GHEA Grapalat"/>
          <w:bCs/>
          <w:color w:val="000000"/>
          <w:sz w:val="24"/>
          <w:szCs w:val="24"/>
          <w:shd w:val="clear" w:color="auto" w:fill="FFFFFF"/>
        </w:rPr>
      </w:pPr>
      <w:r>
        <w:rPr>
          <w:rFonts w:ascii="GHEA Grapalat" w:hAnsi="GHEA Grapalat"/>
          <w:bCs/>
          <w:color w:val="000000"/>
          <w:sz w:val="24"/>
          <w:szCs w:val="24"/>
          <w:shd w:val="clear" w:color="auto" w:fill="FFFFFF"/>
        </w:rPr>
        <w:tab/>
        <w:t>9) որոշում 1-ի հավելվածի 26-րդ կետը շարադրել հետևյալ խմբագրությամբ</w:t>
      </w:r>
      <w:r>
        <w:rPr>
          <w:rFonts w:ascii="MS Gothic" w:eastAsia="MS Gothic" w:hAnsi="MS Gothic" w:cs="MS Gothic" w:hint="eastAsia"/>
          <w:bCs/>
          <w:color w:val="000000"/>
          <w:sz w:val="24"/>
          <w:szCs w:val="24"/>
          <w:shd w:val="clear" w:color="auto" w:fill="FFFFFF"/>
          <w:lang w:val="ru-RU"/>
        </w:rPr>
        <w:t>․</w:t>
      </w:r>
    </w:p>
    <w:p w14:paraId="4F17615C" w14:textId="77777777" w:rsidR="00E13621" w:rsidRDefault="00E13621" w:rsidP="00E13621">
      <w:pPr>
        <w:tabs>
          <w:tab w:val="left" w:pos="90"/>
          <w:tab w:val="left" w:pos="993"/>
        </w:tabs>
        <w:spacing w:after="0" w:line="360" w:lineRule="auto"/>
        <w:jc w:val="both"/>
        <w:rPr>
          <w:rFonts w:ascii="GHEA Grapalat" w:hAnsi="GHEA Grapalat"/>
          <w:bCs/>
          <w:color w:val="000000"/>
          <w:sz w:val="24"/>
          <w:szCs w:val="24"/>
          <w:shd w:val="clear" w:color="auto" w:fill="FFFFFF"/>
        </w:rPr>
      </w:pPr>
      <w:r>
        <w:rPr>
          <w:rFonts w:ascii="GHEA Grapalat" w:hAnsi="GHEA Grapalat"/>
          <w:bCs/>
          <w:color w:val="000000"/>
          <w:sz w:val="24"/>
          <w:szCs w:val="24"/>
          <w:shd w:val="clear" w:color="auto" w:fill="FFFFFF"/>
        </w:rPr>
        <w:t>«26. Հաշվառում չունեցող անձինք ֆունկցիոնալության գնահատման դիմումը մուտքագրելիս նշում են փաստացի բնակության հասցեն: Օտարերկրացիները, քաղաքացիություն չունեցող և փախuտականի կարգավիճակ ունեցող անձինք մուտքագրում են Հայաստանի Հանրապետությունում բնակվելու իրավունք ունենալու վերաբերյալ համապատասխան փաստաթղթի համարը։»</w:t>
      </w:r>
      <w:r>
        <w:rPr>
          <w:rFonts w:ascii="MS Gothic" w:eastAsia="MS Gothic" w:hAnsi="MS Gothic" w:cs="MS Gothic" w:hint="eastAsia"/>
          <w:bCs/>
          <w:color w:val="000000"/>
          <w:sz w:val="24"/>
          <w:szCs w:val="24"/>
          <w:shd w:val="clear" w:color="auto" w:fill="FFFFFF"/>
          <w:lang w:val="ru-RU"/>
        </w:rPr>
        <w:t>․</w:t>
      </w:r>
    </w:p>
    <w:p w14:paraId="4EFEE08F" w14:textId="77777777" w:rsidR="00E13621" w:rsidRDefault="00E13621" w:rsidP="00E13621">
      <w:pPr>
        <w:tabs>
          <w:tab w:val="left" w:pos="90"/>
          <w:tab w:val="left" w:pos="993"/>
        </w:tabs>
        <w:spacing w:after="0" w:line="360" w:lineRule="auto"/>
        <w:jc w:val="both"/>
        <w:rPr>
          <w:rFonts w:ascii="GHEA Grapalat" w:hAnsi="GHEA Grapalat"/>
          <w:bCs/>
          <w:color w:val="000000"/>
          <w:sz w:val="24"/>
          <w:szCs w:val="24"/>
          <w:shd w:val="clear" w:color="auto" w:fill="FFFFFF"/>
        </w:rPr>
      </w:pPr>
      <w:r>
        <w:rPr>
          <w:rFonts w:ascii="GHEA Grapalat" w:hAnsi="GHEA Grapalat"/>
          <w:bCs/>
          <w:color w:val="000000"/>
          <w:sz w:val="24"/>
          <w:szCs w:val="24"/>
          <w:shd w:val="clear" w:color="auto" w:fill="FFFFFF"/>
        </w:rPr>
        <w:tab/>
        <w:t xml:space="preserve">10) որոշում 1-ի հավելվածի 27-րդ կետը շարադրել հետևյալ խմբագրությամբ՝ </w:t>
      </w:r>
    </w:p>
    <w:p w14:paraId="22F9BB7F" w14:textId="77777777" w:rsidR="00E13621" w:rsidRDefault="00E13621" w:rsidP="00E13621">
      <w:pPr>
        <w:tabs>
          <w:tab w:val="left" w:pos="90"/>
          <w:tab w:val="left" w:pos="993"/>
        </w:tabs>
        <w:spacing w:after="0" w:line="360" w:lineRule="auto"/>
        <w:jc w:val="both"/>
        <w:rPr>
          <w:rFonts w:ascii="Cambria Math" w:hAnsi="Cambria Math"/>
          <w:bCs/>
          <w:color w:val="000000"/>
          <w:sz w:val="24"/>
          <w:szCs w:val="24"/>
          <w:shd w:val="clear" w:color="auto" w:fill="FFFFFF"/>
        </w:rPr>
      </w:pPr>
      <w:r>
        <w:rPr>
          <w:rFonts w:ascii="GHEA Grapalat" w:hAnsi="GHEA Grapalat"/>
          <w:bCs/>
          <w:color w:val="000000"/>
          <w:sz w:val="24"/>
          <w:szCs w:val="24"/>
          <w:shd w:val="clear" w:color="auto" w:fill="FFFFFF"/>
        </w:rPr>
        <w:t>«27. Այն դեպքում, երբ գնահատվող անձը չի կարող ներկայանալ ֆունկցիոնալության գնահատման վայր, ապա գնահատող հանձնաժողովը ֆունկցիոնալության գնահատումն իրականացնում է գնահատվող անձի գտնվելու վայր այց կատարելով։ Վերջինս իրականացվում է «Անձի ֆունկցիոնալության գնահատման մասին» օրենքի 6-րդ հոդվածի 1-ին մասի 3-րդ կետով հաստատված անձի ֆունկցիոնալության գնահատման մեթոդական ուղեցույցով սահմանված դեպքերում։ Էլեկտրոնային համակարգում գնահատման վայրի վերաբերյալ նշումը կատարում է ամփոփագիր մշակող մասնագետը։»</w:t>
      </w:r>
      <w:r>
        <w:rPr>
          <w:rFonts w:ascii="Cambria Math" w:hAnsi="Cambria Math"/>
          <w:bCs/>
          <w:color w:val="000000"/>
          <w:sz w:val="24"/>
          <w:szCs w:val="24"/>
          <w:shd w:val="clear" w:color="auto" w:fill="FFFFFF"/>
        </w:rPr>
        <w:t>․</w:t>
      </w:r>
    </w:p>
    <w:p w14:paraId="619AC00A" w14:textId="77777777" w:rsidR="00E13621" w:rsidRDefault="00E13621" w:rsidP="00E13621">
      <w:pPr>
        <w:tabs>
          <w:tab w:val="left" w:pos="90"/>
          <w:tab w:val="left" w:pos="993"/>
        </w:tabs>
        <w:spacing w:after="0" w:line="360" w:lineRule="auto"/>
        <w:jc w:val="both"/>
        <w:rPr>
          <w:rFonts w:ascii="GHEA Grapalat" w:hAnsi="GHEA Grapalat"/>
          <w:bCs/>
          <w:color w:val="000000"/>
          <w:sz w:val="24"/>
          <w:szCs w:val="24"/>
          <w:shd w:val="clear" w:color="auto" w:fill="FFFFFF"/>
        </w:rPr>
      </w:pPr>
      <w:r>
        <w:rPr>
          <w:rFonts w:ascii="GHEA Grapalat" w:hAnsi="GHEA Grapalat"/>
          <w:bCs/>
          <w:color w:val="000000"/>
          <w:sz w:val="24"/>
          <w:szCs w:val="24"/>
          <w:shd w:val="clear" w:color="auto" w:fill="FFFFFF"/>
        </w:rPr>
        <w:tab/>
        <w:t>11) որոշում 1-ի հավելվածի 29-րդ կետում «ծառայություն է ներկայացնում» բառերը փոխարինել «էլեկտրոնային համակարգ է մուտքագրում» բառերով</w:t>
      </w:r>
      <w:r>
        <w:rPr>
          <w:rFonts w:ascii="MS Gothic" w:eastAsia="MS Gothic" w:hAnsi="MS Gothic" w:cs="MS Gothic" w:hint="eastAsia"/>
          <w:bCs/>
          <w:color w:val="000000"/>
          <w:sz w:val="24"/>
          <w:szCs w:val="24"/>
          <w:shd w:val="clear" w:color="auto" w:fill="FFFFFF"/>
          <w:lang w:val="ru-RU"/>
        </w:rPr>
        <w:t>․</w:t>
      </w:r>
    </w:p>
    <w:p w14:paraId="08C635B9" w14:textId="77777777" w:rsidR="00E13621" w:rsidRDefault="00E13621" w:rsidP="00E13621">
      <w:pPr>
        <w:tabs>
          <w:tab w:val="left" w:pos="90"/>
          <w:tab w:val="left" w:pos="993"/>
        </w:tabs>
        <w:spacing w:after="0" w:line="360" w:lineRule="auto"/>
        <w:jc w:val="both"/>
        <w:rPr>
          <w:rFonts w:ascii="GHEA Grapalat" w:hAnsi="GHEA Grapalat"/>
          <w:bCs/>
          <w:color w:val="000000"/>
          <w:sz w:val="24"/>
          <w:szCs w:val="24"/>
          <w:shd w:val="clear" w:color="auto" w:fill="FFFFFF"/>
        </w:rPr>
      </w:pPr>
      <w:r>
        <w:rPr>
          <w:rFonts w:ascii="GHEA Grapalat" w:hAnsi="GHEA Grapalat"/>
          <w:bCs/>
          <w:color w:val="000000"/>
          <w:sz w:val="24"/>
          <w:szCs w:val="24"/>
          <w:shd w:val="clear" w:color="auto" w:fill="FFFFFF"/>
        </w:rPr>
        <w:tab/>
        <w:t>12) որոշում 1-ի հավելվածի</w:t>
      </w:r>
      <w:r>
        <w:rPr>
          <w:rFonts w:ascii="GHEA Grapalat" w:hAnsi="GHEA Grapalat"/>
          <w:color w:val="000000"/>
          <w:sz w:val="24"/>
          <w:szCs w:val="24"/>
          <w:shd w:val="clear" w:color="auto" w:fill="FFFFFF"/>
        </w:rPr>
        <w:t xml:space="preserve"> 30-րդ կետը շարադրել հետևյալ խմբագրությամբ՝ </w:t>
      </w:r>
      <w:r>
        <w:rPr>
          <w:rFonts w:ascii="GHEA Grapalat" w:hAnsi="GHEA Grapalat"/>
          <w:color w:val="000000"/>
          <w:sz w:val="24"/>
          <w:szCs w:val="24"/>
          <w:shd w:val="clear" w:color="auto" w:fill="FFFFFF"/>
        </w:rPr>
        <w:br/>
        <w:t>«30.</w:t>
      </w:r>
      <w:r>
        <w:rPr>
          <w:rFonts w:ascii="GHEA Grapalat" w:hAnsi="GHEA Grapalat" w:cs="Arial"/>
          <w:color w:val="333333"/>
          <w:sz w:val="24"/>
          <w:szCs w:val="24"/>
          <w:shd w:val="clear" w:color="auto" w:fill="FFFFFF"/>
        </w:rPr>
        <w:t xml:space="preserve"> Անձի ֆունկցիոնալության գնահատման համար դիմումը էլեկտրոնային համակագ մուտքագրվում է առցանց՝ </w:t>
      </w:r>
      <w:hyperlink r:id="rId8" w:history="1">
        <w:r>
          <w:rPr>
            <w:rStyle w:val="Hyperlink"/>
            <w:rFonts w:ascii="GHEA Grapalat" w:hAnsi="GHEA Grapalat"/>
            <w:sz w:val="24"/>
            <w:szCs w:val="24"/>
          </w:rPr>
          <w:t>https://e-disability.am/user-application</w:t>
        </w:r>
      </w:hyperlink>
      <w:r>
        <w:rPr>
          <w:rFonts w:ascii="GHEA Grapalat" w:hAnsi="GHEA Grapalat"/>
          <w:sz w:val="24"/>
          <w:szCs w:val="24"/>
          <w:u w:val="single"/>
        </w:rPr>
        <w:t xml:space="preserve"> </w:t>
      </w:r>
      <w:r>
        <w:rPr>
          <w:rFonts w:ascii="GHEA Grapalat" w:hAnsi="GHEA Grapalat"/>
          <w:sz w:val="24"/>
          <w:szCs w:val="24"/>
          <w:lang w:bidi="hy-AM"/>
        </w:rPr>
        <w:t>հղումով</w:t>
      </w:r>
      <w:r>
        <w:rPr>
          <w:rFonts w:ascii="GHEA Grapalat" w:hAnsi="GHEA Grapalat" w:cs="Arial"/>
          <w:color w:val="333333"/>
          <w:sz w:val="24"/>
          <w:szCs w:val="24"/>
          <w:shd w:val="clear" w:color="auto" w:fill="FFFFFF"/>
        </w:rPr>
        <w:t xml:space="preserve"> կամ </w:t>
      </w:r>
      <w:r>
        <w:rPr>
          <w:rFonts w:ascii="GHEA Grapalat" w:hAnsi="GHEA Grapalat"/>
          <w:bCs/>
          <w:color w:val="000000"/>
          <w:sz w:val="24"/>
          <w:szCs w:val="24"/>
          <w:shd w:val="clear" w:color="auto" w:fill="FFFFFF"/>
        </w:rPr>
        <w:t>այցելելով ծառայության ցանկացած տարածքային կենտրոն՝ մուտքագրման հարցում աջակցելու նպատակով։»</w:t>
      </w:r>
      <w:r>
        <w:rPr>
          <w:rFonts w:ascii="MS Gothic" w:eastAsia="MS Gothic" w:hAnsi="MS Gothic" w:cs="MS Gothic" w:hint="eastAsia"/>
          <w:bCs/>
          <w:color w:val="000000"/>
          <w:sz w:val="24"/>
          <w:szCs w:val="24"/>
          <w:shd w:val="clear" w:color="auto" w:fill="FFFFFF"/>
          <w:lang w:val="ru-RU"/>
        </w:rPr>
        <w:t>․</w:t>
      </w:r>
    </w:p>
    <w:p w14:paraId="3707B7E0" w14:textId="77777777" w:rsidR="00E13621" w:rsidRDefault="00E13621" w:rsidP="00E13621">
      <w:pPr>
        <w:tabs>
          <w:tab w:val="left" w:pos="90"/>
          <w:tab w:val="left" w:pos="993"/>
        </w:tabs>
        <w:spacing w:after="0" w:line="360" w:lineRule="auto"/>
        <w:jc w:val="both"/>
        <w:rPr>
          <w:rFonts w:ascii="GHEA Grapalat" w:hAnsi="GHEA Grapalat"/>
          <w:bCs/>
          <w:color w:val="000000"/>
          <w:sz w:val="24"/>
          <w:szCs w:val="24"/>
          <w:shd w:val="clear" w:color="auto" w:fill="FFFFFF"/>
        </w:rPr>
      </w:pPr>
      <w:r>
        <w:rPr>
          <w:rFonts w:ascii="GHEA Grapalat" w:hAnsi="GHEA Grapalat"/>
          <w:bCs/>
          <w:color w:val="000000"/>
          <w:sz w:val="24"/>
          <w:szCs w:val="24"/>
          <w:shd w:val="clear" w:color="auto" w:fill="FFFFFF"/>
        </w:rPr>
        <w:tab/>
        <w:t>13) որոշում 1-ի հավելվածի 31-րդ կետում հանել առաջին նախադասությունը, իսկ 2-րդ նախադասությունից հանել «և ներկայացնում» բառերը</w:t>
      </w:r>
      <w:r>
        <w:rPr>
          <w:rFonts w:ascii="MS Gothic" w:eastAsia="MS Gothic" w:hAnsi="MS Gothic" w:cs="MS Gothic" w:hint="eastAsia"/>
          <w:bCs/>
          <w:color w:val="000000"/>
          <w:sz w:val="24"/>
          <w:szCs w:val="24"/>
          <w:shd w:val="clear" w:color="auto" w:fill="FFFFFF"/>
          <w:lang w:val="ru-RU"/>
        </w:rPr>
        <w:t>․</w:t>
      </w:r>
      <w:r>
        <w:rPr>
          <w:rFonts w:ascii="GHEA Grapalat" w:hAnsi="GHEA Grapalat"/>
          <w:bCs/>
          <w:color w:val="000000"/>
          <w:sz w:val="24"/>
          <w:szCs w:val="24"/>
          <w:shd w:val="clear" w:color="auto" w:fill="FFFFFF"/>
          <w:lang w:val="ru-RU"/>
        </w:rPr>
        <w:t xml:space="preserve"> </w:t>
      </w:r>
    </w:p>
    <w:p w14:paraId="3E25D2A8" w14:textId="77777777" w:rsidR="00E13621" w:rsidRDefault="00E13621" w:rsidP="00E13621">
      <w:pPr>
        <w:tabs>
          <w:tab w:val="left" w:pos="90"/>
          <w:tab w:val="left" w:pos="993"/>
        </w:tabs>
        <w:spacing w:after="0" w:line="360" w:lineRule="auto"/>
        <w:jc w:val="both"/>
        <w:rPr>
          <w:rFonts w:ascii="GHEA Grapalat" w:hAnsi="GHEA Grapalat"/>
          <w:bCs/>
          <w:color w:val="000000"/>
          <w:sz w:val="24"/>
          <w:szCs w:val="24"/>
          <w:shd w:val="clear" w:color="auto" w:fill="FFFFFF"/>
        </w:rPr>
      </w:pPr>
      <w:r>
        <w:rPr>
          <w:rFonts w:ascii="GHEA Grapalat" w:hAnsi="GHEA Grapalat"/>
          <w:bCs/>
          <w:color w:val="000000"/>
          <w:sz w:val="24"/>
          <w:szCs w:val="24"/>
          <w:shd w:val="clear" w:color="auto" w:fill="FFFFFF"/>
        </w:rPr>
        <w:tab/>
        <w:t>14) որոշում 1-ի հավելվածի 32-րդ, 39-րդ, 40-րդ և 41</w:t>
      </w:r>
      <w:r>
        <w:rPr>
          <w:rFonts w:ascii="GHEA Grapalat" w:hAnsi="GHEA Grapalat"/>
          <w:bCs/>
          <w:color w:val="000000"/>
          <w:sz w:val="24"/>
          <w:szCs w:val="24"/>
          <w:shd w:val="clear" w:color="auto" w:fill="FFFFFF"/>
          <w:lang w:val="ru-RU"/>
        </w:rPr>
        <w:t>.</w:t>
      </w:r>
      <w:r>
        <w:rPr>
          <w:rFonts w:ascii="GHEA Grapalat" w:hAnsi="GHEA Grapalat"/>
          <w:bCs/>
          <w:color w:val="000000"/>
          <w:sz w:val="24"/>
          <w:szCs w:val="24"/>
          <w:shd w:val="clear" w:color="auto" w:fill="FFFFFF"/>
        </w:rPr>
        <w:t>1-րդ կետերը ուժը կորցրած ճանաչել</w:t>
      </w:r>
      <w:r>
        <w:rPr>
          <w:rFonts w:ascii="MS Gothic" w:eastAsia="MS Gothic" w:hAnsi="MS Gothic" w:cs="MS Gothic" w:hint="eastAsia"/>
          <w:bCs/>
          <w:color w:val="000000"/>
          <w:sz w:val="24"/>
          <w:szCs w:val="24"/>
          <w:shd w:val="clear" w:color="auto" w:fill="FFFFFF"/>
          <w:lang w:val="ru-RU"/>
        </w:rPr>
        <w:t>․</w:t>
      </w:r>
    </w:p>
    <w:p w14:paraId="4C0F5F68" w14:textId="77777777" w:rsidR="00E13621" w:rsidRDefault="00E13621" w:rsidP="00E13621">
      <w:pPr>
        <w:tabs>
          <w:tab w:val="left" w:pos="90"/>
          <w:tab w:val="left" w:pos="993"/>
        </w:tabs>
        <w:spacing w:after="0" w:line="360" w:lineRule="auto"/>
        <w:jc w:val="both"/>
        <w:rPr>
          <w:rFonts w:ascii="GHEA Grapalat" w:hAnsi="GHEA Grapalat"/>
          <w:bCs/>
          <w:color w:val="000000"/>
          <w:sz w:val="24"/>
          <w:szCs w:val="24"/>
          <w:shd w:val="clear" w:color="auto" w:fill="FFFFFF"/>
        </w:rPr>
      </w:pPr>
      <w:bookmarkStart w:id="7" w:name="_Hlk200710944"/>
      <w:r>
        <w:rPr>
          <w:rFonts w:ascii="GHEA Grapalat" w:hAnsi="GHEA Grapalat"/>
          <w:bCs/>
          <w:color w:val="000000"/>
          <w:sz w:val="24"/>
          <w:szCs w:val="24"/>
          <w:shd w:val="clear" w:color="auto" w:fill="FFFFFF"/>
        </w:rPr>
        <w:tab/>
        <w:t xml:space="preserve">15) որոշում 1-ի հավելվածի 33-րդ կետում </w:t>
      </w:r>
      <w:bookmarkEnd w:id="7"/>
      <w:r>
        <w:rPr>
          <w:rFonts w:ascii="GHEA Grapalat" w:hAnsi="GHEA Grapalat"/>
          <w:bCs/>
          <w:color w:val="000000"/>
          <w:sz w:val="24"/>
          <w:szCs w:val="24"/>
          <w:shd w:val="clear" w:color="auto" w:fill="FFFFFF"/>
        </w:rPr>
        <w:t>«որը տրվում կամ ուղարկվում է դիմումատուին՝ փոստով կամ էլեկտրոնային փոստով» բառերը փոխարինել «</w:t>
      </w:r>
      <w:r>
        <w:rPr>
          <w:rFonts w:ascii="GHEA Grapalat" w:eastAsia="Arial Unicode" w:hAnsi="GHEA Grapalat" w:cs="Arial Unicode"/>
          <w:color w:val="000000"/>
          <w:kern w:val="2"/>
          <w:sz w:val="24"/>
          <w:szCs w:val="24"/>
          <w:lang w:eastAsia="en-US"/>
          <w14:ligatures w14:val="standardContextual"/>
        </w:rPr>
        <w:t>որն</w:t>
      </w:r>
      <w:r>
        <w:rPr>
          <w:rFonts w:ascii="GHEA Grapalat" w:hAnsi="GHEA Grapalat"/>
          <w:bCs/>
          <w:color w:val="000000"/>
          <w:sz w:val="24"/>
          <w:szCs w:val="24"/>
          <w:shd w:val="clear" w:color="auto" w:fill="FFFFFF"/>
        </w:rPr>
        <w:t xml:space="preserve"> ինքնաշախատ եղանակով ուղարկվում է գնահատվողի կողմից դիմումում նշված էլեկտրոնային հասցեին» բառերով</w:t>
      </w:r>
      <w:r>
        <w:rPr>
          <w:rFonts w:ascii="MS Gothic" w:eastAsia="MS Gothic" w:hAnsi="MS Gothic" w:cs="MS Gothic" w:hint="eastAsia"/>
          <w:bCs/>
          <w:color w:val="000000"/>
          <w:sz w:val="24"/>
          <w:szCs w:val="24"/>
          <w:shd w:val="clear" w:color="auto" w:fill="FFFFFF"/>
          <w:lang w:val="ru-RU"/>
        </w:rPr>
        <w:t>․</w:t>
      </w:r>
    </w:p>
    <w:p w14:paraId="04CBF399" w14:textId="77777777" w:rsidR="00E13621" w:rsidRDefault="00E13621" w:rsidP="00E13621">
      <w:pPr>
        <w:tabs>
          <w:tab w:val="left" w:pos="90"/>
          <w:tab w:val="left" w:pos="993"/>
        </w:tabs>
        <w:spacing w:after="0" w:line="360" w:lineRule="auto"/>
        <w:jc w:val="both"/>
        <w:rPr>
          <w:rFonts w:ascii="GHEA Grapalat" w:hAnsi="GHEA Grapalat"/>
          <w:bCs/>
          <w:color w:val="000000"/>
          <w:sz w:val="24"/>
          <w:szCs w:val="24"/>
          <w:shd w:val="clear" w:color="auto" w:fill="FFFFFF"/>
        </w:rPr>
      </w:pPr>
      <w:r>
        <w:rPr>
          <w:rFonts w:ascii="GHEA Grapalat" w:hAnsi="GHEA Grapalat"/>
          <w:bCs/>
          <w:color w:val="000000"/>
          <w:sz w:val="24"/>
          <w:szCs w:val="24"/>
          <w:shd w:val="clear" w:color="auto" w:fill="FFFFFF"/>
        </w:rPr>
        <w:tab/>
        <w:t>16) որոշում 1-ի հավելվածի 34-րդ կետը շարադրել հետևյալ խմբագրությամբ՝ «34. Էլեկտրոնային համակարգում սույն կարգի 17-րդ, 18-րդ, 19-րդ և 23-րդ կետերով նախատեսված ուղեգրման կարգի, պայմանների խախտման, անհրաժեշտ փաստաթղթերի և տեղեկանքների բացակայության պարագայում, դիմումի հետագա ընթացքը մերժվում է՝ ծանուցում ուղարկելով ուղեգրող կազմակերպությանը՝ էլեկտրոնային առողջապահության համակարգի միջոցով, իսկ դիմողին՝ դիմումի մեջ նշված էլեկտրոնային փոստին։»</w:t>
      </w:r>
      <w:r>
        <w:rPr>
          <w:rFonts w:ascii="MS Gothic" w:eastAsia="MS Gothic" w:hAnsi="MS Gothic" w:cs="MS Gothic" w:hint="eastAsia"/>
          <w:bCs/>
          <w:color w:val="000000"/>
          <w:sz w:val="24"/>
          <w:szCs w:val="24"/>
          <w:shd w:val="clear" w:color="auto" w:fill="FFFFFF"/>
          <w:lang w:val="ru-RU"/>
        </w:rPr>
        <w:t>․</w:t>
      </w:r>
      <w:r>
        <w:rPr>
          <w:rFonts w:ascii="GHEA Grapalat" w:hAnsi="GHEA Grapalat"/>
          <w:bCs/>
          <w:color w:val="000000"/>
          <w:sz w:val="24"/>
          <w:szCs w:val="24"/>
          <w:shd w:val="clear" w:color="auto" w:fill="FFFFFF"/>
          <w:lang w:val="ru-RU"/>
        </w:rPr>
        <w:t xml:space="preserve"> </w:t>
      </w:r>
    </w:p>
    <w:p w14:paraId="1F4CEDC1" w14:textId="77777777" w:rsidR="00E13621" w:rsidRDefault="00E13621" w:rsidP="00E13621">
      <w:pPr>
        <w:tabs>
          <w:tab w:val="left" w:pos="90"/>
          <w:tab w:val="left" w:pos="993"/>
        </w:tabs>
        <w:spacing w:after="0" w:line="360" w:lineRule="auto"/>
        <w:jc w:val="both"/>
        <w:rPr>
          <w:rFonts w:ascii="GHEA Grapalat" w:hAnsi="GHEA Grapalat"/>
          <w:color w:val="000000"/>
          <w:sz w:val="24"/>
          <w:szCs w:val="24"/>
          <w:shd w:val="clear" w:color="auto" w:fill="FFFFFF"/>
        </w:rPr>
      </w:pPr>
      <w:bookmarkStart w:id="8" w:name="_Hlk200712174"/>
      <w:r>
        <w:rPr>
          <w:rFonts w:ascii="GHEA Grapalat" w:hAnsi="GHEA Grapalat"/>
          <w:bCs/>
          <w:color w:val="000000"/>
          <w:sz w:val="24"/>
          <w:szCs w:val="24"/>
          <w:shd w:val="clear" w:color="auto" w:fill="FFFFFF"/>
        </w:rPr>
        <w:tab/>
        <w:t>17) որոշում 1-ի հավելվածի</w:t>
      </w:r>
      <w:r>
        <w:rPr>
          <w:rFonts w:ascii="GHEA Grapalat" w:hAnsi="GHEA Grapalat"/>
          <w:color w:val="000000"/>
          <w:sz w:val="24"/>
          <w:szCs w:val="24"/>
          <w:shd w:val="clear" w:color="auto" w:fill="FFFFFF"/>
        </w:rPr>
        <w:t xml:space="preserve"> 35-րդ կետում «Բոլոր անհրաժեշտ փաստաթղթերը և տվյալները ներբեռնվելուց հետո էլեկտրոնային» բառերը փոխարինել «Էլեկտրոնային» բառով. </w:t>
      </w:r>
    </w:p>
    <w:bookmarkEnd w:id="8"/>
    <w:p w14:paraId="6549CF4A" w14:textId="77777777" w:rsidR="00E13621" w:rsidRDefault="00E13621" w:rsidP="00E13621">
      <w:pPr>
        <w:tabs>
          <w:tab w:val="left" w:pos="90"/>
        </w:tabs>
        <w:spacing w:line="360" w:lineRule="auto"/>
        <w:jc w:val="both"/>
        <w:rPr>
          <w:rFonts w:ascii="GHEA Grapalat" w:hAnsi="GHEA Grapalat"/>
          <w:color w:val="000000"/>
          <w:sz w:val="24"/>
          <w:szCs w:val="24"/>
          <w:shd w:val="clear" w:color="auto" w:fill="FFFFFF"/>
        </w:rPr>
      </w:pPr>
      <w:r>
        <w:rPr>
          <w:rFonts w:ascii="GHEA Grapalat" w:hAnsi="GHEA Grapalat" w:cs="Cambria Math"/>
          <w:bCs/>
          <w:color w:val="000000"/>
          <w:sz w:val="24"/>
          <w:szCs w:val="24"/>
          <w:shd w:val="clear" w:color="auto" w:fill="FFFFFF"/>
        </w:rPr>
        <w:t>18) որոշում 1-ի հավելվածի 36-րդ կետը շարադրել հետևյալ խմբագրությամբ</w:t>
      </w:r>
      <w:r>
        <w:rPr>
          <w:rFonts w:ascii="MS Gothic" w:eastAsia="MS Gothic" w:hAnsi="MS Gothic" w:cs="MS Gothic" w:hint="eastAsia"/>
          <w:bCs/>
          <w:color w:val="000000"/>
          <w:sz w:val="24"/>
          <w:szCs w:val="24"/>
          <w:shd w:val="clear" w:color="auto" w:fill="FFFFFF"/>
          <w:lang w:val="ru-RU"/>
        </w:rPr>
        <w:t>․</w:t>
      </w:r>
      <w:r>
        <w:rPr>
          <w:rFonts w:ascii="GHEA Grapalat" w:hAnsi="GHEA Grapalat" w:cs="Cambria Math"/>
          <w:bCs/>
          <w:color w:val="000000"/>
          <w:sz w:val="24"/>
          <w:szCs w:val="24"/>
          <w:shd w:val="clear" w:color="auto" w:fill="FFFFFF"/>
          <w:lang w:val="ru-RU"/>
        </w:rPr>
        <w:t xml:space="preserve"> </w:t>
      </w:r>
    </w:p>
    <w:p w14:paraId="5BA24357" w14:textId="77777777" w:rsidR="00E13621" w:rsidRDefault="00E13621" w:rsidP="00E13621">
      <w:pPr>
        <w:tabs>
          <w:tab w:val="left" w:pos="90"/>
          <w:tab w:val="left" w:pos="993"/>
        </w:tabs>
        <w:spacing w:after="0" w:line="360" w:lineRule="auto"/>
        <w:jc w:val="both"/>
        <w:rPr>
          <w:rFonts w:ascii="GHEA Grapalat" w:hAnsi="GHEA Grapalat"/>
          <w:color w:val="000000"/>
          <w:sz w:val="24"/>
          <w:szCs w:val="24"/>
          <w:shd w:val="clear" w:color="auto" w:fill="FFFFFF"/>
        </w:rPr>
      </w:pPr>
      <w:r>
        <w:rPr>
          <w:rFonts w:ascii="GHEA Grapalat" w:hAnsi="GHEA Grapalat" w:cs="Cambria Math"/>
          <w:bCs/>
          <w:color w:val="000000"/>
          <w:sz w:val="24"/>
          <w:szCs w:val="24"/>
          <w:shd w:val="clear" w:color="auto" w:fill="FFFFFF"/>
        </w:rPr>
        <w:t>«36</w:t>
      </w:r>
      <w:r>
        <w:rPr>
          <w:rFonts w:ascii="MS Gothic" w:eastAsia="MS Gothic" w:hAnsi="MS Gothic" w:cs="MS Gothic" w:hint="eastAsia"/>
          <w:bCs/>
          <w:color w:val="000000"/>
          <w:sz w:val="24"/>
          <w:szCs w:val="24"/>
          <w:shd w:val="clear" w:color="auto" w:fill="FFFFFF"/>
          <w:lang w:val="ru-RU"/>
        </w:rPr>
        <w:t>․</w:t>
      </w:r>
      <w:r>
        <w:rPr>
          <w:rFonts w:ascii="GHEA Grapalat" w:hAnsi="GHEA Grapalat" w:cs="Cambria Math"/>
          <w:bCs/>
          <w:color w:val="000000"/>
          <w:sz w:val="24"/>
          <w:szCs w:val="24"/>
          <w:shd w:val="clear" w:color="auto" w:fill="FFFFFF"/>
          <w:lang w:val="ru-RU"/>
        </w:rPr>
        <w:t xml:space="preserve"> </w:t>
      </w:r>
      <w:r>
        <w:rPr>
          <w:rFonts w:ascii="GHEA Grapalat" w:hAnsi="GHEA Grapalat" w:cs="Cambria Math"/>
          <w:bCs/>
          <w:color w:val="000000"/>
          <w:sz w:val="24"/>
          <w:szCs w:val="24"/>
          <w:shd w:val="clear" w:color="auto" w:fill="FFFFFF"/>
        </w:rPr>
        <w:t xml:space="preserve">Ամփոփագիր մշակող մասնագետը չի կարող ընդգրկվել անձի ֆունկցիոնալությունը գնահատող հանձնաժողովի կազմում։ Ամփոփագիր մշակող մասնագետն էլեկտրոնային համակարգով ստանում է ծանուցում վարչական վարույթի էլեկտրոնային գործի մասին։ Ամփոփագիրը մշակելուց հետո, այդ մասին համակարգն ինքնաշխատ ծանուցում է ուղարկում Ծառայության սոցիալական սատարողին՝ գնահատվողի գտնվելու վայր այց կատարելու և «Անձի ֆունկցիոնալության գնահատման մասին» օրենքի 6-րդ հոդվածի 1-ին մասի 3-րդ կետով նախատեսված մեթոդական ուղեցույցներով սահմանված՝ միջավայրային գործոնների գնահատման հարցաթերթը (այսուհետ՝ հարցաթերթ) լրացնելու համար։ Սոցիալական սատարողը հաղորդագրությունը ստանալուց հետո հինգ աշխատանքային օրվա ընթացքում կատարում է այցելություն, լրացնում հարցաթերթը։ Ամփոփագիր մշակող մասնագետը, որոշում է գնահատող հանձնաժողովի անդամների թիվը յուրաքանչյուր էլեկտրոնային կոնկրետ գործով՝ հաշվի առնելով գնահատվող յուրաքանչյուր անձի Առողջապահության համաշխարհային կազմակերպության ֆունկցիաների միջազգային դասակարգման այն ծածկագրերը, որոնք վճռորոշ նշանակություն ունեն </w:t>
      </w:r>
      <w:r>
        <w:rPr>
          <w:rFonts w:ascii="GHEA Grapalat" w:hAnsi="GHEA Grapalat"/>
          <w:color w:val="000000"/>
          <w:sz w:val="24"/>
          <w:szCs w:val="24"/>
          <w:shd w:val="clear" w:color="auto" w:fill="FFFFFF"/>
        </w:rPr>
        <w:t>անձի ֆունկցիոնալության գնահատման տեսանկյունից։»</w:t>
      </w:r>
      <w:r>
        <w:rPr>
          <w:rFonts w:ascii="MS Gothic" w:eastAsia="MS Gothic" w:hAnsi="MS Gothic" w:cs="MS Gothic" w:hint="eastAsia"/>
          <w:color w:val="000000"/>
          <w:sz w:val="24"/>
          <w:szCs w:val="24"/>
          <w:shd w:val="clear" w:color="auto" w:fill="FFFFFF"/>
          <w:lang w:val="ru-RU"/>
        </w:rPr>
        <w:t>․</w:t>
      </w:r>
    </w:p>
    <w:p w14:paraId="7AFE4B4D" w14:textId="77777777" w:rsidR="00E13621" w:rsidRDefault="00E13621" w:rsidP="00E13621">
      <w:pPr>
        <w:tabs>
          <w:tab w:val="left" w:pos="90"/>
          <w:tab w:val="left" w:pos="993"/>
        </w:tabs>
        <w:spacing w:after="0" w:line="360" w:lineRule="auto"/>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ab/>
        <w:t xml:space="preserve">19) որոշում 1-ի հավելվածի 37-րդ կետից հանել «, որից հետո ծառայությունն էլեկտրոնային համակարգով դրա մասին ստանում է ծանուցում» բառերը, իսկ 2-րդ նախադասությունը շարադրել հետևյալ խմբագրությամբ. </w:t>
      </w:r>
    </w:p>
    <w:p w14:paraId="089BBBFE" w14:textId="77777777" w:rsidR="00E13621" w:rsidRDefault="00E13621" w:rsidP="00E13621">
      <w:pPr>
        <w:tabs>
          <w:tab w:val="left" w:pos="90"/>
          <w:tab w:val="left" w:pos="993"/>
        </w:tabs>
        <w:spacing w:after="0" w:line="360" w:lineRule="auto"/>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«Գնահատող հանձնաժողովի անդամների ընտրությունից հետո նույն օրը նրանք, և դիմողը էլեկտրոնային համակարգի կամ էլեկտրոնային փոստի միջոցով կամ Ծառայության կողմից հեռախոսով, տեղեկացվում են ֆունկցիոնալության</w:t>
      </w:r>
      <w:r>
        <w:rPr>
          <w:color w:val="000000"/>
          <w:sz w:val="24"/>
          <w:szCs w:val="24"/>
          <w:shd w:val="clear" w:color="auto" w:fill="FFFFFF"/>
        </w:rPr>
        <w:t> </w:t>
      </w:r>
      <w:r>
        <w:rPr>
          <w:rFonts w:ascii="GHEA Grapalat" w:hAnsi="GHEA Grapalat"/>
          <w:color w:val="000000"/>
          <w:sz w:val="24"/>
          <w:szCs w:val="24"/>
          <w:shd w:val="clear" w:color="auto" w:fill="FFFFFF"/>
        </w:rPr>
        <w:t>գնահատման ամսաթվի, վայրի, ժամի մասին։»</w:t>
      </w:r>
      <w:r>
        <w:rPr>
          <w:rFonts w:ascii="MS Gothic" w:eastAsia="MS Gothic" w:hAnsi="MS Gothic" w:cs="MS Gothic" w:hint="eastAsia"/>
          <w:color w:val="000000"/>
          <w:sz w:val="24"/>
          <w:szCs w:val="24"/>
          <w:shd w:val="clear" w:color="auto" w:fill="FFFFFF"/>
          <w:lang w:val="ru-RU"/>
        </w:rPr>
        <w:t>․</w:t>
      </w:r>
    </w:p>
    <w:p w14:paraId="5987ABDB" w14:textId="77777777" w:rsidR="00E13621" w:rsidRDefault="00E13621" w:rsidP="00E13621">
      <w:pPr>
        <w:tabs>
          <w:tab w:val="left" w:pos="90"/>
          <w:tab w:val="left" w:pos="993"/>
        </w:tabs>
        <w:spacing w:after="0" w:line="360" w:lineRule="auto"/>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ab/>
        <w:t>20) որոշում 1-ի հավելվածի 41-րդ կետը շարադրել հետևյալ խմբագրությամբ՝</w:t>
      </w:r>
    </w:p>
    <w:p w14:paraId="44D8CD52" w14:textId="77777777" w:rsidR="00E13621" w:rsidRDefault="00E13621" w:rsidP="00E13621">
      <w:pPr>
        <w:tabs>
          <w:tab w:val="left" w:pos="90"/>
          <w:tab w:val="left" w:pos="993"/>
        </w:tabs>
        <w:spacing w:after="0" w:line="360" w:lineRule="auto"/>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ab/>
        <w:t>«41. Ֆունկցիոնալության</w:t>
      </w:r>
      <w:r>
        <w:rPr>
          <w:rFonts w:ascii="GHEA Grapalat" w:eastAsia="Arial Unicode" w:hAnsi="GHEA Grapalat" w:cs="Arial Unicode"/>
          <w:color w:val="000000"/>
          <w:sz w:val="24"/>
          <w:szCs w:val="24"/>
        </w:rPr>
        <w:t xml:space="preserve"> գնահատման արդյունքում գնահատող մասնագետները չափորոշիչների հիման վրա գնահատում են «Անձի ֆունկցիոնալության գնահատման մասին» օրենքով սահմանված օրգանիզմի ֆունկցիաների «b», մարմնի կառուցվածքի «s», գործունեության ու մասնակցության «d» ծածկագրերը՝ անձի ֆունկցիոնալության գնահատման չափորոշիչներին համապատասխան, է</w:t>
      </w:r>
      <w:r>
        <w:rPr>
          <w:rFonts w:ascii="GHEA Grapalat" w:hAnsi="GHEA Grapalat" w:cs="Sylfaen"/>
          <w:color w:val="333333"/>
          <w:sz w:val="24"/>
          <w:szCs w:val="24"/>
          <w:shd w:val="clear" w:color="auto" w:fill="FFFFFF"/>
        </w:rPr>
        <w:t>լեկտրոնային</w:t>
      </w:r>
      <w:r>
        <w:rPr>
          <w:rFonts w:ascii="GHEA Grapalat" w:hAnsi="GHEA Grapalat" w:cs="Arial"/>
          <w:color w:val="333333"/>
          <w:sz w:val="24"/>
          <w:szCs w:val="24"/>
          <w:shd w:val="clear" w:color="auto" w:fill="FFFFFF"/>
        </w:rPr>
        <w:t xml:space="preserve"> </w:t>
      </w:r>
      <w:r>
        <w:rPr>
          <w:rFonts w:ascii="GHEA Grapalat" w:hAnsi="GHEA Grapalat" w:cs="Sylfaen"/>
          <w:color w:val="333333"/>
          <w:sz w:val="24"/>
          <w:szCs w:val="24"/>
          <w:shd w:val="clear" w:color="auto" w:fill="FFFFFF"/>
        </w:rPr>
        <w:t>համակարգն</w:t>
      </w:r>
      <w:r>
        <w:rPr>
          <w:rFonts w:ascii="GHEA Grapalat" w:hAnsi="GHEA Grapalat" w:cs="Arial"/>
          <w:color w:val="333333"/>
          <w:sz w:val="24"/>
          <w:szCs w:val="24"/>
          <w:shd w:val="clear" w:color="auto" w:fill="FFFFFF"/>
        </w:rPr>
        <w:t xml:space="preserve"> </w:t>
      </w:r>
      <w:r>
        <w:rPr>
          <w:rFonts w:ascii="GHEA Grapalat" w:hAnsi="GHEA Grapalat" w:cs="Sylfaen"/>
          <w:color w:val="333333"/>
          <w:sz w:val="24"/>
          <w:szCs w:val="24"/>
          <w:shd w:val="clear" w:color="auto" w:fill="FFFFFF"/>
        </w:rPr>
        <w:t>ինքնաշխատ</w:t>
      </w:r>
      <w:r>
        <w:rPr>
          <w:rFonts w:ascii="GHEA Grapalat" w:hAnsi="GHEA Grapalat" w:cs="Arial"/>
          <w:color w:val="333333"/>
          <w:sz w:val="24"/>
          <w:szCs w:val="24"/>
          <w:shd w:val="clear" w:color="auto" w:fill="FFFFFF"/>
        </w:rPr>
        <w:t xml:space="preserve"> </w:t>
      </w:r>
      <w:r>
        <w:rPr>
          <w:rFonts w:ascii="GHEA Grapalat" w:hAnsi="GHEA Grapalat" w:cs="Sylfaen"/>
          <w:color w:val="333333"/>
          <w:sz w:val="24"/>
          <w:szCs w:val="24"/>
          <w:shd w:val="clear" w:color="auto" w:fill="FFFFFF"/>
        </w:rPr>
        <w:t>որոշում</w:t>
      </w:r>
      <w:r>
        <w:rPr>
          <w:rFonts w:ascii="GHEA Grapalat" w:hAnsi="GHEA Grapalat" w:cs="Arial"/>
          <w:color w:val="333333"/>
          <w:sz w:val="24"/>
          <w:szCs w:val="24"/>
          <w:shd w:val="clear" w:color="auto" w:fill="FFFFFF"/>
        </w:rPr>
        <w:t xml:space="preserve"> </w:t>
      </w:r>
      <w:r>
        <w:rPr>
          <w:rFonts w:ascii="GHEA Grapalat" w:hAnsi="GHEA Grapalat" w:cs="Sylfaen"/>
          <w:color w:val="333333"/>
          <w:sz w:val="24"/>
          <w:szCs w:val="24"/>
          <w:shd w:val="clear" w:color="auto" w:fill="FFFFFF"/>
        </w:rPr>
        <w:t>է</w:t>
      </w:r>
      <w:r>
        <w:rPr>
          <w:rFonts w:ascii="GHEA Grapalat" w:hAnsi="GHEA Grapalat" w:cs="Arial"/>
          <w:color w:val="333333"/>
          <w:sz w:val="24"/>
          <w:szCs w:val="24"/>
          <w:shd w:val="clear" w:color="auto" w:fill="FFFFFF"/>
        </w:rPr>
        <w:t xml:space="preserve"> </w:t>
      </w:r>
      <w:r>
        <w:rPr>
          <w:rFonts w:ascii="GHEA Grapalat" w:hAnsi="GHEA Grapalat" w:cs="Sylfaen"/>
          <w:color w:val="333333"/>
          <w:sz w:val="24"/>
          <w:szCs w:val="24"/>
          <w:shd w:val="clear" w:color="auto" w:fill="FFFFFF"/>
        </w:rPr>
        <w:t>անձի</w:t>
      </w:r>
      <w:r>
        <w:rPr>
          <w:rFonts w:ascii="GHEA Grapalat" w:hAnsi="GHEA Grapalat" w:cs="Arial"/>
          <w:color w:val="333333"/>
          <w:sz w:val="24"/>
          <w:szCs w:val="24"/>
          <w:shd w:val="clear" w:color="auto" w:fill="FFFFFF"/>
        </w:rPr>
        <w:t xml:space="preserve"> </w:t>
      </w:r>
      <w:r>
        <w:rPr>
          <w:rFonts w:ascii="GHEA Grapalat" w:hAnsi="GHEA Grapalat" w:cs="Sylfaen"/>
          <w:color w:val="333333"/>
          <w:sz w:val="24"/>
          <w:szCs w:val="24"/>
          <w:shd w:val="clear" w:color="auto" w:fill="FFFFFF"/>
        </w:rPr>
        <w:t>ֆունկցիոնալության</w:t>
      </w:r>
      <w:r>
        <w:rPr>
          <w:rFonts w:ascii="GHEA Grapalat" w:hAnsi="GHEA Grapalat" w:cs="Arial"/>
          <w:color w:val="333333"/>
          <w:sz w:val="24"/>
          <w:szCs w:val="24"/>
          <w:shd w:val="clear" w:color="auto" w:fill="FFFFFF"/>
        </w:rPr>
        <w:t xml:space="preserve"> </w:t>
      </w:r>
      <w:r>
        <w:rPr>
          <w:rFonts w:ascii="GHEA Grapalat" w:hAnsi="GHEA Grapalat" w:cs="Sylfaen"/>
          <w:color w:val="333333"/>
          <w:sz w:val="24"/>
          <w:szCs w:val="24"/>
          <w:shd w:val="clear" w:color="auto" w:fill="FFFFFF"/>
        </w:rPr>
        <w:t>սահմանափակման</w:t>
      </w:r>
      <w:r>
        <w:rPr>
          <w:rFonts w:ascii="GHEA Grapalat" w:hAnsi="GHEA Grapalat" w:cs="Arial"/>
          <w:color w:val="333333"/>
          <w:sz w:val="24"/>
          <w:szCs w:val="24"/>
          <w:shd w:val="clear" w:color="auto" w:fill="FFFFFF"/>
        </w:rPr>
        <w:t xml:space="preserve"> </w:t>
      </w:r>
      <w:r>
        <w:rPr>
          <w:rFonts w:ascii="GHEA Grapalat" w:hAnsi="GHEA Grapalat" w:cs="Sylfaen"/>
          <w:color w:val="333333"/>
          <w:sz w:val="24"/>
          <w:szCs w:val="24"/>
          <w:shd w:val="clear" w:color="auto" w:fill="FFFFFF"/>
        </w:rPr>
        <w:t>աստիճանը</w:t>
      </w:r>
      <w:r>
        <w:rPr>
          <w:rFonts w:ascii="GHEA Grapalat" w:eastAsia="Arial Unicode" w:hAnsi="GHEA Grapalat" w:cs="Arial Unicode"/>
          <w:color w:val="000000"/>
          <w:sz w:val="24"/>
          <w:szCs w:val="24"/>
        </w:rPr>
        <w:t xml:space="preserve">։ Գործունեության ու մասնակցության «d» ծածկագրերի </w:t>
      </w:r>
      <w:r>
        <w:rPr>
          <w:rFonts w:ascii="GHEA Grapalat" w:hAnsi="GHEA Grapalat"/>
          <w:bCs/>
          <w:color w:val="000000"/>
          <w:sz w:val="24"/>
          <w:szCs w:val="24"/>
          <w:shd w:val="clear" w:color="auto" w:fill="FFFFFF"/>
        </w:rPr>
        <w:t>մասնակցության բաղադրիչի գնահատման համար հիմք է հանդիսանում նաև</w:t>
      </w:r>
      <w:r>
        <w:rPr>
          <w:rFonts w:ascii="GHEA Grapalat" w:eastAsia="Arial Unicode" w:hAnsi="GHEA Grapalat" w:cs="Arial Unicode"/>
          <w:color w:val="000000"/>
          <w:sz w:val="24"/>
          <w:szCs w:val="24"/>
        </w:rPr>
        <w:t xml:space="preserve"> միջավայրային գործոնների «e» ծածկագրերի վերաբերյալ տեղեկությունները, և մասնակցության «d» ծածկագրերի գնահատականը տրվում է նաև միջավայրային արգելքների գնահատման հիման վրա։ Բացի այդ, միջավայրային գործոնների «е» ծածկագրերը չափորոշիչների հիման վրա գնահատվելու արդյունքում կիրառվում են նաև գնահատվողի անհատական կարիքներին համարժեք սոցիալական ծառայություններ որոշելու  </w:t>
      </w:r>
      <w:r>
        <w:rPr>
          <w:rFonts w:ascii="GHEA Grapalat" w:hAnsi="GHEA Grapalat"/>
          <w:color w:val="000000"/>
          <w:sz w:val="24"/>
          <w:szCs w:val="24"/>
          <w:shd w:val="clear" w:color="auto" w:fill="FFFFFF"/>
        </w:rPr>
        <w:t>համար, որոնք պետք է ուղղված լինեն հասարակական կյանքում նրա մասնակցության ապահովմանը։»</w:t>
      </w:r>
      <w:r>
        <w:rPr>
          <w:rFonts w:ascii="MS Gothic" w:eastAsia="MS Gothic" w:hAnsi="MS Gothic" w:cs="MS Gothic" w:hint="eastAsia"/>
          <w:color w:val="000000"/>
          <w:sz w:val="24"/>
          <w:szCs w:val="24"/>
          <w:shd w:val="clear" w:color="auto" w:fill="FFFFFF"/>
          <w:lang w:val="ru-RU"/>
        </w:rPr>
        <w:t>․</w:t>
      </w:r>
    </w:p>
    <w:p w14:paraId="4C4997AF" w14:textId="77777777" w:rsidR="00E13621" w:rsidRDefault="00E13621" w:rsidP="00E13621">
      <w:pPr>
        <w:tabs>
          <w:tab w:val="left" w:pos="90"/>
          <w:tab w:val="left" w:pos="993"/>
        </w:tabs>
        <w:spacing w:after="0" w:line="360" w:lineRule="auto"/>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ab/>
        <w:t>21) որոշում 1-ի հավելվածի 42-րդ կետը 1-ին նախադասությունից հետո լրացնել հետևյալ բովանդակությամբ նոր նախադասությունով՝ «Հայաստանի Հանրապետության կառավարության 2022 թվականի հուլիսի 28-ի N 1177-Ն որոշմամբ սահմանված անձի ֆունկցիոնալության գնահատման արձանագրությունը հանդիսանում է ֆունկցիոնալության գնահատման որոշման անբաժանելի մասը։»</w:t>
      </w:r>
      <w:r>
        <w:rPr>
          <w:rFonts w:ascii="MS Gothic" w:eastAsia="MS Gothic" w:hAnsi="MS Gothic" w:cs="MS Gothic" w:hint="eastAsia"/>
          <w:color w:val="000000"/>
          <w:sz w:val="24"/>
          <w:szCs w:val="24"/>
          <w:shd w:val="clear" w:color="auto" w:fill="FFFFFF"/>
          <w:lang w:val="ru-RU"/>
        </w:rPr>
        <w:t>․</w:t>
      </w:r>
    </w:p>
    <w:p w14:paraId="3E4CE6B2" w14:textId="77777777" w:rsidR="00E13621" w:rsidRDefault="00E13621" w:rsidP="00E13621">
      <w:pPr>
        <w:tabs>
          <w:tab w:val="left" w:pos="90"/>
          <w:tab w:val="left" w:pos="993"/>
        </w:tabs>
        <w:spacing w:after="0" w:line="360" w:lineRule="auto"/>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ab/>
        <w:t xml:space="preserve">22) որոշում 1-ի հավելվածի 48-րդ կետը կետը շարադրել հետևյալ խմբագրությամբ՝ </w:t>
      </w:r>
    </w:p>
    <w:p w14:paraId="273B1781" w14:textId="77777777" w:rsidR="00E13621" w:rsidRDefault="00E13621" w:rsidP="00E13621">
      <w:pPr>
        <w:tabs>
          <w:tab w:val="left" w:pos="90"/>
          <w:tab w:val="left" w:pos="993"/>
        </w:tabs>
        <w:spacing w:after="0" w:line="360" w:lineRule="auto"/>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«48. Անձի ֆունկցիոնալության գնահատման որոշման (վարչական ակտի) մասին e-disability էլեկտրոնային համակարգի կողմից ինքնաշխատ եղանակով ծանուցում է ուղարկվում Էլեկտրոնային կենսաթոշակ տեղեկատվական շտեմարանին։»</w:t>
      </w:r>
      <w:r>
        <w:rPr>
          <w:rFonts w:ascii="MS Gothic" w:eastAsia="MS Gothic" w:hAnsi="MS Gothic" w:cs="MS Gothic" w:hint="eastAsia"/>
          <w:color w:val="000000"/>
          <w:sz w:val="24"/>
          <w:szCs w:val="24"/>
          <w:shd w:val="clear" w:color="auto" w:fill="FFFFFF"/>
          <w:lang w:val="ru-RU"/>
        </w:rPr>
        <w:t>․</w:t>
      </w:r>
    </w:p>
    <w:p w14:paraId="2101655D" w14:textId="77777777" w:rsidR="00E13621" w:rsidRDefault="00E13621" w:rsidP="00E13621">
      <w:pPr>
        <w:tabs>
          <w:tab w:val="left" w:pos="90"/>
          <w:tab w:val="left" w:pos="993"/>
        </w:tabs>
        <w:spacing w:after="0" w:line="360" w:lineRule="auto"/>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ab/>
        <w:t>23) որոշում 1-ի հավելվածի 49-րդ կետից հետո լրացնել նոր՝ 49.1-ին և 49.2-րդ կետերով՝ հետևյալ բովանդակությամբ՝</w:t>
      </w:r>
    </w:p>
    <w:p w14:paraId="4D9A6EC9" w14:textId="77777777" w:rsidR="00E13621" w:rsidRDefault="00E13621" w:rsidP="00E13621">
      <w:pPr>
        <w:shd w:val="clear" w:color="auto" w:fill="FFFFFF"/>
        <w:tabs>
          <w:tab w:val="left" w:pos="90"/>
        </w:tabs>
        <w:spacing w:after="0" w:line="360" w:lineRule="auto"/>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 xml:space="preserve">«49.1. Հաշմանդամության պատճառական կապը սահմանվում է «Անձի ֆունկցիոնալության գնահատման մասին» օրենքի 9-րդ հոդվածի 2-րդ մասի </w:t>
      </w:r>
      <w:r>
        <w:rPr>
          <w:rFonts w:ascii="GHEA Grapalat" w:hAnsi="GHEA Grapalat"/>
          <w:color w:val="000000"/>
          <w:sz w:val="24"/>
          <w:szCs w:val="24"/>
          <w:shd w:val="clear" w:color="auto" w:fill="FFFFFF"/>
        </w:rPr>
        <w:br/>
        <w:t xml:space="preserve">6-11-րդ կետերով սահմանված որևէ պատճառական կապով, եթե </w:t>
      </w:r>
      <w:bookmarkStart w:id="9" w:name="_Hlk201583473"/>
      <w:r>
        <w:rPr>
          <w:rFonts w:ascii="GHEA Grapalat" w:hAnsi="GHEA Grapalat"/>
          <w:color w:val="000000"/>
          <w:sz w:val="24"/>
          <w:szCs w:val="24"/>
          <w:shd w:val="clear" w:color="auto" w:fill="FFFFFF"/>
        </w:rPr>
        <w:t>անձի ձեռք բերած հիվանդությունների կամ ստացած վնասվածքների անմիջական հետևանքները կամ բարդությունները առնվազն ֆունկցիոնալության միջին աստիճանի սահմանափակմամբ հաշմանդամության են հանգեցնում</w:t>
      </w:r>
      <w:bookmarkEnd w:id="9"/>
      <w:r>
        <w:rPr>
          <w:rFonts w:ascii="GHEA Grapalat" w:hAnsi="GHEA Grapalat"/>
          <w:color w:val="000000"/>
          <w:sz w:val="24"/>
          <w:szCs w:val="24"/>
          <w:shd w:val="clear" w:color="auto" w:fill="FFFFFF"/>
        </w:rPr>
        <w:t>։</w:t>
      </w:r>
    </w:p>
    <w:p w14:paraId="3898F23B" w14:textId="77777777" w:rsidR="00E13621" w:rsidRDefault="00E13621" w:rsidP="00E13621">
      <w:pPr>
        <w:tabs>
          <w:tab w:val="left" w:pos="90"/>
          <w:tab w:val="left" w:pos="993"/>
        </w:tabs>
        <w:spacing w:after="0" w:line="360" w:lineRule="auto"/>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 xml:space="preserve"> 49.2. Հաշմանդամության պատճառական կապը սահմանվում է «Անձի ֆունկցիոնալության գնահատման մասին» օրենքի 9-րդ հոդվածի 2-րդ մասի 1-ին կետով, </w:t>
      </w:r>
      <w:r>
        <w:rPr>
          <w:rFonts w:ascii="GHEA Grapalat" w:hAnsi="GHEA Grapalat" w:cs="Arial"/>
          <w:color w:val="333333"/>
          <w:sz w:val="24"/>
          <w:szCs w:val="24"/>
          <w:shd w:val="clear" w:color="auto" w:fill="FFFFFF"/>
        </w:rPr>
        <w:t xml:space="preserve">եթե </w:t>
      </w:r>
      <w:r>
        <w:rPr>
          <w:rFonts w:ascii="GHEA Grapalat" w:hAnsi="GHEA Grapalat"/>
          <w:color w:val="000000"/>
          <w:sz w:val="24"/>
          <w:szCs w:val="24"/>
          <w:shd w:val="clear" w:color="auto" w:fill="FFFFFF"/>
        </w:rPr>
        <w:t>անձի ֆունկցիոնալության առնվազն միջին աստիճանի հաշմանդամության են հանգեցնում մինչև 18 տարին լրանալը ձեռք բերած հիվանդությունները կամ վնասվածքները, դրանց անմիջական հետևանքները կամ բարդությունները։».</w:t>
      </w:r>
    </w:p>
    <w:p w14:paraId="5E9199C6" w14:textId="77777777" w:rsidR="00E13621" w:rsidRDefault="00E13621" w:rsidP="00E13621">
      <w:pPr>
        <w:tabs>
          <w:tab w:val="left" w:pos="90"/>
          <w:tab w:val="left" w:pos="993"/>
        </w:tabs>
        <w:spacing w:after="0" w:line="360" w:lineRule="auto"/>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ab/>
        <w:t xml:space="preserve">24) </w:t>
      </w:r>
      <w:r>
        <w:rPr>
          <w:rFonts w:ascii="GHEA Grapalat" w:hAnsi="GHEA Grapalat"/>
          <w:color w:val="000000"/>
          <w:sz w:val="24"/>
          <w:szCs w:val="24"/>
          <w:shd w:val="clear" w:color="auto" w:fill="FFFFFF"/>
        </w:rPr>
        <w:tab/>
        <w:t>որոշում 1-ի հավելվածի 50-րդ կետում «ընդհանուր հիվանդությամբ»  բառերից հետո լրացնել «(բացառությամբ՝ Ղարաբաղից  տեղահանված անձանց</w:t>
      </w:r>
      <w:r>
        <w:rPr>
          <w:rFonts w:ascii="GHEA Grapalat" w:hAnsi="GHEA Grapalat" w:cs="Sylfaen"/>
          <w:sz w:val="24"/>
          <w:szCs w:val="24"/>
          <w:lang w:val="es-ES"/>
        </w:rPr>
        <w:t xml:space="preserve"> և Ղարաբաղում վնասվածք ու վիրավորում ստացած ՀՀ քաղաքացիներից</w:t>
      </w:r>
      <w:r>
        <w:rPr>
          <w:rFonts w:ascii="GHEA Grapalat" w:hAnsi="GHEA Grapalat"/>
          <w:sz w:val="24"/>
          <w:szCs w:val="24"/>
          <w:shd w:val="clear" w:color="auto" w:fill="FFFFFF"/>
        </w:rPr>
        <w:t>)</w:t>
      </w:r>
      <w:r>
        <w:rPr>
          <w:rFonts w:ascii="GHEA Grapalat" w:hAnsi="GHEA Grapalat"/>
          <w:color w:val="000000"/>
          <w:sz w:val="24"/>
          <w:szCs w:val="24"/>
          <w:shd w:val="clear" w:color="auto" w:fill="FFFFFF"/>
        </w:rPr>
        <w:t>» բառերով ու 1-ին նախադասությունից հետո լրացնել հետևյալ բովանդակությամբ նոր նախադասություն՝  «Եթե վերջիններիս զինծառայության հետ կապված պատճառական կապը հավաստող փաստաթղթերը բացակայում են, ապա պատճառական կապի սահմանման համար հիմք են հանդիսանում պետական կենսաթոշակային համակարգի տվյալների շտեմարանում կամ հաշմանդամություն ունեցող անձանց տվյալների բազայում կամ զինծառայողների կյանքին կամ առողջությանը պատճառված վնասների հատուցման հիմնադրամի հատուցման համակարգում պատճառական կապերի վերաբերյալ առկա տեղեկատվությունը։»</w:t>
      </w:r>
      <w:r>
        <w:rPr>
          <w:rFonts w:ascii="MS Gothic" w:eastAsia="MS Gothic" w:hAnsi="MS Gothic" w:cs="MS Gothic" w:hint="eastAsia"/>
          <w:color w:val="000000"/>
          <w:sz w:val="24"/>
          <w:szCs w:val="24"/>
          <w:shd w:val="clear" w:color="auto" w:fill="FFFFFF"/>
          <w:lang w:val="ru-RU"/>
        </w:rPr>
        <w:t>․</w:t>
      </w:r>
    </w:p>
    <w:p w14:paraId="12C520B1" w14:textId="77777777" w:rsidR="00E13621" w:rsidRDefault="00E13621" w:rsidP="00E13621">
      <w:pPr>
        <w:tabs>
          <w:tab w:val="left" w:pos="90"/>
          <w:tab w:val="left" w:pos="993"/>
        </w:tabs>
        <w:spacing w:after="0" w:line="360" w:lineRule="auto"/>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ab/>
        <w:t>25)  որոշում 1-ի հավելվածի 73-րդ կետի 1-ին ենթակետում «խիստ արտահայտված շարժողական խանգարումներ՝ տետրապլեգիա, տրիպլեգիա, պարապլեգիա, հեմիպլեգիա, մոնոպլեգիա, գեներալիզացված խիստ արտահայտված հիպերկինզներ, դիստոնիաներ, խոսակցական խիստ արտահայտված խանգարումներ (տոտալ սենսոմոտոր), թուլամտություն (G04, G11, G81-G83)» բառերը փոխարինել «հենաշարժական ֆունկցիաների խիստ արտահայտված խանգարումներ՝ տետրապլեգիա կամ տրիպլեգիակամ պարապլեգիա կամ հեմիպլեգիակամ մոնոպլեգիա կամ գեներալիզացված խիստ արտահայտված հիպերկինզներ, խոսակցական խիստ արտահայտված խանգարումներ (տոտալ սենսոմոտոր) (G04, G11, G81-G83)» բառերով</w:t>
      </w:r>
      <w:r>
        <w:rPr>
          <w:rFonts w:ascii="MS Gothic" w:eastAsia="MS Gothic" w:hAnsi="MS Gothic" w:cs="MS Gothic" w:hint="eastAsia"/>
          <w:color w:val="000000"/>
          <w:sz w:val="24"/>
          <w:szCs w:val="24"/>
          <w:shd w:val="clear" w:color="auto" w:fill="FFFFFF"/>
          <w:lang w:val="ru-RU"/>
        </w:rPr>
        <w:t>․</w:t>
      </w:r>
    </w:p>
    <w:p w14:paraId="2F83DF06" w14:textId="77777777" w:rsidR="00E13621" w:rsidRDefault="00E13621" w:rsidP="00E13621">
      <w:pPr>
        <w:tabs>
          <w:tab w:val="left" w:pos="90"/>
          <w:tab w:val="left" w:pos="993"/>
        </w:tabs>
        <w:spacing w:after="0" w:line="360" w:lineRule="auto"/>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ab/>
        <w:t>26) որոշում 1-ի հավելվածի 76-րդ կետի 7-րդ ենթակետում «։» կետադրական նշանը փոխարինել «.» նշանով</w:t>
      </w:r>
      <w:r>
        <w:rPr>
          <w:rFonts w:ascii="MS Gothic" w:eastAsia="MS Gothic" w:hAnsi="MS Gothic" w:cs="MS Gothic" w:hint="eastAsia"/>
          <w:color w:val="000000"/>
          <w:sz w:val="24"/>
          <w:szCs w:val="24"/>
          <w:shd w:val="clear" w:color="auto" w:fill="FFFFFF"/>
          <w:lang w:val="ru-RU"/>
        </w:rPr>
        <w:t>․</w:t>
      </w:r>
    </w:p>
    <w:p w14:paraId="710FAFE9" w14:textId="77777777" w:rsidR="00E13621" w:rsidRDefault="00E13621" w:rsidP="00E13621">
      <w:pPr>
        <w:tabs>
          <w:tab w:val="left" w:pos="90"/>
          <w:tab w:val="left" w:pos="993"/>
        </w:tabs>
        <w:spacing w:after="0" w:line="360" w:lineRule="auto"/>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ab/>
        <w:t xml:space="preserve">27)  որոշում 1-ի հավելվածի 76-րդ կետը լրացնել հետևյալ բովանդակությամբ՝ նոր 8-րդ ենթակետով՝ </w:t>
      </w:r>
    </w:p>
    <w:p w14:paraId="01DC6978" w14:textId="77777777" w:rsidR="00E13621" w:rsidRDefault="00E13621" w:rsidP="00E13621">
      <w:pPr>
        <w:tabs>
          <w:tab w:val="left" w:pos="90"/>
          <w:tab w:val="left" w:pos="993"/>
        </w:tabs>
        <w:spacing w:after="0" w:line="360" w:lineRule="auto"/>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«8) ողնաշարի սկոլիոզ։»</w:t>
      </w:r>
      <w:r>
        <w:rPr>
          <w:rFonts w:ascii="MS Gothic" w:eastAsia="MS Gothic" w:hAnsi="MS Gothic" w:cs="MS Gothic" w:hint="eastAsia"/>
          <w:color w:val="000000"/>
          <w:sz w:val="24"/>
          <w:szCs w:val="24"/>
          <w:shd w:val="clear" w:color="auto" w:fill="FFFFFF"/>
          <w:lang w:val="ru-RU"/>
        </w:rPr>
        <w:t>․</w:t>
      </w:r>
    </w:p>
    <w:p w14:paraId="7FC6E2C0" w14:textId="77777777" w:rsidR="00E13621" w:rsidRDefault="00E13621" w:rsidP="00E13621">
      <w:pPr>
        <w:tabs>
          <w:tab w:val="left" w:pos="90"/>
          <w:tab w:val="left" w:pos="993"/>
        </w:tabs>
        <w:spacing w:after="0" w:line="360" w:lineRule="auto"/>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ab/>
        <w:t>28) որոշում 1-ի հավելվածի 77-</w:t>
      </w:r>
      <w:r>
        <w:rPr>
          <w:rFonts w:ascii="GHEA Grapalat" w:eastAsia="MS Mincho" w:hAnsi="GHEA Grapalat" w:cs="MS Mincho"/>
          <w:color w:val="000000"/>
          <w:sz w:val="24"/>
          <w:szCs w:val="24"/>
        </w:rPr>
        <w:t>րդ կետի 2-րդ ենթակետի ա</w:t>
      </w:r>
      <w:r>
        <w:rPr>
          <w:rFonts w:ascii="MS Gothic" w:eastAsia="MS Gothic" w:hAnsi="MS Gothic" w:cs="MS Gothic" w:hint="eastAsia"/>
          <w:color w:val="000000"/>
          <w:sz w:val="24"/>
          <w:szCs w:val="24"/>
          <w:lang w:val="ru-RU"/>
        </w:rPr>
        <w:t>․</w:t>
      </w:r>
      <w:r>
        <w:rPr>
          <w:rFonts w:ascii="GHEA Grapalat" w:eastAsia="MS Mincho" w:hAnsi="GHEA Grapalat" w:cs="MS Mincho"/>
          <w:color w:val="000000"/>
          <w:sz w:val="24"/>
          <w:szCs w:val="24"/>
          <w:lang w:val="ru-RU"/>
        </w:rPr>
        <w:t xml:space="preserve"> </w:t>
      </w:r>
      <w:r>
        <w:rPr>
          <w:rFonts w:ascii="GHEA Grapalat" w:eastAsia="MS Mincho" w:hAnsi="GHEA Grapalat" w:cs="MS Mincho"/>
          <w:color w:val="000000"/>
          <w:sz w:val="24"/>
          <w:szCs w:val="24"/>
        </w:rPr>
        <w:t>և 4-րդ ենթակետի դ</w:t>
      </w:r>
      <w:r>
        <w:rPr>
          <w:rFonts w:ascii="MS Gothic" w:eastAsia="MS Gothic" w:hAnsi="MS Gothic" w:cs="MS Gothic" w:hint="eastAsia"/>
          <w:color w:val="000000"/>
          <w:sz w:val="24"/>
          <w:szCs w:val="24"/>
        </w:rPr>
        <w:t>․</w:t>
      </w:r>
      <w:r>
        <w:rPr>
          <w:rFonts w:ascii="GHEA Grapalat" w:eastAsia="MS Mincho" w:hAnsi="GHEA Grapalat" w:cs="MS Mincho"/>
          <w:color w:val="000000"/>
          <w:sz w:val="24"/>
          <w:szCs w:val="24"/>
        </w:rPr>
        <w:t xml:space="preserve">պարբերություններում «հեմոդիալիզի» բառերից հետո լրացնել «(N18)» թիվը և ուժը </w:t>
      </w:r>
      <w:r>
        <w:rPr>
          <w:rFonts w:ascii="GHEA Grapalat" w:hAnsi="GHEA Grapalat"/>
          <w:color w:val="000000"/>
          <w:sz w:val="24"/>
          <w:szCs w:val="24"/>
          <w:shd w:val="clear" w:color="auto" w:fill="FFFFFF"/>
        </w:rPr>
        <w:t>կորցրած ճանաչել՝ 4-րդ ենթակետի ե</w:t>
      </w:r>
      <w:r>
        <w:rPr>
          <w:rFonts w:ascii="MS Gothic" w:eastAsia="MS Gothic" w:hAnsi="MS Gothic" w:cs="MS Gothic" w:hint="eastAsia"/>
          <w:color w:val="000000"/>
          <w:sz w:val="24"/>
          <w:szCs w:val="24"/>
          <w:shd w:val="clear" w:color="auto" w:fill="FFFFFF"/>
          <w:lang w:val="ru-RU"/>
        </w:rPr>
        <w:t>․</w:t>
      </w:r>
      <w:r>
        <w:rPr>
          <w:rFonts w:ascii="GHEA Grapalat" w:hAnsi="GHEA Grapalat"/>
          <w:color w:val="000000"/>
          <w:sz w:val="24"/>
          <w:szCs w:val="24"/>
          <w:shd w:val="clear" w:color="auto" w:fill="FFFFFF"/>
        </w:rPr>
        <w:t>պարբերությունը</w:t>
      </w:r>
      <w:r>
        <w:rPr>
          <w:rFonts w:ascii="MS Gothic" w:eastAsia="MS Gothic" w:hAnsi="MS Gothic" w:cs="MS Gothic" w:hint="eastAsia"/>
          <w:color w:val="000000"/>
          <w:sz w:val="24"/>
          <w:szCs w:val="24"/>
          <w:shd w:val="clear" w:color="auto" w:fill="FFFFFF"/>
          <w:lang w:val="ru-RU"/>
        </w:rPr>
        <w:t>․</w:t>
      </w:r>
      <w:r>
        <w:rPr>
          <w:rFonts w:ascii="GHEA Grapalat" w:hAnsi="GHEA Grapalat"/>
          <w:color w:val="000000"/>
          <w:sz w:val="24"/>
          <w:szCs w:val="24"/>
          <w:shd w:val="clear" w:color="auto" w:fill="FFFFFF"/>
          <w:lang w:val="ru-RU"/>
        </w:rPr>
        <w:t xml:space="preserve"> </w:t>
      </w:r>
    </w:p>
    <w:p w14:paraId="0BF5EEDE" w14:textId="77777777" w:rsidR="00E13621" w:rsidRDefault="00E13621" w:rsidP="00E13621">
      <w:pPr>
        <w:tabs>
          <w:tab w:val="left" w:pos="90"/>
          <w:tab w:val="left" w:pos="993"/>
        </w:tabs>
        <w:spacing w:after="0" w:line="360" w:lineRule="auto"/>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ab/>
        <w:t>29) որոշում 1-ի հավելվածի 78-րդ կետի 3-րդ ենթակետում «։» կետադրական նշանը փոխարինել «</w:t>
      </w:r>
      <w:r>
        <w:rPr>
          <w:rFonts w:ascii="Cambria Math" w:hAnsi="Cambria Math" w:cs="Cambria Math"/>
          <w:color w:val="000000"/>
          <w:sz w:val="24"/>
          <w:szCs w:val="24"/>
          <w:shd w:val="clear" w:color="auto" w:fill="FFFFFF"/>
        </w:rPr>
        <w:t>․</w:t>
      </w:r>
      <w:r>
        <w:rPr>
          <w:rFonts w:ascii="GHEA Grapalat" w:hAnsi="GHEA Grapalat"/>
          <w:color w:val="000000"/>
          <w:sz w:val="24"/>
          <w:szCs w:val="24"/>
          <w:shd w:val="clear" w:color="auto" w:fill="FFFFFF"/>
        </w:rPr>
        <w:t>» կետադրական նշանով և</w:t>
      </w:r>
      <w:r>
        <w:rPr>
          <w:sz w:val="24"/>
          <w:szCs w:val="24"/>
        </w:rPr>
        <w:t xml:space="preserve"> </w:t>
      </w:r>
      <w:r>
        <w:rPr>
          <w:rFonts w:ascii="GHEA Grapalat" w:hAnsi="GHEA Grapalat"/>
          <w:color w:val="000000"/>
          <w:sz w:val="24"/>
          <w:szCs w:val="24"/>
          <w:shd w:val="clear" w:color="auto" w:fill="FFFFFF"/>
        </w:rPr>
        <w:t xml:space="preserve">լրացնել հետևյալ բովանդակությամբ՝ նոր 4-րդ և 5-րդ ենթակետերով՝ </w:t>
      </w:r>
    </w:p>
    <w:p w14:paraId="74D982A7" w14:textId="77777777" w:rsidR="00E13621" w:rsidRDefault="00E13621" w:rsidP="00E13621">
      <w:pPr>
        <w:tabs>
          <w:tab w:val="left" w:pos="90"/>
          <w:tab w:val="left" w:pos="993"/>
        </w:tabs>
        <w:spacing w:after="0" w:line="360" w:lineRule="auto"/>
        <w:jc w:val="both"/>
        <w:rPr>
          <w:rFonts w:ascii="GHEA Grapalat" w:hAnsi="GHEA Grapalat"/>
          <w:color w:val="000000"/>
          <w:sz w:val="24"/>
          <w:szCs w:val="24"/>
          <w:shd w:val="clear" w:color="auto" w:fill="FFFFFF"/>
        </w:rPr>
      </w:pPr>
      <w:r>
        <w:rPr>
          <w:rFonts w:ascii="GHEA Grapalat" w:eastAsiaTheme="minorHAnsi" w:hAnsi="GHEA Grapalat" w:cstheme="minorBidi"/>
          <w:color w:val="000000"/>
          <w:kern w:val="2"/>
          <w:sz w:val="24"/>
          <w:szCs w:val="24"/>
          <w:shd w:val="clear" w:color="auto" w:fill="FFFFFF"/>
          <w:lang w:eastAsia="en-US"/>
          <w14:ligatures w14:val="standardContextual"/>
        </w:rPr>
        <w:t xml:space="preserve">«4) </w:t>
      </w:r>
      <w:r>
        <w:rPr>
          <w:rFonts w:ascii="GHEA Grapalat" w:hAnsi="GHEA Grapalat"/>
          <w:color w:val="000000"/>
          <w:sz w:val="24"/>
          <w:szCs w:val="24"/>
          <w:shd w:val="clear" w:color="auto" w:fill="FFFFFF"/>
        </w:rPr>
        <w:t xml:space="preserve">ցանցաթաղանթի աբիոտրոֆիաներ՝ տեսողական ֆունկցիայի չափավոր, արտահայտված խանգարումներով. </w:t>
      </w:r>
    </w:p>
    <w:p w14:paraId="57762FDC" w14:textId="77777777" w:rsidR="00E13621" w:rsidRDefault="00E13621" w:rsidP="00E13621">
      <w:pPr>
        <w:tabs>
          <w:tab w:val="left" w:pos="90"/>
          <w:tab w:val="left" w:pos="993"/>
        </w:tabs>
        <w:spacing w:after="0" w:line="360" w:lineRule="auto"/>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5) տեսաներվի սուբատրոֆիա՝ տեսողական ֆունկցիայի չափավոր, արտահայտված խանգարումներով:»։</w:t>
      </w:r>
    </w:p>
    <w:p w14:paraId="6C16FA0A" w14:textId="77777777" w:rsidR="00E13621" w:rsidRDefault="00E13621" w:rsidP="00E13621">
      <w:pPr>
        <w:tabs>
          <w:tab w:val="left" w:pos="90"/>
          <w:tab w:val="left" w:pos="993"/>
        </w:tabs>
        <w:spacing w:after="0" w:line="360" w:lineRule="auto"/>
        <w:jc w:val="both"/>
        <w:rPr>
          <w:rFonts w:ascii="GHEA Grapalat" w:hAnsi="GHEA Grapalat"/>
          <w:bCs/>
          <w:color w:val="000000"/>
          <w:sz w:val="24"/>
          <w:szCs w:val="24"/>
          <w:shd w:val="clear" w:color="auto" w:fill="FFFFFF"/>
        </w:rPr>
      </w:pPr>
      <w:r>
        <w:rPr>
          <w:rFonts w:ascii="GHEA Grapalat" w:eastAsia="Arial Unicode" w:hAnsi="GHEA Grapalat" w:cs="Arial Unicode"/>
          <w:color w:val="000000"/>
          <w:sz w:val="24"/>
          <w:szCs w:val="24"/>
        </w:rPr>
        <w:tab/>
        <w:t>3</w:t>
      </w:r>
      <w:r>
        <w:rPr>
          <w:rFonts w:ascii="MS Gothic" w:eastAsia="MS Gothic" w:hAnsi="MS Gothic" w:cs="MS Gothic" w:hint="eastAsia"/>
          <w:color w:val="000000"/>
          <w:sz w:val="24"/>
          <w:szCs w:val="24"/>
          <w:lang w:val="ru-RU"/>
        </w:rPr>
        <w:t>․</w:t>
      </w:r>
      <w:r>
        <w:rPr>
          <w:rFonts w:ascii="GHEA Grapalat" w:eastAsia="Arial Unicode" w:hAnsi="GHEA Grapalat" w:cs="Arial Unicode"/>
          <w:color w:val="000000"/>
          <w:sz w:val="24"/>
          <w:szCs w:val="24"/>
          <w:lang w:val="ru-RU"/>
        </w:rPr>
        <w:t xml:space="preserve"> </w:t>
      </w:r>
      <w:r>
        <w:rPr>
          <w:rFonts w:ascii="GHEA Grapalat" w:eastAsia="Arial Unicode" w:hAnsi="GHEA Grapalat" w:cs="Arial Unicode"/>
          <w:color w:val="000000"/>
          <w:sz w:val="24"/>
          <w:szCs w:val="24"/>
        </w:rPr>
        <w:t xml:space="preserve">Հայաստանի Հանրապետության կառավարության 2022 թվականի հուլիսի 28-ի «Ծառայությունների անհատական ծրագրերը կազմելու և իրականացնելու կարգը հաստատելու մասին» N 1161-Ն որոշման </w:t>
      </w:r>
      <w:r>
        <w:rPr>
          <w:rFonts w:ascii="GHEA Grapalat" w:hAnsi="GHEA Grapalat"/>
          <w:bCs/>
          <w:color w:val="000000"/>
          <w:sz w:val="24"/>
          <w:szCs w:val="24"/>
          <w:shd w:val="clear" w:color="auto" w:fill="FFFFFF"/>
        </w:rPr>
        <w:t xml:space="preserve">(այսուհետ՝ որոշում 2) հավելվածի 2-րդ կետում  «արդյունքում» բառը փոխարինել «արդյունքներով» բառով։  </w:t>
      </w:r>
    </w:p>
    <w:p w14:paraId="488339C8" w14:textId="77777777" w:rsidR="00E13621" w:rsidRDefault="00E13621" w:rsidP="00E13621">
      <w:pPr>
        <w:tabs>
          <w:tab w:val="left" w:pos="90"/>
          <w:tab w:val="left" w:pos="993"/>
        </w:tabs>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4. Սահմանել, որ՝ </w:t>
      </w:r>
    </w:p>
    <w:p w14:paraId="6D4C9A13" w14:textId="77777777" w:rsidR="00E13621" w:rsidRDefault="00E13621" w:rsidP="00E13621">
      <w:pPr>
        <w:tabs>
          <w:tab w:val="left" w:pos="90"/>
          <w:tab w:val="left" w:pos="993"/>
        </w:tabs>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 սույն որոշման 2-րդ կետի 24-րդ ենթակետը  տարածվում է մինչև սույն որոշումն ուժի մեջ մտնելը ծագած հարաբերությունների (առանց պետական կենսաթոշակային համակարգի տվյալների շտեմարանում կամ հաշմանդամություն ունեցող անձանց տվյալների բազայում կամ զինծառայողների կյանքին կամ առողջությանը պատճառված վնասների հատուցման հիմնադրամի հատուցման համակարգում պատճառական կապերի վերաբերյալ առկա տեղեկատվությունը հաշվի առնելու Ղարաբաղից </w:t>
      </w:r>
      <w:r>
        <w:rPr>
          <w:rFonts w:ascii="GHEA Grapalat" w:eastAsia="GHEA Grapalat" w:hAnsi="GHEA Grapalat" w:cs="GHEA Grapalat"/>
          <w:color w:val="FF0000"/>
          <w:sz w:val="24"/>
          <w:szCs w:val="24"/>
        </w:rPr>
        <w:t xml:space="preserve"> </w:t>
      </w:r>
      <w:r>
        <w:rPr>
          <w:rFonts w:ascii="GHEA Grapalat" w:eastAsia="GHEA Grapalat" w:hAnsi="GHEA Grapalat" w:cs="GHEA Grapalat"/>
          <w:sz w:val="24"/>
          <w:szCs w:val="24"/>
        </w:rPr>
        <w:t xml:space="preserve">տեղահանված անձանց </w:t>
      </w:r>
      <w:r>
        <w:rPr>
          <w:rFonts w:ascii="GHEA Grapalat" w:hAnsi="GHEA Grapalat" w:cs="Sylfaen"/>
          <w:sz w:val="24"/>
          <w:szCs w:val="24"/>
          <w:lang w:val="es-ES"/>
        </w:rPr>
        <w:t>և Ղարաբաղում վնասվածք ու վիրավորում ստացած ՀՀ քաղաքացիների</w:t>
      </w:r>
      <w:r>
        <w:rPr>
          <w:rFonts w:ascii="GHEA Grapalat" w:eastAsia="GHEA Grapalat" w:hAnsi="GHEA Grapalat" w:cs="GHEA Grapalat"/>
          <w:sz w:val="24"/>
          <w:szCs w:val="24"/>
          <w:lang w:val="es-ES"/>
        </w:rPr>
        <w:t xml:space="preserve"> </w:t>
      </w:r>
      <w:r>
        <w:rPr>
          <w:rFonts w:ascii="GHEA Grapalat" w:eastAsia="GHEA Grapalat" w:hAnsi="GHEA Grapalat" w:cs="GHEA Grapalat"/>
          <w:sz w:val="24"/>
          <w:szCs w:val="24"/>
        </w:rPr>
        <w:t>հաշմանդամության պատճառական կապը ընդհանուր հիվանդությամբ սահմանելու դեպքերի) վրա։ Այս դեպքում, եթե սույն որոշումն ուժի մեջ մտնելուց հետո պատճառական կապի փոփոխության հիմքով վերագնահատման արդյունքում կայացրած ֆունկցիոնալության գնահատման որոշմամբ (վարչական ակտով) փոխվում է դրան նախորդած՝ անձի ֆունկցիոնալության գնահատման արդյունքում սահմանված՝ ընդհանուր հիվանդությամբ պատճառական կապը, ապա համարվում է, որ վերագնահատմամբ պատճառական կապը սահմանվել է նախորդ՝ անձի ֆունկցիոնալության գնահատմամբ (որպես վերագնահատման արդյունքում կայացրած ֆունկցիոնալության գնահատման որոշման (վարչական ակտի) «Գնահատման սկիզբ» տողում նշված ամսաթիվ ընդունել դրան նախորդած՝ անձի ֆունկցիոնալության գնահատման արդյունքում կայացրած որոշման (վարչական ակտի) «Գնահատման սկիզբ» տողում նշված ամսաթիվը):</w:t>
      </w:r>
    </w:p>
    <w:p w14:paraId="2EBFC4BD" w14:textId="77777777" w:rsidR="00E13621" w:rsidRDefault="00E13621" w:rsidP="00E13621">
      <w:pPr>
        <w:shd w:val="clear" w:color="auto" w:fill="FFFFFF"/>
        <w:tabs>
          <w:tab w:val="left" w:pos="90"/>
        </w:tabs>
        <w:spacing w:after="0" w:line="360" w:lineRule="auto"/>
        <w:jc w:val="both"/>
        <w:rPr>
          <w:rFonts w:ascii="GHEA Grapalat" w:eastAsia="Times New Roman" w:hAnsi="GHEA Grapalat" w:cs="Arial"/>
          <w:color w:val="333333"/>
          <w:sz w:val="24"/>
          <w:szCs w:val="24"/>
          <w:lang w:eastAsia="en-US"/>
        </w:rPr>
      </w:pPr>
      <w:r>
        <w:rPr>
          <w:rFonts w:ascii="GHEA Grapalat" w:hAnsi="GHEA Grapalat" w:cs="Cambria Math"/>
          <w:color w:val="000000"/>
          <w:sz w:val="24"/>
          <w:szCs w:val="24"/>
          <w:shd w:val="clear" w:color="auto" w:fill="FFFFFF"/>
        </w:rPr>
        <w:t xml:space="preserve">2) </w:t>
      </w:r>
      <w:r>
        <w:rPr>
          <w:rFonts w:ascii="GHEA Grapalat" w:eastAsia="Times New Roman" w:hAnsi="GHEA Grapalat" w:cs="Arial"/>
          <w:color w:val="333333"/>
          <w:sz w:val="24"/>
          <w:szCs w:val="24"/>
          <w:lang w:eastAsia="en-US"/>
        </w:rPr>
        <w:t>սույն որոշման 2-րդ կետի 18-րդ ենթակետով սահմանված դրույթը մինչև 2026 թվականի հունիսի 1-ը գործում է մինչև 18 տարեկան երեխաների համար, իսկ դրանից հետո՝ նաև 18 տարեկան և դրանից բարձր տարիքի անձանց համար։</w:t>
      </w:r>
    </w:p>
    <w:p w14:paraId="0DEB47A0" w14:textId="77777777" w:rsidR="00E13621" w:rsidRDefault="00E13621" w:rsidP="00E13621">
      <w:pPr>
        <w:shd w:val="clear" w:color="auto" w:fill="FFFFFF"/>
        <w:tabs>
          <w:tab w:val="left" w:pos="90"/>
        </w:tabs>
        <w:spacing w:after="0" w:line="360" w:lineRule="auto"/>
        <w:jc w:val="both"/>
        <w:rPr>
          <w:rFonts w:ascii="GHEA Grapalat" w:eastAsia="Times New Roman" w:hAnsi="GHEA Grapalat" w:cs="Arial"/>
          <w:color w:val="333333"/>
          <w:sz w:val="24"/>
          <w:szCs w:val="24"/>
          <w:lang w:eastAsia="en-US"/>
        </w:rPr>
      </w:pPr>
      <w:r>
        <w:rPr>
          <w:rFonts w:ascii="GHEA Grapalat" w:eastAsia="GHEA Grapalat" w:hAnsi="GHEA Grapalat" w:cs="GHEA Grapalat"/>
          <w:sz w:val="24"/>
          <w:szCs w:val="24"/>
        </w:rPr>
        <w:t>5. Սույն</w:t>
      </w:r>
      <w:r>
        <w:rPr>
          <w:rFonts w:ascii="GHEA Grapalat" w:hAnsi="GHEA Grapalat"/>
          <w:color w:val="000000"/>
          <w:sz w:val="24"/>
          <w:szCs w:val="24"/>
          <w:shd w:val="clear" w:color="auto" w:fill="FFFFFF"/>
        </w:rPr>
        <w:t xml:space="preserve"> որոշումն ուժի մեջ է մտնում պաշտոնական հրապարակմանը հաջորդող օրվանից։</w:t>
      </w:r>
      <w:r>
        <w:rPr>
          <w:rFonts w:ascii="GHEA Grapalat" w:eastAsia="Times New Roman" w:hAnsi="GHEA Grapalat" w:cs="Arial"/>
          <w:color w:val="333333"/>
          <w:sz w:val="24"/>
          <w:szCs w:val="24"/>
          <w:lang w:eastAsia="en-US"/>
        </w:rPr>
        <w:t xml:space="preserve"> </w:t>
      </w:r>
    </w:p>
    <w:p w14:paraId="16278B1C" w14:textId="77777777" w:rsidR="00E13621" w:rsidRDefault="00E13621" w:rsidP="00E13621">
      <w:pPr>
        <w:shd w:val="clear" w:color="auto" w:fill="FFFFFF"/>
        <w:spacing w:after="0" w:line="360" w:lineRule="auto"/>
        <w:jc w:val="both"/>
        <w:rPr>
          <w:rFonts w:ascii="GHEA Grapalat" w:hAnsi="GHEA Grapalat"/>
          <w:color w:val="000000"/>
          <w:sz w:val="24"/>
          <w:szCs w:val="24"/>
          <w:shd w:val="clear" w:color="auto" w:fill="FFFFFF"/>
        </w:rPr>
      </w:pPr>
    </w:p>
    <w:p w14:paraId="06107DAD" w14:textId="77777777" w:rsidR="00E13621" w:rsidRDefault="00E13621" w:rsidP="00E13621">
      <w:pPr>
        <w:shd w:val="clear" w:color="auto" w:fill="FFFFFF"/>
        <w:spacing w:after="0" w:line="360" w:lineRule="auto"/>
        <w:jc w:val="both"/>
        <w:rPr>
          <w:rFonts w:ascii="GHEA Grapalat" w:eastAsia="Arial Unicode" w:hAnsi="GHEA Grapalat" w:cs="Arial Unicode"/>
          <w:color w:val="000000"/>
          <w:sz w:val="24"/>
          <w:szCs w:val="24"/>
        </w:rPr>
      </w:pPr>
      <w:r>
        <w:rPr>
          <w:rFonts w:ascii="GHEA Grapalat" w:eastAsia="Arial Unicode" w:hAnsi="GHEA Grapalat" w:cs="Arial Unicode"/>
          <w:color w:val="000000"/>
          <w:sz w:val="24"/>
          <w:szCs w:val="24"/>
        </w:rPr>
        <w:t xml:space="preserve">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500"/>
        <w:gridCol w:w="4680"/>
      </w:tblGrid>
      <w:tr w:rsidR="00E13621" w14:paraId="4D838691" w14:textId="77777777" w:rsidTr="00E13621">
        <w:trPr>
          <w:tblCellSpacing w:w="0" w:type="dxa"/>
        </w:trPr>
        <w:tc>
          <w:tcPr>
            <w:tcW w:w="4500" w:type="dxa"/>
            <w:shd w:val="clear" w:color="auto" w:fill="FFFFFF"/>
            <w:vAlign w:val="center"/>
            <w:hideMark/>
          </w:tcPr>
          <w:p w14:paraId="41B21AC8" w14:textId="77777777" w:rsidR="00E13621" w:rsidRDefault="00E13621">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Հայաստանի Հանրապետության</w:t>
            </w:r>
            <w:r>
              <w:rPr>
                <w:rFonts w:ascii="GHEA Grapalat" w:eastAsia="Times New Roman" w:hAnsi="GHEA Grapalat" w:cs="Times New Roman"/>
                <w:b/>
                <w:bCs/>
                <w:color w:val="000000"/>
                <w:sz w:val="24"/>
                <w:szCs w:val="24"/>
              </w:rPr>
              <w:br/>
            </w:r>
            <w:bookmarkStart w:id="10" w:name="_30j0zll"/>
            <w:bookmarkEnd w:id="10"/>
            <w:r>
              <w:rPr>
                <w:rFonts w:ascii="GHEA Grapalat" w:eastAsia="Times New Roman" w:hAnsi="GHEA Grapalat" w:cs="Times New Roman"/>
                <w:b/>
                <w:bCs/>
                <w:color w:val="000000"/>
                <w:sz w:val="24"/>
                <w:szCs w:val="24"/>
              </w:rPr>
              <w:t>վարչապետ</w:t>
            </w:r>
          </w:p>
        </w:tc>
        <w:tc>
          <w:tcPr>
            <w:tcW w:w="0" w:type="auto"/>
            <w:shd w:val="clear" w:color="auto" w:fill="FFFFFF"/>
            <w:vAlign w:val="bottom"/>
            <w:hideMark/>
          </w:tcPr>
          <w:p w14:paraId="68BA48B0" w14:textId="77777777" w:rsidR="00E13621" w:rsidRDefault="00E13621">
            <w:pPr>
              <w:spacing w:after="0" w:line="360" w:lineRule="auto"/>
              <w:jc w:val="right"/>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Ն.</w:t>
            </w:r>
            <w:r>
              <w:rPr>
                <w:rFonts w:eastAsia="Times New Roman"/>
                <w:b/>
                <w:bCs/>
                <w:color w:val="000000"/>
                <w:sz w:val="24"/>
                <w:szCs w:val="24"/>
              </w:rPr>
              <w:t> </w:t>
            </w:r>
            <w:r>
              <w:rPr>
                <w:rFonts w:ascii="GHEA Grapalat" w:eastAsia="Times New Roman" w:hAnsi="GHEA Grapalat" w:cs="GHEA Grapalat"/>
                <w:b/>
                <w:bCs/>
                <w:color w:val="000000"/>
                <w:sz w:val="24"/>
                <w:szCs w:val="24"/>
              </w:rPr>
              <w:t>Փաշինյան</w:t>
            </w:r>
          </w:p>
        </w:tc>
      </w:tr>
      <w:tr w:rsidR="00E13621" w14:paraId="3FCB4557" w14:textId="77777777" w:rsidTr="00E13621">
        <w:trPr>
          <w:tblCellSpacing w:w="0" w:type="dxa"/>
        </w:trPr>
        <w:tc>
          <w:tcPr>
            <w:tcW w:w="0" w:type="auto"/>
            <w:shd w:val="clear" w:color="auto" w:fill="FFFFFF"/>
            <w:vAlign w:val="center"/>
          </w:tcPr>
          <w:p w14:paraId="49CE4177" w14:textId="77777777" w:rsidR="00E13621" w:rsidRDefault="00E13621">
            <w:pPr>
              <w:spacing w:after="0" w:line="360" w:lineRule="auto"/>
              <w:rPr>
                <w:rFonts w:ascii="GHEA Grapalat" w:eastAsia="Times New Roman" w:hAnsi="GHEA Grapalat" w:cs="Times New Roman"/>
                <w:color w:val="000000"/>
                <w:sz w:val="24"/>
                <w:szCs w:val="24"/>
              </w:rPr>
            </w:pPr>
          </w:p>
          <w:p w14:paraId="08B25570" w14:textId="77777777" w:rsidR="00E13621" w:rsidRDefault="00E13621">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Երևան</w:t>
            </w:r>
          </w:p>
        </w:tc>
        <w:tc>
          <w:tcPr>
            <w:tcW w:w="0" w:type="auto"/>
            <w:shd w:val="clear" w:color="auto" w:fill="FFFFFF"/>
            <w:vAlign w:val="center"/>
            <w:hideMark/>
          </w:tcPr>
          <w:p w14:paraId="3C84700C" w14:textId="77777777" w:rsidR="00E13621" w:rsidRDefault="00E13621">
            <w:pPr>
              <w:rPr>
                <w:rFonts w:ascii="GHEA Grapalat" w:eastAsia="Times New Roman" w:hAnsi="GHEA Grapalat" w:cs="Times New Roman"/>
                <w:color w:val="000000"/>
                <w:sz w:val="24"/>
                <w:szCs w:val="24"/>
              </w:rPr>
            </w:pPr>
          </w:p>
        </w:tc>
      </w:tr>
    </w:tbl>
    <w:p w14:paraId="742FF14B" w14:textId="77777777" w:rsidR="00E13621" w:rsidRDefault="00E13621" w:rsidP="00E13621">
      <w:pPr>
        <w:spacing w:after="0" w:line="360" w:lineRule="auto"/>
        <w:jc w:val="both"/>
        <w:rPr>
          <w:rFonts w:ascii="GHEA Grapalat" w:eastAsia="GHEA Grapalat" w:hAnsi="GHEA Grapalat" w:cs="GHEA Grapalat"/>
          <w:sz w:val="24"/>
          <w:szCs w:val="24"/>
        </w:rPr>
      </w:pPr>
    </w:p>
    <w:p w14:paraId="00000037" w14:textId="5D02E2FC" w:rsidR="00E066A4" w:rsidRPr="00E13621" w:rsidRDefault="00E066A4" w:rsidP="00E13621">
      <w:bookmarkStart w:id="11" w:name="_GoBack"/>
      <w:bookmarkEnd w:id="11"/>
    </w:p>
    <w:sectPr w:rsidR="00E066A4" w:rsidRPr="00E13621" w:rsidSect="00586113">
      <w:footerReference w:type="default" r:id="rId9"/>
      <w:pgSz w:w="11906" w:h="16838"/>
      <w:pgMar w:top="851" w:right="1286" w:bottom="993" w:left="144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7A2BE" w14:textId="77777777" w:rsidR="000578F8" w:rsidRDefault="000578F8">
      <w:pPr>
        <w:spacing w:after="0" w:line="240" w:lineRule="auto"/>
      </w:pPr>
      <w:r>
        <w:separator/>
      </w:r>
    </w:p>
  </w:endnote>
  <w:endnote w:type="continuationSeparator" w:id="0">
    <w:p w14:paraId="0A88CF11" w14:textId="77777777" w:rsidR="000578F8" w:rsidRDefault="000578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w:charset w:val="00"/>
    <w:family w:val="swiss"/>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Meiryo UI">
    <w:charset w:val="80"/>
    <w:family w:val="swiss"/>
    <w:pitch w:val="variable"/>
    <w:sig w:usb0="E10102FF" w:usb1="EAC7FFFF" w:usb2="0001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8" w14:textId="58D5C2AC" w:rsidR="00E066A4" w:rsidRDefault="00D730D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E13621">
      <w:rPr>
        <w:rFonts w:ascii="Times New Roman" w:eastAsia="Times New Roman" w:hAnsi="Times New Roman" w:cs="Times New Roman"/>
        <w:noProof/>
        <w:color w:val="000000"/>
        <w:sz w:val="24"/>
        <w:szCs w:val="24"/>
      </w:rPr>
      <w:t>16</w:t>
    </w:r>
    <w:r>
      <w:rPr>
        <w:rFonts w:ascii="Times New Roman" w:eastAsia="Times New Roman" w:hAnsi="Times New Roman" w:cs="Times New Roman"/>
        <w:color w:val="000000"/>
        <w:sz w:val="24"/>
        <w:szCs w:val="24"/>
      </w:rPr>
      <w:fldChar w:fldCharType="end"/>
    </w:r>
  </w:p>
  <w:p w14:paraId="00000039" w14:textId="77777777" w:rsidR="00E066A4" w:rsidRDefault="00E066A4">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0000"/>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EAB777" w14:textId="77777777" w:rsidR="000578F8" w:rsidRDefault="000578F8">
      <w:pPr>
        <w:spacing w:after="0" w:line="240" w:lineRule="auto"/>
      </w:pPr>
      <w:r>
        <w:separator/>
      </w:r>
    </w:p>
  </w:footnote>
  <w:footnote w:type="continuationSeparator" w:id="0">
    <w:p w14:paraId="094C6BFA" w14:textId="77777777" w:rsidR="000578F8" w:rsidRDefault="000578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01A57"/>
    <w:multiLevelType w:val="hybridMultilevel"/>
    <w:tmpl w:val="646CF6AC"/>
    <w:lvl w:ilvl="0" w:tplc="37DC66F0">
      <w:start w:val="5"/>
      <w:numFmt w:val="decimal"/>
      <w:lvlText w:val="%1)"/>
      <w:lvlJc w:val="left"/>
      <w:pPr>
        <w:ind w:left="720" w:hanging="360"/>
      </w:pPr>
      <w:rPr>
        <w:rFonts w:cs="Sylfae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76ADF"/>
    <w:multiLevelType w:val="hybridMultilevel"/>
    <w:tmpl w:val="C89A64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B0278C"/>
    <w:multiLevelType w:val="hybridMultilevel"/>
    <w:tmpl w:val="91086C96"/>
    <w:lvl w:ilvl="0" w:tplc="38266AB8">
      <w:start w:val="1"/>
      <w:numFmt w:val="decimal"/>
      <w:lvlText w:val="%1)"/>
      <w:lvlJc w:val="left"/>
      <w:pPr>
        <w:ind w:left="1530" w:hanging="360"/>
      </w:pPr>
      <w:rPr>
        <w:rFonts w:ascii="GHEA Grapalat" w:hAnsi="GHEA Grapalat" w:hint="default"/>
      </w:rPr>
    </w:lvl>
    <w:lvl w:ilvl="1" w:tplc="04190019" w:tentative="1">
      <w:start w:val="1"/>
      <w:numFmt w:val="lowerLetter"/>
      <w:lvlText w:val="%2."/>
      <w:lvlJc w:val="left"/>
      <w:pPr>
        <w:ind w:left="2250" w:hanging="360"/>
      </w:pPr>
    </w:lvl>
    <w:lvl w:ilvl="2" w:tplc="0419001B" w:tentative="1">
      <w:start w:val="1"/>
      <w:numFmt w:val="lowerRoman"/>
      <w:lvlText w:val="%3."/>
      <w:lvlJc w:val="right"/>
      <w:pPr>
        <w:ind w:left="2970" w:hanging="180"/>
      </w:pPr>
    </w:lvl>
    <w:lvl w:ilvl="3" w:tplc="0419000F" w:tentative="1">
      <w:start w:val="1"/>
      <w:numFmt w:val="decimal"/>
      <w:lvlText w:val="%4."/>
      <w:lvlJc w:val="left"/>
      <w:pPr>
        <w:ind w:left="3690" w:hanging="360"/>
      </w:pPr>
    </w:lvl>
    <w:lvl w:ilvl="4" w:tplc="04190019" w:tentative="1">
      <w:start w:val="1"/>
      <w:numFmt w:val="lowerLetter"/>
      <w:lvlText w:val="%5."/>
      <w:lvlJc w:val="left"/>
      <w:pPr>
        <w:ind w:left="4410" w:hanging="360"/>
      </w:pPr>
    </w:lvl>
    <w:lvl w:ilvl="5" w:tplc="0419001B" w:tentative="1">
      <w:start w:val="1"/>
      <w:numFmt w:val="lowerRoman"/>
      <w:lvlText w:val="%6."/>
      <w:lvlJc w:val="right"/>
      <w:pPr>
        <w:ind w:left="5130" w:hanging="180"/>
      </w:pPr>
    </w:lvl>
    <w:lvl w:ilvl="6" w:tplc="0419000F" w:tentative="1">
      <w:start w:val="1"/>
      <w:numFmt w:val="decimal"/>
      <w:lvlText w:val="%7."/>
      <w:lvlJc w:val="left"/>
      <w:pPr>
        <w:ind w:left="5850" w:hanging="360"/>
      </w:pPr>
    </w:lvl>
    <w:lvl w:ilvl="7" w:tplc="04190019" w:tentative="1">
      <w:start w:val="1"/>
      <w:numFmt w:val="lowerLetter"/>
      <w:lvlText w:val="%8."/>
      <w:lvlJc w:val="left"/>
      <w:pPr>
        <w:ind w:left="6570" w:hanging="360"/>
      </w:pPr>
    </w:lvl>
    <w:lvl w:ilvl="8" w:tplc="0419001B" w:tentative="1">
      <w:start w:val="1"/>
      <w:numFmt w:val="lowerRoman"/>
      <w:lvlText w:val="%9."/>
      <w:lvlJc w:val="right"/>
      <w:pPr>
        <w:ind w:left="7290" w:hanging="180"/>
      </w:pPr>
    </w:lvl>
  </w:abstractNum>
  <w:abstractNum w:abstractNumId="3" w15:restartNumberingAfterBreak="0">
    <w:nsid w:val="08555057"/>
    <w:multiLevelType w:val="multilevel"/>
    <w:tmpl w:val="D1A67E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A423B4C"/>
    <w:multiLevelType w:val="multilevel"/>
    <w:tmpl w:val="02B6724C"/>
    <w:lvl w:ilvl="0">
      <w:start w:val="1"/>
      <w:numFmt w:val="decimal"/>
      <w:lvlText w:val="%1)"/>
      <w:lvlJc w:val="left"/>
      <w:pPr>
        <w:ind w:left="1640" w:hanging="360"/>
      </w:pPr>
      <w:rPr>
        <w:rFonts w:ascii="GHEA Grapalat" w:eastAsia="GHEA Grapalat" w:hAnsi="GHEA Grapalat" w:cs="GHEA Grapalat"/>
      </w:rPr>
    </w:lvl>
    <w:lvl w:ilvl="1">
      <w:start w:val="1"/>
      <w:numFmt w:val="lowerLetter"/>
      <w:lvlText w:val="%2."/>
      <w:lvlJc w:val="left"/>
      <w:pPr>
        <w:ind w:left="2360" w:hanging="360"/>
      </w:pPr>
    </w:lvl>
    <w:lvl w:ilvl="2">
      <w:start w:val="1"/>
      <w:numFmt w:val="lowerRoman"/>
      <w:lvlText w:val="%3."/>
      <w:lvlJc w:val="right"/>
      <w:pPr>
        <w:ind w:left="3080" w:hanging="180"/>
      </w:pPr>
    </w:lvl>
    <w:lvl w:ilvl="3">
      <w:start w:val="1"/>
      <w:numFmt w:val="decimal"/>
      <w:lvlText w:val="%4."/>
      <w:lvlJc w:val="left"/>
      <w:pPr>
        <w:ind w:left="3800" w:hanging="360"/>
      </w:pPr>
    </w:lvl>
    <w:lvl w:ilvl="4">
      <w:start w:val="1"/>
      <w:numFmt w:val="lowerLetter"/>
      <w:lvlText w:val="%5."/>
      <w:lvlJc w:val="left"/>
      <w:pPr>
        <w:ind w:left="4520" w:hanging="360"/>
      </w:pPr>
    </w:lvl>
    <w:lvl w:ilvl="5">
      <w:start w:val="1"/>
      <w:numFmt w:val="lowerRoman"/>
      <w:lvlText w:val="%6."/>
      <w:lvlJc w:val="right"/>
      <w:pPr>
        <w:ind w:left="5240" w:hanging="180"/>
      </w:pPr>
    </w:lvl>
    <w:lvl w:ilvl="6">
      <w:start w:val="1"/>
      <w:numFmt w:val="decimal"/>
      <w:lvlText w:val="%7."/>
      <w:lvlJc w:val="left"/>
      <w:pPr>
        <w:ind w:left="5960" w:hanging="360"/>
      </w:pPr>
    </w:lvl>
    <w:lvl w:ilvl="7">
      <w:start w:val="1"/>
      <w:numFmt w:val="lowerLetter"/>
      <w:lvlText w:val="%8."/>
      <w:lvlJc w:val="left"/>
      <w:pPr>
        <w:ind w:left="6680" w:hanging="360"/>
      </w:pPr>
    </w:lvl>
    <w:lvl w:ilvl="8">
      <w:start w:val="1"/>
      <w:numFmt w:val="lowerRoman"/>
      <w:lvlText w:val="%9."/>
      <w:lvlJc w:val="right"/>
      <w:pPr>
        <w:ind w:left="7400" w:hanging="180"/>
      </w:pPr>
    </w:lvl>
  </w:abstractNum>
  <w:abstractNum w:abstractNumId="5" w15:restartNumberingAfterBreak="0">
    <w:nsid w:val="0E5F769E"/>
    <w:multiLevelType w:val="multilevel"/>
    <w:tmpl w:val="B37AC4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89376A7"/>
    <w:multiLevelType w:val="hybridMultilevel"/>
    <w:tmpl w:val="A726DFE0"/>
    <w:lvl w:ilvl="0" w:tplc="04190011">
      <w:start w:val="1"/>
      <w:numFmt w:val="decimal"/>
      <w:lvlText w:val="%1)"/>
      <w:lvlJc w:val="left"/>
      <w:pPr>
        <w:ind w:left="1440" w:hanging="360"/>
      </w:pPr>
    </w:lvl>
    <w:lvl w:ilvl="1" w:tplc="44E8EFCE">
      <w:start w:val="1"/>
      <w:numFmt w:val="decimal"/>
      <w:lvlText w:val="%2)"/>
      <w:lvlJc w:val="left"/>
      <w:pPr>
        <w:ind w:left="2160" w:hanging="360"/>
      </w:pPr>
      <w:rPr>
        <w:rFonts w:ascii="GHEA Grapalat" w:hAnsi="GHEA Grapalat" w:hint="default"/>
      </w:r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15:restartNumberingAfterBreak="0">
    <w:nsid w:val="206041F1"/>
    <w:multiLevelType w:val="hybridMultilevel"/>
    <w:tmpl w:val="EEBA1EB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371D87"/>
    <w:multiLevelType w:val="multilevel"/>
    <w:tmpl w:val="F6F6BFDA"/>
    <w:lvl w:ilvl="0">
      <w:start w:val="1"/>
      <w:numFmt w:val="decimal"/>
      <w:lvlText w:val="%1."/>
      <w:lvlJc w:val="left"/>
      <w:pPr>
        <w:ind w:left="900" w:hanging="360"/>
      </w:pPr>
      <w:rPr>
        <w:rFonts w:ascii="GHEA Grapalat" w:eastAsia="GHEA Grapalat" w:hAnsi="GHEA Grapalat" w:cs="GHEA Grapalat"/>
      </w:rPr>
    </w:lvl>
    <w:lvl w:ilvl="1">
      <w:start w:val="1"/>
      <w:numFmt w:val="decimal"/>
      <w:lvlText w:val="%2)"/>
      <w:lvlJc w:val="left"/>
      <w:pPr>
        <w:ind w:left="2247" w:hanging="585"/>
      </w:pPr>
    </w:lvl>
    <w:lvl w:ilvl="2">
      <w:start w:val="1"/>
      <w:numFmt w:val="lowerRoman"/>
      <w:lvlText w:val="%3."/>
      <w:lvlJc w:val="right"/>
      <w:pPr>
        <w:ind w:left="2742" w:hanging="180"/>
      </w:pPr>
    </w:lvl>
    <w:lvl w:ilvl="3">
      <w:start w:val="1"/>
      <w:numFmt w:val="decimal"/>
      <w:lvlText w:val="%4."/>
      <w:lvlJc w:val="left"/>
      <w:pPr>
        <w:ind w:left="3462" w:hanging="360"/>
      </w:pPr>
    </w:lvl>
    <w:lvl w:ilvl="4">
      <w:start w:val="1"/>
      <w:numFmt w:val="lowerLetter"/>
      <w:lvlText w:val="%5."/>
      <w:lvlJc w:val="left"/>
      <w:pPr>
        <w:ind w:left="4182" w:hanging="360"/>
      </w:pPr>
    </w:lvl>
    <w:lvl w:ilvl="5">
      <w:start w:val="1"/>
      <w:numFmt w:val="lowerRoman"/>
      <w:lvlText w:val="%6."/>
      <w:lvlJc w:val="right"/>
      <w:pPr>
        <w:ind w:left="4902" w:hanging="180"/>
      </w:pPr>
    </w:lvl>
    <w:lvl w:ilvl="6">
      <w:start w:val="1"/>
      <w:numFmt w:val="decimal"/>
      <w:lvlText w:val="%7."/>
      <w:lvlJc w:val="left"/>
      <w:pPr>
        <w:ind w:left="5622" w:hanging="360"/>
      </w:pPr>
    </w:lvl>
    <w:lvl w:ilvl="7">
      <w:start w:val="1"/>
      <w:numFmt w:val="lowerLetter"/>
      <w:lvlText w:val="%8."/>
      <w:lvlJc w:val="left"/>
      <w:pPr>
        <w:ind w:left="6342" w:hanging="360"/>
      </w:pPr>
    </w:lvl>
    <w:lvl w:ilvl="8">
      <w:start w:val="1"/>
      <w:numFmt w:val="lowerRoman"/>
      <w:lvlText w:val="%9."/>
      <w:lvlJc w:val="right"/>
      <w:pPr>
        <w:ind w:left="7062" w:hanging="180"/>
      </w:pPr>
    </w:lvl>
  </w:abstractNum>
  <w:abstractNum w:abstractNumId="9" w15:restartNumberingAfterBreak="0">
    <w:nsid w:val="24F61C0F"/>
    <w:multiLevelType w:val="multilevel"/>
    <w:tmpl w:val="F6F6BFDA"/>
    <w:lvl w:ilvl="0">
      <w:start w:val="1"/>
      <w:numFmt w:val="decimal"/>
      <w:lvlText w:val="%1."/>
      <w:lvlJc w:val="left"/>
      <w:pPr>
        <w:ind w:left="900" w:hanging="360"/>
      </w:pPr>
      <w:rPr>
        <w:rFonts w:ascii="GHEA Grapalat" w:eastAsia="GHEA Grapalat" w:hAnsi="GHEA Grapalat" w:cs="GHEA Grapalat"/>
      </w:rPr>
    </w:lvl>
    <w:lvl w:ilvl="1">
      <w:start w:val="1"/>
      <w:numFmt w:val="decimal"/>
      <w:lvlText w:val="%2)"/>
      <w:lvlJc w:val="left"/>
      <w:pPr>
        <w:ind w:left="2247" w:hanging="585"/>
      </w:pPr>
    </w:lvl>
    <w:lvl w:ilvl="2">
      <w:start w:val="1"/>
      <w:numFmt w:val="lowerRoman"/>
      <w:lvlText w:val="%3."/>
      <w:lvlJc w:val="right"/>
      <w:pPr>
        <w:ind w:left="2742" w:hanging="180"/>
      </w:pPr>
    </w:lvl>
    <w:lvl w:ilvl="3">
      <w:start w:val="1"/>
      <w:numFmt w:val="decimal"/>
      <w:lvlText w:val="%4."/>
      <w:lvlJc w:val="left"/>
      <w:pPr>
        <w:ind w:left="3462" w:hanging="360"/>
      </w:pPr>
    </w:lvl>
    <w:lvl w:ilvl="4">
      <w:start w:val="1"/>
      <w:numFmt w:val="lowerLetter"/>
      <w:lvlText w:val="%5."/>
      <w:lvlJc w:val="left"/>
      <w:pPr>
        <w:ind w:left="4182" w:hanging="360"/>
      </w:pPr>
    </w:lvl>
    <w:lvl w:ilvl="5">
      <w:start w:val="1"/>
      <w:numFmt w:val="lowerRoman"/>
      <w:lvlText w:val="%6."/>
      <w:lvlJc w:val="right"/>
      <w:pPr>
        <w:ind w:left="4902" w:hanging="180"/>
      </w:pPr>
    </w:lvl>
    <w:lvl w:ilvl="6">
      <w:start w:val="1"/>
      <w:numFmt w:val="decimal"/>
      <w:lvlText w:val="%7."/>
      <w:lvlJc w:val="left"/>
      <w:pPr>
        <w:ind w:left="5622" w:hanging="360"/>
      </w:pPr>
    </w:lvl>
    <w:lvl w:ilvl="7">
      <w:start w:val="1"/>
      <w:numFmt w:val="lowerLetter"/>
      <w:lvlText w:val="%8."/>
      <w:lvlJc w:val="left"/>
      <w:pPr>
        <w:ind w:left="6342" w:hanging="360"/>
      </w:pPr>
    </w:lvl>
    <w:lvl w:ilvl="8">
      <w:start w:val="1"/>
      <w:numFmt w:val="lowerRoman"/>
      <w:lvlText w:val="%9."/>
      <w:lvlJc w:val="right"/>
      <w:pPr>
        <w:ind w:left="7062" w:hanging="180"/>
      </w:pPr>
    </w:lvl>
  </w:abstractNum>
  <w:abstractNum w:abstractNumId="10" w15:restartNumberingAfterBreak="0">
    <w:nsid w:val="28E35968"/>
    <w:multiLevelType w:val="hybridMultilevel"/>
    <w:tmpl w:val="AE9069E4"/>
    <w:lvl w:ilvl="0" w:tplc="0409000F">
      <w:start w:val="1"/>
      <w:numFmt w:val="decimal"/>
      <w:lvlText w:val="%1."/>
      <w:lvlJc w:val="left"/>
      <w:pPr>
        <w:ind w:left="477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2D7653A6"/>
    <w:multiLevelType w:val="hybridMultilevel"/>
    <w:tmpl w:val="61E04C36"/>
    <w:lvl w:ilvl="0" w:tplc="FD76313E">
      <w:start w:val="1"/>
      <w:numFmt w:val="decimal"/>
      <w:lvlText w:val="%1)"/>
      <w:lvlJc w:val="left"/>
      <w:pPr>
        <w:ind w:left="735" w:hanging="360"/>
      </w:pPr>
      <w:rPr>
        <w:rFonts w:eastAsia="Calibri" w:cs="Calibri"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30323D14"/>
    <w:multiLevelType w:val="hybridMultilevel"/>
    <w:tmpl w:val="1D7EEA2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B06510"/>
    <w:multiLevelType w:val="hybridMultilevel"/>
    <w:tmpl w:val="2026A840"/>
    <w:lvl w:ilvl="0" w:tplc="42C8771E">
      <w:start w:val="9"/>
      <w:numFmt w:val="decimal"/>
      <w:lvlText w:val="%1)"/>
      <w:lvlJc w:val="left"/>
      <w:pPr>
        <w:ind w:left="720" w:hanging="360"/>
      </w:pPr>
      <w:rPr>
        <w:rFonts w:cs="Cambria Math"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7374F0"/>
    <w:multiLevelType w:val="multilevel"/>
    <w:tmpl w:val="E99E0022"/>
    <w:lvl w:ilvl="0">
      <w:start w:val="1"/>
      <w:numFmt w:val="decimal"/>
      <w:lvlText w:val="%1)"/>
      <w:lvlJc w:val="left"/>
      <w:pPr>
        <w:ind w:left="1429" w:hanging="360"/>
      </w:pPr>
      <w:rPr>
        <w:rFonts w:ascii="GHEA Grapalat" w:eastAsia="GHEA Grapalat" w:hAnsi="GHEA Grapalat" w:cs="GHEA Grapalat"/>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5" w15:restartNumberingAfterBreak="0">
    <w:nsid w:val="33EB7614"/>
    <w:multiLevelType w:val="multilevel"/>
    <w:tmpl w:val="598E2724"/>
    <w:lvl w:ilvl="0">
      <w:start w:val="1"/>
      <w:numFmt w:val="decimal"/>
      <w:lvlText w:val="%1)"/>
      <w:lvlJc w:val="left"/>
      <w:pPr>
        <w:ind w:left="1780" w:hanging="360"/>
      </w:pPr>
    </w:lvl>
    <w:lvl w:ilvl="1">
      <w:start w:val="1"/>
      <w:numFmt w:val="decimal"/>
      <w:lvlText w:val="%2)"/>
      <w:lvlJc w:val="left"/>
      <w:pPr>
        <w:ind w:left="2500" w:hanging="360"/>
      </w:pPr>
    </w:lvl>
    <w:lvl w:ilvl="2">
      <w:start w:val="1"/>
      <w:numFmt w:val="lowerRoman"/>
      <w:lvlText w:val="%3."/>
      <w:lvlJc w:val="right"/>
      <w:pPr>
        <w:ind w:left="3220" w:hanging="180"/>
      </w:pPr>
    </w:lvl>
    <w:lvl w:ilvl="3">
      <w:start w:val="1"/>
      <w:numFmt w:val="decimal"/>
      <w:lvlText w:val="%4."/>
      <w:lvlJc w:val="left"/>
      <w:pPr>
        <w:ind w:left="3940" w:hanging="360"/>
      </w:pPr>
    </w:lvl>
    <w:lvl w:ilvl="4">
      <w:start w:val="1"/>
      <w:numFmt w:val="lowerLetter"/>
      <w:lvlText w:val="%5."/>
      <w:lvlJc w:val="left"/>
      <w:pPr>
        <w:ind w:left="4660" w:hanging="360"/>
      </w:pPr>
    </w:lvl>
    <w:lvl w:ilvl="5">
      <w:start w:val="1"/>
      <w:numFmt w:val="lowerRoman"/>
      <w:lvlText w:val="%6."/>
      <w:lvlJc w:val="right"/>
      <w:pPr>
        <w:ind w:left="5380" w:hanging="180"/>
      </w:pPr>
    </w:lvl>
    <w:lvl w:ilvl="6">
      <w:start w:val="1"/>
      <w:numFmt w:val="decimal"/>
      <w:lvlText w:val="%7."/>
      <w:lvlJc w:val="left"/>
      <w:pPr>
        <w:ind w:left="6100" w:hanging="360"/>
      </w:pPr>
    </w:lvl>
    <w:lvl w:ilvl="7">
      <w:start w:val="1"/>
      <w:numFmt w:val="lowerLetter"/>
      <w:lvlText w:val="%8."/>
      <w:lvlJc w:val="left"/>
      <w:pPr>
        <w:ind w:left="6820" w:hanging="360"/>
      </w:pPr>
    </w:lvl>
    <w:lvl w:ilvl="8">
      <w:start w:val="1"/>
      <w:numFmt w:val="lowerRoman"/>
      <w:lvlText w:val="%9."/>
      <w:lvlJc w:val="right"/>
      <w:pPr>
        <w:ind w:left="7540" w:hanging="180"/>
      </w:pPr>
    </w:lvl>
  </w:abstractNum>
  <w:abstractNum w:abstractNumId="16" w15:restartNumberingAfterBreak="0">
    <w:nsid w:val="3BB0008B"/>
    <w:multiLevelType w:val="hybridMultilevel"/>
    <w:tmpl w:val="EC3A068C"/>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7" w15:restartNumberingAfterBreak="0">
    <w:nsid w:val="3DD00AC4"/>
    <w:multiLevelType w:val="hybridMultilevel"/>
    <w:tmpl w:val="C1B2629E"/>
    <w:lvl w:ilvl="0" w:tplc="3EAA5BCA">
      <w:start w:val="9"/>
      <w:numFmt w:val="decimal"/>
      <w:lvlText w:val="%1)"/>
      <w:lvlJc w:val="left"/>
      <w:pPr>
        <w:ind w:left="720" w:hanging="360"/>
      </w:pPr>
      <w:rPr>
        <w:rFonts w:cs="Cambria Math"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3979A7"/>
    <w:multiLevelType w:val="hybridMultilevel"/>
    <w:tmpl w:val="8D8003D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15:restartNumberingAfterBreak="0">
    <w:nsid w:val="48621583"/>
    <w:multiLevelType w:val="multilevel"/>
    <w:tmpl w:val="09F2FD3A"/>
    <w:lvl w:ilvl="0">
      <w:start w:val="1"/>
      <w:numFmt w:val="decimal"/>
      <w:lvlText w:val="%1)"/>
      <w:lvlJc w:val="left"/>
      <w:pPr>
        <w:ind w:left="720" w:hanging="180"/>
      </w:pPr>
      <w:rPr>
        <w:rFonts w:ascii="GHEA Grapalat" w:eastAsia="GHEA Grapalat" w:hAnsi="GHEA Grapalat" w:cs="GHEA Grapala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4B1C3E73"/>
    <w:multiLevelType w:val="hybridMultilevel"/>
    <w:tmpl w:val="8D8003D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61106171"/>
    <w:multiLevelType w:val="multilevel"/>
    <w:tmpl w:val="401E23C2"/>
    <w:lvl w:ilvl="0">
      <w:start w:val="1"/>
      <w:numFmt w:val="decimal"/>
      <w:lvlText w:val="%1)"/>
      <w:lvlJc w:val="left"/>
      <w:pPr>
        <w:ind w:left="1011" w:hanging="360"/>
      </w:pPr>
      <w:rPr>
        <w:rFonts w:ascii="GHEA Grapalat" w:eastAsia="GHEA Grapalat" w:hAnsi="GHEA Grapalat" w:cs="GHEA Grapalat"/>
        <w:b w:val="0"/>
      </w:rPr>
    </w:lvl>
    <w:lvl w:ilvl="1">
      <w:start w:val="1"/>
      <w:numFmt w:val="lowerLetter"/>
      <w:lvlText w:val="%2."/>
      <w:lvlJc w:val="left"/>
      <w:pPr>
        <w:ind w:left="1731" w:hanging="360"/>
      </w:pPr>
    </w:lvl>
    <w:lvl w:ilvl="2">
      <w:start w:val="1"/>
      <w:numFmt w:val="lowerRoman"/>
      <w:lvlText w:val="%3."/>
      <w:lvlJc w:val="right"/>
      <w:pPr>
        <w:ind w:left="2451" w:hanging="180"/>
      </w:pPr>
    </w:lvl>
    <w:lvl w:ilvl="3">
      <w:start w:val="1"/>
      <w:numFmt w:val="decimal"/>
      <w:lvlText w:val="%4."/>
      <w:lvlJc w:val="left"/>
      <w:pPr>
        <w:ind w:left="3171" w:hanging="360"/>
      </w:pPr>
    </w:lvl>
    <w:lvl w:ilvl="4">
      <w:start w:val="1"/>
      <w:numFmt w:val="lowerLetter"/>
      <w:lvlText w:val="%5."/>
      <w:lvlJc w:val="left"/>
      <w:pPr>
        <w:ind w:left="3891" w:hanging="360"/>
      </w:pPr>
    </w:lvl>
    <w:lvl w:ilvl="5">
      <w:start w:val="1"/>
      <w:numFmt w:val="lowerRoman"/>
      <w:lvlText w:val="%6."/>
      <w:lvlJc w:val="right"/>
      <w:pPr>
        <w:ind w:left="4611" w:hanging="180"/>
      </w:pPr>
    </w:lvl>
    <w:lvl w:ilvl="6">
      <w:start w:val="1"/>
      <w:numFmt w:val="decimal"/>
      <w:lvlText w:val="%7."/>
      <w:lvlJc w:val="left"/>
      <w:pPr>
        <w:ind w:left="5331" w:hanging="360"/>
      </w:pPr>
    </w:lvl>
    <w:lvl w:ilvl="7">
      <w:start w:val="1"/>
      <w:numFmt w:val="lowerLetter"/>
      <w:lvlText w:val="%8."/>
      <w:lvlJc w:val="left"/>
      <w:pPr>
        <w:ind w:left="6051" w:hanging="360"/>
      </w:pPr>
    </w:lvl>
    <w:lvl w:ilvl="8">
      <w:start w:val="1"/>
      <w:numFmt w:val="lowerRoman"/>
      <w:lvlText w:val="%9."/>
      <w:lvlJc w:val="right"/>
      <w:pPr>
        <w:ind w:left="6771" w:hanging="180"/>
      </w:pPr>
    </w:lvl>
  </w:abstractNum>
  <w:abstractNum w:abstractNumId="22" w15:restartNumberingAfterBreak="0">
    <w:nsid w:val="6212240C"/>
    <w:multiLevelType w:val="multilevel"/>
    <w:tmpl w:val="401E23C2"/>
    <w:lvl w:ilvl="0">
      <w:start w:val="1"/>
      <w:numFmt w:val="decimal"/>
      <w:lvlText w:val="%1)"/>
      <w:lvlJc w:val="left"/>
      <w:pPr>
        <w:ind w:left="1011" w:hanging="360"/>
      </w:pPr>
      <w:rPr>
        <w:rFonts w:ascii="GHEA Grapalat" w:eastAsia="GHEA Grapalat" w:hAnsi="GHEA Grapalat" w:cs="GHEA Grapalat"/>
        <w:b w:val="0"/>
      </w:rPr>
    </w:lvl>
    <w:lvl w:ilvl="1">
      <w:start w:val="1"/>
      <w:numFmt w:val="lowerLetter"/>
      <w:lvlText w:val="%2."/>
      <w:lvlJc w:val="left"/>
      <w:pPr>
        <w:ind w:left="1731" w:hanging="360"/>
      </w:pPr>
    </w:lvl>
    <w:lvl w:ilvl="2">
      <w:start w:val="1"/>
      <w:numFmt w:val="lowerRoman"/>
      <w:lvlText w:val="%3."/>
      <w:lvlJc w:val="right"/>
      <w:pPr>
        <w:ind w:left="2451" w:hanging="180"/>
      </w:pPr>
    </w:lvl>
    <w:lvl w:ilvl="3">
      <w:start w:val="1"/>
      <w:numFmt w:val="decimal"/>
      <w:lvlText w:val="%4."/>
      <w:lvlJc w:val="left"/>
      <w:pPr>
        <w:ind w:left="3171" w:hanging="360"/>
      </w:pPr>
    </w:lvl>
    <w:lvl w:ilvl="4">
      <w:start w:val="1"/>
      <w:numFmt w:val="lowerLetter"/>
      <w:lvlText w:val="%5."/>
      <w:lvlJc w:val="left"/>
      <w:pPr>
        <w:ind w:left="3891" w:hanging="360"/>
      </w:pPr>
    </w:lvl>
    <w:lvl w:ilvl="5">
      <w:start w:val="1"/>
      <w:numFmt w:val="lowerRoman"/>
      <w:lvlText w:val="%6."/>
      <w:lvlJc w:val="right"/>
      <w:pPr>
        <w:ind w:left="4611" w:hanging="180"/>
      </w:pPr>
    </w:lvl>
    <w:lvl w:ilvl="6">
      <w:start w:val="1"/>
      <w:numFmt w:val="decimal"/>
      <w:lvlText w:val="%7."/>
      <w:lvlJc w:val="left"/>
      <w:pPr>
        <w:ind w:left="5331" w:hanging="360"/>
      </w:pPr>
    </w:lvl>
    <w:lvl w:ilvl="7">
      <w:start w:val="1"/>
      <w:numFmt w:val="lowerLetter"/>
      <w:lvlText w:val="%8."/>
      <w:lvlJc w:val="left"/>
      <w:pPr>
        <w:ind w:left="6051" w:hanging="360"/>
      </w:pPr>
    </w:lvl>
    <w:lvl w:ilvl="8">
      <w:start w:val="1"/>
      <w:numFmt w:val="lowerRoman"/>
      <w:lvlText w:val="%9."/>
      <w:lvlJc w:val="right"/>
      <w:pPr>
        <w:ind w:left="6771" w:hanging="180"/>
      </w:pPr>
    </w:lvl>
  </w:abstractNum>
  <w:abstractNum w:abstractNumId="23" w15:restartNumberingAfterBreak="0">
    <w:nsid w:val="76556E25"/>
    <w:multiLevelType w:val="hybridMultilevel"/>
    <w:tmpl w:val="7B6C3B9A"/>
    <w:lvl w:ilvl="0" w:tplc="04090011">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C4533CD"/>
    <w:multiLevelType w:val="hybridMultilevel"/>
    <w:tmpl w:val="3752B76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5"/>
  </w:num>
  <w:num w:numId="3">
    <w:abstractNumId w:val="3"/>
  </w:num>
  <w:num w:numId="4">
    <w:abstractNumId w:val="19"/>
  </w:num>
  <w:num w:numId="5">
    <w:abstractNumId w:val="8"/>
  </w:num>
  <w:num w:numId="6">
    <w:abstractNumId w:val="22"/>
  </w:num>
  <w:num w:numId="7">
    <w:abstractNumId w:val="4"/>
  </w:num>
  <w:num w:numId="8">
    <w:abstractNumId w:val="14"/>
  </w:num>
  <w:num w:numId="9">
    <w:abstractNumId w:val="16"/>
  </w:num>
  <w:num w:numId="10">
    <w:abstractNumId w:val="6"/>
  </w:num>
  <w:num w:numId="11">
    <w:abstractNumId w:val="7"/>
  </w:num>
  <w:num w:numId="12">
    <w:abstractNumId w:val="24"/>
  </w:num>
  <w:num w:numId="13">
    <w:abstractNumId w:val="21"/>
  </w:num>
  <w:num w:numId="14">
    <w:abstractNumId w:val="2"/>
  </w:num>
  <w:num w:numId="15">
    <w:abstractNumId w:val="18"/>
  </w:num>
  <w:num w:numId="16">
    <w:abstractNumId w:val="20"/>
  </w:num>
  <w:num w:numId="17">
    <w:abstractNumId w:val="9"/>
  </w:num>
  <w:num w:numId="18">
    <w:abstractNumId w:val="1"/>
  </w:num>
  <w:num w:numId="19">
    <w:abstractNumId w:val="11"/>
  </w:num>
  <w:num w:numId="20">
    <w:abstractNumId w:val="10"/>
  </w:num>
  <w:num w:numId="21">
    <w:abstractNumId w:val="0"/>
  </w:num>
  <w:num w:numId="22">
    <w:abstractNumId w:val="12"/>
  </w:num>
  <w:num w:numId="23">
    <w:abstractNumId w:val="17"/>
  </w:num>
  <w:num w:numId="24">
    <w:abstractNumId w:val="13"/>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6A4"/>
    <w:rsid w:val="00003973"/>
    <w:rsid w:val="00003DEE"/>
    <w:rsid w:val="00006000"/>
    <w:rsid w:val="00012023"/>
    <w:rsid w:val="00013474"/>
    <w:rsid w:val="00013A60"/>
    <w:rsid w:val="00017778"/>
    <w:rsid w:val="000179AB"/>
    <w:rsid w:val="00017B17"/>
    <w:rsid w:val="00020975"/>
    <w:rsid w:val="00022A28"/>
    <w:rsid w:val="0002329E"/>
    <w:rsid w:val="00026F42"/>
    <w:rsid w:val="0003187C"/>
    <w:rsid w:val="00031C47"/>
    <w:rsid w:val="00036024"/>
    <w:rsid w:val="000401FE"/>
    <w:rsid w:val="000404A0"/>
    <w:rsid w:val="000460D7"/>
    <w:rsid w:val="00047FFA"/>
    <w:rsid w:val="00052BF2"/>
    <w:rsid w:val="000578F8"/>
    <w:rsid w:val="00061AFD"/>
    <w:rsid w:val="00072BDD"/>
    <w:rsid w:val="00073110"/>
    <w:rsid w:val="00073CC4"/>
    <w:rsid w:val="0008668F"/>
    <w:rsid w:val="00086C79"/>
    <w:rsid w:val="00090070"/>
    <w:rsid w:val="000903E8"/>
    <w:rsid w:val="0009112C"/>
    <w:rsid w:val="000A5170"/>
    <w:rsid w:val="000A7E88"/>
    <w:rsid w:val="000B2B0C"/>
    <w:rsid w:val="000B5ACB"/>
    <w:rsid w:val="000C5BC5"/>
    <w:rsid w:val="000D23BD"/>
    <w:rsid w:val="000D573E"/>
    <w:rsid w:val="000D647F"/>
    <w:rsid w:val="000D6CFF"/>
    <w:rsid w:val="000E1F83"/>
    <w:rsid w:val="000E2F34"/>
    <w:rsid w:val="000E349F"/>
    <w:rsid w:val="000E7371"/>
    <w:rsid w:val="000F12B0"/>
    <w:rsid w:val="000F25CB"/>
    <w:rsid w:val="000F31C5"/>
    <w:rsid w:val="00101DC2"/>
    <w:rsid w:val="0010616E"/>
    <w:rsid w:val="0010653B"/>
    <w:rsid w:val="00110B20"/>
    <w:rsid w:val="00116280"/>
    <w:rsid w:val="00121FE0"/>
    <w:rsid w:val="00122759"/>
    <w:rsid w:val="00122C5E"/>
    <w:rsid w:val="001233B8"/>
    <w:rsid w:val="00123F5F"/>
    <w:rsid w:val="001252AC"/>
    <w:rsid w:val="001258D3"/>
    <w:rsid w:val="001259BB"/>
    <w:rsid w:val="001269D2"/>
    <w:rsid w:val="00133D17"/>
    <w:rsid w:val="0013550D"/>
    <w:rsid w:val="00135A51"/>
    <w:rsid w:val="00135CE7"/>
    <w:rsid w:val="00140C17"/>
    <w:rsid w:val="0014174A"/>
    <w:rsid w:val="00142C1B"/>
    <w:rsid w:val="001465F1"/>
    <w:rsid w:val="00161E10"/>
    <w:rsid w:val="001635BB"/>
    <w:rsid w:val="00164EE4"/>
    <w:rsid w:val="001679F9"/>
    <w:rsid w:val="00172EE8"/>
    <w:rsid w:val="0017316C"/>
    <w:rsid w:val="00173601"/>
    <w:rsid w:val="0017752D"/>
    <w:rsid w:val="00192891"/>
    <w:rsid w:val="00193C46"/>
    <w:rsid w:val="00193FC8"/>
    <w:rsid w:val="00195A50"/>
    <w:rsid w:val="001A0037"/>
    <w:rsid w:val="001A1219"/>
    <w:rsid w:val="001B01F6"/>
    <w:rsid w:val="001B24D0"/>
    <w:rsid w:val="001B4BDF"/>
    <w:rsid w:val="001B523D"/>
    <w:rsid w:val="001B5A17"/>
    <w:rsid w:val="001B6C0D"/>
    <w:rsid w:val="001C1FAA"/>
    <w:rsid w:val="001C43FD"/>
    <w:rsid w:val="001C72D4"/>
    <w:rsid w:val="001E0BFF"/>
    <w:rsid w:val="001E352F"/>
    <w:rsid w:val="001E4490"/>
    <w:rsid w:val="001E5EEC"/>
    <w:rsid w:val="001E6773"/>
    <w:rsid w:val="001E738F"/>
    <w:rsid w:val="001F0251"/>
    <w:rsid w:val="001F0D73"/>
    <w:rsid w:val="001F2B5E"/>
    <w:rsid w:val="001F4121"/>
    <w:rsid w:val="001F6387"/>
    <w:rsid w:val="0020437D"/>
    <w:rsid w:val="00206889"/>
    <w:rsid w:val="002209BA"/>
    <w:rsid w:val="0022472F"/>
    <w:rsid w:val="002248A4"/>
    <w:rsid w:val="00225D9B"/>
    <w:rsid w:val="00226BB5"/>
    <w:rsid w:val="00235B43"/>
    <w:rsid w:val="00235BBB"/>
    <w:rsid w:val="00235D8A"/>
    <w:rsid w:val="0023615E"/>
    <w:rsid w:val="00237B01"/>
    <w:rsid w:val="0024205A"/>
    <w:rsid w:val="002461B4"/>
    <w:rsid w:val="00247E45"/>
    <w:rsid w:val="0026118A"/>
    <w:rsid w:val="00275CA8"/>
    <w:rsid w:val="002762BC"/>
    <w:rsid w:val="0028185F"/>
    <w:rsid w:val="002837C5"/>
    <w:rsid w:val="00287632"/>
    <w:rsid w:val="00295C6C"/>
    <w:rsid w:val="002A34F2"/>
    <w:rsid w:val="002B10B1"/>
    <w:rsid w:val="002B2234"/>
    <w:rsid w:val="002C04E9"/>
    <w:rsid w:val="002C212B"/>
    <w:rsid w:val="002D0091"/>
    <w:rsid w:val="002D2D32"/>
    <w:rsid w:val="002D4898"/>
    <w:rsid w:val="002E0CB9"/>
    <w:rsid w:val="002E35D5"/>
    <w:rsid w:val="002E3C18"/>
    <w:rsid w:val="002E79FE"/>
    <w:rsid w:val="002E7C7A"/>
    <w:rsid w:val="002F253A"/>
    <w:rsid w:val="002F2E28"/>
    <w:rsid w:val="002F3C71"/>
    <w:rsid w:val="002F4A84"/>
    <w:rsid w:val="0031219B"/>
    <w:rsid w:val="00316835"/>
    <w:rsid w:val="00316B32"/>
    <w:rsid w:val="00320C7F"/>
    <w:rsid w:val="003242A9"/>
    <w:rsid w:val="0033017A"/>
    <w:rsid w:val="00330D19"/>
    <w:rsid w:val="0033288A"/>
    <w:rsid w:val="00332CFF"/>
    <w:rsid w:val="00342424"/>
    <w:rsid w:val="00342EA5"/>
    <w:rsid w:val="00343E43"/>
    <w:rsid w:val="003461DE"/>
    <w:rsid w:val="00352286"/>
    <w:rsid w:val="00353FD7"/>
    <w:rsid w:val="003563D5"/>
    <w:rsid w:val="00357B25"/>
    <w:rsid w:val="00360606"/>
    <w:rsid w:val="00364C33"/>
    <w:rsid w:val="00374777"/>
    <w:rsid w:val="0037540F"/>
    <w:rsid w:val="003760EE"/>
    <w:rsid w:val="003822BE"/>
    <w:rsid w:val="0038258F"/>
    <w:rsid w:val="00385528"/>
    <w:rsid w:val="00393E41"/>
    <w:rsid w:val="00397C73"/>
    <w:rsid w:val="003A34B0"/>
    <w:rsid w:val="003A480D"/>
    <w:rsid w:val="003A56D2"/>
    <w:rsid w:val="003D08B9"/>
    <w:rsid w:val="003D0FBC"/>
    <w:rsid w:val="003E6859"/>
    <w:rsid w:val="003F5977"/>
    <w:rsid w:val="0040061E"/>
    <w:rsid w:val="004032F6"/>
    <w:rsid w:val="0040435F"/>
    <w:rsid w:val="00407B72"/>
    <w:rsid w:val="00407BB4"/>
    <w:rsid w:val="004112B3"/>
    <w:rsid w:val="00411532"/>
    <w:rsid w:val="00412280"/>
    <w:rsid w:val="00414095"/>
    <w:rsid w:val="004171E7"/>
    <w:rsid w:val="0042157D"/>
    <w:rsid w:val="00421C76"/>
    <w:rsid w:val="0043168D"/>
    <w:rsid w:val="0043254F"/>
    <w:rsid w:val="00441200"/>
    <w:rsid w:val="00450AB5"/>
    <w:rsid w:val="0045485F"/>
    <w:rsid w:val="004565CB"/>
    <w:rsid w:val="00456AA4"/>
    <w:rsid w:val="00457206"/>
    <w:rsid w:val="00461F91"/>
    <w:rsid w:val="0046251C"/>
    <w:rsid w:val="00462DF9"/>
    <w:rsid w:val="00467EFF"/>
    <w:rsid w:val="00470C69"/>
    <w:rsid w:val="004741BE"/>
    <w:rsid w:val="00474B01"/>
    <w:rsid w:val="00481A94"/>
    <w:rsid w:val="00484029"/>
    <w:rsid w:val="0048494B"/>
    <w:rsid w:val="00486726"/>
    <w:rsid w:val="004913D0"/>
    <w:rsid w:val="0049283C"/>
    <w:rsid w:val="00492E47"/>
    <w:rsid w:val="0049645A"/>
    <w:rsid w:val="00496D18"/>
    <w:rsid w:val="004B4C8A"/>
    <w:rsid w:val="004B568C"/>
    <w:rsid w:val="004B5A2D"/>
    <w:rsid w:val="004B6294"/>
    <w:rsid w:val="004C3B41"/>
    <w:rsid w:val="004D0617"/>
    <w:rsid w:val="004D2B78"/>
    <w:rsid w:val="004D4B99"/>
    <w:rsid w:val="004E01D1"/>
    <w:rsid w:val="004E11B2"/>
    <w:rsid w:val="004E1FF8"/>
    <w:rsid w:val="004E29CE"/>
    <w:rsid w:val="004E733A"/>
    <w:rsid w:val="004F1DED"/>
    <w:rsid w:val="004F332B"/>
    <w:rsid w:val="004F3E3B"/>
    <w:rsid w:val="004F5BA4"/>
    <w:rsid w:val="004F6E2B"/>
    <w:rsid w:val="004F7FE6"/>
    <w:rsid w:val="00500364"/>
    <w:rsid w:val="00503F55"/>
    <w:rsid w:val="005131CF"/>
    <w:rsid w:val="00517664"/>
    <w:rsid w:val="00520F1F"/>
    <w:rsid w:val="00521AEB"/>
    <w:rsid w:val="0052360C"/>
    <w:rsid w:val="00525580"/>
    <w:rsid w:val="0053008C"/>
    <w:rsid w:val="0053346D"/>
    <w:rsid w:val="00533E18"/>
    <w:rsid w:val="0053436A"/>
    <w:rsid w:val="00537C4C"/>
    <w:rsid w:val="00543142"/>
    <w:rsid w:val="005448BC"/>
    <w:rsid w:val="005524BD"/>
    <w:rsid w:val="00554EAE"/>
    <w:rsid w:val="00555C3A"/>
    <w:rsid w:val="005560D2"/>
    <w:rsid w:val="005632E9"/>
    <w:rsid w:val="00570650"/>
    <w:rsid w:val="00570E92"/>
    <w:rsid w:val="00573026"/>
    <w:rsid w:val="00576ADD"/>
    <w:rsid w:val="005808CB"/>
    <w:rsid w:val="00580FE6"/>
    <w:rsid w:val="005836C3"/>
    <w:rsid w:val="00586113"/>
    <w:rsid w:val="005872EC"/>
    <w:rsid w:val="00590447"/>
    <w:rsid w:val="0059226A"/>
    <w:rsid w:val="00595504"/>
    <w:rsid w:val="005A2E29"/>
    <w:rsid w:val="005A473B"/>
    <w:rsid w:val="005B13D5"/>
    <w:rsid w:val="005B29EE"/>
    <w:rsid w:val="005B3269"/>
    <w:rsid w:val="005C17E0"/>
    <w:rsid w:val="005C3D49"/>
    <w:rsid w:val="005C7B30"/>
    <w:rsid w:val="005D19F1"/>
    <w:rsid w:val="005D1DFB"/>
    <w:rsid w:val="005D595E"/>
    <w:rsid w:val="005E719A"/>
    <w:rsid w:val="005F0230"/>
    <w:rsid w:val="005F481C"/>
    <w:rsid w:val="005F4E12"/>
    <w:rsid w:val="005F5EB3"/>
    <w:rsid w:val="00600857"/>
    <w:rsid w:val="006035EA"/>
    <w:rsid w:val="00606E54"/>
    <w:rsid w:val="00606ED4"/>
    <w:rsid w:val="00612F9D"/>
    <w:rsid w:val="0061360D"/>
    <w:rsid w:val="00615A74"/>
    <w:rsid w:val="006213C6"/>
    <w:rsid w:val="00622AE2"/>
    <w:rsid w:val="00631C8C"/>
    <w:rsid w:val="0063438C"/>
    <w:rsid w:val="00634BD8"/>
    <w:rsid w:val="00635D94"/>
    <w:rsid w:val="0063650D"/>
    <w:rsid w:val="006441E7"/>
    <w:rsid w:val="00652152"/>
    <w:rsid w:val="00652CF1"/>
    <w:rsid w:val="006541E5"/>
    <w:rsid w:val="0066198C"/>
    <w:rsid w:val="0066482A"/>
    <w:rsid w:val="0066580C"/>
    <w:rsid w:val="00671540"/>
    <w:rsid w:val="00671BDD"/>
    <w:rsid w:val="00676DD3"/>
    <w:rsid w:val="00685C9D"/>
    <w:rsid w:val="00685CD2"/>
    <w:rsid w:val="006916CE"/>
    <w:rsid w:val="00692138"/>
    <w:rsid w:val="006935B3"/>
    <w:rsid w:val="00694D94"/>
    <w:rsid w:val="006A7789"/>
    <w:rsid w:val="006A79CB"/>
    <w:rsid w:val="006B00A0"/>
    <w:rsid w:val="006B1D7A"/>
    <w:rsid w:val="006B3D57"/>
    <w:rsid w:val="006C11C5"/>
    <w:rsid w:val="006C2B1B"/>
    <w:rsid w:val="006D2727"/>
    <w:rsid w:val="006D6260"/>
    <w:rsid w:val="006F31A7"/>
    <w:rsid w:val="006F5159"/>
    <w:rsid w:val="006F55B1"/>
    <w:rsid w:val="00700DEC"/>
    <w:rsid w:val="00700E79"/>
    <w:rsid w:val="0070455B"/>
    <w:rsid w:val="007169E3"/>
    <w:rsid w:val="00716A52"/>
    <w:rsid w:val="007172DE"/>
    <w:rsid w:val="00723F2F"/>
    <w:rsid w:val="00727493"/>
    <w:rsid w:val="00733DAE"/>
    <w:rsid w:val="007366ED"/>
    <w:rsid w:val="007409E3"/>
    <w:rsid w:val="00740F82"/>
    <w:rsid w:val="00741AE4"/>
    <w:rsid w:val="00742D82"/>
    <w:rsid w:val="00745BB1"/>
    <w:rsid w:val="00756122"/>
    <w:rsid w:val="00762E1B"/>
    <w:rsid w:val="00783122"/>
    <w:rsid w:val="0078626C"/>
    <w:rsid w:val="00793416"/>
    <w:rsid w:val="00796106"/>
    <w:rsid w:val="00796449"/>
    <w:rsid w:val="00796AAF"/>
    <w:rsid w:val="007978F4"/>
    <w:rsid w:val="007A25EC"/>
    <w:rsid w:val="007A786D"/>
    <w:rsid w:val="007B13D0"/>
    <w:rsid w:val="007B42EF"/>
    <w:rsid w:val="007E2551"/>
    <w:rsid w:val="007E354B"/>
    <w:rsid w:val="007F6027"/>
    <w:rsid w:val="007F68D1"/>
    <w:rsid w:val="00800FF2"/>
    <w:rsid w:val="008010C0"/>
    <w:rsid w:val="008042C8"/>
    <w:rsid w:val="00804AAC"/>
    <w:rsid w:val="00813A64"/>
    <w:rsid w:val="008144F1"/>
    <w:rsid w:val="0082121B"/>
    <w:rsid w:val="008307AF"/>
    <w:rsid w:val="00830C44"/>
    <w:rsid w:val="00834B5F"/>
    <w:rsid w:val="00836D3A"/>
    <w:rsid w:val="00842D93"/>
    <w:rsid w:val="00854263"/>
    <w:rsid w:val="0085510B"/>
    <w:rsid w:val="00870EFA"/>
    <w:rsid w:val="00871453"/>
    <w:rsid w:val="008802D9"/>
    <w:rsid w:val="008834F2"/>
    <w:rsid w:val="00883A38"/>
    <w:rsid w:val="00886DA1"/>
    <w:rsid w:val="00890092"/>
    <w:rsid w:val="00895DD8"/>
    <w:rsid w:val="008A0395"/>
    <w:rsid w:val="008A14BA"/>
    <w:rsid w:val="008A14E9"/>
    <w:rsid w:val="008A31F6"/>
    <w:rsid w:val="008B19F1"/>
    <w:rsid w:val="008B34CD"/>
    <w:rsid w:val="008B5EDF"/>
    <w:rsid w:val="008B7B0E"/>
    <w:rsid w:val="008C1DAD"/>
    <w:rsid w:val="008D4A4D"/>
    <w:rsid w:val="008E2C73"/>
    <w:rsid w:val="008E45BA"/>
    <w:rsid w:val="008F0334"/>
    <w:rsid w:val="008F733B"/>
    <w:rsid w:val="00900861"/>
    <w:rsid w:val="009008D8"/>
    <w:rsid w:val="00903302"/>
    <w:rsid w:val="009109D6"/>
    <w:rsid w:val="00911649"/>
    <w:rsid w:val="00917726"/>
    <w:rsid w:val="00923CB6"/>
    <w:rsid w:val="00923D5F"/>
    <w:rsid w:val="00937222"/>
    <w:rsid w:val="00937BCC"/>
    <w:rsid w:val="0094245A"/>
    <w:rsid w:val="0094659A"/>
    <w:rsid w:val="00946605"/>
    <w:rsid w:val="0095080B"/>
    <w:rsid w:val="00954914"/>
    <w:rsid w:val="00955276"/>
    <w:rsid w:val="009556CC"/>
    <w:rsid w:val="00955C75"/>
    <w:rsid w:val="00961CD7"/>
    <w:rsid w:val="00965573"/>
    <w:rsid w:val="00967400"/>
    <w:rsid w:val="0096754E"/>
    <w:rsid w:val="00980FC2"/>
    <w:rsid w:val="009834D7"/>
    <w:rsid w:val="00984FB1"/>
    <w:rsid w:val="00985BB8"/>
    <w:rsid w:val="0099219A"/>
    <w:rsid w:val="0099404E"/>
    <w:rsid w:val="009947B6"/>
    <w:rsid w:val="009971E7"/>
    <w:rsid w:val="009A05BD"/>
    <w:rsid w:val="009A170B"/>
    <w:rsid w:val="009A2BB9"/>
    <w:rsid w:val="009A3EE1"/>
    <w:rsid w:val="009A65A6"/>
    <w:rsid w:val="009A68B9"/>
    <w:rsid w:val="009B222A"/>
    <w:rsid w:val="009B38CF"/>
    <w:rsid w:val="009B67B5"/>
    <w:rsid w:val="009C6E56"/>
    <w:rsid w:val="009D0649"/>
    <w:rsid w:val="009D0FC8"/>
    <w:rsid w:val="009E2F43"/>
    <w:rsid w:val="009E4891"/>
    <w:rsid w:val="009E5197"/>
    <w:rsid w:val="009F29D7"/>
    <w:rsid w:val="009F2B61"/>
    <w:rsid w:val="009F3582"/>
    <w:rsid w:val="00A167A2"/>
    <w:rsid w:val="00A23BDC"/>
    <w:rsid w:val="00A2551E"/>
    <w:rsid w:val="00A26F3D"/>
    <w:rsid w:val="00A3259C"/>
    <w:rsid w:val="00A32CB1"/>
    <w:rsid w:val="00A33D08"/>
    <w:rsid w:val="00A34C6D"/>
    <w:rsid w:val="00A35F71"/>
    <w:rsid w:val="00A368BC"/>
    <w:rsid w:val="00A42849"/>
    <w:rsid w:val="00A458D5"/>
    <w:rsid w:val="00A4604F"/>
    <w:rsid w:val="00A46CFB"/>
    <w:rsid w:val="00A46E87"/>
    <w:rsid w:val="00A51182"/>
    <w:rsid w:val="00A56B9B"/>
    <w:rsid w:val="00A60108"/>
    <w:rsid w:val="00A613B5"/>
    <w:rsid w:val="00A64162"/>
    <w:rsid w:val="00A72A61"/>
    <w:rsid w:val="00A72B1B"/>
    <w:rsid w:val="00A76159"/>
    <w:rsid w:val="00A7776F"/>
    <w:rsid w:val="00A8378E"/>
    <w:rsid w:val="00A83AA9"/>
    <w:rsid w:val="00A87A07"/>
    <w:rsid w:val="00A95A99"/>
    <w:rsid w:val="00AA1445"/>
    <w:rsid w:val="00AA3263"/>
    <w:rsid w:val="00AA45DE"/>
    <w:rsid w:val="00AB4947"/>
    <w:rsid w:val="00AB497D"/>
    <w:rsid w:val="00AB5515"/>
    <w:rsid w:val="00AB5AE4"/>
    <w:rsid w:val="00AC237E"/>
    <w:rsid w:val="00AC3A4A"/>
    <w:rsid w:val="00AD1267"/>
    <w:rsid w:val="00AD13A1"/>
    <w:rsid w:val="00AD77B0"/>
    <w:rsid w:val="00AE4606"/>
    <w:rsid w:val="00AF1FDC"/>
    <w:rsid w:val="00AF5235"/>
    <w:rsid w:val="00B00860"/>
    <w:rsid w:val="00B04C68"/>
    <w:rsid w:val="00B0628D"/>
    <w:rsid w:val="00B109C3"/>
    <w:rsid w:val="00B13DAD"/>
    <w:rsid w:val="00B15407"/>
    <w:rsid w:val="00B1784C"/>
    <w:rsid w:val="00B2288C"/>
    <w:rsid w:val="00B3043B"/>
    <w:rsid w:val="00B353D2"/>
    <w:rsid w:val="00B37CA2"/>
    <w:rsid w:val="00B4219D"/>
    <w:rsid w:val="00B44BFD"/>
    <w:rsid w:val="00B465BD"/>
    <w:rsid w:val="00B506B9"/>
    <w:rsid w:val="00B51252"/>
    <w:rsid w:val="00B651B8"/>
    <w:rsid w:val="00B72EAB"/>
    <w:rsid w:val="00B817C0"/>
    <w:rsid w:val="00B832FB"/>
    <w:rsid w:val="00B90ECD"/>
    <w:rsid w:val="00B952A2"/>
    <w:rsid w:val="00BA17EB"/>
    <w:rsid w:val="00BA3990"/>
    <w:rsid w:val="00BA6EDE"/>
    <w:rsid w:val="00BB28AB"/>
    <w:rsid w:val="00BB69E3"/>
    <w:rsid w:val="00BB767E"/>
    <w:rsid w:val="00BC1C39"/>
    <w:rsid w:val="00BC234D"/>
    <w:rsid w:val="00BC44B6"/>
    <w:rsid w:val="00BC50DA"/>
    <w:rsid w:val="00BC668D"/>
    <w:rsid w:val="00BC6EC0"/>
    <w:rsid w:val="00BC74AA"/>
    <w:rsid w:val="00BC7544"/>
    <w:rsid w:val="00BD0395"/>
    <w:rsid w:val="00BD28B9"/>
    <w:rsid w:val="00BD4235"/>
    <w:rsid w:val="00BD57EF"/>
    <w:rsid w:val="00BD6E3B"/>
    <w:rsid w:val="00BE6CB8"/>
    <w:rsid w:val="00BF2DB0"/>
    <w:rsid w:val="00BF35C2"/>
    <w:rsid w:val="00BF42EB"/>
    <w:rsid w:val="00BF44F9"/>
    <w:rsid w:val="00BF5F7A"/>
    <w:rsid w:val="00BF7C9D"/>
    <w:rsid w:val="00C00D20"/>
    <w:rsid w:val="00C0294F"/>
    <w:rsid w:val="00C10512"/>
    <w:rsid w:val="00C121D0"/>
    <w:rsid w:val="00C142E6"/>
    <w:rsid w:val="00C15C36"/>
    <w:rsid w:val="00C23638"/>
    <w:rsid w:val="00C247D1"/>
    <w:rsid w:val="00C24D50"/>
    <w:rsid w:val="00C26C76"/>
    <w:rsid w:val="00C33D17"/>
    <w:rsid w:val="00C33D34"/>
    <w:rsid w:val="00C34964"/>
    <w:rsid w:val="00C40436"/>
    <w:rsid w:val="00C433C3"/>
    <w:rsid w:val="00C43916"/>
    <w:rsid w:val="00C43E95"/>
    <w:rsid w:val="00C44B00"/>
    <w:rsid w:val="00C4780F"/>
    <w:rsid w:val="00C62FC2"/>
    <w:rsid w:val="00C65BE6"/>
    <w:rsid w:val="00C66DC1"/>
    <w:rsid w:val="00C71CC9"/>
    <w:rsid w:val="00C729E8"/>
    <w:rsid w:val="00C73514"/>
    <w:rsid w:val="00C73695"/>
    <w:rsid w:val="00C77EB7"/>
    <w:rsid w:val="00C84783"/>
    <w:rsid w:val="00C91F30"/>
    <w:rsid w:val="00C926CA"/>
    <w:rsid w:val="00C95CFA"/>
    <w:rsid w:val="00C96F62"/>
    <w:rsid w:val="00CA4946"/>
    <w:rsid w:val="00CB43F7"/>
    <w:rsid w:val="00CD6DBE"/>
    <w:rsid w:val="00CD6E89"/>
    <w:rsid w:val="00CE5343"/>
    <w:rsid w:val="00CE6D0C"/>
    <w:rsid w:val="00CE7660"/>
    <w:rsid w:val="00D0441D"/>
    <w:rsid w:val="00D06B01"/>
    <w:rsid w:val="00D103A1"/>
    <w:rsid w:val="00D12FBB"/>
    <w:rsid w:val="00D131F8"/>
    <w:rsid w:val="00D15FAC"/>
    <w:rsid w:val="00D16861"/>
    <w:rsid w:val="00D16C1B"/>
    <w:rsid w:val="00D206DD"/>
    <w:rsid w:val="00D216E7"/>
    <w:rsid w:val="00D231C4"/>
    <w:rsid w:val="00D2515C"/>
    <w:rsid w:val="00D27CF4"/>
    <w:rsid w:val="00D32F3B"/>
    <w:rsid w:val="00D33367"/>
    <w:rsid w:val="00D342DA"/>
    <w:rsid w:val="00D356D2"/>
    <w:rsid w:val="00D358D5"/>
    <w:rsid w:val="00D36322"/>
    <w:rsid w:val="00D366A3"/>
    <w:rsid w:val="00D36C50"/>
    <w:rsid w:val="00D40826"/>
    <w:rsid w:val="00D4417C"/>
    <w:rsid w:val="00D55E82"/>
    <w:rsid w:val="00D64451"/>
    <w:rsid w:val="00D65F1C"/>
    <w:rsid w:val="00D66026"/>
    <w:rsid w:val="00D715D9"/>
    <w:rsid w:val="00D7306F"/>
    <w:rsid w:val="00D730DA"/>
    <w:rsid w:val="00D73305"/>
    <w:rsid w:val="00D75A6E"/>
    <w:rsid w:val="00D80267"/>
    <w:rsid w:val="00D807F6"/>
    <w:rsid w:val="00D84A8D"/>
    <w:rsid w:val="00D8722E"/>
    <w:rsid w:val="00D87842"/>
    <w:rsid w:val="00D91D10"/>
    <w:rsid w:val="00D93FFC"/>
    <w:rsid w:val="00D95ADD"/>
    <w:rsid w:val="00DA5EFD"/>
    <w:rsid w:val="00DB0B9C"/>
    <w:rsid w:val="00DB2E97"/>
    <w:rsid w:val="00DC09BD"/>
    <w:rsid w:val="00DC0AED"/>
    <w:rsid w:val="00DC5251"/>
    <w:rsid w:val="00DD1948"/>
    <w:rsid w:val="00DD1B2C"/>
    <w:rsid w:val="00DD2345"/>
    <w:rsid w:val="00DD3781"/>
    <w:rsid w:val="00DD434D"/>
    <w:rsid w:val="00DE0560"/>
    <w:rsid w:val="00DE39BF"/>
    <w:rsid w:val="00DE47F5"/>
    <w:rsid w:val="00DF124F"/>
    <w:rsid w:val="00DF1877"/>
    <w:rsid w:val="00DF26DD"/>
    <w:rsid w:val="00DF39B5"/>
    <w:rsid w:val="00E066A4"/>
    <w:rsid w:val="00E069F2"/>
    <w:rsid w:val="00E12195"/>
    <w:rsid w:val="00E12ED8"/>
    <w:rsid w:val="00E13621"/>
    <w:rsid w:val="00E15B6B"/>
    <w:rsid w:val="00E172F7"/>
    <w:rsid w:val="00E21C55"/>
    <w:rsid w:val="00E32A24"/>
    <w:rsid w:val="00E34E09"/>
    <w:rsid w:val="00E372B8"/>
    <w:rsid w:val="00E37BC2"/>
    <w:rsid w:val="00E44618"/>
    <w:rsid w:val="00E458CE"/>
    <w:rsid w:val="00E45D27"/>
    <w:rsid w:val="00E500B6"/>
    <w:rsid w:val="00E52F14"/>
    <w:rsid w:val="00E55350"/>
    <w:rsid w:val="00E55AF9"/>
    <w:rsid w:val="00E61A04"/>
    <w:rsid w:val="00E70246"/>
    <w:rsid w:val="00E71017"/>
    <w:rsid w:val="00E72B4B"/>
    <w:rsid w:val="00E72DB4"/>
    <w:rsid w:val="00E746A9"/>
    <w:rsid w:val="00E7470B"/>
    <w:rsid w:val="00E76524"/>
    <w:rsid w:val="00E90720"/>
    <w:rsid w:val="00E94C0B"/>
    <w:rsid w:val="00E9696D"/>
    <w:rsid w:val="00E973FB"/>
    <w:rsid w:val="00EA0E36"/>
    <w:rsid w:val="00EB0912"/>
    <w:rsid w:val="00EB4762"/>
    <w:rsid w:val="00EB753B"/>
    <w:rsid w:val="00EC730E"/>
    <w:rsid w:val="00ED3088"/>
    <w:rsid w:val="00EE35BC"/>
    <w:rsid w:val="00EE6A49"/>
    <w:rsid w:val="00EF0061"/>
    <w:rsid w:val="00EF42E5"/>
    <w:rsid w:val="00EF7C30"/>
    <w:rsid w:val="00F010A1"/>
    <w:rsid w:val="00F06870"/>
    <w:rsid w:val="00F07D41"/>
    <w:rsid w:val="00F1227D"/>
    <w:rsid w:val="00F12EBB"/>
    <w:rsid w:val="00F157BD"/>
    <w:rsid w:val="00F21DB2"/>
    <w:rsid w:val="00F229DD"/>
    <w:rsid w:val="00F23BFC"/>
    <w:rsid w:val="00F2764E"/>
    <w:rsid w:val="00F27B8C"/>
    <w:rsid w:val="00F34465"/>
    <w:rsid w:val="00F45983"/>
    <w:rsid w:val="00F462D0"/>
    <w:rsid w:val="00F50509"/>
    <w:rsid w:val="00F62040"/>
    <w:rsid w:val="00F62848"/>
    <w:rsid w:val="00F6509D"/>
    <w:rsid w:val="00F718BE"/>
    <w:rsid w:val="00F76800"/>
    <w:rsid w:val="00F7734D"/>
    <w:rsid w:val="00F818A4"/>
    <w:rsid w:val="00F81B1C"/>
    <w:rsid w:val="00F905B9"/>
    <w:rsid w:val="00F92DB0"/>
    <w:rsid w:val="00FA4612"/>
    <w:rsid w:val="00FA4F6E"/>
    <w:rsid w:val="00FA54C8"/>
    <w:rsid w:val="00FA5F00"/>
    <w:rsid w:val="00FB1875"/>
    <w:rsid w:val="00FB64EA"/>
    <w:rsid w:val="00FB7C4C"/>
    <w:rsid w:val="00FC1C3B"/>
    <w:rsid w:val="00FC5948"/>
    <w:rsid w:val="00FD18A6"/>
    <w:rsid w:val="00FD20D9"/>
    <w:rsid w:val="00FD5F39"/>
    <w:rsid w:val="00FE0B88"/>
    <w:rsid w:val="00FE3E9B"/>
    <w:rsid w:val="00FE4E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707C8"/>
  <w15:docId w15:val="{ABDA6BD9-ED84-444C-A4FA-CDFDB5388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spacing w:before="240" w:after="60" w:line="240" w:lineRule="auto"/>
      <w:outlineLvl w:val="0"/>
    </w:pPr>
    <w:rPr>
      <w:rFonts w:ascii="Arial" w:eastAsia="Arial" w:hAnsi="Arial" w:cs="Arial"/>
      <w:b/>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link w:val="TitleChar"/>
    <w:uiPriority w:val="10"/>
    <w:qFormat/>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1635BB"/>
    <w:rPr>
      <w:b/>
      <w:bCs/>
    </w:rPr>
  </w:style>
  <w:style w:type="character" w:customStyle="1" w:styleId="CommentSubjectChar">
    <w:name w:val="Comment Subject Char"/>
    <w:basedOn w:val="CommentTextChar"/>
    <w:link w:val="CommentSubject"/>
    <w:uiPriority w:val="99"/>
    <w:semiHidden/>
    <w:rsid w:val="001635BB"/>
    <w:rPr>
      <w:b/>
      <w:bCs/>
      <w:sz w:val="20"/>
      <w:szCs w:val="20"/>
    </w:rPr>
  </w:style>
  <w:style w:type="paragraph" w:styleId="BalloonText">
    <w:name w:val="Balloon Text"/>
    <w:basedOn w:val="Normal"/>
    <w:link w:val="BalloonTextChar"/>
    <w:uiPriority w:val="99"/>
    <w:semiHidden/>
    <w:unhideWhenUsed/>
    <w:rsid w:val="001635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35BB"/>
    <w:rPr>
      <w:rFonts w:ascii="Segoe UI" w:hAnsi="Segoe UI" w:cs="Segoe UI"/>
      <w:sz w:val="18"/>
      <w:szCs w:val="18"/>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3"/>
    <w:basedOn w:val="Normal"/>
    <w:link w:val="ListParagraphChar"/>
    <w:uiPriority w:val="34"/>
    <w:qFormat/>
    <w:rsid w:val="009D0649"/>
    <w:pPr>
      <w:ind w:left="720"/>
      <w:contextualSpacing/>
    </w:pPr>
  </w:style>
  <w:style w:type="paragraph" w:styleId="NormalWeb">
    <w:name w:val="Normal (Web)"/>
    <w:basedOn w:val="Normal"/>
    <w:uiPriority w:val="99"/>
    <w:unhideWhenUsed/>
    <w:rsid w:val="00357B25"/>
    <w:pPr>
      <w:spacing w:before="100" w:beforeAutospacing="1" w:after="100" w:afterAutospacing="1" w:line="240" w:lineRule="auto"/>
    </w:pPr>
    <w:rPr>
      <w:rFonts w:ascii="Times New Roman" w:eastAsia="Times New Roman" w:hAnsi="Times New Roman" w:cs="Times New Roman"/>
      <w:sz w:val="24"/>
      <w:szCs w:val="24"/>
      <w:lang w:val="ru-RU"/>
    </w:rPr>
  </w:style>
  <w:style w:type="character" w:styleId="Strong">
    <w:name w:val="Strong"/>
    <w:basedOn w:val="DefaultParagraphFont"/>
    <w:uiPriority w:val="22"/>
    <w:qFormat/>
    <w:rsid w:val="00FE4E6E"/>
    <w:rPr>
      <w:b/>
      <w:bCs/>
    </w:rPr>
  </w:style>
  <w:style w:type="table" w:styleId="TableGrid">
    <w:name w:val="Table Grid"/>
    <w:basedOn w:val="TableNormal"/>
    <w:uiPriority w:val="39"/>
    <w:rsid w:val="005F5EB3"/>
    <w:pPr>
      <w:spacing w:after="0" w:line="240" w:lineRule="auto"/>
    </w:pPr>
    <w:rPr>
      <w:rFonts w:asciiTheme="minorHAnsi" w:eastAsiaTheme="minorHAnsi" w:hAnsiTheme="minorHAnsi" w:cstheme="minorBidi"/>
      <w:kern w:val="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3 Char"/>
    <w:link w:val="ListParagraph"/>
    <w:uiPriority w:val="34"/>
    <w:qFormat/>
    <w:locked/>
    <w:rsid w:val="00C43916"/>
  </w:style>
  <w:style w:type="character" w:styleId="Hyperlink">
    <w:name w:val="Hyperlink"/>
    <w:uiPriority w:val="99"/>
    <w:unhideWhenUsed/>
    <w:rsid w:val="00A72A61"/>
    <w:rPr>
      <w:color w:val="0000FF"/>
      <w:u w:val="single"/>
    </w:rPr>
  </w:style>
  <w:style w:type="paragraph" w:styleId="Revision">
    <w:name w:val="Revision"/>
    <w:hidden/>
    <w:uiPriority w:val="99"/>
    <w:semiHidden/>
    <w:rsid w:val="002D0091"/>
    <w:pPr>
      <w:spacing w:after="0" w:line="240" w:lineRule="auto"/>
    </w:pPr>
  </w:style>
  <w:style w:type="character" w:customStyle="1" w:styleId="TitleChar">
    <w:name w:val="Title Char"/>
    <w:basedOn w:val="DefaultParagraphFont"/>
    <w:link w:val="Title"/>
    <w:uiPriority w:val="10"/>
    <w:rsid w:val="009F2B61"/>
    <w:rPr>
      <w:b/>
      <w:sz w:val="72"/>
      <w:szCs w:val="72"/>
    </w:rPr>
  </w:style>
  <w:style w:type="paragraph" w:styleId="Header">
    <w:name w:val="header"/>
    <w:basedOn w:val="Normal"/>
    <w:link w:val="HeaderChar"/>
    <w:uiPriority w:val="99"/>
    <w:unhideWhenUsed/>
    <w:rsid w:val="00DD23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2345"/>
  </w:style>
  <w:style w:type="paragraph" w:styleId="Footer">
    <w:name w:val="footer"/>
    <w:basedOn w:val="Normal"/>
    <w:link w:val="FooterChar"/>
    <w:uiPriority w:val="99"/>
    <w:unhideWhenUsed/>
    <w:rsid w:val="00DD23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2345"/>
  </w:style>
  <w:style w:type="character" w:styleId="FollowedHyperlink">
    <w:name w:val="FollowedHyperlink"/>
    <w:basedOn w:val="DefaultParagraphFont"/>
    <w:uiPriority w:val="99"/>
    <w:semiHidden/>
    <w:unhideWhenUsed/>
    <w:rsid w:val="00E13621"/>
    <w:rPr>
      <w:color w:val="800080" w:themeColor="followedHyperlink"/>
      <w:u w:val="single"/>
    </w:rPr>
  </w:style>
  <w:style w:type="paragraph" w:customStyle="1" w:styleId="msonormal0">
    <w:name w:val="msonormal"/>
    <w:basedOn w:val="Normal"/>
    <w:rsid w:val="00E13621"/>
    <w:pPr>
      <w:spacing w:before="100" w:beforeAutospacing="1" w:after="100" w:afterAutospacing="1" w:line="240" w:lineRule="auto"/>
    </w:pPr>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770162">
      <w:bodyDiv w:val="1"/>
      <w:marLeft w:val="0"/>
      <w:marRight w:val="0"/>
      <w:marTop w:val="0"/>
      <w:marBottom w:val="0"/>
      <w:divBdr>
        <w:top w:val="none" w:sz="0" w:space="0" w:color="auto"/>
        <w:left w:val="none" w:sz="0" w:space="0" w:color="auto"/>
        <w:bottom w:val="none" w:sz="0" w:space="0" w:color="auto"/>
        <w:right w:val="none" w:sz="0" w:space="0" w:color="auto"/>
      </w:divBdr>
    </w:div>
    <w:div w:id="373703350">
      <w:bodyDiv w:val="1"/>
      <w:marLeft w:val="0"/>
      <w:marRight w:val="0"/>
      <w:marTop w:val="0"/>
      <w:marBottom w:val="0"/>
      <w:divBdr>
        <w:top w:val="none" w:sz="0" w:space="0" w:color="auto"/>
        <w:left w:val="none" w:sz="0" w:space="0" w:color="auto"/>
        <w:bottom w:val="none" w:sz="0" w:space="0" w:color="auto"/>
        <w:right w:val="none" w:sz="0" w:space="0" w:color="auto"/>
      </w:divBdr>
    </w:div>
    <w:div w:id="534733182">
      <w:bodyDiv w:val="1"/>
      <w:marLeft w:val="0"/>
      <w:marRight w:val="0"/>
      <w:marTop w:val="0"/>
      <w:marBottom w:val="0"/>
      <w:divBdr>
        <w:top w:val="none" w:sz="0" w:space="0" w:color="auto"/>
        <w:left w:val="none" w:sz="0" w:space="0" w:color="auto"/>
        <w:bottom w:val="none" w:sz="0" w:space="0" w:color="auto"/>
        <w:right w:val="none" w:sz="0" w:space="0" w:color="auto"/>
      </w:divBdr>
    </w:div>
    <w:div w:id="571157199">
      <w:bodyDiv w:val="1"/>
      <w:marLeft w:val="0"/>
      <w:marRight w:val="0"/>
      <w:marTop w:val="0"/>
      <w:marBottom w:val="0"/>
      <w:divBdr>
        <w:top w:val="none" w:sz="0" w:space="0" w:color="auto"/>
        <w:left w:val="none" w:sz="0" w:space="0" w:color="auto"/>
        <w:bottom w:val="none" w:sz="0" w:space="0" w:color="auto"/>
        <w:right w:val="none" w:sz="0" w:space="0" w:color="auto"/>
      </w:divBdr>
    </w:div>
    <w:div w:id="643239853">
      <w:bodyDiv w:val="1"/>
      <w:marLeft w:val="0"/>
      <w:marRight w:val="0"/>
      <w:marTop w:val="0"/>
      <w:marBottom w:val="0"/>
      <w:divBdr>
        <w:top w:val="none" w:sz="0" w:space="0" w:color="auto"/>
        <w:left w:val="none" w:sz="0" w:space="0" w:color="auto"/>
        <w:bottom w:val="none" w:sz="0" w:space="0" w:color="auto"/>
        <w:right w:val="none" w:sz="0" w:space="0" w:color="auto"/>
      </w:divBdr>
    </w:div>
    <w:div w:id="1013384708">
      <w:bodyDiv w:val="1"/>
      <w:marLeft w:val="0"/>
      <w:marRight w:val="0"/>
      <w:marTop w:val="0"/>
      <w:marBottom w:val="0"/>
      <w:divBdr>
        <w:top w:val="none" w:sz="0" w:space="0" w:color="auto"/>
        <w:left w:val="none" w:sz="0" w:space="0" w:color="auto"/>
        <w:bottom w:val="none" w:sz="0" w:space="0" w:color="auto"/>
        <w:right w:val="none" w:sz="0" w:space="0" w:color="auto"/>
      </w:divBdr>
    </w:div>
    <w:div w:id="1095055110">
      <w:bodyDiv w:val="1"/>
      <w:marLeft w:val="0"/>
      <w:marRight w:val="0"/>
      <w:marTop w:val="0"/>
      <w:marBottom w:val="0"/>
      <w:divBdr>
        <w:top w:val="none" w:sz="0" w:space="0" w:color="auto"/>
        <w:left w:val="none" w:sz="0" w:space="0" w:color="auto"/>
        <w:bottom w:val="none" w:sz="0" w:space="0" w:color="auto"/>
        <w:right w:val="none" w:sz="0" w:space="0" w:color="auto"/>
      </w:divBdr>
    </w:div>
    <w:div w:id="1154102737">
      <w:bodyDiv w:val="1"/>
      <w:marLeft w:val="0"/>
      <w:marRight w:val="0"/>
      <w:marTop w:val="0"/>
      <w:marBottom w:val="0"/>
      <w:divBdr>
        <w:top w:val="none" w:sz="0" w:space="0" w:color="auto"/>
        <w:left w:val="none" w:sz="0" w:space="0" w:color="auto"/>
        <w:bottom w:val="none" w:sz="0" w:space="0" w:color="auto"/>
        <w:right w:val="none" w:sz="0" w:space="0" w:color="auto"/>
      </w:divBdr>
    </w:div>
    <w:div w:id="1178159127">
      <w:bodyDiv w:val="1"/>
      <w:marLeft w:val="0"/>
      <w:marRight w:val="0"/>
      <w:marTop w:val="0"/>
      <w:marBottom w:val="0"/>
      <w:divBdr>
        <w:top w:val="none" w:sz="0" w:space="0" w:color="auto"/>
        <w:left w:val="none" w:sz="0" w:space="0" w:color="auto"/>
        <w:bottom w:val="none" w:sz="0" w:space="0" w:color="auto"/>
        <w:right w:val="none" w:sz="0" w:space="0" w:color="auto"/>
      </w:divBdr>
    </w:div>
    <w:div w:id="1263418295">
      <w:bodyDiv w:val="1"/>
      <w:marLeft w:val="0"/>
      <w:marRight w:val="0"/>
      <w:marTop w:val="0"/>
      <w:marBottom w:val="0"/>
      <w:divBdr>
        <w:top w:val="none" w:sz="0" w:space="0" w:color="auto"/>
        <w:left w:val="none" w:sz="0" w:space="0" w:color="auto"/>
        <w:bottom w:val="none" w:sz="0" w:space="0" w:color="auto"/>
        <w:right w:val="none" w:sz="0" w:space="0" w:color="auto"/>
      </w:divBdr>
    </w:div>
    <w:div w:id="1318191293">
      <w:bodyDiv w:val="1"/>
      <w:marLeft w:val="0"/>
      <w:marRight w:val="0"/>
      <w:marTop w:val="0"/>
      <w:marBottom w:val="0"/>
      <w:divBdr>
        <w:top w:val="none" w:sz="0" w:space="0" w:color="auto"/>
        <w:left w:val="none" w:sz="0" w:space="0" w:color="auto"/>
        <w:bottom w:val="none" w:sz="0" w:space="0" w:color="auto"/>
        <w:right w:val="none" w:sz="0" w:space="0" w:color="auto"/>
      </w:divBdr>
    </w:div>
    <w:div w:id="1432240960">
      <w:bodyDiv w:val="1"/>
      <w:marLeft w:val="0"/>
      <w:marRight w:val="0"/>
      <w:marTop w:val="0"/>
      <w:marBottom w:val="0"/>
      <w:divBdr>
        <w:top w:val="none" w:sz="0" w:space="0" w:color="auto"/>
        <w:left w:val="none" w:sz="0" w:space="0" w:color="auto"/>
        <w:bottom w:val="none" w:sz="0" w:space="0" w:color="auto"/>
        <w:right w:val="none" w:sz="0" w:space="0" w:color="auto"/>
      </w:divBdr>
    </w:div>
    <w:div w:id="1473597219">
      <w:bodyDiv w:val="1"/>
      <w:marLeft w:val="0"/>
      <w:marRight w:val="0"/>
      <w:marTop w:val="0"/>
      <w:marBottom w:val="0"/>
      <w:divBdr>
        <w:top w:val="none" w:sz="0" w:space="0" w:color="auto"/>
        <w:left w:val="none" w:sz="0" w:space="0" w:color="auto"/>
        <w:bottom w:val="none" w:sz="0" w:space="0" w:color="auto"/>
        <w:right w:val="none" w:sz="0" w:space="0" w:color="auto"/>
      </w:divBdr>
    </w:div>
    <w:div w:id="1687631219">
      <w:bodyDiv w:val="1"/>
      <w:marLeft w:val="0"/>
      <w:marRight w:val="0"/>
      <w:marTop w:val="0"/>
      <w:marBottom w:val="0"/>
      <w:divBdr>
        <w:top w:val="none" w:sz="0" w:space="0" w:color="auto"/>
        <w:left w:val="none" w:sz="0" w:space="0" w:color="auto"/>
        <w:bottom w:val="none" w:sz="0" w:space="0" w:color="auto"/>
        <w:right w:val="none" w:sz="0" w:space="0" w:color="auto"/>
      </w:divBdr>
    </w:div>
    <w:div w:id="1822429440">
      <w:bodyDiv w:val="1"/>
      <w:marLeft w:val="0"/>
      <w:marRight w:val="0"/>
      <w:marTop w:val="0"/>
      <w:marBottom w:val="0"/>
      <w:divBdr>
        <w:top w:val="none" w:sz="0" w:space="0" w:color="auto"/>
        <w:left w:val="none" w:sz="0" w:space="0" w:color="auto"/>
        <w:bottom w:val="none" w:sz="0" w:space="0" w:color="auto"/>
        <w:right w:val="none" w:sz="0" w:space="0" w:color="auto"/>
      </w:divBdr>
    </w:div>
    <w:div w:id="21448098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isability.am/user-applicatio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F10242-19AC-4520-91BF-93BC0707B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2049</TotalTime>
  <Pages>20</Pages>
  <Words>3682</Words>
  <Characters>28655</Characters>
  <Application>Microsoft Office Word</Application>
  <DocSecurity>0</DocSecurity>
  <Lines>572</Lines>
  <Paragraphs>169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Lusine.Harutyunyan</dc:creator>
  <cp:keywords>https://mul2.gov.am/tasks/1264496/oneclick?token=ac5fb7e9a3568125d9628b5851e58485</cp:keywords>
  <cp:lastModifiedBy>Tatevik Stepanyan</cp:lastModifiedBy>
  <cp:revision>432</cp:revision>
  <cp:lastPrinted>2025-07-28T08:49:00Z</cp:lastPrinted>
  <dcterms:created xsi:type="dcterms:W3CDTF">2024-08-14T14:08:00Z</dcterms:created>
  <dcterms:modified xsi:type="dcterms:W3CDTF">2026-02-04T08:41:00Z</dcterms:modified>
</cp:coreProperties>
</file>