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F0DEE" w14:textId="77777777" w:rsidR="000D4BF7" w:rsidRDefault="000D4BF7" w:rsidP="000D4BF7">
      <w:pPr>
        <w:spacing w:after="0" w:line="360" w:lineRule="auto"/>
        <w:jc w:val="center"/>
        <w:rPr>
          <w:rFonts w:eastAsia="Calibri" w:cs="Times New Roman"/>
          <w:b/>
          <w:bCs/>
          <w:sz w:val="24"/>
          <w:szCs w:val="24"/>
          <w:lang w:val="hy-AM"/>
        </w:rPr>
      </w:pPr>
      <w:r>
        <w:rPr>
          <w:rFonts w:eastAsia="Calibri" w:cs="Times New Roman"/>
          <w:b/>
          <w:bCs/>
          <w:sz w:val="24"/>
          <w:szCs w:val="24"/>
          <w:lang w:val="hy-AM"/>
        </w:rPr>
        <w:t>ՀԻՄՆԱՎՈՐՈՒՄ</w:t>
      </w:r>
    </w:p>
    <w:p w14:paraId="08B65B46" w14:textId="77777777" w:rsidR="000D4BF7" w:rsidRDefault="000D4BF7" w:rsidP="000D4BF7">
      <w:pPr>
        <w:spacing w:after="0" w:line="360" w:lineRule="auto"/>
        <w:jc w:val="center"/>
        <w:rPr>
          <w:rFonts w:eastAsia="Calibri" w:cs="Times New Roman"/>
          <w:b/>
          <w:bCs/>
          <w:sz w:val="24"/>
          <w:szCs w:val="24"/>
          <w:lang w:val="hy-AM"/>
        </w:rPr>
      </w:pPr>
    </w:p>
    <w:p w14:paraId="56D850EA" w14:textId="77777777" w:rsidR="000D4BF7" w:rsidRDefault="000D4BF7" w:rsidP="000D4BF7">
      <w:pPr>
        <w:spacing w:line="360" w:lineRule="auto"/>
        <w:jc w:val="center"/>
        <w:rPr>
          <w:rFonts w:eastAsia="Calibri" w:cs="Times New Roman"/>
          <w:b/>
          <w:bCs/>
          <w:sz w:val="24"/>
          <w:szCs w:val="24"/>
          <w:lang w:val="hy-AM"/>
        </w:rPr>
      </w:pPr>
      <w:r>
        <w:rPr>
          <w:rFonts w:eastAsia="GHEA Grapalat" w:cs="GHEA Grapalat"/>
          <w:b/>
          <w:sz w:val="24"/>
          <w:szCs w:val="24"/>
          <w:lang w:val="hy-AM"/>
        </w:rPr>
        <w:t xml:space="preserve">«ՀԱՅԱՍՏԱՆԻ ՀԱՆՐԱՊԵՏՈՒԹՅԱՆ ԿԱՌԱՎԱՐՈՒԹՅԱՆ 2022 ԹՎԱԿԱՆԻ ՀՈՒԼԻՍԻ 28-Ի N 1177-Ն, N 1180-Ն ԵՎ N 1161-Ն ՈՐՈՇՈՒՄՆԵՐՈՒՄ ՓՈՓՈԽՈՒԹՅՈՒՆՆԵՐ ԵՎ ԼՐԱՑՈՒՄՆԵՐ ԿԱՏԱՐԵԼՈՒ ՄԱՍԻՆ»  </w:t>
      </w:r>
      <w:r>
        <w:rPr>
          <w:rFonts w:eastAsia="Calibri" w:cs="Times New Roman"/>
          <w:b/>
          <w:bCs/>
          <w:sz w:val="24"/>
          <w:szCs w:val="24"/>
          <w:lang w:val="hy-AM"/>
        </w:rPr>
        <w:t>ԿԱՌԱՎԱՐՈՒԹՅԱՆ ՈՐՈՇՄԱՆ ՆԱԽԱԳԾԻ ԸՆԴՈՒՆՄԱՆ</w:t>
      </w:r>
    </w:p>
    <w:p w14:paraId="43A4FB99" w14:textId="77777777" w:rsidR="000D4BF7" w:rsidRDefault="000D4BF7" w:rsidP="000D4BF7">
      <w:pPr>
        <w:spacing w:line="360" w:lineRule="auto"/>
        <w:jc w:val="center"/>
        <w:rPr>
          <w:sz w:val="24"/>
          <w:szCs w:val="24"/>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0D4BF7" w14:paraId="7336D928" w14:textId="77777777" w:rsidTr="000D4BF7">
        <w:tc>
          <w:tcPr>
            <w:tcW w:w="9720" w:type="dxa"/>
            <w:gridSpan w:val="2"/>
            <w:tcBorders>
              <w:top w:val="single" w:sz="4" w:space="0" w:color="000000"/>
              <w:left w:val="single" w:sz="4" w:space="0" w:color="000000"/>
              <w:bottom w:val="single" w:sz="4" w:space="0" w:color="000000"/>
              <w:right w:val="single" w:sz="4" w:space="0" w:color="000000"/>
            </w:tcBorders>
            <w:hideMark/>
          </w:tcPr>
          <w:p w14:paraId="2B54E736" w14:textId="77777777" w:rsidR="000D4BF7" w:rsidRDefault="000D4BF7">
            <w:pPr>
              <w:widowControl w:val="0"/>
              <w:spacing w:line="360" w:lineRule="auto"/>
              <w:jc w:val="both"/>
              <w:rPr>
                <w:b/>
                <w:sz w:val="24"/>
                <w:szCs w:val="24"/>
              </w:rPr>
            </w:pPr>
            <w:r>
              <w:rPr>
                <w:b/>
                <w:sz w:val="24"/>
                <w:szCs w:val="24"/>
              </w:rPr>
              <w:t>Իրավական ակտի հիմնավորումը</w:t>
            </w:r>
          </w:p>
        </w:tc>
      </w:tr>
      <w:tr w:rsidR="000D4BF7" w14:paraId="11D1E8B5" w14:textId="77777777" w:rsidTr="000D4BF7">
        <w:trPr>
          <w:trHeight w:val="386"/>
        </w:trPr>
        <w:tc>
          <w:tcPr>
            <w:tcW w:w="697" w:type="dxa"/>
            <w:tcBorders>
              <w:top w:val="single" w:sz="4" w:space="0" w:color="000000"/>
              <w:left w:val="single" w:sz="4" w:space="0" w:color="000000"/>
              <w:bottom w:val="single" w:sz="4" w:space="0" w:color="000000"/>
              <w:right w:val="single" w:sz="4" w:space="0" w:color="000000"/>
            </w:tcBorders>
            <w:hideMark/>
          </w:tcPr>
          <w:p w14:paraId="1A35CBDE" w14:textId="77777777" w:rsidR="000D4BF7" w:rsidRDefault="000D4BF7">
            <w:pPr>
              <w:widowControl w:val="0"/>
              <w:spacing w:line="360" w:lineRule="auto"/>
              <w:jc w:val="both"/>
              <w:rPr>
                <w:b/>
                <w:sz w:val="24"/>
                <w:szCs w:val="24"/>
              </w:rPr>
            </w:pPr>
            <w:r>
              <w:rPr>
                <w:b/>
                <w:sz w:val="24"/>
                <w:szCs w:val="24"/>
              </w:rPr>
              <w:t>1.</w:t>
            </w:r>
          </w:p>
        </w:tc>
        <w:tc>
          <w:tcPr>
            <w:tcW w:w="9023" w:type="dxa"/>
            <w:tcBorders>
              <w:top w:val="single" w:sz="4" w:space="0" w:color="000000"/>
              <w:left w:val="single" w:sz="4" w:space="0" w:color="000000"/>
              <w:bottom w:val="single" w:sz="4" w:space="0" w:color="000000"/>
              <w:right w:val="single" w:sz="4" w:space="0" w:color="000000"/>
            </w:tcBorders>
            <w:hideMark/>
          </w:tcPr>
          <w:p w14:paraId="1CDAD2B3" w14:textId="77777777" w:rsidR="000D4BF7" w:rsidRDefault="000D4BF7">
            <w:pPr>
              <w:widowControl w:val="0"/>
              <w:spacing w:line="360" w:lineRule="auto"/>
              <w:jc w:val="both"/>
              <w:rPr>
                <w:b/>
                <w:sz w:val="24"/>
                <w:szCs w:val="24"/>
              </w:rPr>
            </w:pPr>
            <w:r>
              <w:rPr>
                <w:b/>
                <w:sz w:val="24"/>
                <w:szCs w:val="24"/>
              </w:rPr>
              <w:t>Անհրաժեշտությունը</w:t>
            </w:r>
          </w:p>
        </w:tc>
      </w:tr>
      <w:tr w:rsidR="000D4BF7" w14:paraId="29C7479D" w14:textId="77777777" w:rsidTr="000D4BF7">
        <w:trPr>
          <w:trHeight w:val="454"/>
        </w:trPr>
        <w:tc>
          <w:tcPr>
            <w:tcW w:w="697" w:type="dxa"/>
            <w:tcBorders>
              <w:top w:val="single" w:sz="4" w:space="0" w:color="000000"/>
              <w:left w:val="single" w:sz="4" w:space="0" w:color="000000"/>
              <w:bottom w:val="single" w:sz="4" w:space="0" w:color="000000"/>
              <w:right w:val="single" w:sz="4" w:space="0" w:color="000000"/>
            </w:tcBorders>
          </w:tcPr>
          <w:p w14:paraId="3CD92CC3" w14:textId="77777777" w:rsidR="000D4BF7" w:rsidRDefault="000D4BF7">
            <w:pPr>
              <w:widowControl w:val="0"/>
              <w:spacing w:line="360" w:lineRule="auto"/>
              <w:jc w:val="both"/>
              <w:rPr>
                <w:sz w:val="24"/>
                <w:szCs w:val="24"/>
              </w:rPr>
            </w:pPr>
          </w:p>
        </w:tc>
        <w:tc>
          <w:tcPr>
            <w:tcW w:w="9023" w:type="dxa"/>
            <w:tcBorders>
              <w:top w:val="single" w:sz="4" w:space="0" w:color="000000"/>
              <w:left w:val="single" w:sz="4" w:space="0" w:color="000000"/>
              <w:bottom w:val="single" w:sz="4" w:space="0" w:color="000000"/>
              <w:right w:val="single" w:sz="4" w:space="0" w:color="000000"/>
            </w:tcBorders>
            <w:hideMark/>
          </w:tcPr>
          <w:p w14:paraId="729719D7" w14:textId="77777777" w:rsidR="000D4BF7" w:rsidRDefault="000D4BF7">
            <w:pPr>
              <w:pStyle w:val="mcntmsonormal1"/>
              <w:spacing w:before="0" w:beforeAutospacing="0" w:after="0" w:afterAutospacing="0" w:line="360" w:lineRule="auto"/>
              <w:ind w:firstLine="720"/>
              <w:jc w:val="both"/>
              <w:rPr>
                <w:rFonts w:ascii="GHEA Grapalat" w:hAnsi="GHEA Grapalat" w:cs="Calibri"/>
              </w:rPr>
            </w:pPr>
            <w:r>
              <w:rPr>
                <w:rFonts w:ascii="GHEA Grapalat" w:hAnsi="GHEA Grapalat" w:cs="Calibri"/>
                <w:color w:val="000000"/>
                <w:shd w:val="clear" w:color="auto" w:fill="FFFFFF"/>
              </w:rPr>
              <w:t>Առաջարկվող փոփոխությունները և լրացումները միտված են Հայաստանի Հանրապետությունում ֆունկցիոնալության գնահատման համակարգին վերաբերող օրենսդրական դաշտի կատարելագործմանը։ Դրանք նպատակ ունեն ապահովելու գործող կարգավորումների ավելի հստակ, ամբողջական և կիրառելի ձևակերպումներ, ներդնելու գնահատման գործընթացում անհրաժեշտ ճշգրտումներ։</w:t>
            </w:r>
          </w:p>
        </w:tc>
      </w:tr>
      <w:tr w:rsidR="000D4BF7" w14:paraId="3B3310A0" w14:textId="77777777" w:rsidTr="000D4BF7">
        <w:trPr>
          <w:trHeight w:val="476"/>
        </w:trPr>
        <w:tc>
          <w:tcPr>
            <w:tcW w:w="697" w:type="dxa"/>
            <w:tcBorders>
              <w:top w:val="single" w:sz="4" w:space="0" w:color="000000"/>
              <w:left w:val="single" w:sz="4" w:space="0" w:color="000000"/>
              <w:bottom w:val="single" w:sz="4" w:space="0" w:color="000000"/>
              <w:right w:val="single" w:sz="4" w:space="0" w:color="000000"/>
            </w:tcBorders>
            <w:hideMark/>
          </w:tcPr>
          <w:p w14:paraId="5D132B46" w14:textId="77777777" w:rsidR="000D4BF7" w:rsidRDefault="000D4BF7">
            <w:pPr>
              <w:widowControl w:val="0"/>
              <w:spacing w:line="360" w:lineRule="auto"/>
              <w:jc w:val="both"/>
              <w:rPr>
                <w:b/>
                <w:sz w:val="24"/>
                <w:szCs w:val="24"/>
              </w:rPr>
            </w:pPr>
            <w:r>
              <w:rPr>
                <w:b/>
                <w:sz w:val="24"/>
                <w:szCs w:val="24"/>
              </w:rPr>
              <w:t>2.</w:t>
            </w:r>
          </w:p>
        </w:tc>
        <w:tc>
          <w:tcPr>
            <w:tcW w:w="9023" w:type="dxa"/>
            <w:tcBorders>
              <w:top w:val="single" w:sz="4" w:space="0" w:color="000000"/>
              <w:left w:val="single" w:sz="4" w:space="0" w:color="000000"/>
              <w:bottom w:val="single" w:sz="4" w:space="0" w:color="000000"/>
              <w:right w:val="single" w:sz="4" w:space="0" w:color="000000"/>
            </w:tcBorders>
            <w:hideMark/>
          </w:tcPr>
          <w:p w14:paraId="43700315" w14:textId="77777777" w:rsidR="000D4BF7" w:rsidRDefault="000D4BF7">
            <w:pPr>
              <w:widowControl w:val="0"/>
              <w:spacing w:line="360" w:lineRule="auto"/>
              <w:jc w:val="both"/>
              <w:rPr>
                <w:b/>
                <w:sz w:val="24"/>
                <w:szCs w:val="24"/>
              </w:rPr>
            </w:pPr>
            <w:r>
              <w:rPr>
                <w:b/>
                <w:sz w:val="24"/>
                <w:szCs w:val="24"/>
                <w:lang w:val="hy-AM"/>
              </w:rPr>
              <w:t xml:space="preserve">Առկա </w:t>
            </w:r>
            <w:r>
              <w:rPr>
                <w:b/>
                <w:sz w:val="24"/>
                <w:szCs w:val="24"/>
              </w:rPr>
              <w:t>իրավիճակը և խնդիրները</w:t>
            </w:r>
          </w:p>
        </w:tc>
      </w:tr>
      <w:tr w:rsidR="000D4BF7" w:rsidRPr="000D4BF7" w14:paraId="50864B93" w14:textId="77777777" w:rsidTr="000D4BF7">
        <w:tc>
          <w:tcPr>
            <w:tcW w:w="697" w:type="dxa"/>
            <w:tcBorders>
              <w:top w:val="single" w:sz="4" w:space="0" w:color="000000"/>
              <w:left w:val="single" w:sz="4" w:space="0" w:color="000000"/>
              <w:bottom w:val="single" w:sz="4" w:space="0" w:color="000000"/>
              <w:right w:val="single" w:sz="4" w:space="0" w:color="000000"/>
            </w:tcBorders>
          </w:tcPr>
          <w:p w14:paraId="3111955B" w14:textId="77777777" w:rsidR="000D4BF7" w:rsidRDefault="000D4BF7">
            <w:pPr>
              <w:widowControl w:val="0"/>
              <w:spacing w:line="360" w:lineRule="auto"/>
              <w:jc w:val="both"/>
              <w:rPr>
                <w:sz w:val="24"/>
                <w:szCs w:val="24"/>
              </w:rPr>
            </w:pPr>
          </w:p>
        </w:tc>
        <w:tc>
          <w:tcPr>
            <w:tcW w:w="9023" w:type="dxa"/>
            <w:tcBorders>
              <w:top w:val="single" w:sz="4" w:space="0" w:color="000000"/>
              <w:left w:val="single" w:sz="4" w:space="0" w:color="000000"/>
              <w:bottom w:val="single" w:sz="4" w:space="0" w:color="000000"/>
              <w:right w:val="single" w:sz="4" w:space="0" w:color="000000"/>
            </w:tcBorders>
            <w:hideMark/>
          </w:tcPr>
          <w:p w14:paraId="0A9B85A0" w14:textId="77777777" w:rsidR="000D4BF7" w:rsidRDefault="000D4BF7">
            <w:pPr>
              <w:spacing w:after="0" w:line="360" w:lineRule="auto"/>
              <w:ind w:firstLine="720"/>
              <w:jc w:val="both"/>
              <w:rPr>
                <w:color w:val="000000"/>
                <w:sz w:val="24"/>
                <w:szCs w:val="24"/>
                <w:shd w:val="clear" w:color="auto" w:fill="FFFFFF"/>
                <w:lang w:val="hy-AM"/>
              </w:rPr>
            </w:pPr>
            <w:r>
              <w:rPr>
                <w:color w:val="000000"/>
                <w:sz w:val="24"/>
                <w:szCs w:val="24"/>
                <w:shd w:val="clear" w:color="auto" w:fill="FFFFFF"/>
                <w:lang w:val="en-GB"/>
              </w:rPr>
              <w:t>1</w:t>
            </w:r>
            <w:r>
              <w:rPr>
                <w:rFonts w:ascii="Cambria Math" w:hAnsi="Cambria Math" w:cs="Cambria Math"/>
                <w:color w:val="000000"/>
                <w:sz w:val="24"/>
                <w:szCs w:val="24"/>
                <w:shd w:val="clear" w:color="auto" w:fill="FFFFFF"/>
                <w:lang w:val="hy-AM"/>
              </w:rPr>
              <w:t>․</w:t>
            </w:r>
            <w:r>
              <w:rPr>
                <w:color w:val="000000"/>
                <w:sz w:val="24"/>
                <w:szCs w:val="24"/>
                <w:shd w:val="clear" w:color="auto" w:fill="FFFFFF"/>
                <w:lang w:val="hy-AM"/>
              </w:rPr>
              <w:t xml:space="preserve"> ՀՀ կառավարության 2022 թվականի հուլիսի 28-ի №1177-Ն որոշման </w:t>
            </w:r>
            <w:r>
              <w:rPr>
                <w:color w:val="000000"/>
                <w:sz w:val="24"/>
                <w:szCs w:val="24"/>
                <w:shd w:val="clear" w:color="auto" w:fill="FFFFFF"/>
                <w:lang w:val="hy-AM"/>
              </w:rPr>
              <w:br/>
              <w:t>5-րդ գլխում սահմանված է վերականգնման հեռանկարի բացակայություն ունեցող հիվանդությունների ցանկը։ Գործող ձևակերպումներում առանձին կետերում ախտաբանական վիճակները բաժանված են ստորակետներով, ինչը կարող է հանգեցնել նրան, որ բոլոր թվարկված վիճակների միաժամանակյա առկայությունն է պարտադիր՝ հաշմանդամության անժամկետ սահմանման համար, ինչը կարող է հանգեցնել տարընթերցման։ Բացի այդ, որոշ ախտաբանական վիճակներ գրեթե նույնաբովանդակ են և կրկնվում են տարբեր կետերում, ինչն ավելացնում է ցանկի ծավալն ու նվազեցնում է հստակությունը։ Իրավակիրառ պրակտիկայում բացահայտվել են որոշ հիվանդություններ և վիճակներ, որոնք ըստ բժշկական գնահատման ևս ունեն վերականգնման հեռանկարի բացակայություն, սակայն ներառված չեն ցանկում։</w:t>
            </w:r>
            <w:r>
              <w:rPr>
                <w:color w:val="000000"/>
                <w:sz w:val="24"/>
                <w:szCs w:val="24"/>
                <w:shd w:val="clear" w:color="auto" w:fill="FFFFFF"/>
                <w:lang w:val="hy-AM"/>
              </w:rPr>
              <w:br/>
              <w:t xml:space="preserve">Գործող կարգավորումը չի ներառում նաև անժամկետ սահմանման հնարավորություն Օրենքով սահմանված տարիքային կենսաթոշակի իրավունք ունեցող անձանց համար, նույն հիվանդություններով կամ ախտաբանական վիճակներով 7 տարվա դիտարկում անցած անձանց համար, որոնց վիճակը </w:t>
            </w:r>
            <w:r>
              <w:rPr>
                <w:color w:val="000000"/>
                <w:sz w:val="24"/>
                <w:szCs w:val="24"/>
                <w:shd w:val="clear" w:color="auto" w:fill="FFFFFF"/>
                <w:lang w:val="hy-AM"/>
              </w:rPr>
              <w:br/>
              <w:t>8-րդ տարում չի փոփոխվել։</w:t>
            </w:r>
          </w:p>
          <w:p w14:paraId="0B61FC22" w14:textId="77777777" w:rsidR="000D4BF7" w:rsidRDefault="000D4BF7">
            <w:pPr>
              <w:spacing w:after="0" w:line="360" w:lineRule="auto"/>
              <w:ind w:firstLine="720"/>
              <w:jc w:val="both"/>
              <w:rPr>
                <w:color w:val="000000"/>
                <w:sz w:val="24"/>
                <w:szCs w:val="24"/>
                <w:shd w:val="clear" w:color="auto" w:fill="FFFFFF"/>
                <w:lang w:val="hy-AM"/>
              </w:rPr>
            </w:pPr>
            <w:r>
              <w:rPr>
                <w:color w:val="000000"/>
                <w:sz w:val="24"/>
                <w:szCs w:val="24"/>
                <w:shd w:val="clear" w:color="auto" w:fill="FFFFFF"/>
                <w:lang w:val="hy-AM"/>
              </w:rPr>
              <w:t>2</w:t>
            </w:r>
            <w:r>
              <w:rPr>
                <w:rFonts w:ascii="Cambria Math" w:hAnsi="Cambria Math" w:cs="Cambria Math"/>
                <w:color w:val="000000"/>
                <w:sz w:val="24"/>
                <w:szCs w:val="24"/>
                <w:shd w:val="clear" w:color="auto" w:fill="FFFFFF"/>
                <w:lang w:val="hy-AM"/>
              </w:rPr>
              <w:t>․</w:t>
            </w:r>
            <w:r>
              <w:rPr>
                <w:color w:val="000000"/>
                <w:sz w:val="24"/>
                <w:szCs w:val="24"/>
                <w:shd w:val="clear" w:color="auto" w:fill="FFFFFF"/>
                <w:lang w:val="hy-AM"/>
              </w:rPr>
              <w:t xml:space="preserve"> ՀՀ կառավարության 2022 թվականի հուլիսի 28-ի №1180-Ն որոշման հավելվածի 7-րդ կետով սահմանվում է, որ գնահատող հանձնաժողովի կազմում ընդգրկվում են N 1 աղյուսակում նշված մասնագետները։ Գործող կարգավորումը չի պարունակում հստակ պահանջ, որ տվյալ մասնագետները պետք է նախևառաջ օրենսդրությամբ սահմանված կարգով ընդգրկված լինեն մասնագետների ռեեստրում։ </w:t>
            </w:r>
          </w:p>
          <w:p w14:paraId="49124FE2" w14:textId="77777777" w:rsidR="000D4BF7" w:rsidRDefault="000D4BF7">
            <w:pPr>
              <w:spacing w:after="0" w:line="360" w:lineRule="auto"/>
              <w:ind w:firstLine="720"/>
              <w:jc w:val="both"/>
              <w:rPr>
                <w:color w:val="000000"/>
                <w:sz w:val="24"/>
                <w:szCs w:val="24"/>
                <w:shd w:val="clear" w:color="auto" w:fill="FFFFFF"/>
                <w:lang w:val="hy-AM"/>
              </w:rPr>
            </w:pPr>
            <w:r>
              <w:rPr>
                <w:color w:val="000000"/>
                <w:sz w:val="24"/>
                <w:szCs w:val="24"/>
                <w:shd w:val="clear" w:color="auto" w:fill="FFFFFF"/>
                <w:lang w:val="hy-AM"/>
              </w:rPr>
              <w:t>3</w:t>
            </w:r>
            <w:r>
              <w:rPr>
                <w:rFonts w:ascii="Cambria Math" w:hAnsi="Cambria Math" w:cs="Cambria Math"/>
                <w:color w:val="000000"/>
                <w:sz w:val="24"/>
                <w:szCs w:val="24"/>
                <w:shd w:val="clear" w:color="auto" w:fill="FFFFFF"/>
                <w:lang w:val="hy-AM"/>
              </w:rPr>
              <w:t>․</w:t>
            </w:r>
            <w:r>
              <w:rPr>
                <w:color w:val="000000"/>
                <w:sz w:val="24"/>
                <w:szCs w:val="24"/>
                <w:shd w:val="clear" w:color="auto" w:fill="FFFFFF"/>
                <w:lang w:val="hy-AM"/>
              </w:rPr>
              <w:t xml:space="preserve"> ՀՀ կառավարության 2022 թվականի հուլիսի 28-ի №1180-Ն որոշմամբ սահմանված է, որ ֆունկցիոնալության գնահատման համար դիմումը ներկայացվում է առցանց կամ առձեռն։ Սակայն համակարգը ամբողջությամբ թվայնացված է, դիմում մուտքագրելուց մինչև որոշման կայացում, հետևաբար դիմումը պետք է ներկայացվի միայն առցանց։</w:t>
            </w:r>
          </w:p>
          <w:p w14:paraId="5E8F7F65" w14:textId="77777777" w:rsidR="000D4BF7" w:rsidRDefault="000D4BF7">
            <w:pPr>
              <w:spacing w:after="0" w:line="360" w:lineRule="auto"/>
              <w:ind w:firstLine="720"/>
              <w:jc w:val="both"/>
              <w:rPr>
                <w:color w:val="000000"/>
                <w:sz w:val="24"/>
                <w:szCs w:val="24"/>
                <w:shd w:val="clear" w:color="auto" w:fill="FFFFFF"/>
                <w:lang w:val="hy-AM"/>
              </w:rPr>
            </w:pPr>
            <w:r>
              <w:rPr>
                <w:color w:val="000000"/>
                <w:sz w:val="24"/>
                <w:szCs w:val="24"/>
                <w:shd w:val="clear" w:color="auto" w:fill="FFFFFF"/>
                <w:lang w:val="hy-AM"/>
              </w:rPr>
              <w:t>4</w:t>
            </w:r>
            <w:r>
              <w:rPr>
                <w:rFonts w:ascii="Cambria Math" w:hAnsi="Cambria Math" w:cs="Cambria Math"/>
                <w:color w:val="000000"/>
                <w:sz w:val="24"/>
                <w:szCs w:val="24"/>
                <w:shd w:val="clear" w:color="auto" w:fill="FFFFFF"/>
                <w:lang w:val="hy-AM"/>
              </w:rPr>
              <w:t>․</w:t>
            </w:r>
            <w:r>
              <w:rPr>
                <w:color w:val="000000"/>
                <w:sz w:val="24"/>
                <w:szCs w:val="24"/>
                <w:shd w:val="clear" w:color="auto" w:fill="FFFFFF"/>
                <w:lang w:val="hy-AM"/>
              </w:rPr>
              <w:t xml:space="preserve"> Առաջարկվող փոփոխությամբ նախատեսվում է ուժը կորցրած ճանաչել ՀՀ կառավարության 2022 թվականի հուլիսի 28-ի №1180-Ն որոշման հավելվածի 41</w:t>
            </w:r>
            <w:r>
              <w:rPr>
                <w:rFonts w:ascii="Cambria Math" w:hAnsi="Cambria Math" w:cs="Cambria Math"/>
                <w:color w:val="000000"/>
                <w:sz w:val="24"/>
                <w:szCs w:val="24"/>
                <w:shd w:val="clear" w:color="auto" w:fill="FFFFFF"/>
                <w:lang w:val="hy-AM"/>
              </w:rPr>
              <w:t>․</w:t>
            </w:r>
            <w:r>
              <w:rPr>
                <w:color w:val="000000"/>
                <w:sz w:val="24"/>
                <w:szCs w:val="24"/>
                <w:shd w:val="clear" w:color="auto" w:fill="FFFFFF"/>
                <w:lang w:val="hy-AM"/>
              </w:rPr>
              <w:t>1 կետը, քանի որ ֆունկցիոնալության գնահատման տուն այցելությունը սահմանվում է որպես պարտադիր և իրականացվելու է բացառապես Ծառայության սոցիալական սատարողի կողմից։ Կարգավորումն ուղղված է գնահատման գործընթացի միատարրությանը, միջավայրային գործոնների ամբողջական գնահատմանը և գնահատման արդյունքների օբյեկտիվության բարձրացմանը։</w:t>
            </w:r>
          </w:p>
          <w:p w14:paraId="42172DEB" w14:textId="77777777" w:rsidR="000D4BF7" w:rsidRDefault="000D4BF7">
            <w:pPr>
              <w:spacing w:after="0" w:line="360" w:lineRule="auto"/>
              <w:ind w:firstLine="720"/>
              <w:jc w:val="both"/>
              <w:rPr>
                <w:color w:val="000000"/>
                <w:sz w:val="24"/>
                <w:szCs w:val="24"/>
                <w:lang w:val="hy-AM"/>
              </w:rPr>
            </w:pPr>
            <w:r>
              <w:rPr>
                <w:color w:val="000000"/>
                <w:sz w:val="24"/>
                <w:szCs w:val="24"/>
                <w:lang w:val="hy-AM"/>
              </w:rPr>
              <w:t>5</w:t>
            </w:r>
            <w:r>
              <w:rPr>
                <w:rFonts w:ascii="Cambria Math" w:hAnsi="Cambria Math" w:cs="Cambria Math"/>
                <w:color w:val="000000"/>
                <w:sz w:val="24"/>
                <w:szCs w:val="24"/>
                <w:lang w:val="hy-AM"/>
              </w:rPr>
              <w:t>․</w:t>
            </w:r>
            <w:r w:rsidRPr="000D4BF7">
              <w:rPr>
                <w:rFonts w:ascii="Cambria Math" w:hAnsi="Cambria Math" w:cs="Cambria Math"/>
                <w:color w:val="000000"/>
                <w:sz w:val="24"/>
                <w:szCs w:val="24"/>
                <w:lang w:val="hy-AM"/>
              </w:rPr>
              <w:t xml:space="preserve"> </w:t>
            </w:r>
            <w:r>
              <w:rPr>
                <w:color w:val="000000"/>
                <w:sz w:val="24"/>
                <w:szCs w:val="24"/>
                <w:lang w:val="hy-AM"/>
              </w:rPr>
              <w:t xml:space="preserve">ՀՀ առողջապահության նախարարի 2022 թվականի հոկտեմբերի </w:t>
            </w:r>
            <w:r>
              <w:rPr>
                <w:color w:val="000000"/>
                <w:sz w:val="24"/>
                <w:szCs w:val="24"/>
                <w:lang w:val="hy-AM"/>
              </w:rPr>
              <w:br/>
              <w:t>22-ին 72-Ն հրամանով է կարգավորված անձին ֆունկցիոնալության գնահատման ուղեգրելու հետ կապված հարաբերությունները։ Հրամանում յուրաքանչյուր հիվանդության դեպքում հստակ սահմանված է անհրաժեշտ բժշկական հետազոտությունների ու պահանջվող տեղեկություների ցանկը և բժշկական հաստատությունը պետք է ուղեգրի ամբողջական տեղեկատվության պարագայում։ Հետևաբար, գնահատող հանձնաժողովի կողմից այլ լրացուցիչ հետազոտությունների ուղեգրման կամ մասնագետի ներգրավման անհրաժեշտությունը բացակայում է։</w:t>
            </w:r>
          </w:p>
          <w:p w14:paraId="0E495D40" w14:textId="77777777" w:rsidR="000D4BF7" w:rsidRDefault="000D4BF7">
            <w:pPr>
              <w:spacing w:after="0" w:line="360" w:lineRule="auto"/>
              <w:ind w:firstLine="720"/>
              <w:jc w:val="both"/>
              <w:rPr>
                <w:color w:val="000000"/>
                <w:sz w:val="24"/>
                <w:szCs w:val="24"/>
                <w:lang w:val="hy-AM"/>
              </w:rPr>
            </w:pPr>
            <w:r>
              <w:rPr>
                <w:color w:val="000000"/>
                <w:sz w:val="24"/>
                <w:szCs w:val="24"/>
                <w:lang w:val="hy-AM"/>
              </w:rPr>
              <w:t>6</w:t>
            </w:r>
            <w:r>
              <w:rPr>
                <w:rFonts w:ascii="Cambria Math" w:hAnsi="Cambria Math" w:cs="Cambria Math"/>
                <w:color w:val="000000"/>
                <w:sz w:val="24"/>
                <w:szCs w:val="24"/>
                <w:lang w:val="hy-AM"/>
              </w:rPr>
              <w:t>․</w:t>
            </w:r>
            <w:r>
              <w:rPr>
                <w:color w:val="000000"/>
                <w:sz w:val="24"/>
                <w:szCs w:val="24"/>
                <w:lang w:val="hy-AM"/>
              </w:rPr>
              <w:t xml:space="preserve"> ՀՀ կառավարության 2022 թվականի N1180-Ն որոշման հավելվածի </w:t>
            </w:r>
            <w:r>
              <w:rPr>
                <w:color w:val="000000"/>
                <w:sz w:val="24"/>
                <w:szCs w:val="24"/>
                <w:lang w:val="hy-AM"/>
              </w:rPr>
              <w:br/>
              <w:t>50-րդ կետով սահմանված է, որ զինծառայության հետ կապված պատճառական կապը կարող է սահմանվել միայն համապատասխան բժշկական կամ ռազմաբժշկական փաստաթղթերի առկայության դեպքում, իսկ դրանց բացակայության դեպքում հաշմանդամությունը սահմանվում է ընդհանուր հիվանդությամբ։ Այս կարգավորումը ստեղծում է խնդիր Ղարաբաղից տեղահանված</w:t>
            </w:r>
            <w:r>
              <w:rPr>
                <w:sz w:val="24"/>
                <w:szCs w:val="24"/>
                <w:lang w:val="hy-AM"/>
              </w:rPr>
              <w:t xml:space="preserve"> և Ղարաբաղում վնասվածք ու վիրավորում ստացած ՀՀ քաղաքացիների</w:t>
            </w:r>
            <w:r>
              <w:rPr>
                <w:color w:val="000000"/>
                <w:sz w:val="24"/>
                <w:szCs w:val="24"/>
                <w:lang w:val="hy-AM"/>
              </w:rPr>
              <w:t xml:space="preserve"> համար, ովքեր ունեցել են զինծառայության հետ կապված պատճառական կապով հաշմանդամություն, սակայն փաստաթղթերը չեն պահպանվել կամ անհնար է դրանց վերականգնումը։ Այս դեպքում անձի ֆունկցինալության գնահատման ժամանակ պատճառական կապը սահմանվում է ընդհանուր հիվանդությամբ և անձը  չի կարող ստանալ ոչ զինվորական հաշմանդամության կենսաթոշակ, ոչ էլ համապատասխան ֆունկցիոնալ պրոթեզ։</w:t>
            </w:r>
          </w:p>
          <w:p w14:paraId="2F8B21AA" w14:textId="77777777" w:rsidR="000D4BF7" w:rsidRDefault="000D4BF7">
            <w:pPr>
              <w:spacing w:after="0" w:line="360" w:lineRule="auto"/>
              <w:ind w:firstLine="720"/>
              <w:jc w:val="both"/>
              <w:rPr>
                <w:color w:val="000000"/>
                <w:sz w:val="24"/>
                <w:szCs w:val="24"/>
                <w:shd w:val="clear" w:color="auto" w:fill="FFFFFF"/>
                <w:lang w:val="hy-AM"/>
              </w:rPr>
            </w:pPr>
            <w:r>
              <w:rPr>
                <w:color w:val="000000"/>
                <w:sz w:val="24"/>
                <w:szCs w:val="24"/>
                <w:shd w:val="clear" w:color="auto" w:fill="FFFFFF"/>
                <w:lang w:val="hy-AM"/>
              </w:rPr>
              <w:t>7</w:t>
            </w:r>
            <w:r>
              <w:rPr>
                <w:rFonts w:ascii="Cambria Math" w:hAnsi="Cambria Math" w:cs="Cambria Math"/>
                <w:color w:val="000000"/>
                <w:sz w:val="24"/>
                <w:szCs w:val="24"/>
                <w:shd w:val="clear" w:color="auto" w:fill="FFFFFF"/>
                <w:lang w:val="hy-AM"/>
              </w:rPr>
              <w:t>․</w:t>
            </w:r>
            <w:r>
              <w:rPr>
                <w:color w:val="000000"/>
                <w:sz w:val="24"/>
                <w:szCs w:val="24"/>
                <w:shd w:val="clear" w:color="auto" w:fill="FFFFFF"/>
                <w:lang w:val="hy-AM"/>
              </w:rPr>
              <w:t xml:space="preserve"> «Անձի ֆունկցիոնալության գնահատման մասին» օրենքի 9-րդ հոդվածի 2-րդ մասով սահմանված են հաշմանդամության պատճառական կապի տեսակները։ Գործող կառավարության որոշման մեջ պատճառական կապի կիրառման հստակ մեխանիզմները լիարժեք չեն արտացոլում օրենքի նշված դրույթները։ Մասնավորապես՝ որոշման տեքստում բացակայում է հստակ ձևակերպում, թե որ դեպքերում պետք է կիրառվեն 9-րդ հոդվածի 2-րդ մասի 6-11-րդ կետերով և 1-ին կետով սահմանված պատճառական կապերը՝ հաշմանդամության առնվազն միջին աստիճանի սահմանափակման հիմքով։ Թերևս, եթե անձը որևէ վնասվածք է ստացել զինծառայության ժամանակ, հետագայում դիմել է որևէ այլ հիվանդության պատճառով հաշմանդամության սահմանման համար, ապա եթե հիվանդությամբ կսահմանվի ֆունկցիոնալության որևէ աստիճանի սահմանփակում, ապա պատճառական կապը կտրվի զինհաշմանդամությամբ, եթե զինծառայության ժամանակ ստացած վնասվածքը կարող է առնվազն միջին աստիճանի սահմանփակման բերել։</w:t>
            </w:r>
          </w:p>
          <w:p w14:paraId="07974031" w14:textId="77777777" w:rsidR="000D4BF7" w:rsidRDefault="000D4BF7">
            <w:pPr>
              <w:spacing w:after="0" w:line="360" w:lineRule="auto"/>
              <w:ind w:firstLine="720"/>
              <w:jc w:val="both"/>
              <w:rPr>
                <w:color w:val="000000"/>
                <w:sz w:val="24"/>
                <w:szCs w:val="24"/>
                <w:shd w:val="clear" w:color="auto" w:fill="FFFFFF"/>
                <w:lang w:val="hy-AM"/>
              </w:rPr>
            </w:pPr>
            <w:r>
              <w:rPr>
                <w:color w:val="000000"/>
                <w:sz w:val="24"/>
                <w:szCs w:val="24"/>
                <w:shd w:val="clear" w:color="auto" w:fill="FFFFFF"/>
                <w:lang w:val="hy-AM"/>
              </w:rPr>
              <w:t>Այս բացը կարող է բերել կիրառման պրակտիկայում տարընթերցումների և որոշումների անհամաչափության՝ հատկապես այն դեպքերում, երբ տարբեր պատճառական կապերի միջև անհրաժեշտ է հստակ տարանջատում։</w:t>
            </w:r>
          </w:p>
        </w:tc>
      </w:tr>
      <w:tr w:rsidR="000D4BF7" w14:paraId="40526CCC" w14:textId="77777777" w:rsidTr="000D4BF7">
        <w:tc>
          <w:tcPr>
            <w:tcW w:w="697" w:type="dxa"/>
            <w:tcBorders>
              <w:top w:val="single" w:sz="4" w:space="0" w:color="000000"/>
              <w:left w:val="single" w:sz="4" w:space="0" w:color="000000"/>
              <w:bottom w:val="single" w:sz="4" w:space="0" w:color="000000"/>
              <w:right w:val="single" w:sz="4" w:space="0" w:color="000000"/>
            </w:tcBorders>
            <w:hideMark/>
          </w:tcPr>
          <w:p w14:paraId="4B0E33F2" w14:textId="77777777" w:rsidR="000D4BF7" w:rsidRDefault="000D4BF7">
            <w:pPr>
              <w:widowControl w:val="0"/>
              <w:spacing w:line="360" w:lineRule="auto"/>
              <w:jc w:val="both"/>
              <w:rPr>
                <w:b/>
                <w:sz w:val="24"/>
                <w:szCs w:val="24"/>
              </w:rPr>
            </w:pPr>
            <w:r>
              <w:rPr>
                <w:b/>
                <w:sz w:val="24"/>
                <w:szCs w:val="24"/>
              </w:rPr>
              <w:t>3.</w:t>
            </w:r>
          </w:p>
        </w:tc>
        <w:tc>
          <w:tcPr>
            <w:tcW w:w="9023" w:type="dxa"/>
            <w:tcBorders>
              <w:top w:val="single" w:sz="4" w:space="0" w:color="000000"/>
              <w:left w:val="single" w:sz="4" w:space="0" w:color="000000"/>
              <w:bottom w:val="single" w:sz="4" w:space="0" w:color="000000"/>
              <w:right w:val="single" w:sz="4" w:space="0" w:color="000000"/>
            </w:tcBorders>
            <w:hideMark/>
          </w:tcPr>
          <w:p w14:paraId="7AEBBA2E" w14:textId="77777777" w:rsidR="000D4BF7" w:rsidRDefault="000D4BF7">
            <w:pPr>
              <w:widowControl w:val="0"/>
              <w:spacing w:line="360" w:lineRule="auto"/>
              <w:jc w:val="both"/>
              <w:rPr>
                <w:rFonts w:cs="IRTEK Courier"/>
                <w:b/>
                <w:sz w:val="24"/>
                <w:szCs w:val="24"/>
                <w:lang w:val="af-ZA"/>
              </w:rPr>
            </w:pPr>
            <w:r>
              <w:rPr>
                <w:rFonts w:cs="IRTEK Courier"/>
                <w:b/>
                <w:sz w:val="24"/>
                <w:szCs w:val="24"/>
                <w:lang w:val="af-ZA"/>
              </w:rPr>
              <w:t>Կարգավորման նպատակը և բնույթը</w:t>
            </w:r>
          </w:p>
        </w:tc>
      </w:tr>
      <w:tr w:rsidR="000D4BF7" w:rsidRPr="000D4BF7" w14:paraId="3A323EFC" w14:textId="77777777" w:rsidTr="000D4BF7">
        <w:trPr>
          <w:trHeight w:val="710"/>
        </w:trPr>
        <w:tc>
          <w:tcPr>
            <w:tcW w:w="697" w:type="dxa"/>
            <w:tcBorders>
              <w:top w:val="single" w:sz="4" w:space="0" w:color="000000"/>
              <w:left w:val="single" w:sz="4" w:space="0" w:color="000000"/>
              <w:bottom w:val="single" w:sz="4" w:space="0" w:color="000000"/>
              <w:right w:val="single" w:sz="4" w:space="0" w:color="000000"/>
            </w:tcBorders>
          </w:tcPr>
          <w:p w14:paraId="3524B224" w14:textId="77777777" w:rsidR="000D4BF7" w:rsidRDefault="000D4BF7">
            <w:pPr>
              <w:widowControl w:val="0"/>
              <w:spacing w:line="360" w:lineRule="auto"/>
              <w:jc w:val="both"/>
              <w:rPr>
                <w:sz w:val="24"/>
                <w:szCs w:val="24"/>
                <w:lang w:val="hy-AM"/>
              </w:rPr>
            </w:pPr>
          </w:p>
        </w:tc>
        <w:tc>
          <w:tcPr>
            <w:tcW w:w="9023" w:type="dxa"/>
            <w:tcBorders>
              <w:top w:val="single" w:sz="4" w:space="0" w:color="000000"/>
              <w:left w:val="single" w:sz="4" w:space="0" w:color="000000"/>
              <w:bottom w:val="single" w:sz="4" w:space="0" w:color="000000"/>
              <w:right w:val="single" w:sz="4" w:space="0" w:color="000000"/>
            </w:tcBorders>
            <w:hideMark/>
          </w:tcPr>
          <w:p w14:paraId="5BD2D55C" w14:textId="77777777" w:rsidR="000D4BF7" w:rsidRDefault="000D4BF7">
            <w:pPr>
              <w:spacing w:after="0" w:line="360" w:lineRule="auto"/>
              <w:ind w:firstLine="720"/>
              <w:contextualSpacing/>
              <w:jc w:val="both"/>
              <w:rPr>
                <w:sz w:val="24"/>
                <w:szCs w:val="24"/>
                <w:lang w:val="hy-AM"/>
              </w:rPr>
            </w:pPr>
            <w:r>
              <w:rPr>
                <w:sz w:val="24"/>
                <w:szCs w:val="24"/>
                <w:lang w:val="hy-AM"/>
              </w:rPr>
              <w:t>Նախագծի նպատակն է</w:t>
            </w:r>
            <w:r>
              <w:rPr>
                <w:rFonts w:ascii="Cambria Math" w:hAnsi="Cambria Math" w:cs="Cambria Math"/>
                <w:sz w:val="24"/>
                <w:szCs w:val="24"/>
                <w:lang w:val="hy-AM"/>
              </w:rPr>
              <w:t>․</w:t>
            </w:r>
          </w:p>
          <w:p w14:paraId="425012CC" w14:textId="77777777" w:rsidR="000D4BF7" w:rsidRDefault="000D4BF7">
            <w:pPr>
              <w:spacing w:after="0" w:line="360" w:lineRule="auto"/>
              <w:ind w:firstLine="720"/>
              <w:contextualSpacing/>
              <w:jc w:val="both"/>
              <w:rPr>
                <w:sz w:val="24"/>
                <w:szCs w:val="24"/>
                <w:lang w:val="hy-AM"/>
              </w:rPr>
            </w:pPr>
            <w:r>
              <w:rPr>
                <w:sz w:val="24"/>
                <w:szCs w:val="24"/>
                <w:lang w:val="hy-AM"/>
              </w:rPr>
              <w:t>1</w:t>
            </w:r>
            <w:r>
              <w:rPr>
                <w:rFonts w:ascii="Cambria Math" w:hAnsi="Cambria Math" w:cs="Cambria Math"/>
                <w:sz w:val="24"/>
                <w:szCs w:val="24"/>
                <w:lang w:val="hy-AM"/>
              </w:rPr>
              <w:t>․</w:t>
            </w:r>
            <w:r>
              <w:rPr>
                <w:sz w:val="24"/>
                <w:szCs w:val="24"/>
                <w:lang w:val="hy-AM"/>
              </w:rPr>
              <w:t xml:space="preserve"> հստակեցնել գործող վերականգնման հեռանկարի բացակայություն ունեցող ախտաբանական վիճակների ցանկը՝ ապահովելով ձևակերպումների միատեսակությունը և լրացնելով ցանկը մասնագիտական գնահատմամբ համապատասխան նոր դեպքերով</w:t>
            </w:r>
            <w:r>
              <w:rPr>
                <w:rFonts w:ascii="Cambria Math" w:hAnsi="Cambria Math" w:cs="Cambria Math"/>
                <w:sz w:val="24"/>
                <w:szCs w:val="24"/>
                <w:lang w:val="hy-AM"/>
              </w:rPr>
              <w:t>․</w:t>
            </w:r>
          </w:p>
          <w:p w14:paraId="14EDF6ED" w14:textId="77777777" w:rsidR="000D4BF7" w:rsidRDefault="000D4BF7">
            <w:pPr>
              <w:spacing w:after="0" w:line="360" w:lineRule="auto"/>
              <w:ind w:firstLine="720"/>
              <w:contextualSpacing/>
              <w:jc w:val="both"/>
              <w:rPr>
                <w:sz w:val="24"/>
                <w:szCs w:val="24"/>
                <w:lang w:val="hy-AM"/>
              </w:rPr>
            </w:pPr>
            <w:r>
              <w:rPr>
                <w:sz w:val="24"/>
                <w:szCs w:val="24"/>
                <w:lang w:val="hy-AM"/>
              </w:rPr>
              <w:t>2</w:t>
            </w:r>
            <w:r>
              <w:rPr>
                <w:rFonts w:ascii="Cambria Math" w:hAnsi="Cambria Math" w:cs="Cambria Math"/>
                <w:sz w:val="24"/>
                <w:szCs w:val="24"/>
                <w:lang w:val="hy-AM"/>
              </w:rPr>
              <w:t>․</w:t>
            </w:r>
            <w:r>
              <w:rPr>
                <w:sz w:val="24"/>
                <w:szCs w:val="24"/>
                <w:lang w:val="hy-AM"/>
              </w:rPr>
              <w:t xml:space="preserve"> ապահովել գնահատող հանձնաժողովի մասնագիտական կազմի հստակ և վերահսկելի ձևավորումը՝ սահմանելով, որ հանձնաժողովի կազմում կարող են ընդգրկվել միայն ռեեստրում ընդգրկված մասնագետներ</w:t>
            </w:r>
            <w:r>
              <w:rPr>
                <w:rFonts w:ascii="Cambria Math" w:hAnsi="Cambria Math" w:cs="Cambria Math"/>
                <w:sz w:val="24"/>
                <w:szCs w:val="24"/>
                <w:lang w:val="hy-AM"/>
              </w:rPr>
              <w:t>․</w:t>
            </w:r>
          </w:p>
          <w:p w14:paraId="08269B46" w14:textId="77777777" w:rsidR="000D4BF7" w:rsidRDefault="000D4BF7">
            <w:pPr>
              <w:spacing w:after="0" w:line="360" w:lineRule="auto"/>
              <w:ind w:firstLine="720"/>
              <w:contextualSpacing/>
              <w:jc w:val="both"/>
              <w:rPr>
                <w:sz w:val="24"/>
                <w:szCs w:val="24"/>
                <w:lang w:val="hy-AM"/>
              </w:rPr>
            </w:pPr>
            <w:r>
              <w:rPr>
                <w:sz w:val="24"/>
                <w:szCs w:val="24"/>
                <w:lang w:val="hy-AM"/>
              </w:rPr>
              <w:t>3</w:t>
            </w:r>
            <w:r>
              <w:rPr>
                <w:rFonts w:ascii="Cambria Math" w:hAnsi="Cambria Math" w:cs="Cambria Math"/>
                <w:sz w:val="24"/>
                <w:szCs w:val="24"/>
                <w:lang w:val="hy-AM"/>
              </w:rPr>
              <w:t>․</w:t>
            </w:r>
            <w:r>
              <w:rPr>
                <w:sz w:val="24"/>
                <w:szCs w:val="24"/>
                <w:lang w:val="hy-AM"/>
              </w:rPr>
              <w:t xml:space="preserve"> սահմանել, որ ֆունկցիոնալության գնահատման դիմումները ներկայացվում են բացառապես առցանց եղանակով՝ հաշվի առնելով, որ համակարգը ամբողջությամբ թվայնացված է՝ դիմումի մուտքագրումից մինչև որոշման կայացում։ Միևնույն ժամանակ, առաջարկվում է սահմանել, որ քաղաքացին կարող է մուտքագրել դիմումը առցանց՝ </w:t>
            </w:r>
            <w:hyperlink r:id="rId5" w:tgtFrame="_new" w:history="1">
              <w:r>
                <w:rPr>
                  <w:rStyle w:val="Hyperlink"/>
                  <w:lang w:val="hy-AM"/>
                </w:rPr>
                <w:t>https://e-disability.am/user-application</w:t>
              </w:r>
            </w:hyperlink>
            <w:r>
              <w:rPr>
                <w:sz w:val="24"/>
                <w:szCs w:val="24"/>
                <w:lang w:val="hy-AM"/>
              </w:rPr>
              <w:t xml:space="preserve"> հղումով, իսկ առցանց դիմում լրացնելու դժվարության դեպքում կարող է դիմել Ծառայության ցանկացած տարածքային կենտրոն, որտեղ նրան կտրամադրվի անհրաժեշտ աջակցություն դիմումի էլեկտրոնային լրացման համար</w:t>
            </w:r>
            <w:r>
              <w:rPr>
                <w:rFonts w:ascii="Cambria Math" w:hAnsi="Cambria Math" w:cs="Cambria Math"/>
                <w:sz w:val="24"/>
                <w:szCs w:val="24"/>
                <w:lang w:val="hy-AM"/>
              </w:rPr>
              <w:t>․</w:t>
            </w:r>
          </w:p>
          <w:p w14:paraId="4C1F703F" w14:textId="77777777" w:rsidR="000D4BF7" w:rsidRDefault="000D4BF7">
            <w:pPr>
              <w:spacing w:after="0" w:line="360" w:lineRule="auto"/>
              <w:ind w:firstLine="720"/>
              <w:contextualSpacing/>
              <w:jc w:val="both"/>
              <w:rPr>
                <w:sz w:val="24"/>
                <w:szCs w:val="24"/>
                <w:lang w:val="hy-AM"/>
              </w:rPr>
            </w:pPr>
            <w:r>
              <w:rPr>
                <w:sz w:val="24"/>
                <w:szCs w:val="24"/>
                <w:lang w:val="hy-AM"/>
              </w:rPr>
              <w:t>4</w:t>
            </w:r>
            <w:r>
              <w:rPr>
                <w:rFonts w:ascii="Cambria Math" w:hAnsi="Cambria Math" w:cs="Cambria Math"/>
                <w:sz w:val="24"/>
                <w:szCs w:val="24"/>
                <w:lang w:val="hy-AM"/>
              </w:rPr>
              <w:t>․</w:t>
            </w:r>
            <w:r>
              <w:rPr>
                <w:sz w:val="24"/>
                <w:szCs w:val="24"/>
                <w:lang w:val="hy-AM"/>
              </w:rPr>
              <w:t xml:space="preserve"> սահմանել, որ ամփոփաթերթի մշակումը ավարտելուց հետո համակարգն ինքնաշխատ ծանուցում է ուղարկում Ծառայության սոցիալական սատարողին, ով </w:t>
            </w:r>
            <w:r>
              <w:rPr>
                <w:bCs/>
                <w:sz w:val="24"/>
                <w:szCs w:val="24"/>
                <w:lang w:val="hy-AM"/>
              </w:rPr>
              <w:t>բոլոր դեպքերում</w:t>
            </w:r>
            <w:r>
              <w:rPr>
                <w:sz w:val="24"/>
                <w:szCs w:val="24"/>
                <w:lang w:val="hy-AM"/>
              </w:rPr>
              <w:t xml:space="preserve"> կատարում է գնահատվողի գտնվելու վայր այցելություն և լրացնում է «Անձի ֆունկցիոնալության գնահատման մասին» օրենքի 6-րդ հոդվածի 1-ին մասի 3-րդ կետով և մեթոդական ուղեցույցներով սահմանված միջավայրային գործոնների գնահատման հարցաթերթը։ Այսպիսով, տուն այցելության գործընթացը դառնում է պարտադիր և իրականացվում է բացառապես սոցիալական սատարողի կողմից</w:t>
            </w:r>
            <w:r>
              <w:rPr>
                <w:rFonts w:ascii="Cambria Math" w:hAnsi="Cambria Math" w:cs="Cambria Math"/>
                <w:sz w:val="24"/>
                <w:szCs w:val="24"/>
                <w:lang w:val="hy-AM"/>
              </w:rPr>
              <w:t>․</w:t>
            </w:r>
          </w:p>
          <w:p w14:paraId="6D21F3FB" w14:textId="77777777" w:rsidR="000D4BF7" w:rsidRDefault="000D4BF7">
            <w:pPr>
              <w:spacing w:after="0" w:line="360" w:lineRule="auto"/>
              <w:ind w:firstLine="720"/>
              <w:contextualSpacing/>
              <w:jc w:val="both"/>
              <w:rPr>
                <w:sz w:val="24"/>
                <w:szCs w:val="24"/>
                <w:lang w:val="hy-AM"/>
              </w:rPr>
            </w:pPr>
            <w:r>
              <w:rPr>
                <w:sz w:val="24"/>
                <w:szCs w:val="24"/>
                <w:lang w:val="hy-AM"/>
              </w:rPr>
              <w:t>5</w:t>
            </w:r>
            <w:r>
              <w:rPr>
                <w:rFonts w:ascii="Cambria Math" w:hAnsi="Cambria Math" w:cs="Cambria Math"/>
                <w:sz w:val="24"/>
                <w:szCs w:val="24"/>
                <w:lang w:val="hy-AM"/>
              </w:rPr>
              <w:t xml:space="preserve">․ </w:t>
            </w:r>
            <w:r>
              <w:rPr>
                <w:sz w:val="24"/>
                <w:szCs w:val="24"/>
                <w:lang w:val="hy-AM"/>
              </w:rPr>
              <w:t>հստակ սահմանել ֆունկցիոնալության գնահատման հանձնաժողովի լիազորությունների շրջանակը՝ զրկելով այն լրացուցիչ բժշկական հետազոտությունների ուղեգրման իրավասությունից, քանի որ անհրաժեշտ բժշկական տեղեկատվությունը պետք է ամբողջությամբ ներկայացվի բժշկական հաստատության կողմից ուղեգրման փուլում։ Նշվածը պայմանավորված է այն հանգամանքով, որ ՀՀ առողջապահության նախարարի 2022 թվականի հոկտեմբերի 22-ի №72-Ն հրամանով սահմանված է ֆունկցիոնալության գնահատման ուղեգրման ամբողջական ընթացակարգը և պահանջվող տեղեկատվության սպառիչ ցանկը։</w:t>
            </w:r>
          </w:p>
          <w:p w14:paraId="4A99CEE2" w14:textId="77777777" w:rsidR="000D4BF7" w:rsidRDefault="000D4BF7">
            <w:pPr>
              <w:spacing w:after="0" w:line="360" w:lineRule="auto"/>
              <w:ind w:firstLine="720"/>
              <w:contextualSpacing/>
              <w:jc w:val="both"/>
              <w:rPr>
                <w:sz w:val="24"/>
                <w:szCs w:val="24"/>
                <w:lang w:val="hy-AM"/>
              </w:rPr>
            </w:pPr>
            <w:r>
              <w:rPr>
                <w:sz w:val="24"/>
                <w:szCs w:val="24"/>
                <w:lang w:val="hy-AM"/>
              </w:rPr>
              <w:t>6</w:t>
            </w:r>
            <w:r>
              <w:rPr>
                <w:rFonts w:ascii="Cambria Math" w:hAnsi="Cambria Math" w:cs="Cambria Math"/>
                <w:sz w:val="24"/>
                <w:szCs w:val="24"/>
                <w:lang w:val="hy-AM"/>
              </w:rPr>
              <w:t>․</w:t>
            </w:r>
            <w:r>
              <w:rPr>
                <w:sz w:val="24"/>
                <w:szCs w:val="24"/>
                <w:lang w:val="hy-AM"/>
              </w:rPr>
              <w:t xml:space="preserve"> կանխել Ղարաբաղից տեղահանված և Ղարաբաղում վնասվածք ու վիրավորում ստացած ՀՀ քաղաքացիների կարգավիճակի փոփոխությունը պայմանավորված բժշկական կամ ռազմաբժշկական փաստաթղթերի բացակայությամբ։ Այս դեպքում, եթե հավաստող փաստաթղթերը բացակայում են, ապա պատճառական կապի սահմանման հիմք կհամարվեն պետական կենսաթոշակային համակարգի տվյալների շտեմարանում կամ հաշմանդամություն ունեցող անձանց տվյալների բազայում կամ զինծառայողների կյանքին կամ առողջությանը պատճառված վնասների հատուցման հիմնադրամի հատուցման համակարգում պատճառական կապերի վերաբերյալ առկա տեղեկատվությունը։</w:t>
            </w:r>
          </w:p>
          <w:p w14:paraId="09A280C2" w14:textId="77777777" w:rsidR="000D4BF7" w:rsidRDefault="000D4BF7">
            <w:pPr>
              <w:spacing w:after="0" w:line="360" w:lineRule="auto"/>
              <w:ind w:firstLine="720"/>
              <w:contextualSpacing/>
              <w:jc w:val="both"/>
              <w:rPr>
                <w:sz w:val="24"/>
                <w:szCs w:val="24"/>
                <w:lang w:val="hy-AM"/>
              </w:rPr>
            </w:pPr>
            <w:r>
              <w:rPr>
                <w:sz w:val="24"/>
                <w:szCs w:val="24"/>
                <w:lang w:val="hy-AM"/>
              </w:rPr>
              <w:t>7</w:t>
            </w:r>
            <w:r>
              <w:rPr>
                <w:rFonts w:ascii="Cambria Math" w:hAnsi="Cambria Math" w:cs="Cambria Math"/>
                <w:sz w:val="24"/>
                <w:szCs w:val="24"/>
                <w:lang w:val="hy-AM"/>
              </w:rPr>
              <w:t>․</w:t>
            </w:r>
            <w:r>
              <w:rPr>
                <w:sz w:val="24"/>
                <w:szCs w:val="24"/>
                <w:lang w:val="hy-AM"/>
              </w:rPr>
              <w:t xml:space="preserve"> հստակեցնել «Անձի ֆունկցիոնալության գնահատման մասին» օրենքի 9-րդ հոդվածի 2-րդ մասի 6–11-րդ </w:t>
            </w:r>
            <w:r w:rsidRPr="000D4BF7">
              <w:rPr>
                <w:sz w:val="24"/>
                <w:szCs w:val="24"/>
                <w:lang w:val="hy-AM"/>
              </w:rPr>
              <w:t>(</w:t>
            </w:r>
            <w:r>
              <w:rPr>
                <w:sz w:val="24"/>
                <w:szCs w:val="24"/>
                <w:lang w:val="hy-AM"/>
              </w:rPr>
              <w:t>զինծառայության պատճառական կապ</w:t>
            </w:r>
            <w:r w:rsidRPr="000D4BF7">
              <w:rPr>
                <w:sz w:val="24"/>
                <w:szCs w:val="24"/>
                <w:lang w:val="hy-AM"/>
              </w:rPr>
              <w:t>)</w:t>
            </w:r>
            <w:r>
              <w:rPr>
                <w:sz w:val="24"/>
                <w:szCs w:val="24"/>
                <w:lang w:val="hy-AM"/>
              </w:rPr>
              <w:t xml:space="preserve"> և </w:t>
            </w:r>
            <w:r>
              <w:rPr>
                <w:sz w:val="24"/>
                <w:szCs w:val="24"/>
                <w:lang w:val="hy-AM"/>
              </w:rPr>
              <w:br/>
              <w:t>1-ին</w:t>
            </w:r>
            <w:r w:rsidRPr="000D4BF7">
              <w:rPr>
                <w:sz w:val="24"/>
                <w:szCs w:val="24"/>
                <w:lang w:val="hy-AM"/>
              </w:rPr>
              <w:t xml:space="preserve"> (</w:t>
            </w:r>
            <w:r>
              <w:rPr>
                <w:sz w:val="24"/>
                <w:szCs w:val="24"/>
                <w:lang w:val="hy-AM"/>
              </w:rPr>
              <w:t>մանկուց ձեռք բերված հիվանդությունը</w:t>
            </w:r>
            <w:r w:rsidRPr="000D4BF7">
              <w:rPr>
                <w:sz w:val="24"/>
                <w:szCs w:val="24"/>
                <w:lang w:val="hy-AM"/>
              </w:rPr>
              <w:t>)</w:t>
            </w:r>
            <w:r>
              <w:rPr>
                <w:sz w:val="24"/>
                <w:szCs w:val="24"/>
                <w:lang w:val="hy-AM"/>
              </w:rPr>
              <w:t xml:space="preserve"> կետերով սահմանված պատճառական կապի կիրառման պայմանները՝ սահմանելով, որ 6–11-րդ կետերով նախատեսված պատճառական կապը կիրառվում է այն դեպքերում, երբ ձեռք բերված հիվանդությունների կամ վնասվածքների անմիջական հետևանքները կամ բարդությունները հանգեցնում են առնվազն ֆունկցիոնալության միջին աստիճանի սահմանափակմամբ հաշմանդամության, իսկ 1-ին կետով սահմանված պատճառական կապը կիրառվում է մինչև 18 տարին լրանալը ձեռք բերված հիվանդությունների կամ վնասվածքների անմիջական հետևանքների կամ բարդությունների դեպքում, եթե դրանք հանգեցնում են առնվազն ֆունկցիոնալության միջին աստիճանի սահմանափակմամբ հաշմանդամության։</w:t>
            </w:r>
          </w:p>
        </w:tc>
      </w:tr>
      <w:tr w:rsidR="000D4BF7" w:rsidRPr="000D4BF7" w14:paraId="25321683" w14:textId="77777777" w:rsidTr="000D4BF7">
        <w:tc>
          <w:tcPr>
            <w:tcW w:w="697" w:type="dxa"/>
            <w:tcBorders>
              <w:top w:val="single" w:sz="4" w:space="0" w:color="000000"/>
              <w:left w:val="single" w:sz="4" w:space="0" w:color="000000"/>
              <w:bottom w:val="single" w:sz="4" w:space="0" w:color="000000"/>
              <w:right w:val="single" w:sz="4" w:space="0" w:color="000000"/>
            </w:tcBorders>
            <w:hideMark/>
          </w:tcPr>
          <w:p w14:paraId="34A71F57" w14:textId="77777777" w:rsidR="000D4BF7" w:rsidRDefault="000D4BF7">
            <w:pPr>
              <w:widowControl w:val="0"/>
              <w:spacing w:line="360" w:lineRule="auto"/>
              <w:jc w:val="both"/>
              <w:rPr>
                <w:b/>
                <w:sz w:val="24"/>
                <w:szCs w:val="24"/>
                <w:lang w:val="hy-AM"/>
              </w:rPr>
            </w:pPr>
            <w:r>
              <w:rPr>
                <w:b/>
                <w:sz w:val="24"/>
                <w:szCs w:val="24"/>
                <w:lang w:val="hy-AM"/>
              </w:rPr>
              <w:t xml:space="preserve"> 4</w:t>
            </w:r>
            <w:r>
              <w:rPr>
                <w:rFonts w:ascii="Cambria Math" w:eastAsia="MS Mincho" w:hAnsi="Cambria Math" w:cs="Cambria Math"/>
                <w:b/>
                <w:sz w:val="24"/>
                <w:szCs w:val="24"/>
                <w:lang w:val="hy-AM"/>
              </w:rPr>
              <w:t>․</w:t>
            </w:r>
          </w:p>
        </w:tc>
        <w:tc>
          <w:tcPr>
            <w:tcW w:w="9023" w:type="dxa"/>
            <w:tcBorders>
              <w:top w:val="single" w:sz="4" w:space="0" w:color="000000"/>
              <w:left w:val="single" w:sz="4" w:space="0" w:color="000000"/>
              <w:bottom w:val="single" w:sz="4" w:space="0" w:color="000000"/>
              <w:right w:val="single" w:sz="4" w:space="0" w:color="000000"/>
            </w:tcBorders>
            <w:hideMark/>
          </w:tcPr>
          <w:p w14:paraId="0A6A25A0" w14:textId="77777777" w:rsidR="000D4BF7" w:rsidRDefault="000D4BF7">
            <w:pPr>
              <w:widowControl w:val="0"/>
              <w:spacing w:line="360" w:lineRule="auto"/>
              <w:jc w:val="both"/>
              <w:rPr>
                <w:rFonts w:cs="IRTEK Courier"/>
                <w:b/>
                <w:sz w:val="24"/>
                <w:szCs w:val="24"/>
                <w:lang w:val="af-ZA"/>
              </w:rPr>
            </w:pPr>
            <w:r>
              <w:rPr>
                <w:rFonts w:cs="IRTEK Courier"/>
                <w:b/>
                <w:sz w:val="24"/>
                <w:szCs w:val="24"/>
                <w:lang w:val="af-ZA"/>
              </w:rPr>
              <w:t>Նախագծի մշակման գործընթացում ներգրավված ինստիտուտները և անձինք</w:t>
            </w:r>
          </w:p>
        </w:tc>
      </w:tr>
      <w:tr w:rsidR="000D4BF7" w:rsidRPr="000D4BF7" w14:paraId="44CC4EB6" w14:textId="77777777" w:rsidTr="000D4BF7">
        <w:trPr>
          <w:trHeight w:val="411"/>
        </w:trPr>
        <w:tc>
          <w:tcPr>
            <w:tcW w:w="697" w:type="dxa"/>
            <w:tcBorders>
              <w:top w:val="single" w:sz="4" w:space="0" w:color="000000"/>
              <w:left w:val="single" w:sz="4" w:space="0" w:color="000000"/>
              <w:bottom w:val="single" w:sz="4" w:space="0" w:color="000000"/>
              <w:right w:val="single" w:sz="4" w:space="0" w:color="000000"/>
            </w:tcBorders>
          </w:tcPr>
          <w:p w14:paraId="0D965996" w14:textId="77777777" w:rsidR="000D4BF7" w:rsidRDefault="000D4BF7">
            <w:pPr>
              <w:widowControl w:val="0"/>
              <w:spacing w:line="360" w:lineRule="auto"/>
              <w:jc w:val="both"/>
              <w:rPr>
                <w:sz w:val="24"/>
                <w:szCs w:val="24"/>
                <w:lang w:val="hy-AM"/>
              </w:rPr>
            </w:pPr>
          </w:p>
        </w:tc>
        <w:tc>
          <w:tcPr>
            <w:tcW w:w="9023" w:type="dxa"/>
            <w:tcBorders>
              <w:top w:val="single" w:sz="4" w:space="0" w:color="000000"/>
              <w:left w:val="single" w:sz="4" w:space="0" w:color="000000"/>
              <w:bottom w:val="single" w:sz="4" w:space="0" w:color="000000"/>
              <w:right w:val="single" w:sz="4" w:space="0" w:color="000000"/>
            </w:tcBorders>
            <w:hideMark/>
          </w:tcPr>
          <w:p w14:paraId="5BF79998" w14:textId="77777777" w:rsidR="000D4BF7" w:rsidRDefault="000D4BF7">
            <w:pPr>
              <w:widowControl w:val="0"/>
              <w:spacing w:line="360" w:lineRule="auto"/>
              <w:ind w:firstLine="356"/>
              <w:jc w:val="both"/>
              <w:rPr>
                <w:rFonts w:cs="IRTEK Courier"/>
                <w:sz w:val="24"/>
                <w:szCs w:val="24"/>
                <w:lang w:val="af-ZA"/>
              </w:rPr>
            </w:pPr>
            <w:r>
              <w:rPr>
                <w:rFonts w:cs="IRTEK Courier"/>
                <w:sz w:val="24"/>
                <w:szCs w:val="24"/>
                <w:lang w:val="hy-AM"/>
              </w:rPr>
              <w:t xml:space="preserve">ՀՀ </w:t>
            </w:r>
            <w:r>
              <w:rPr>
                <w:rFonts w:cs="IRTEK Courier"/>
                <w:sz w:val="24"/>
                <w:szCs w:val="24"/>
                <w:lang w:val="af-ZA"/>
              </w:rPr>
              <w:t>Աշխատանքի և սոցիալական հարցերի նախարարությ</w:t>
            </w:r>
            <w:r>
              <w:rPr>
                <w:rFonts w:cs="IRTEK Courier"/>
                <w:sz w:val="24"/>
                <w:szCs w:val="24"/>
                <w:lang w:val="hy-AM"/>
              </w:rPr>
              <w:t>ուն</w:t>
            </w:r>
          </w:p>
        </w:tc>
      </w:tr>
      <w:tr w:rsidR="000D4BF7" w14:paraId="37D614C1" w14:textId="77777777" w:rsidTr="000D4BF7">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6CF46492" w14:textId="77777777" w:rsidR="000D4BF7" w:rsidRDefault="000D4BF7">
            <w:pPr>
              <w:widowControl w:val="0"/>
              <w:spacing w:line="360" w:lineRule="auto"/>
              <w:jc w:val="both"/>
              <w:rPr>
                <w:b/>
                <w:sz w:val="24"/>
                <w:szCs w:val="24"/>
                <w:lang w:val="hy-AM"/>
              </w:rPr>
            </w:pPr>
            <w:r>
              <w:rPr>
                <w:b/>
                <w:sz w:val="24"/>
                <w:szCs w:val="24"/>
                <w:lang w:val="hy-AM"/>
              </w:rPr>
              <w:t>5.</w:t>
            </w:r>
          </w:p>
        </w:tc>
        <w:tc>
          <w:tcPr>
            <w:tcW w:w="9023" w:type="dxa"/>
            <w:tcBorders>
              <w:top w:val="single" w:sz="4" w:space="0" w:color="000000"/>
              <w:left w:val="single" w:sz="4" w:space="0" w:color="000000"/>
              <w:bottom w:val="single" w:sz="4" w:space="0" w:color="000000"/>
              <w:right w:val="single" w:sz="4" w:space="0" w:color="000000"/>
            </w:tcBorders>
            <w:hideMark/>
          </w:tcPr>
          <w:p w14:paraId="76C327AD" w14:textId="77777777" w:rsidR="000D4BF7" w:rsidRDefault="000D4BF7">
            <w:pPr>
              <w:widowControl w:val="0"/>
              <w:spacing w:line="360" w:lineRule="auto"/>
              <w:jc w:val="both"/>
              <w:rPr>
                <w:rFonts w:cs="IRTEK Courier"/>
                <w:b/>
                <w:sz w:val="24"/>
                <w:szCs w:val="24"/>
                <w:lang w:val="af-ZA"/>
              </w:rPr>
            </w:pPr>
            <w:r>
              <w:rPr>
                <w:rFonts w:cs="IRTEK Courier"/>
                <w:b/>
                <w:sz w:val="24"/>
                <w:szCs w:val="24"/>
                <w:lang w:val="af-ZA"/>
              </w:rPr>
              <w:t>Ակնկալվող արդյունքը</w:t>
            </w:r>
          </w:p>
        </w:tc>
      </w:tr>
      <w:tr w:rsidR="000D4BF7" w:rsidRPr="000D4BF7" w14:paraId="2164CAFB" w14:textId="77777777" w:rsidTr="000D4BF7">
        <w:tc>
          <w:tcPr>
            <w:tcW w:w="697" w:type="dxa"/>
            <w:tcBorders>
              <w:top w:val="single" w:sz="4" w:space="0" w:color="000000"/>
              <w:left w:val="single" w:sz="4" w:space="0" w:color="000000"/>
              <w:bottom w:val="single" w:sz="4" w:space="0" w:color="000000"/>
              <w:right w:val="single" w:sz="4" w:space="0" w:color="000000"/>
            </w:tcBorders>
          </w:tcPr>
          <w:p w14:paraId="2AE70229" w14:textId="77777777" w:rsidR="000D4BF7" w:rsidRDefault="000D4BF7">
            <w:pPr>
              <w:widowControl w:val="0"/>
              <w:spacing w:line="360" w:lineRule="auto"/>
              <w:jc w:val="both"/>
              <w:rPr>
                <w:sz w:val="24"/>
                <w:szCs w:val="24"/>
              </w:rPr>
            </w:pPr>
          </w:p>
        </w:tc>
        <w:tc>
          <w:tcPr>
            <w:tcW w:w="9023" w:type="dxa"/>
            <w:tcBorders>
              <w:top w:val="single" w:sz="4" w:space="0" w:color="000000"/>
              <w:left w:val="single" w:sz="4" w:space="0" w:color="000000"/>
              <w:bottom w:val="single" w:sz="4" w:space="0" w:color="000000"/>
              <w:right w:val="single" w:sz="4" w:space="0" w:color="000000"/>
            </w:tcBorders>
            <w:hideMark/>
          </w:tcPr>
          <w:p w14:paraId="7B4AB4C2" w14:textId="77777777" w:rsidR="000D4BF7" w:rsidRDefault="000D4BF7">
            <w:pPr>
              <w:spacing w:after="0" w:line="360" w:lineRule="auto"/>
              <w:ind w:firstLine="720"/>
              <w:jc w:val="both"/>
              <w:rPr>
                <w:rFonts w:eastAsia="Times New Roman" w:cs="Cambria Math"/>
                <w:sz w:val="24"/>
                <w:szCs w:val="24"/>
                <w:lang w:val="hy-AM"/>
              </w:rPr>
            </w:pPr>
            <w:r>
              <w:rPr>
                <w:sz w:val="24"/>
                <w:szCs w:val="24"/>
                <w:lang w:val="hy-AM"/>
              </w:rPr>
              <w:t>1</w:t>
            </w:r>
            <w:r>
              <w:rPr>
                <w:rFonts w:ascii="Cambria Math" w:hAnsi="Cambria Math" w:cs="Cambria Math"/>
                <w:sz w:val="24"/>
                <w:szCs w:val="24"/>
                <w:lang w:val="hy-AM"/>
              </w:rPr>
              <w:t>․</w:t>
            </w:r>
            <w:r>
              <w:rPr>
                <w:sz w:val="24"/>
                <w:szCs w:val="24"/>
                <w:lang w:val="hy-AM"/>
              </w:rPr>
              <w:t xml:space="preserve"> Վ</w:t>
            </w:r>
            <w:r>
              <w:rPr>
                <w:rFonts w:eastAsia="Times New Roman" w:cs="Cambria Math"/>
                <w:sz w:val="24"/>
                <w:szCs w:val="24"/>
                <w:lang w:val="hy-AM"/>
              </w:rPr>
              <w:t>երականգնման հեռանկարի բացակայություն ունեցող ախտաբանական վիճակների ցանկի հստակեցում և համակարգում, բազմիմաստ մեկնաբանությունների բացառում, ձևակերպումների միատեսակության ապահովում, ինչպես նաև ցանկի համալրում մասնագիտական գնահատմամբ հիմնավորված նոր դեպքերով։</w:t>
            </w:r>
          </w:p>
          <w:p w14:paraId="7C057CD2" w14:textId="77777777" w:rsidR="000D4BF7" w:rsidRDefault="000D4BF7">
            <w:pPr>
              <w:spacing w:after="0" w:line="360" w:lineRule="auto"/>
              <w:ind w:firstLine="720"/>
              <w:jc w:val="both"/>
              <w:rPr>
                <w:rFonts w:eastAsia="Times New Roman" w:cs="Cambria Math"/>
                <w:sz w:val="24"/>
                <w:szCs w:val="24"/>
                <w:lang w:val="hy-AM"/>
              </w:rPr>
            </w:pPr>
            <w:r>
              <w:rPr>
                <w:rFonts w:eastAsia="Times New Roman" w:cs="Cambria Math"/>
                <w:sz w:val="24"/>
                <w:szCs w:val="24"/>
                <w:lang w:val="hy-AM"/>
              </w:rPr>
              <w:t>2</w:t>
            </w:r>
            <w:r>
              <w:rPr>
                <w:rFonts w:ascii="Cambria Math" w:eastAsia="Times New Roman" w:hAnsi="Cambria Math" w:cs="Cambria Math"/>
                <w:sz w:val="24"/>
                <w:szCs w:val="24"/>
                <w:lang w:val="hy-AM"/>
              </w:rPr>
              <w:t>․</w:t>
            </w:r>
            <w:r>
              <w:rPr>
                <w:rFonts w:eastAsia="Times New Roman" w:cs="Cambria Math"/>
                <w:sz w:val="24"/>
                <w:szCs w:val="24"/>
                <w:lang w:val="hy-AM"/>
              </w:rPr>
              <w:t xml:space="preserve"> Գնահատող հանձնաժողովի մասնագիտական կազմի հստակ և վերահսկելի ձևավորում՝ ապահովելով, որ հանձնաժողովի կազմում ընդգրկված լինեն բացառապես ռեեստրում ընդգրկված մասնագետներ։</w:t>
            </w:r>
          </w:p>
          <w:p w14:paraId="7992785A" w14:textId="77777777" w:rsidR="000D4BF7" w:rsidRDefault="000D4BF7">
            <w:pPr>
              <w:spacing w:after="0" w:line="360" w:lineRule="auto"/>
              <w:ind w:firstLine="720"/>
              <w:jc w:val="both"/>
              <w:rPr>
                <w:rFonts w:cs="Cambria Math"/>
                <w:sz w:val="24"/>
                <w:szCs w:val="24"/>
                <w:lang w:val="hy-AM"/>
              </w:rPr>
            </w:pPr>
            <w:r>
              <w:rPr>
                <w:rFonts w:eastAsia="Times New Roman" w:cs="Cambria Math"/>
                <w:sz w:val="24"/>
                <w:szCs w:val="24"/>
                <w:lang w:val="hy-AM"/>
              </w:rPr>
              <w:t>3</w:t>
            </w:r>
            <w:r>
              <w:rPr>
                <w:rFonts w:ascii="Cambria Math" w:eastAsia="Times New Roman" w:hAnsi="Cambria Math" w:cs="Cambria Math"/>
                <w:sz w:val="24"/>
                <w:szCs w:val="24"/>
                <w:lang w:val="hy-AM"/>
              </w:rPr>
              <w:t>․</w:t>
            </w:r>
            <w:r>
              <w:rPr>
                <w:rFonts w:eastAsia="Times New Roman" w:cs="Cambria Math"/>
                <w:sz w:val="24"/>
                <w:szCs w:val="24"/>
                <w:lang w:val="hy-AM"/>
              </w:rPr>
              <w:t xml:space="preserve"> ֆունկցիոնալության գնահատման դիմումների ներկայացման գործընթացի ամբողջական թվայնացում՝ դիմումների բացառապես առցանց ընդունման միջոցով, միաժամանակ ապահովելով քաղաքացիների մատչելիությունը համակարգին՝ առցանց դիմումի ինքնուրույն մուտքագրման և Ծառայության տարածքային կենտրոններում էլեկտրոնային լրացմանն աջակցություն ստանալու հնարավորությամբ։</w:t>
            </w:r>
          </w:p>
          <w:p w14:paraId="031FFC7A" w14:textId="77777777" w:rsidR="000D4BF7" w:rsidRDefault="000D4BF7">
            <w:pPr>
              <w:spacing w:after="0" w:line="360" w:lineRule="auto"/>
              <w:ind w:firstLine="720"/>
              <w:jc w:val="both"/>
              <w:rPr>
                <w:rFonts w:eastAsia="Times New Roman" w:cs="Cambria Math"/>
                <w:sz w:val="24"/>
                <w:szCs w:val="24"/>
                <w:lang w:val="hy-AM"/>
              </w:rPr>
            </w:pPr>
            <w:r>
              <w:rPr>
                <w:rFonts w:eastAsia="Times New Roman" w:cs="Cambria Math"/>
                <w:sz w:val="24"/>
                <w:szCs w:val="24"/>
                <w:lang w:val="hy-AM"/>
              </w:rPr>
              <w:t>4</w:t>
            </w:r>
            <w:r>
              <w:rPr>
                <w:rFonts w:ascii="Cambria Math" w:eastAsia="Times New Roman" w:hAnsi="Cambria Math" w:cs="Cambria Math"/>
                <w:sz w:val="24"/>
                <w:szCs w:val="24"/>
                <w:lang w:val="hy-AM"/>
              </w:rPr>
              <w:t>․</w:t>
            </w:r>
            <w:r>
              <w:rPr>
                <w:rFonts w:eastAsia="Times New Roman" w:cs="Cambria Math"/>
                <w:sz w:val="24"/>
                <w:szCs w:val="24"/>
                <w:lang w:val="hy-AM"/>
              </w:rPr>
              <w:t xml:space="preserve"> Ղարաբաղից տեղահանված</w:t>
            </w:r>
            <w:r>
              <w:rPr>
                <w:sz w:val="24"/>
                <w:szCs w:val="24"/>
                <w:lang w:val="hy-AM"/>
              </w:rPr>
              <w:t xml:space="preserve"> </w:t>
            </w:r>
            <w:r>
              <w:rPr>
                <w:rFonts w:eastAsia="Times New Roman" w:cs="Cambria Math"/>
                <w:sz w:val="24"/>
                <w:szCs w:val="24"/>
                <w:lang w:val="hy-AM"/>
              </w:rPr>
              <w:t>անձինք</w:t>
            </w:r>
            <w:r>
              <w:rPr>
                <w:sz w:val="24"/>
                <w:szCs w:val="24"/>
                <w:lang w:val="hy-AM"/>
              </w:rPr>
              <w:t xml:space="preserve"> և Ղարաբաղում վնասվածք ու վիրավորում ստացած ՀՀ քաղաքացիները</w:t>
            </w:r>
            <w:r>
              <w:rPr>
                <w:rFonts w:eastAsia="Times New Roman" w:cs="Cambria Math"/>
                <w:sz w:val="24"/>
                <w:szCs w:val="24"/>
                <w:lang w:val="hy-AM"/>
              </w:rPr>
              <w:t>, ովքեր փաստացի ունեցել են զինծառայության հետ կապված հաշմանդամություն, սակայն չեն կարողանում ներկայացնել անհրաժեշտ փաստաթղթերը, կկարողանան վերականգնել (պահպանել) իրենց իրավական կարգավիճակը և կկարողանան ստանալ համապատասխան զինվորական հաշմանդամության կենսաթոշակ և ֆունկցիոնալ պրոթեզ։</w:t>
            </w:r>
          </w:p>
          <w:p w14:paraId="7D257775" w14:textId="77777777" w:rsidR="000D4BF7" w:rsidRDefault="000D4BF7">
            <w:pPr>
              <w:spacing w:after="0" w:line="360" w:lineRule="auto"/>
              <w:ind w:firstLine="720"/>
              <w:jc w:val="both"/>
              <w:rPr>
                <w:rFonts w:eastAsia="Times New Roman" w:cs="Cambria Math"/>
                <w:sz w:val="24"/>
                <w:szCs w:val="24"/>
                <w:lang w:val="hy-AM"/>
              </w:rPr>
            </w:pPr>
            <w:r>
              <w:rPr>
                <w:rFonts w:eastAsia="Times New Roman" w:cs="Cambria Math"/>
                <w:sz w:val="24"/>
                <w:szCs w:val="24"/>
                <w:lang w:val="hy-AM"/>
              </w:rPr>
              <w:t>5</w:t>
            </w:r>
            <w:r>
              <w:rPr>
                <w:rFonts w:ascii="Cambria Math" w:eastAsia="Times New Roman" w:hAnsi="Cambria Math" w:cs="Cambria Math"/>
                <w:sz w:val="24"/>
                <w:szCs w:val="24"/>
                <w:lang w:val="hy-AM"/>
              </w:rPr>
              <w:t>․</w:t>
            </w:r>
            <w:r>
              <w:rPr>
                <w:rFonts w:eastAsia="Times New Roman" w:cs="Cambria Math"/>
                <w:sz w:val="24"/>
                <w:szCs w:val="24"/>
                <w:lang w:val="hy-AM"/>
              </w:rPr>
              <w:t xml:space="preserve"> Իրավական հստակության, շահառուների հավասար պայմանների ապահովում, ինչը կանխում է պատճառական կապի սխալ կամ անհամաչափ կիրառումը։</w:t>
            </w:r>
          </w:p>
        </w:tc>
      </w:tr>
      <w:tr w:rsidR="000D4BF7" w:rsidRPr="000D4BF7" w14:paraId="6CDB4020" w14:textId="77777777" w:rsidTr="000D4BF7">
        <w:tc>
          <w:tcPr>
            <w:tcW w:w="697" w:type="dxa"/>
            <w:tcBorders>
              <w:top w:val="single" w:sz="4" w:space="0" w:color="000000"/>
              <w:left w:val="single" w:sz="4" w:space="0" w:color="000000"/>
              <w:bottom w:val="single" w:sz="4" w:space="0" w:color="000000"/>
              <w:right w:val="single" w:sz="4" w:space="0" w:color="000000"/>
            </w:tcBorders>
            <w:hideMark/>
          </w:tcPr>
          <w:p w14:paraId="32CBB2F6" w14:textId="77777777" w:rsidR="000D4BF7" w:rsidRDefault="000D4BF7">
            <w:pPr>
              <w:widowControl w:val="0"/>
              <w:spacing w:line="360" w:lineRule="auto"/>
              <w:jc w:val="both"/>
              <w:rPr>
                <w:b/>
                <w:sz w:val="24"/>
                <w:szCs w:val="24"/>
                <w:lang w:val="hy-AM"/>
              </w:rPr>
            </w:pPr>
            <w:r>
              <w:rPr>
                <w:b/>
                <w:sz w:val="24"/>
                <w:szCs w:val="24"/>
                <w:lang w:val="hy-AM"/>
              </w:rPr>
              <w:t>6.</w:t>
            </w:r>
          </w:p>
        </w:tc>
        <w:tc>
          <w:tcPr>
            <w:tcW w:w="9023" w:type="dxa"/>
            <w:tcBorders>
              <w:top w:val="single" w:sz="4" w:space="0" w:color="000000"/>
              <w:left w:val="single" w:sz="4" w:space="0" w:color="000000"/>
              <w:bottom w:val="single" w:sz="4" w:space="0" w:color="000000"/>
              <w:right w:val="single" w:sz="4" w:space="0" w:color="000000"/>
            </w:tcBorders>
            <w:hideMark/>
          </w:tcPr>
          <w:p w14:paraId="4B9D4E8C" w14:textId="77777777" w:rsidR="000D4BF7" w:rsidRDefault="000D4BF7">
            <w:pPr>
              <w:widowControl w:val="0"/>
              <w:tabs>
                <w:tab w:val="left" w:pos="10620"/>
              </w:tabs>
              <w:spacing w:line="360" w:lineRule="auto"/>
              <w:jc w:val="both"/>
              <w:rPr>
                <w:rFonts w:eastAsia="Calibri"/>
                <w:b/>
                <w:bCs/>
                <w:sz w:val="24"/>
                <w:szCs w:val="24"/>
                <w:lang w:val="hy-AM"/>
              </w:rPr>
            </w:pPr>
            <w:r>
              <w:rPr>
                <w:rFonts w:eastAsia="Calibri"/>
                <w:b/>
                <w:bCs/>
                <w:sz w:val="24"/>
                <w:szCs w:val="24"/>
                <w:lang w:val="hy-AM"/>
              </w:rPr>
              <w:t>Հայաստանի Հանրապետության պետական բյուջեի եկամուտների և ծախսերի փոփոխությունները</w:t>
            </w:r>
          </w:p>
        </w:tc>
      </w:tr>
      <w:tr w:rsidR="000D4BF7" w:rsidRPr="000D4BF7" w14:paraId="749B8316" w14:textId="77777777" w:rsidTr="000D4BF7">
        <w:tc>
          <w:tcPr>
            <w:tcW w:w="697" w:type="dxa"/>
            <w:tcBorders>
              <w:top w:val="single" w:sz="4" w:space="0" w:color="000000"/>
              <w:left w:val="single" w:sz="4" w:space="0" w:color="000000"/>
              <w:bottom w:val="single" w:sz="4" w:space="0" w:color="000000"/>
              <w:right w:val="single" w:sz="4" w:space="0" w:color="000000"/>
            </w:tcBorders>
          </w:tcPr>
          <w:p w14:paraId="323801B7" w14:textId="77777777" w:rsidR="000D4BF7" w:rsidRDefault="000D4BF7">
            <w:pPr>
              <w:widowControl w:val="0"/>
              <w:spacing w:line="360" w:lineRule="auto"/>
              <w:jc w:val="both"/>
              <w:rPr>
                <w:sz w:val="24"/>
                <w:szCs w:val="24"/>
                <w:lang w:val="hy-AM"/>
              </w:rPr>
            </w:pPr>
          </w:p>
        </w:tc>
        <w:tc>
          <w:tcPr>
            <w:tcW w:w="9023" w:type="dxa"/>
            <w:tcBorders>
              <w:top w:val="single" w:sz="4" w:space="0" w:color="000000"/>
              <w:left w:val="single" w:sz="4" w:space="0" w:color="000000"/>
              <w:bottom w:val="single" w:sz="4" w:space="0" w:color="000000"/>
              <w:right w:val="single" w:sz="4" w:space="0" w:color="000000"/>
            </w:tcBorders>
            <w:hideMark/>
          </w:tcPr>
          <w:p w14:paraId="29A68726" w14:textId="77777777" w:rsidR="000D4BF7" w:rsidRDefault="000D4BF7">
            <w:pPr>
              <w:tabs>
                <w:tab w:val="left" w:pos="851"/>
                <w:tab w:val="left" w:pos="993"/>
              </w:tabs>
              <w:spacing w:after="0" w:line="360" w:lineRule="auto"/>
              <w:jc w:val="both"/>
              <w:rPr>
                <w:rFonts w:eastAsia="Calibri" w:cs="Times New Roman"/>
                <w:sz w:val="24"/>
                <w:szCs w:val="24"/>
                <w:lang w:val="hy-AM"/>
              </w:rPr>
            </w:pPr>
            <w:r>
              <w:rPr>
                <w:rFonts w:eastAsia="Calibri" w:cs="Times New Roman"/>
                <w:sz w:val="24"/>
                <w:szCs w:val="24"/>
                <w:lang w:val="hy-AM"/>
              </w:rPr>
              <w:tab/>
              <w:t>Նախագծի ընդունման կապակցությամբ լրացուցիչ ֆինանսական միջոցների անհրաժեշտություն չի առաջանում, պետական բյուջեի եկամուտներում և ծախսերում փոփոխություններ չեն նախատեսվում։</w:t>
            </w:r>
          </w:p>
        </w:tc>
      </w:tr>
      <w:tr w:rsidR="000D4BF7" w14:paraId="341C2FC6" w14:textId="77777777" w:rsidTr="000D4BF7">
        <w:tc>
          <w:tcPr>
            <w:tcW w:w="697" w:type="dxa"/>
            <w:tcBorders>
              <w:top w:val="single" w:sz="4" w:space="0" w:color="000000"/>
              <w:left w:val="single" w:sz="4" w:space="0" w:color="000000"/>
              <w:bottom w:val="single" w:sz="4" w:space="0" w:color="000000"/>
              <w:right w:val="single" w:sz="4" w:space="0" w:color="000000"/>
            </w:tcBorders>
            <w:hideMark/>
          </w:tcPr>
          <w:p w14:paraId="0D00CB5F" w14:textId="77777777" w:rsidR="000D4BF7" w:rsidRDefault="000D4BF7">
            <w:pPr>
              <w:widowControl w:val="0"/>
              <w:spacing w:line="360" w:lineRule="auto"/>
              <w:jc w:val="both"/>
              <w:rPr>
                <w:b/>
                <w:sz w:val="24"/>
                <w:szCs w:val="24"/>
              </w:rPr>
            </w:pPr>
            <w:r>
              <w:rPr>
                <w:b/>
                <w:sz w:val="24"/>
                <w:szCs w:val="24"/>
              </w:rPr>
              <w:t>7.</w:t>
            </w:r>
          </w:p>
        </w:tc>
        <w:tc>
          <w:tcPr>
            <w:tcW w:w="9023" w:type="dxa"/>
            <w:tcBorders>
              <w:top w:val="single" w:sz="4" w:space="0" w:color="000000"/>
              <w:left w:val="single" w:sz="4" w:space="0" w:color="000000"/>
              <w:bottom w:val="single" w:sz="4" w:space="0" w:color="000000"/>
              <w:right w:val="single" w:sz="4" w:space="0" w:color="000000"/>
            </w:tcBorders>
            <w:hideMark/>
          </w:tcPr>
          <w:p w14:paraId="7286B009" w14:textId="77777777" w:rsidR="000D4BF7" w:rsidRDefault="000D4BF7">
            <w:pPr>
              <w:widowControl w:val="0"/>
              <w:tabs>
                <w:tab w:val="left" w:pos="10620"/>
              </w:tabs>
              <w:spacing w:line="360" w:lineRule="auto"/>
              <w:jc w:val="both"/>
              <w:rPr>
                <w:rFonts w:cs="Arial Unicode"/>
                <w:b/>
                <w:bCs/>
                <w:sz w:val="24"/>
                <w:szCs w:val="24"/>
                <w:lang w:val="hy-AM"/>
              </w:rPr>
            </w:pPr>
            <w:r>
              <w:rPr>
                <w:rFonts w:cs="Arial Unicode"/>
                <w:b/>
                <w:bCs/>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0D4BF7" w14:paraId="439CBD6A" w14:textId="77777777" w:rsidTr="000D4BF7">
        <w:tc>
          <w:tcPr>
            <w:tcW w:w="697" w:type="dxa"/>
            <w:tcBorders>
              <w:top w:val="single" w:sz="4" w:space="0" w:color="000000"/>
              <w:left w:val="single" w:sz="4" w:space="0" w:color="000000"/>
              <w:bottom w:val="single" w:sz="4" w:space="0" w:color="000000"/>
              <w:right w:val="single" w:sz="4" w:space="0" w:color="000000"/>
            </w:tcBorders>
          </w:tcPr>
          <w:p w14:paraId="386184FD" w14:textId="77777777" w:rsidR="000D4BF7" w:rsidRDefault="000D4BF7">
            <w:pPr>
              <w:widowControl w:val="0"/>
              <w:spacing w:line="360" w:lineRule="auto"/>
              <w:jc w:val="both"/>
              <w:rPr>
                <w:sz w:val="24"/>
                <w:szCs w:val="24"/>
              </w:rPr>
            </w:pPr>
          </w:p>
        </w:tc>
        <w:tc>
          <w:tcPr>
            <w:tcW w:w="9023" w:type="dxa"/>
            <w:tcBorders>
              <w:top w:val="single" w:sz="4" w:space="0" w:color="000000"/>
              <w:left w:val="single" w:sz="4" w:space="0" w:color="000000"/>
              <w:bottom w:val="single" w:sz="4" w:space="0" w:color="000000"/>
              <w:right w:val="single" w:sz="4" w:space="0" w:color="000000"/>
            </w:tcBorders>
            <w:hideMark/>
          </w:tcPr>
          <w:p w14:paraId="1037B162" w14:textId="77777777" w:rsidR="000D4BF7" w:rsidRDefault="000D4BF7">
            <w:pPr>
              <w:spacing w:after="0" w:line="360" w:lineRule="auto"/>
              <w:ind w:firstLine="720"/>
              <w:jc w:val="both"/>
              <w:rPr>
                <w:rFonts w:eastAsia="Calibri" w:cs="Times New Roman"/>
                <w:sz w:val="24"/>
                <w:szCs w:val="24"/>
                <w:lang w:val="hy-AM"/>
              </w:rPr>
            </w:pPr>
            <w:r>
              <w:rPr>
                <w:rFonts w:eastAsia="Calibri" w:cs="Times New Roman"/>
                <w:sz w:val="24"/>
                <w:szCs w:val="24"/>
                <w:lang w:val="hy-AM"/>
              </w:rPr>
              <w:t xml:space="preserve">Նախագիծը փոխկապակցված է Հայաստանի Հանրապետության Կառավարության 2021-2026 թվականների ծրագրի հետ և բխում է 4.6 կետի </w:t>
            </w:r>
            <w:r>
              <w:rPr>
                <w:rFonts w:eastAsia="Calibri" w:cs="Times New Roman"/>
                <w:sz w:val="24"/>
                <w:szCs w:val="24"/>
                <w:lang w:val="hy-AM"/>
              </w:rPr>
              <w:br/>
              <w:t xml:space="preserve">24-րդ պարբերությունից` «Ներդրվելու է հաշմանդամության գնահատման նոր մոդել՝ հիմնված անձի կարիքների բազմակողմանի գնահատման վրա։»:  </w:t>
            </w:r>
          </w:p>
        </w:tc>
      </w:tr>
    </w:tbl>
    <w:p w14:paraId="6F1B69EA" w14:textId="77777777" w:rsidR="000D4BF7" w:rsidRDefault="000D4BF7" w:rsidP="000D4BF7">
      <w:pPr>
        <w:spacing w:line="360" w:lineRule="auto"/>
        <w:rPr>
          <w:sz w:val="24"/>
          <w:szCs w:val="24"/>
          <w:lang w:val="hy-AM"/>
        </w:rPr>
      </w:pPr>
    </w:p>
    <w:p w14:paraId="0971CC3C" w14:textId="77777777" w:rsidR="00397CB2" w:rsidRPr="000D4BF7" w:rsidRDefault="00397CB2" w:rsidP="000D4BF7">
      <w:bookmarkStart w:id="0" w:name="_GoBack"/>
      <w:bookmarkEnd w:id="0"/>
    </w:p>
    <w:sectPr w:rsidR="00397CB2" w:rsidRPr="000D4B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95FD1"/>
    <w:multiLevelType w:val="hybridMultilevel"/>
    <w:tmpl w:val="D222EB18"/>
    <w:lvl w:ilvl="0" w:tplc="A95491F8">
      <w:start w:val="1"/>
      <w:numFmt w:val="decimal"/>
      <w:lvlText w:val="%1."/>
      <w:lvlJc w:val="left"/>
      <w:pPr>
        <w:ind w:left="1170" w:hanging="360"/>
      </w:pPr>
      <w:rPr>
        <w:rFonts w:ascii="Sylfaen" w:eastAsia="Times New Roman" w:hAnsi="Sylfaen" w:cs="Times New Roman"/>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24034433"/>
    <w:multiLevelType w:val="hybridMultilevel"/>
    <w:tmpl w:val="1C343D96"/>
    <w:lvl w:ilvl="0" w:tplc="04090001">
      <w:start w:val="1"/>
      <w:numFmt w:val="bullet"/>
      <w:lvlText w:val=""/>
      <w:lvlJc w:val="left"/>
      <w:pPr>
        <w:ind w:left="935" w:hanging="360"/>
      </w:pPr>
      <w:rPr>
        <w:rFonts w:ascii="Symbol" w:hAnsi="Symbol" w:hint="default"/>
      </w:rPr>
    </w:lvl>
    <w:lvl w:ilvl="1" w:tplc="04090003" w:tentative="1">
      <w:start w:val="1"/>
      <w:numFmt w:val="bullet"/>
      <w:lvlText w:val="o"/>
      <w:lvlJc w:val="left"/>
      <w:pPr>
        <w:ind w:left="1655" w:hanging="360"/>
      </w:pPr>
      <w:rPr>
        <w:rFonts w:ascii="Courier New" w:hAnsi="Courier New" w:cs="Courier New" w:hint="default"/>
      </w:rPr>
    </w:lvl>
    <w:lvl w:ilvl="2" w:tplc="04090005" w:tentative="1">
      <w:start w:val="1"/>
      <w:numFmt w:val="bullet"/>
      <w:lvlText w:val=""/>
      <w:lvlJc w:val="left"/>
      <w:pPr>
        <w:ind w:left="2375" w:hanging="360"/>
      </w:pPr>
      <w:rPr>
        <w:rFonts w:ascii="Wingdings" w:hAnsi="Wingdings" w:hint="default"/>
      </w:rPr>
    </w:lvl>
    <w:lvl w:ilvl="3" w:tplc="04090001" w:tentative="1">
      <w:start w:val="1"/>
      <w:numFmt w:val="bullet"/>
      <w:lvlText w:val=""/>
      <w:lvlJc w:val="left"/>
      <w:pPr>
        <w:ind w:left="3095" w:hanging="360"/>
      </w:pPr>
      <w:rPr>
        <w:rFonts w:ascii="Symbol" w:hAnsi="Symbol" w:hint="default"/>
      </w:rPr>
    </w:lvl>
    <w:lvl w:ilvl="4" w:tplc="04090003" w:tentative="1">
      <w:start w:val="1"/>
      <w:numFmt w:val="bullet"/>
      <w:lvlText w:val="o"/>
      <w:lvlJc w:val="left"/>
      <w:pPr>
        <w:ind w:left="3815" w:hanging="360"/>
      </w:pPr>
      <w:rPr>
        <w:rFonts w:ascii="Courier New" w:hAnsi="Courier New" w:cs="Courier New" w:hint="default"/>
      </w:rPr>
    </w:lvl>
    <w:lvl w:ilvl="5" w:tplc="04090005" w:tentative="1">
      <w:start w:val="1"/>
      <w:numFmt w:val="bullet"/>
      <w:lvlText w:val=""/>
      <w:lvlJc w:val="left"/>
      <w:pPr>
        <w:ind w:left="4535" w:hanging="360"/>
      </w:pPr>
      <w:rPr>
        <w:rFonts w:ascii="Wingdings" w:hAnsi="Wingdings" w:hint="default"/>
      </w:rPr>
    </w:lvl>
    <w:lvl w:ilvl="6" w:tplc="04090001" w:tentative="1">
      <w:start w:val="1"/>
      <w:numFmt w:val="bullet"/>
      <w:lvlText w:val=""/>
      <w:lvlJc w:val="left"/>
      <w:pPr>
        <w:ind w:left="5255" w:hanging="360"/>
      </w:pPr>
      <w:rPr>
        <w:rFonts w:ascii="Symbol" w:hAnsi="Symbol" w:hint="default"/>
      </w:rPr>
    </w:lvl>
    <w:lvl w:ilvl="7" w:tplc="04090003" w:tentative="1">
      <w:start w:val="1"/>
      <w:numFmt w:val="bullet"/>
      <w:lvlText w:val="o"/>
      <w:lvlJc w:val="left"/>
      <w:pPr>
        <w:ind w:left="5975" w:hanging="360"/>
      </w:pPr>
      <w:rPr>
        <w:rFonts w:ascii="Courier New" w:hAnsi="Courier New" w:cs="Courier New" w:hint="default"/>
      </w:rPr>
    </w:lvl>
    <w:lvl w:ilvl="8" w:tplc="04090005" w:tentative="1">
      <w:start w:val="1"/>
      <w:numFmt w:val="bullet"/>
      <w:lvlText w:val=""/>
      <w:lvlJc w:val="left"/>
      <w:pPr>
        <w:ind w:left="6695" w:hanging="360"/>
      </w:pPr>
      <w:rPr>
        <w:rFonts w:ascii="Wingdings" w:hAnsi="Wingdings" w:hint="default"/>
      </w:rPr>
    </w:lvl>
  </w:abstractNum>
  <w:abstractNum w:abstractNumId="2" w15:restartNumberingAfterBreak="0">
    <w:nsid w:val="298A4FE5"/>
    <w:multiLevelType w:val="hybridMultilevel"/>
    <w:tmpl w:val="9E186492"/>
    <w:lvl w:ilvl="0" w:tplc="04090001">
      <w:start w:val="1"/>
      <w:numFmt w:val="bullet"/>
      <w:lvlText w:val=""/>
      <w:lvlJc w:val="left"/>
      <w:pPr>
        <w:ind w:left="935" w:hanging="360"/>
      </w:pPr>
      <w:rPr>
        <w:rFonts w:ascii="Symbol" w:hAnsi="Symbol" w:hint="default"/>
      </w:rPr>
    </w:lvl>
    <w:lvl w:ilvl="1" w:tplc="04090003" w:tentative="1">
      <w:start w:val="1"/>
      <w:numFmt w:val="bullet"/>
      <w:lvlText w:val="o"/>
      <w:lvlJc w:val="left"/>
      <w:pPr>
        <w:ind w:left="1655" w:hanging="360"/>
      </w:pPr>
      <w:rPr>
        <w:rFonts w:ascii="Courier New" w:hAnsi="Courier New" w:cs="Courier New" w:hint="default"/>
      </w:rPr>
    </w:lvl>
    <w:lvl w:ilvl="2" w:tplc="04090005" w:tentative="1">
      <w:start w:val="1"/>
      <w:numFmt w:val="bullet"/>
      <w:lvlText w:val=""/>
      <w:lvlJc w:val="left"/>
      <w:pPr>
        <w:ind w:left="2375" w:hanging="360"/>
      </w:pPr>
      <w:rPr>
        <w:rFonts w:ascii="Wingdings" w:hAnsi="Wingdings" w:hint="default"/>
      </w:rPr>
    </w:lvl>
    <w:lvl w:ilvl="3" w:tplc="04090001" w:tentative="1">
      <w:start w:val="1"/>
      <w:numFmt w:val="bullet"/>
      <w:lvlText w:val=""/>
      <w:lvlJc w:val="left"/>
      <w:pPr>
        <w:ind w:left="3095" w:hanging="360"/>
      </w:pPr>
      <w:rPr>
        <w:rFonts w:ascii="Symbol" w:hAnsi="Symbol" w:hint="default"/>
      </w:rPr>
    </w:lvl>
    <w:lvl w:ilvl="4" w:tplc="04090003" w:tentative="1">
      <w:start w:val="1"/>
      <w:numFmt w:val="bullet"/>
      <w:lvlText w:val="o"/>
      <w:lvlJc w:val="left"/>
      <w:pPr>
        <w:ind w:left="3815" w:hanging="360"/>
      </w:pPr>
      <w:rPr>
        <w:rFonts w:ascii="Courier New" w:hAnsi="Courier New" w:cs="Courier New" w:hint="default"/>
      </w:rPr>
    </w:lvl>
    <w:lvl w:ilvl="5" w:tplc="04090005" w:tentative="1">
      <w:start w:val="1"/>
      <w:numFmt w:val="bullet"/>
      <w:lvlText w:val=""/>
      <w:lvlJc w:val="left"/>
      <w:pPr>
        <w:ind w:left="4535" w:hanging="360"/>
      </w:pPr>
      <w:rPr>
        <w:rFonts w:ascii="Wingdings" w:hAnsi="Wingdings" w:hint="default"/>
      </w:rPr>
    </w:lvl>
    <w:lvl w:ilvl="6" w:tplc="04090001" w:tentative="1">
      <w:start w:val="1"/>
      <w:numFmt w:val="bullet"/>
      <w:lvlText w:val=""/>
      <w:lvlJc w:val="left"/>
      <w:pPr>
        <w:ind w:left="5255" w:hanging="360"/>
      </w:pPr>
      <w:rPr>
        <w:rFonts w:ascii="Symbol" w:hAnsi="Symbol" w:hint="default"/>
      </w:rPr>
    </w:lvl>
    <w:lvl w:ilvl="7" w:tplc="04090003" w:tentative="1">
      <w:start w:val="1"/>
      <w:numFmt w:val="bullet"/>
      <w:lvlText w:val="o"/>
      <w:lvlJc w:val="left"/>
      <w:pPr>
        <w:ind w:left="5975" w:hanging="360"/>
      </w:pPr>
      <w:rPr>
        <w:rFonts w:ascii="Courier New" w:hAnsi="Courier New" w:cs="Courier New" w:hint="default"/>
      </w:rPr>
    </w:lvl>
    <w:lvl w:ilvl="8" w:tplc="04090005" w:tentative="1">
      <w:start w:val="1"/>
      <w:numFmt w:val="bullet"/>
      <w:lvlText w:val=""/>
      <w:lvlJc w:val="left"/>
      <w:pPr>
        <w:ind w:left="6695" w:hanging="360"/>
      </w:pPr>
      <w:rPr>
        <w:rFonts w:ascii="Wingdings" w:hAnsi="Wingdings" w:hint="default"/>
      </w:rPr>
    </w:lvl>
  </w:abstractNum>
  <w:abstractNum w:abstractNumId="3" w15:restartNumberingAfterBreak="0">
    <w:nsid w:val="2C4D4F33"/>
    <w:multiLevelType w:val="hybridMultilevel"/>
    <w:tmpl w:val="54387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F41F57"/>
    <w:multiLevelType w:val="hybridMultilevel"/>
    <w:tmpl w:val="ED0EF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991D9B"/>
    <w:multiLevelType w:val="hybridMultilevel"/>
    <w:tmpl w:val="E29CF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3E53E1"/>
    <w:multiLevelType w:val="hybridMultilevel"/>
    <w:tmpl w:val="30661B92"/>
    <w:lvl w:ilvl="0" w:tplc="29BC6B76">
      <w:start w:val="1"/>
      <w:numFmt w:val="decimal"/>
      <w:lvlText w:val="%1."/>
      <w:lvlJc w:val="left"/>
      <w:pPr>
        <w:ind w:left="1377" w:hanging="360"/>
      </w:pPr>
      <w:rPr>
        <w:rFonts w:hint="default"/>
        <w:color w:val="000000" w:themeColor="text1"/>
      </w:rPr>
    </w:lvl>
    <w:lvl w:ilvl="1" w:tplc="04090019" w:tentative="1">
      <w:start w:val="1"/>
      <w:numFmt w:val="lowerLetter"/>
      <w:lvlText w:val="%2."/>
      <w:lvlJc w:val="left"/>
      <w:pPr>
        <w:ind w:left="2097" w:hanging="360"/>
      </w:pPr>
    </w:lvl>
    <w:lvl w:ilvl="2" w:tplc="0409001B" w:tentative="1">
      <w:start w:val="1"/>
      <w:numFmt w:val="lowerRoman"/>
      <w:lvlText w:val="%3."/>
      <w:lvlJc w:val="right"/>
      <w:pPr>
        <w:ind w:left="2817" w:hanging="180"/>
      </w:pPr>
    </w:lvl>
    <w:lvl w:ilvl="3" w:tplc="0409000F" w:tentative="1">
      <w:start w:val="1"/>
      <w:numFmt w:val="decimal"/>
      <w:lvlText w:val="%4."/>
      <w:lvlJc w:val="left"/>
      <w:pPr>
        <w:ind w:left="3537" w:hanging="360"/>
      </w:pPr>
    </w:lvl>
    <w:lvl w:ilvl="4" w:tplc="04090019" w:tentative="1">
      <w:start w:val="1"/>
      <w:numFmt w:val="lowerLetter"/>
      <w:lvlText w:val="%5."/>
      <w:lvlJc w:val="left"/>
      <w:pPr>
        <w:ind w:left="4257" w:hanging="360"/>
      </w:pPr>
    </w:lvl>
    <w:lvl w:ilvl="5" w:tplc="0409001B" w:tentative="1">
      <w:start w:val="1"/>
      <w:numFmt w:val="lowerRoman"/>
      <w:lvlText w:val="%6."/>
      <w:lvlJc w:val="right"/>
      <w:pPr>
        <w:ind w:left="4977" w:hanging="180"/>
      </w:pPr>
    </w:lvl>
    <w:lvl w:ilvl="6" w:tplc="0409000F" w:tentative="1">
      <w:start w:val="1"/>
      <w:numFmt w:val="decimal"/>
      <w:lvlText w:val="%7."/>
      <w:lvlJc w:val="left"/>
      <w:pPr>
        <w:ind w:left="5697" w:hanging="360"/>
      </w:pPr>
    </w:lvl>
    <w:lvl w:ilvl="7" w:tplc="04090019" w:tentative="1">
      <w:start w:val="1"/>
      <w:numFmt w:val="lowerLetter"/>
      <w:lvlText w:val="%8."/>
      <w:lvlJc w:val="left"/>
      <w:pPr>
        <w:ind w:left="6417" w:hanging="360"/>
      </w:pPr>
    </w:lvl>
    <w:lvl w:ilvl="8" w:tplc="0409001B" w:tentative="1">
      <w:start w:val="1"/>
      <w:numFmt w:val="lowerRoman"/>
      <w:lvlText w:val="%9."/>
      <w:lvlJc w:val="right"/>
      <w:pPr>
        <w:ind w:left="7137" w:hanging="180"/>
      </w:pPr>
    </w:lvl>
  </w:abstractNum>
  <w:abstractNum w:abstractNumId="7" w15:restartNumberingAfterBreak="0">
    <w:nsid w:val="7AAF6C5D"/>
    <w:multiLevelType w:val="hybridMultilevel"/>
    <w:tmpl w:val="019E5AE6"/>
    <w:lvl w:ilvl="0" w:tplc="7B6C64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0"/>
  </w:num>
  <w:num w:numId="3">
    <w:abstractNumId w:val="3"/>
  </w:num>
  <w:num w:numId="4">
    <w:abstractNumId w:val="1"/>
  </w:num>
  <w:num w:numId="5">
    <w:abstractNumId w:val="2"/>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7BF"/>
    <w:rsid w:val="00003547"/>
    <w:rsid w:val="00011AB5"/>
    <w:rsid w:val="00012AAB"/>
    <w:rsid w:val="00066978"/>
    <w:rsid w:val="000913A2"/>
    <w:rsid w:val="000D085E"/>
    <w:rsid w:val="000D4741"/>
    <w:rsid w:val="000D4BF7"/>
    <w:rsid w:val="000E1C9A"/>
    <w:rsid w:val="000F0547"/>
    <w:rsid w:val="0013754D"/>
    <w:rsid w:val="00181DCE"/>
    <w:rsid w:val="001828B0"/>
    <w:rsid w:val="001A2F36"/>
    <w:rsid w:val="001B63AB"/>
    <w:rsid w:val="001D47CB"/>
    <w:rsid w:val="001E7297"/>
    <w:rsid w:val="00202551"/>
    <w:rsid w:val="00204F4D"/>
    <w:rsid w:val="002062D0"/>
    <w:rsid w:val="00213DA8"/>
    <w:rsid w:val="00222917"/>
    <w:rsid w:val="00247145"/>
    <w:rsid w:val="0027095B"/>
    <w:rsid w:val="00287BAF"/>
    <w:rsid w:val="00287D80"/>
    <w:rsid w:val="002B5B01"/>
    <w:rsid w:val="002B695F"/>
    <w:rsid w:val="002C3B18"/>
    <w:rsid w:val="002D04CB"/>
    <w:rsid w:val="002F046D"/>
    <w:rsid w:val="003227BF"/>
    <w:rsid w:val="00331316"/>
    <w:rsid w:val="0034265E"/>
    <w:rsid w:val="00346268"/>
    <w:rsid w:val="003719BA"/>
    <w:rsid w:val="0037423F"/>
    <w:rsid w:val="00385F0F"/>
    <w:rsid w:val="00390708"/>
    <w:rsid w:val="00397CB2"/>
    <w:rsid w:val="003B35B8"/>
    <w:rsid w:val="003C52D3"/>
    <w:rsid w:val="003E10C5"/>
    <w:rsid w:val="003E5E6B"/>
    <w:rsid w:val="004365D3"/>
    <w:rsid w:val="00450EAC"/>
    <w:rsid w:val="00483FAB"/>
    <w:rsid w:val="0049193D"/>
    <w:rsid w:val="004B2E25"/>
    <w:rsid w:val="004C3184"/>
    <w:rsid w:val="004D707E"/>
    <w:rsid w:val="004F3B79"/>
    <w:rsid w:val="00510A94"/>
    <w:rsid w:val="00514B0A"/>
    <w:rsid w:val="005223D7"/>
    <w:rsid w:val="005362CF"/>
    <w:rsid w:val="005928E6"/>
    <w:rsid w:val="00597B6E"/>
    <w:rsid w:val="005B1204"/>
    <w:rsid w:val="005C2F82"/>
    <w:rsid w:val="005C5AF8"/>
    <w:rsid w:val="005D70D5"/>
    <w:rsid w:val="005D732B"/>
    <w:rsid w:val="005F30E2"/>
    <w:rsid w:val="0060379B"/>
    <w:rsid w:val="0061021A"/>
    <w:rsid w:val="00615AF3"/>
    <w:rsid w:val="00623907"/>
    <w:rsid w:val="00644E6C"/>
    <w:rsid w:val="006512E1"/>
    <w:rsid w:val="00663C16"/>
    <w:rsid w:val="00663DBC"/>
    <w:rsid w:val="006727E9"/>
    <w:rsid w:val="006A20CF"/>
    <w:rsid w:val="006A42E3"/>
    <w:rsid w:val="006A4DA9"/>
    <w:rsid w:val="006B16FF"/>
    <w:rsid w:val="0070097B"/>
    <w:rsid w:val="0071365A"/>
    <w:rsid w:val="00761846"/>
    <w:rsid w:val="0078646C"/>
    <w:rsid w:val="00786C0E"/>
    <w:rsid w:val="007939B8"/>
    <w:rsid w:val="00794459"/>
    <w:rsid w:val="00794C20"/>
    <w:rsid w:val="00824449"/>
    <w:rsid w:val="00846F13"/>
    <w:rsid w:val="00897F9F"/>
    <w:rsid w:val="008A2700"/>
    <w:rsid w:val="008B6F52"/>
    <w:rsid w:val="008C0857"/>
    <w:rsid w:val="008E0CE1"/>
    <w:rsid w:val="009214BB"/>
    <w:rsid w:val="009278DB"/>
    <w:rsid w:val="00957FB5"/>
    <w:rsid w:val="0097076A"/>
    <w:rsid w:val="00982762"/>
    <w:rsid w:val="009A2DAC"/>
    <w:rsid w:val="009D0F5D"/>
    <w:rsid w:val="00A434F1"/>
    <w:rsid w:val="00A568A7"/>
    <w:rsid w:val="00A6454B"/>
    <w:rsid w:val="00A6637C"/>
    <w:rsid w:val="00A714B5"/>
    <w:rsid w:val="00AA1C87"/>
    <w:rsid w:val="00AA5BB3"/>
    <w:rsid w:val="00AD0F50"/>
    <w:rsid w:val="00AF54D2"/>
    <w:rsid w:val="00B0432C"/>
    <w:rsid w:val="00B668AD"/>
    <w:rsid w:val="00B76EA7"/>
    <w:rsid w:val="00B87420"/>
    <w:rsid w:val="00B9778E"/>
    <w:rsid w:val="00BB00E3"/>
    <w:rsid w:val="00BB3C11"/>
    <w:rsid w:val="00BB4B29"/>
    <w:rsid w:val="00C84C24"/>
    <w:rsid w:val="00C91AAA"/>
    <w:rsid w:val="00CC34A0"/>
    <w:rsid w:val="00CC7065"/>
    <w:rsid w:val="00D153FB"/>
    <w:rsid w:val="00D309FF"/>
    <w:rsid w:val="00D34334"/>
    <w:rsid w:val="00D34EF0"/>
    <w:rsid w:val="00D454DC"/>
    <w:rsid w:val="00D46D1F"/>
    <w:rsid w:val="00D53F86"/>
    <w:rsid w:val="00D62E76"/>
    <w:rsid w:val="00D77732"/>
    <w:rsid w:val="00D9086F"/>
    <w:rsid w:val="00D97415"/>
    <w:rsid w:val="00DB6264"/>
    <w:rsid w:val="00DC5E5A"/>
    <w:rsid w:val="00DD2DB8"/>
    <w:rsid w:val="00E76B3B"/>
    <w:rsid w:val="00E850F1"/>
    <w:rsid w:val="00E95670"/>
    <w:rsid w:val="00EA1DA1"/>
    <w:rsid w:val="00F12D1C"/>
    <w:rsid w:val="00F439EB"/>
    <w:rsid w:val="00F4438C"/>
    <w:rsid w:val="00F50198"/>
    <w:rsid w:val="00F662C8"/>
    <w:rsid w:val="00F7048B"/>
    <w:rsid w:val="00FB2F06"/>
    <w:rsid w:val="00FB74FE"/>
    <w:rsid w:val="00FC3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BA6BF"/>
  <w15:chartTrackingRefBased/>
  <w15:docId w15:val="{4F9AD720-82E5-4D7F-84A4-1BEE4F840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C0E"/>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786C0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rsid w:val="00786C0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86C0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786C0E"/>
    <w:rPr>
      <w:b/>
      <w:bCs/>
    </w:rPr>
  </w:style>
  <w:style w:type="character" w:styleId="CommentReference">
    <w:name w:val="annotation reference"/>
    <w:basedOn w:val="DefaultParagraphFont"/>
    <w:uiPriority w:val="99"/>
    <w:semiHidden/>
    <w:unhideWhenUsed/>
    <w:rsid w:val="00786C0E"/>
    <w:rPr>
      <w:sz w:val="16"/>
      <w:szCs w:val="16"/>
    </w:rPr>
  </w:style>
  <w:style w:type="paragraph" w:styleId="CommentText">
    <w:name w:val="annotation text"/>
    <w:basedOn w:val="Normal"/>
    <w:link w:val="CommentTextChar"/>
    <w:uiPriority w:val="99"/>
    <w:semiHidden/>
    <w:unhideWhenUsed/>
    <w:rsid w:val="00786C0E"/>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786C0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786C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6C0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E1C9A"/>
    <w:pPr>
      <w:spacing w:after="160"/>
    </w:pPr>
    <w:rPr>
      <w:rFonts w:ascii="GHEA Grapalat" w:eastAsiaTheme="minorHAnsi" w:hAnsi="GHEA Grapalat" w:cstheme="minorBidi"/>
      <w:b/>
      <w:bCs/>
      <w:lang w:val="en-US" w:eastAsia="en-US"/>
    </w:rPr>
  </w:style>
  <w:style w:type="character" w:customStyle="1" w:styleId="CommentSubjectChar">
    <w:name w:val="Comment Subject Char"/>
    <w:basedOn w:val="CommentTextChar"/>
    <w:link w:val="CommentSubject"/>
    <w:uiPriority w:val="99"/>
    <w:semiHidden/>
    <w:rsid w:val="000E1C9A"/>
    <w:rPr>
      <w:rFonts w:ascii="GHEA Grapalat" w:eastAsia="Times New Roman" w:hAnsi="GHEA Grapalat" w:cs="Times New Roman"/>
      <w:b/>
      <w:bCs/>
      <w:sz w:val="20"/>
      <w:szCs w:val="20"/>
      <w:lang w:val="ru-RU" w:eastAsia="ru-RU"/>
    </w:rPr>
  </w:style>
  <w:style w:type="paragraph" w:styleId="NormalWeb">
    <w:name w:val="Normal (Web)"/>
    <w:basedOn w:val="Normal"/>
    <w:uiPriority w:val="99"/>
    <w:semiHidden/>
    <w:unhideWhenUsed/>
    <w:rsid w:val="00287BA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B6264"/>
    <w:rPr>
      <w:color w:val="0000FF"/>
      <w:u w:val="single"/>
    </w:rPr>
  </w:style>
  <w:style w:type="paragraph" w:customStyle="1" w:styleId="mcntmsonormal1">
    <w:name w:val="mcntmsonormal1"/>
    <w:basedOn w:val="Normal"/>
    <w:rsid w:val="00E76B3B"/>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91960">
      <w:bodyDiv w:val="1"/>
      <w:marLeft w:val="0"/>
      <w:marRight w:val="0"/>
      <w:marTop w:val="0"/>
      <w:marBottom w:val="0"/>
      <w:divBdr>
        <w:top w:val="none" w:sz="0" w:space="0" w:color="auto"/>
        <w:left w:val="none" w:sz="0" w:space="0" w:color="auto"/>
        <w:bottom w:val="none" w:sz="0" w:space="0" w:color="auto"/>
        <w:right w:val="none" w:sz="0" w:space="0" w:color="auto"/>
      </w:divBdr>
    </w:div>
    <w:div w:id="572467557">
      <w:bodyDiv w:val="1"/>
      <w:marLeft w:val="0"/>
      <w:marRight w:val="0"/>
      <w:marTop w:val="0"/>
      <w:marBottom w:val="0"/>
      <w:divBdr>
        <w:top w:val="none" w:sz="0" w:space="0" w:color="auto"/>
        <w:left w:val="none" w:sz="0" w:space="0" w:color="auto"/>
        <w:bottom w:val="none" w:sz="0" w:space="0" w:color="auto"/>
        <w:right w:val="none" w:sz="0" w:space="0" w:color="auto"/>
      </w:divBdr>
      <w:divsChild>
        <w:div w:id="527719194">
          <w:marLeft w:val="0"/>
          <w:marRight w:val="0"/>
          <w:marTop w:val="0"/>
          <w:marBottom w:val="0"/>
          <w:divBdr>
            <w:top w:val="none" w:sz="0" w:space="0" w:color="auto"/>
            <w:left w:val="none" w:sz="0" w:space="0" w:color="auto"/>
            <w:bottom w:val="none" w:sz="0" w:space="0" w:color="auto"/>
            <w:right w:val="none" w:sz="0" w:space="0" w:color="auto"/>
          </w:divBdr>
        </w:div>
      </w:divsChild>
    </w:div>
    <w:div w:id="800728970">
      <w:bodyDiv w:val="1"/>
      <w:marLeft w:val="0"/>
      <w:marRight w:val="0"/>
      <w:marTop w:val="0"/>
      <w:marBottom w:val="0"/>
      <w:divBdr>
        <w:top w:val="none" w:sz="0" w:space="0" w:color="auto"/>
        <w:left w:val="none" w:sz="0" w:space="0" w:color="auto"/>
        <w:bottom w:val="none" w:sz="0" w:space="0" w:color="auto"/>
        <w:right w:val="none" w:sz="0" w:space="0" w:color="auto"/>
      </w:divBdr>
      <w:divsChild>
        <w:div w:id="1864786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3519518">
      <w:bodyDiv w:val="1"/>
      <w:marLeft w:val="0"/>
      <w:marRight w:val="0"/>
      <w:marTop w:val="0"/>
      <w:marBottom w:val="0"/>
      <w:divBdr>
        <w:top w:val="none" w:sz="0" w:space="0" w:color="auto"/>
        <w:left w:val="none" w:sz="0" w:space="0" w:color="auto"/>
        <w:bottom w:val="none" w:sz="0" w:space="0" w:color="auto"/>
        <w:right w:val="none" w:sz="0" w:space="0" w:color="auto"/>
      </w:divBdr>
    </w:div>
    <w:div w:id="1248269121">
      <w:bodyDiv w:val="1"/>
      <w:marLeft w:val="0"/>
      <w:marRight w:val="0"/>
      <w:marTop w:val="0"/>
      <w:marBottom w:val="0"/>
      <w:divBdr>
        <w:top w:val="none" w:sz="0" w:space="0" w:color="auto"/>
        <w:left w:val="none" w:sz="0" w:space="0" w:color="auto"/>
        <w:bottom w:val="none" w:sz="0" w:space="0" w:color="auto"/>
        <w:right w:val="none" w:sz="0" w:space="0" w:color="auto"/>
      </w:divBdr>
    </w:div>
    <w:div w:id="1393308150">
      <w:bodyDiv w:val="1"/>
      <w:marLeft w:val="0"/>
      <w:marRight w:val="0"/>
      <w:marTop w:val="0"/>
      <w:marBottom w:val="0"/>
      <w:divBdr>
        <w:top w:val="none" w:sz="0" w:space="0" w:color="auto"/>
        <w:left w:val="none" w:sz="0" w:space="0" w:color="auto"/>
        <w:bottom w:val="none" w:sz="0" w:space="0" w:color="auto"/>
        <w:right w:val="none" w:sz="0" w:space="0" w:color="auto"/>
      </w:divBdr>
    </w:div>
    <w:div w:id="1436943264">
      <w:bodyDiv w:val="1"/>
      <w:marLeft w:val="0"/>
      <w:marRight w:val="0"/>
      <w:marTop w:val="0"/>
      <w:marBottom w:val="0"/>
      <w:divBdr>
        <w:top w:val="none" w:sz="0" w:space="0" w:color="auto"/>
        <w:left w:val="none" w:sz="0" w:space="0" w:color="auto"/>
        <w:bottom w:val="none" w:sz="0" w:space="0" w:color="auto"/>
        <w:right w:val="none" w:sz="0" w:space="0" w:color="auto"/>
      </w:divBdr>
    </w:div>
    <w:div w:id="1954362468">
      <w:bodyDiv w:val="1"/>
      <w:marLeft w:val="0"/>
      <w:marRight w:val="0"/>
      <w:marTop w:val="0"/>
      <w:marBottom w:val="0"/>
      <w:divBdr>
        <w:top w:val="none" w:sz="0" w:space="0" w:color="auto"/>
        <w:left w:val="none" w:sz="0" w:space="0" w:color="auto"/>
        <w:bottom w:val="none" w:sz="0" w:space="0" w:color="auto"/>
        <w:right w:val="none" w:sz="0" w:space="0" w:color="auto"/>
      </w:divBdr>
    </w:div>
    <w:div w:id="1984234069">
      <w:bodyDiv w:val="1"/>
      <w:marLeft w:val="0"/>
      <w:marRight w:val="0"/>
      <w:marTop w:val="0"/>
      <w:marBottom w:val="0"/>
      <w:divBdr>
        <w:top w:val="none" w:sz="0" w:space="0" w:color="auto"/>
        <w:left w:val="none" w:sz="0" w:space="0" w:color="auto"/>
        <w:bottom w:val="none" w:sz="0" w:space="0" w:color="auto"/>
        <w:right w:val="none" w:sz="0" w:space="0" w:color="auto"/>
      </w:divBdr>
      <w:divsChild>
        <w:div w:id="1339310252">
          <w:marLeft w:val="0"/>
          <w:marRight w:val="0"/>
          <w:marTop w:val="0"/>
          <w:marBottom w:val="0"/>
          <w:divBdr>
            <w:top w:val="none" w:sz="0" w:space="0" w:color="auto"/>
            <w:left w:val="none" w:sz="0" w:space="0" w:color="auto"/>
            <w:bottom w:val="none" w:sz="0" w:space="0" w:color="auto"/>
            <w:right w:val="none" w:sz="0" w:space="0" w:color="auto"/>
          </w:divBdr>
        </w:div>
        <w:div w:id="298804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isability.am/user-applic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8</Pages>
  <Words>1208</Words>
  <Characters>9194</Characters>
  <Application>Microsoft Office Word</Application>
  <DocSecurity>0</DocSecurity>
  <Lines>206</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https://mul2.gov.am/tasks/1264496/oneclick?token=9891138691c69d5ba9d53a255e15b618</cp:keywords>
  <dc:description/>
  <cp:lastModifiedBy>Tatevik Stepanyan</cp:lastModifiedBy>
  <cp:revision>44</cp:revision>
  <dcterms:created xsi:type="dcterms:W3CDTF">2025-08-12T06:50:00Z</dcterms:created>
  <dcterms:modified xsi:type="dcterms:W3CDTF">2026-02-04T08:40:00Z</dcterms:modified>
</cp:coreProperties>
</file>