
<file path=[Content_Types].xml><?xml version="1.0" encoding="utf-8"?>
<Types xmlns="http://schemas.openxmlformats.org/package/2006/content-types">
  <Default Extension="png" ContentType="image/png"/>
  <Default Extension="svg" ContentType="image/svg+xml"/>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1.xml" ContentType="application/vnd.openxmlformats-officedocument.themeOverrid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2.xml" ContentType="application/vnd.openxmlformats-officedocument.themeOverrid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theme/themeOverride3.xml" ContentType="application/vnd.openxmlformats-officedocument.themeOverrid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theme/themeOverride4.xml" ContentType="application/vnd.openxmlformats-officedocument.themeOverrid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theme/themeOverride5.xml" ContentType="application/vnd.openxmlformats-officedocument.themeOverrid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theme/themeOverride6.xml" ContentType="application/vnd.openxmlformats-officedocument.themeOverrid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charts/chart23.xml" ContentType="application/vnd.openxmlformats-officedocument.drawingml.chart+xml"/>
  <Override PartName="/word/charts/style23.xml" ContentType="application/vnd.ms-office.chartstyle+xml"/>
  <Override PartName="/word/charts/colors23.xml" ContentType="application/vnd.ms-office.chartcolorstyle+xml"/>
  <Override PartName="/word/charts/chart24.xml" ContentType="application/vnd.openxmlformats-officedocument.drawingml.chart+xml"/>
  <Override PartName="/word/charts/style24.xml" ContentType="application/vnd.ms-office.chartstyle+xml"/>
  <Override PartName="/word/charts/colors24.xml" ContentType="application/vnd.ms-office.chartcolorstyle+xml"/>
  <Override PartName="/word/charts/chart25.xml" ContentType="application/vnd.openxmlformats-officedocument.drawingml.chart+xml"/>
  <Override PartName="/word/charts/style25.xml" ContentType="application/vnd.ms-office.chartstyle+xml"/>
  <Override PartName="/word/charts/colors25.xml" ContentType="application/vnd.ms-office.chartcolorstyle+xml"/>
  <Override PartName="/word/charts/chart26.xml" ContentType="application/vnd.openxmlformats-officedocument.drawingml.chart+xml"/>
  <Override PartName="/word/charts/style26.xml" ContentType="application/vnd.ms-office.chartstyle+xml"/>
  <Override PartName="/word/charts/colors26.xml" ContentType="application/vnd.ms-office.chartcolorstyle+xml"/>
  <Override PartName="/word/charts/chart27.xml" ContentType="application/vnd.openxmlformats-officedocument.drawingml.chart+xml"/>
  <Override PartName="/word/charts/style27.xml" ContentType="application/vnd.ms-office.chartstyle+xml"/>
  <Override PartName="/word/charts/colors27.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harts/chartEx1.xml" ContentType="application/vnd.ms-office.chartex+xml"/>
  <Override PartName="/word/charts/chartEx2.xml" ContentType="application/vnd.ms-office.chartex+xml"/>
  <Override PartName="/word/charts/chartEx3.xml" ContentType="application/vnd.ms-office.chartex+xml"/>
  <Override PartName="/word/charts/chartEx4.xml" ContentType="application/vnd.ms-office.chartex+xml"/>
  <Override PartName="/word/charts/chartEx5.xml" ContentType="application/vnd.ms-office.chartex+xml"/>
  <Override PartName="/word/charts/chartEx6.xml" ContentType="application/vnd.ms-office.chartex+xml"/>
  <Override PartName="/word/charts/colors150.xml" ContentType="application/vnd.ms-office.chartcolorstyle+xml"/>
  <Override PartName="/word/charts/style150.xml" ContentType="application/vnd.ms-office.chartstyle+xml"/>
  <Override PartName="/word/charts/colors160.xml" ContentType="application/vnd.ms-office.chartcolorstyle+xml"/>
  <Override PartName="/word/charts/style160.xml" ContentType="application/vnd.ms-office.chartstyle+xml"/>
  <Override PartName="/word/charts/colors210.xml" ContentType="application/vnd.ms-office.chartcolorstyle+xml"/>
  <Override PartName="/word/charts/style210.xml" ContentType="application/vnd.ms-office.chartstyle+xml"/>
  <Override PartName="/word/charts/colors220.xml" ContentType="application/vnd.ms-office.chartcolorstyle+xml"/>
  <Override PartName="/word/charts/style220.xml" ContentType="application/vnd.ms-office.chartstyle+xml"/>
  <Override PartName="/word/charts/colors230.xml" ContentType="application/vnd.ms-office.chartcolorstyle+xml"/>
  <Override PartName="/word/charts/style230.xml" ContentType="application/vnd.ms-office.chartstyle+xml"/>
  <Override PartName="/word/charts/colors250.xml" ContentType="application/vnd.ms-office.chartcolorstyle+xml"/>
  <Override PartName="/word/charts/style250.xml" ContentType="application/vnd.ms-office.chartsty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A1C1D5" w14:textId="77777777" w:rsidR="00F6796E" w:rsidRPr="00C72AB5" w:rsidRDefault="00F6796E" w:rsidP="00F6796E">
      <w:pPr>
        <w:tabs>
          <w:tab w:val="left" w:pos="851"/>
        </w:tabs>
        <w:spacing w:line="276" w:lineRule="auto"/>
        <w:ind w:firstLine="567"/>
        <w:jc w:val="center"/>
        <w:rPr>
          <w:rFonts w:ascii="GHEA Grapalat" w:hAnsi="GHEA Grapalat" w:cs="Sylfaen"/>
          <w:b/>
          <w:sz w:val="24"/>
          <w:szCs w:val="24"/>
        </w:rPr>
      </w:pPr>
      <w:bookmarkStart w:id="0" w:name="_GoBack"/>
      <w:bookmarkEnd w:id="0"/>
      <w:r w:rsidRPr="00C72AB5">
        <w:rPr>
          <w:rFonts w:ascii="GHEA Grapalat" w:hAnsi="GHEA Grapalat" w:cs="Sylfaen"/>
          <w:b/>
          <w:sz w:val="24"/>
          <w:szCs w:val="24"/>
        </w:rPr>
        <w:t xml:space="preserve">ՀԱՅԱՍՏԱՆԻ ՀԱՆՐԱՊԵՏՈՒԹՅԱՆ ԳԻՏՈՒԹՅԱՆ ՈԼՈՐՏԻ ԶԱՐԳԱՑՄԱՆ </w:t>
      </w:r>
    </w:p>
    <w:p w14:paraId="7D9601C2" w14:textId="77777777" w:rsidR="00F6796E" w:rsidRPr="00C72AB5" w:rsidRDefault="00F6796E" w:rsidP="00F6796E">
      <w:pPr>
        <w:tabs>
          <w:tab w:val="left" w:pos="851"/>
        </w:tabs>
        <w:spacing w:line="276" w:lineRule="auto"/>
        <w:ind w:left="567"/>
        <w:jc w:val="center"/>
        <w:rPr>
          <w:rFonts w:ascii="GHEA Grapalat" w:hAnsi="GHEA Grapalat" w:cs="Sylfaen"/>
          <w:b/>
          <w:sz w:val="24"/>
          <w:szCs w:val="24"/>
        </w:rPr>
      </w:pPr>
      <w:r w:rsidRPr="00C72AB5">
        <w:rPr>
          <w:rFonts w:ascii="GHEA Grapalat" w:hAnsi="GHEA Grapalat" w:cs="Sylfaen"/>
          <w:b/>
          <w:sz w:val="24"/>
          <w:szCs w:val="24"/>
        </w:rPr>
        <w:t>2026-2030 ԹՎԱԿԱՆՆԵՐԻ</w:t>
      </w:r>
    </w:p>
    <w:p w14:paraId="1718E36A" w14:textId="7ECE7991" w:rsidR="00F6796E" w:rsidRPr="00C72AB5" w:rsidRDefault="00F6796E" w:rsidP="00F6796E">
      <w:pPr>
        <w:pStyle w:val="TOCHeading"/>
        <w:jc w:val="center"/>
        <w:rPr>
          <w:rFonts w:ascii="Arial Armenian" w:eastAsia="Times New Roman" w:hAnsi="Arial Armenian" w:cs="Times New Roman"/>
          <w:bCs w:val="0"/>
          <w:color w:val="000000" w:themeColor="text1"/>
          <w:sz w:val="20"/>
          <w:szCs w:val="20"/>
          <w:lang w:val="hy-AM" w:eastAsia="ru-RU"/>
        </w:rPr>
      </w:pPr>
      <w:r w:rsidRPr="00C72AB5">
        <w:rPr>
          <w:rFonts w:ascii="GHEA Grapalat" w:hAnsi="GHEA Grapalat" w:cs="Sylfaen"/>
          <w:b/>
          <w:color w:val="000000" w:themeColor="text1"/>
          <w:sz w:val="24"/>
          <w:szCs w:val="24"/>
          <w:lang w:val="hy-AM"/>
        </w:rPr>
        <w:t>ՌԱԶՄԱՎԱՐԱԿԱՆ ԾՐԱԳԻՐ</w:t>
      </w:r>
    </w:p>
    <w:p w14:paraId="15D06350" w14:textId="77777777" w:rsidR="00F6796E" w:rsidRPr="00C72AB5" w:rsidRDefault="00F6796E">
      <w:pPr>
        <w:pStyle w:val="TOCHeading"/>
        <w:rPr>
          <w:rFonts w:ascii="Arial Armenian" w:eastAsia="Times New Roman" w:hAnsi="Arial Armenian" w:cs="Times New Roman"/>
          <w:bCs w:val="0"/>
          <w:color w:val="auto"/>
          <w:sz w:val="20"/>
          <w:szCs w:val="20"/>
          <w:lang w:val="hy-AM" w:eastAsia="ru-RU"/>
        </w:rPr>
      </w:pPr>
    </w:p>
    <w:sdt>
      <w:sdtPr>
        <w:rPr>
          <w:rFonts w:ascii="GHEA Grapalat" w:eastAsia="Times New Roman" w:hAnsi="GHEA Grapalat" w:cs="Times New Roman"/>
          <w:bCs w:val="0"/>
          <w:color w:val="auto"/>
          <w:sz w:val="16"/>
          <w:szCs w:val="16"/>
          <w:lang w:val="hy-AM" w:eastAsia="ru-RU"/>
        </w:rPr>
        <w:id w:val="-1417391635"/>
        <w:docPartObj>
          <w:docPartGallery w:val="Table of Contents"/>
          <w:docPartUnique/>
        </w:docPartObj>
      </w:sdtPr>
      <w:sdtEndPr>
        <w:rPr>
          <w:rFonts w:ascii="Arial Armenian" w:hAnsi="Arial Armenian"/>
          <w:b/>
          <w:sz w:val="20"/>
          <w:szCs w:val="20"/>
        </w:rPr>
      </w:sdtEndPr>
      <w:sdtContent>
        <w:p w14:paraId="2BFBABE3" w14:textId="30D92796" w:rsidR="00673A33" w:rsidRPr="00C72AB5" w:rsidRDefault="00F6796E">
          <w:pPr>
            <w:pStyle w:val="TOCHeading"/>
            <w:rPr>
              <w:rFonts w:ascii="GHEA Grapalat" w:hAnsi="GHEA Grapalat"/>
              <w:b/>
              <w:bCs w:val="0"/>
              <w:color w:val="000000" w:themeColor="text1"/>
              <w:sz w:val="24"/>
              <w:szCs w:val="24"/>
              <w:lang w:val="hy-AM"/>
            </w:rPr>
          </w:pPr>
          <w:r w:rsidRPr="00C72AB5">
            <w:rPr>
              <w:rFonts w:ascii="GHEA Grapalat" w:hAnsi="GHEA Grapalat"/>
              <w:b/>
              <w:bCs w:val="0"/>
              <w:color w:val="000000" w:themeColor="text1"/>
              <w:sz w:val="24"/>
              <w:szCs w:val="24"/>
              <w:lang w:val="hy-AM"/>
            </w:rPr>
            <w:t>ԲՈՎԱՆԴԱԿՈՒԹՅՈՒՆ</w:t>
          </w:r>
        </w:p>
        <w:p w14:paraId="3FED7CB4" w14:textId="77777777" w:rsidR="00721F05" w:rsidRPr="00C72AB5" w:rsidRDefault="00721F05" w:rsidP="00721F05">
          <w:pPr>
            <w:rPr>
              <w:lang w:eastAsia="en-US"/>
            </w:rPr>
          </w:pPr>
        </w:p>
        <w:p w14:paraId="2159005C" w14:textId="3A42CB94" w:rsidR="004A311E" w:rsidRPr="00EB3B8A" w:rsidRDefault="00673A33">
          <w:pPr>
            <w:pStyle w:val="TOC1"/>
            <w:tabs>
              <w:tab w:val="right" w:leader="dot" w:pos="9627"/>
            </w:tabs>
            <w:rPr>
              <w:rFonts w:ascii="GHEA Grapalat" w:eastAsiaTheme="minorEastAsia" w:hAnsi="GHEA Grapalat" w:cstheme="minorBidi"/>
              <w:noProof/>
              <w:sz w:val="22"/>
              <w:szCs w:val="22"/>
              <w:lang w:val="en-US" w:eastAsia="en-US"/>
            </w:rPr>
          </w:pPr>
          <w:r w:rsidRPr="00C72AB5">
            <w:fldChar w:fldCharType="begin"/>
          </w:r>
          <w:r w:rsidRPr="00C72AB5">
            <w:instrText xml:space="preserve"> TOC \o "1-3" \h \z \u </w:instrText>
          </w:r>
          <w:r w:rsidRPr="00C72AB5">
            <w:fldChar w:fldCharType="separate"/>
          </w:r>
          <w:hyperlink w:anchor="_Toc215422082" w:history="1">
            <w:r w:rsidR="004A311E" w:rsidRPr="00EB3B8A">
              <w:rPr>
                <w:rStyle w:val="Hyperlink"/>
                <w:rFonts w:ascii="GHEA Grapalat" w:hAnsi="GHEA Grapalat"/>
                <w:noProof/>
              </w:rPr>
              <w:t>1. ՆԵՐԱԾՈՒԹՅՈՒՆ</w:t>
            </w:r>
            <w:r w:rsidR="004A311E" w:rsidRPr="00EB3B8A">
              <w:rPr>
                <w:rFonts w:ascii="GHEA Grapalat" w:hAnsi="GHEA Grapalat"/>
                <w:noProof/>
                <w:webHidden/>
              </w:rPr>
              <w:tab/>
            </w:r>
            <w:r w:rsidR="004A311E" w:rsidRPr="00EB3B8A">
              <w:rPr>
                <w:rFonts w:ascii="GHEA Grapalat" w:hAnsi="GHEA Grapalat"/>
                <w:noProof/>
                <w:webHidden/>
              </w:rPr>
              <w:fldChar w:fldCharType="begin"/>
            </w:r>
            <w:r w:rsidR="004A311E" w:rsidRPr="00EB3B8A">
              <w:rPr>
                <w:rFonts w:ascii="GHEA Grapalat" w:hAnsi="GHEA Grapalat"/>
                <w:noProof/>
                <w:webHidden/>
              </w:rPr>
              <w:instrText xml:space="preserve"> PAGEREF _Toc215422082 \h </w:instrText>
            </w:r>
            <w:r w:rsidR="004A311E" w:rsidRPr="00EB3B8A">
              <w:rPr>
                <w:rFonts w:ascii="GHEA Grapalat" w:hAnsi="GHEA Grapalat"/>
                <w:noProof/>
                <w:webHidden/>
              </w:rPr>
            </w:r>
            <w:r w:rsidR="004A311E" w:rsidRPr="00EB3B8A">
              <w:rPr>
                <w:rFonts w:ascii="GHEA Grapalat" w:hAnsi="GHEA Grapalat"/>
                <w:noProof/>
                <w:webHidden/>
              </w:rPr>
              <w:fldChar w:fldCharType="separate"/>
            </w:r>
            <w:r w:rsidR="001E369F">
              <w:rPr>
                <w:rFonts w:ascii="GHEA Grapalat" w:hAnsi="GHEA Grapalat"/>
                <w:noProof/>
                <w:webHidden/>
              </w:rPr>
              <w:t>2</w:t>
            </w:r>
            <w:r w:rsidR="004A311E" w:rsidRPr="00EB3B8A">
              <w:rPr>
                <w:rFonts w:ascii="GHEA Grapalat" w:hAnsi="GHEA Grapalat"/>
                <w:noProof/>
                <w:webHidden/>
              </w:rPr>
              <w:fldChar w:fldCharType="end"/>
            </w:r>
          </w:hyperlink>
        </w:p>
        <w:p w14:paraId="6E6F9ED6" w14:textId="6C61BDC0" w:rsidR="004A311E" w:rsidRPr="00EB3B8A" w:rsidRDefault="009700CA">
          <w:pPr>
            <w:pStyle w:val="TOC1"/>
            <w:tabs>
              <w:tab w:val="right" w:leader="dot" w:pos="9627"/>
            </w:tabs>
            <w:rPr>
              <w:rFonts w:ascii="GHEA Grapalat" w:eastAsiaTheme="minorEastAsia" w:hAnsi="GHEA Grapalat" w:cstheme="minorBidi"/>
              <w:noProof/>
              <w:sz w:val="22"/>
              <w:szCs w:val="22"/>
              <w:lang w:val="en-US" w:eastAsia="en-US"/>
            </w:rPr>
          </w:pPr>
          <w:hyperlink w:anchor="_Toc215422083" w:history="1">
            <w:r w:rsidR="004A311E" w:rsidRPr="00EB3B8A">
              <w:rPr>
                <w:rStyle w:val="Hyperlink"/>
                <w:rFonts w:ascii="GHEA Grapalat" w:hAnsi="GHEA Grapalat"/>
                <w:noProof/>
              </w:rPr>
              <w:t>2. ԱՌԿԱ ԻՐԱՎԻՃԱԿԸ</w:t>
            </w:r>
            <w:r w:rsidR="004A311E" w:rsidRPr="00EB3B8A">
              <w:rPr>
                <w:rFonts w:ascii="GHEA Grapalat" w:hAnsi="GHEA Grapalat"/>
                <w:noProof/>
                <w:webHidden/>
              </w:rPr>
              <w:tab/>
            </w:r>
            <w:r w:rsidR="004A311E" w:rsidRPr="00EB3B8A">
              <w:rPr>
                <w:rFonts w:ascii="GHEA Grapalat" w:hAnsi="GHEA Grapalat"/>
                <w:noProof/>
                <w:webHidden/>
              </w:rPr>
              <w:fldChar w:fldCharType="begin"/>
            </w:r>
            <w:r w:rsidR="004A311E" w:rsidRPr="00EB3B8A">
              <w:rPr>
                <w:rFonts w:ascii="GHEA Grapalat" w:hAnsi="GHEA Grapalat"/>
                <w:noProof/>
                <w:webHidden/>
              </w:rPr>
              <w:instrText xml:space="preserve"> PAGEREF _Toc215422083 \h </w:instrText>
            </w:r>
            <w:r w:rsidR="004A311E" w:rsidRPr="00EB3B8A">
              <w:rPr>
                <w:rFonts w:ascii="GHEA Grapalat" w:hAnsi="GHEA Grapalat"/>
                <w:noProof/>
                <w:webHidden/>
              </w:rPr>
            </w:r>
            <w:r w:rsidR="004A311E" w:rsidRPr="00EB3B8A">
              <w:rPr>
                <w:rFonts w:ascii="GHEA Grapalat" w:hAnsi="GHEA Grapalat"/>
                <w:noProof/>
                <w:webHidden/>
              </w:rPr>
              <w:fldChar w:fldCharType="separate"/>
            </w:r>
            <w:r w:rsidR="001E369F">
              <w:rPr>
                <w:rFonts w:ascii="GHEA Grapalat" w:hAnsi="GHEA Grapalat"/>
                <w:noProof/>
                <w:webHidden/>
              </w:rPr>
              <w:t>3</w:t>
            </w:r>
            <w:r w:rsidR="004A311E" w:rsidRPr="00EB3B8A">
              <w:rPr>
                <w:rFonts w:ascii="GHEA Grapalat" w:hAnsi="GHEA Grapalat"/>
                <w:noProof/>
                <w:webHidden/>
              </w:rPr>
              <w:fldChar w:fldCharType="end"/>
            </w:r>
          </w:hyperlink>
        </w:p>
        <w:p w14:paraId="4B2D7AA4" w14:textId="6E6FB494" w:rsidR="004A311E" w:rsidRPr="00EB3B8A" w:rsidRDefault="009700CA">
          <w:pPr>
            <w:pStyle w:val="TOC2"/>
            <w:tabs>
              <w:tab w:val="right" w:leader="dot" w:pos="9627"/>
            </w:tabs>
            <w:rPr>
              <w:rFonts w:ascii="GHEA Grapalat" w:eastAsiaTheme="minorEastAsia" w:hAnsi="GHEA Grapalat" w:cstheme="minorBidi"/>
              <w:noProof/>
              <w:sz w:val="22"/>
              <w:szCs w:val="22"/>
              <w:lang w:val="en-US" w:eastAsia="en-US"/>
            </w:rPr>
          </w:pPr>
          <w:hyperlink w:anchor="_Toc215422084" w:history="1">
            <w:r w:rsidR="004A311E" w:rsidRPr="00EB3B8A">
              <w:rPr>
                <w:rStyle w:val="Hyperlink"/>
                <w:rFonts w:ascii="GHEA Grapalat" w:hAnsi="GHEA Grapalat"/>
                <w:noProof/>
              </w:rPr>
              <w:t>2.1 ԿԱՌԱՎԱՐՈՒՄ ԵՎ ՖԻՆԱՆՍԱՎՈՐՈՒՄ</w:t>
            </w:r>
            <w:r w:rsidR="004A311E" w:rsidRPr="00EB3B8A">
              <w:rPr>
                <w:rFonts w:ascii="GHEA Grapalat" w:hAnsi="GHEA Grapalat"/>
                <w:noProof/>
                <w:webHidden/>
              </w:rPr>
              <w:tab/>
            </w:r>
            <w:r w:rsidR="004A311E" w:rsidRPr="00EB3B8A">
              <w:rPr>
                <w:rFonts w:ascii="GHEA Grapalat" w:hAnsi="GHEA Grapalat"/>
                <w:noProof/>
                <w:webHidden/>
              </w:rPr>
              <w:fldChar w:fldCharType="begin"/>
            </w:r>
            <w:r w:rsidR="004A311E" w:rsidRPr="00EB3B8A">
              <w:rPr>
                <w:rFonts w:ascii="GHEA Grapalat" w:hAnsi="GHEA Grapalat"/>
                <w:noProof/>
                <w:webHidden/>
              </w:rPr>
              <w:instrText xml:space="preserve"> PAGEREF _Toc215422084 \h </w:instrText>
            </w:r>
            <w:r w:rsidR="004A311E" w:rsidRPr="00EB3B8A">
              <w:rPr>
                <w:rFonts w:ascii="GHEA Grapalat" w:hAnsi="GHEA Grapalat"/>
                <w:noProof/>
                <w:webHidden/>
              </w:rPr>
            </w:r>
            <w:r w:rsidR="004A311E" w:rsidRPr="00EB3B8A">
              <w:rPr>
                <w:rFonts w:ascii="GHEA Grapalat" w:hAnsi="GHEA Grapalat"/>
                <w:noProof/>
                <w:webHidden/>
              </w:rPr>
              <w:fldChar w:fldCharType="separate"/>
            </w:r>
            <w:r w:rsidR="001E369F">
              <w:rPr>
                <w:rFonts w:ascii="GHEA Grapalat" w:hAnsi="GHEA Grapalat"/>
                <w:noProof/>
                <w:webHidden/>
              </w:rPr>
              <w:t>3</w:t>
            </w:r>
            <w:r w:rsidR="004A311E" w:rsidRPr="00EB3B8A">
              <w:rPr>
                <w:rFonts w:ascii="GHEA Grapalat" w:hAnsi="GHEA Grapalat"/>
                <w:noProof/>
                <w:webHidden/>
              </w:rPr>
              <w:fldChar w:fldCharType="end"/>
            </w:r>
          </w:hyperlink>
        </w:p>
        <w:p w14:paraId="2AC6CC02" w14:textId="26E40400" w:rsidR="004A311E" w:rsidRPr="00EB3B8A" w:rsidRDefault="009700CA">
          <w:pPr>
            <w:pStyle w:val="TOC2"/>
            <w:tabs>
              <w:tab w:val="right" w:leader="dot" w:pos="9627"/>
            </w:tabs>
            <w:rPr>
              <w:rFonts w:ascii="GHEA Grapalat" w:eastAsiaTheme="minorEastAsia" w:hAnsi="GHEA Grapalat" w:cstheme="minorBidi"/>
              <w:noProof/>
              <w:sz w:val="22"/>
              <w:szCs w:val="22"/>
              <w:lang w:val="en-US" w:eastAsia="en-US"/>
            </w:rPr>
          </w:pPr>
          <w:hyperlink w:anchor="_Toc215422085" w:history="1">
            <w:r w:rsidR="004A311E" w:rsidRPr="00EB3B8A">
              <w:rPr>
                <w:rStyle w:val="Hyperlink"/>
                <w:rFonts w:ascii="GHEA Grapalat" w:hAnsi="GHEA Grapalat"/>
                <w:noProof/>
              </w:rPr>
              <w:t>2.2 ԿԱԴՐԱՅԻՆ ԿԱԶՄԸ</w:t>
            </w:r>
            <w:r w:rsidR="004A311E" w:rsidRPr="00EB3B8A">
              <w:rPr>
                <w:rFonts w:ascii="GHEA Grapalat" w:hAnsi="GHEA Grapalat"/>
                <w:noProof/>
                <w:webHidden/>
              </w:rPr>
              <w:tab/>
            </w:r>
            <w:r w:rsidR="004A311E" w:rsidRPr="00EB3B8A">
              <w:rPr>
                <w:rFonts w:ascii="GHEA Grapalat" w:hAnsi="GHEA Grapalat"/>
                <w:noProof/>
                <w:webHidden/>
              </w:rPr>
              <w:fldChar w:fldCharType="begin"/>
            </w:r>
            <w:r w:rsidR="004A311E" w:rsidRPr="00EB3B8A">
              <w:rPr>
                <w:rFonts w:ascii="GHEA Grapalat" w:hAnsi="GHEA Grapalat"/>
                <w:noProof/>
                <w:webHidden/>
              </w:rPr>
              <w:instrText xml:space="preserve"> PAGEREF _Toc215422085 \h </w:instrText>
            </w:r>
            <w:r w:rsidR="004A311E" w:rsidRPr="00EB3B8A">
              <w:rPr>
                <w:rFonts w:ascii="GHEA Grapalat" w:hAnsi="GHEA Grapalat"/>
                <w:noProof/>
                <w:webHidden/>
              </w:rPr>
            </w:r>
            <w:r w:rsidR="004A311E" w:rsidRPr="00EB3B8A">
              <w:rPr>
                <w:rFonts w:ascii="GHEA Grapalat" w:hAnsi="GHEA Grapalat"/>
                <w:noProof/>
                <w:webHidden/>
              </w:rPr>
              <w:fldChar w:fldCharType="separate"/>
            </w:r>
            <w:r w:rsidR="001E369F">
              <w:rPr>
                <w:rFonts w:ascii="GHEA Grapalat" w:hAnsi="GHEA Grapalat"/>
                <w:noProof/>
                <w:webHidden/>
              </w:rPr>
              <w:t>8</w:t>
            </w:r>
            <w:r w:rsidR="004A311E" w:rsidRPr="00EB3B8A">
              <w:rPr>
                <w:rFonts w:ascii="GHEA Grapalat" w:hAnsi="GHEA Grapalat"/>
                <w:noProof/>
                <w:webHidden/>
              </w:rPr>
              <w:fldChar w:fldCharType="end"/>
            </w:r>
          </w:hyperlink>
        </w:p>
        <w:p w14:paraId="278D27D1" w14:textId="317974C1" w:rsidR="004A311E" w:rsidRPr="00EB3B8A" w:rsidRDefault="009700CA">
          <w:pPr>
            <w:pStyle w:val="TOC2"/>
            <w:tabs>
              <w:tab w:val="right" w:leader="dot" w:pos="9627"/>
            </w:tabs>
            <w:rPr>
              <w:rFonts w:ascii="GHEA Grapalat" w:eastAsiaTheme="minorEastAsia" w:hAnsi="GHEA Grapalat" w:cstheme="minorBidi"/>
              <w:noProof/>
              <w:sz w:val="22"/>
              <w:szCs w:val="22"/>
              <w:lang w:val="en-US" w:eastAsia="en-US"/>
            </w:rPr>
          </w:pPr>
          <w:hyperlink w:anchor="_Toc215422086" w:history="1">
            <w:r w:rsidR="004A311E" w:rsidRPr="00EB3B8A">
              <w:rPr>
                <w:rStyle w:val="Hyperlink"/>
                <w:rFonts w:ascii="GHEA Grapalat" w:hAnsi="GHEA Grapalat"/>
                <w:noProof/>
              </w:rPr>
              <w:t>2.3 ՀԱՄԱԳՈՐԾԱԿՑՈՒԹՅՈՒՆՆԵՐԻ ՇՐՋԱՆԱԿԸ</w:t>
            </w:r>
            <w:r w:rsidR="004A311E" w:rsidRPr="00EB3B8A">
              <w:rPr>
                <w:rFonts w:ascii="GHEA Grapalat" w:hAnsi="GHEA Grapalat"/>
                <w:noProof/>
                <w:webHidden/>
              </w:rPr>
              <w:tab/>
            </w:r>
            <w:r w:rsidR="004A311E" w:rsidRPr="00EB3B8A">
              <w:rPr>
                <w:rFonts w:ascii="GHEA Grapalat" w:hAnsi="GHEA Grapalat"/>
                <w:noProof/>
                <w:webHidden/>
              </w:rPr>
              <w:fldChar w:fldCharType="begin"/>
            </w:r>
            <w:r w:rsidR="004A311E" w:rsidRPr="00EB3B8A">
              <w:rPr>
                <w:rFonts w:ascii="GHEA Grapalat" w:hAnsi="GHEA Grapalat"/>
                <w:noProof/>
                <w:webHidden/>
              </w:rPr>
              <w:instrText xml:space="preserve"> PAGEREF _Toc215422086 \h </w:instrText>
            </w:r>
            <w:r w:rsidR="004A311E" w:rsidRPr="00EB3B8A">
              <w:rPr>
                <w:rFonts w:ascii="GHEA Grapalat" w:hAnsi="GHEA Grapalat"/>
                <w:noProof/>
                <w:webHidden/>
              </w:rPr>
            </w:r>
            <w:r w:rsidR="004A311E" w:rsidRPr="00EB3B8A">
              <w:rPr>
                <w:rFonts w:ascii="GHEA Grapalat" w:hAnsi="GHEA Grapalat"/>
                <w:noProof/>
                <w:webHidden/>
              </w:rPr>
              <w:fldChar w:fldCharType="separate"/>
            </w:r>
            <w:r w:rsidR="001E369F">
              <w:rPr>
                <w:rFonts w:ascii="GHEA Grapalat" w:hAnsi="GHEA Grapalat"/>
                <w:noProof/>
                <w:webHidden/>
              </w:rPr>
              <w:t>15</w:t>
            </w:r>
            <w:r w:rsidR="004A311E" w:rsidRPr="00EB3B8A">
              <w:rPr>
                <w:rFonts w:ascii="GHEA Grapalat" w:hAnsi="GHEA Grapalat"/>
                <w:noProof/>
                <w:webHidden/>
              </w:rPr>
              <w:fldChar w:fldCharType="end"/>
            </w:r>
          </w:hyperlink>
        </w:p>
        <w:p w14:paraId="6D3D5484" w14:textId="3B262C9E" w:rsidR="004A311E" w:rsidRPr="00EB3B8A" w:rsidRDefault="009700CA">
          <w:pPr>
            <w:pStyle w:val="TOC2"/>
            <w:tabs>
              <w:tab w:val="right" w:leader="dot" w:pos="9627"/>
            </w:tabs>
            <w:rPr>
              <w:rFonts w:ascii="GHEA Grapalat" w:eastAsiaTheme="minorEastAsia" w:hAnsi="GHEA Grapalat" w:cstheme="minorBidi"/>
              <w:noProof/>
              <w:sz w:val="22"/>
              <w:szCs w:val="22"/>
              <w:lang w:val="en-US" w:eastAsia="en-US"/>
            </w:rPr>
          </w:pPr>
          <w:hyperlink w:anchor="_Toc215422087" w:history="1">
            <w:r w:rsidR="004A311E" w:rsidRPr="00EB3B8A">
              <w:rPr>
                <w:rStyle w:val="Hyperlink"/>
                <w:rFonts w:ascii="GHEA Grapalat" w:hAnsi="GHEA Grapalat"/>
                <w:noProof/>
              </w:rPr>
              <w:t>2.4 ԳԻՏԱԿԱՆ ԱՐԴՅՈՒՆԱՎԵՏՈՒԹՅՈՒՆԸ</w:t>
            </w:r>
            <w:r w:rsidR="004A311E" w:rsidRPr="00EB3B8A">
              <w:rPr>
                <w:rFonts w:ascii="GHEA Grapalat" w:hAnsi="GHEA Grapalat"/>
                <w:noProof/>
                <w:webHidden/>
              </w:rPr>
              <w:tab/>
            </w:r>
            <w:r w:rsidR="004A311E" w:rsidRPr="00EB3B8A">
              <w:rPr>
                <w:rFonts w:ascii="GHEA Grapalat" w:hAnsi="GHEA Grapalat"/>
                <w:noProof/>
                <w:webHidden/>
              </w:rPr>
              <w:fldChar w:fldCharType="begin"/>
            </w:r>
            <w:r w:rsidR="004A311E" w:rsidRPr="00EB3B8A">
              <w:rPr>
                <w:rFonts w:ascii="GHEA Grapalat" w:hAnsi="GHEA Grapalat"/>
                <w:noProof/>
                <w:webHidden/>
              </w:rPr>
              <w:instrText xml:space="preserve"> PAGEREF _Toc215422087 \h </w:instrText>
            </w:r>
            <w:r w:rsidR="004A311E" w:rsidRPr="00EB3B8A">
              <w:rPr>
                <w:rFonts w:ascii="GHEA Grapalat" w:hAnsi="GHEA Grapalat"/>
                <w:noProof/>
                <w:webHidden/>
              </w:rPr>
            </w:r>
            <w:r w:rsidR="004A311E" w:rsidRPr="00EB3B8A">
              <w:rPr>
                <w:rFonts w:ascii="GHEA Grapalat" w:hAnsi="GHEA Grapalat"/>
                <w:noProof/>
                <w:webHidden/>
              </w:rPr>
              <w:fldChar w:fldCharType="separate"/>
            </w:r>
            <w:r w:rsidR="001E369F">
              <w:rPr>
                <w:rFonts w:ascii="GHEA Grapalat" w:hAnsi="GHEA Grapalat"/>
                <w:noProof/>
                <w:webHidden/>
              </w:rPr>
              <w:t>21</w:t>
            </w:r>
            <w:r w:rsidR="004A311E" w:rsidRPr="00EB3B8A">
              <w:rPr>
                <w:rFonts w:ascii="GHEA Grapalat" w:hAnsi="GHEA Grapalat"/>
                <w:noProof/>
                <w:webHidden/>
              </w:rPr>
              <w:fldChar w:fldCharType="end"/>
            </w:r>
          </w:hyperlink>
        </w:p>
        <w:p w14:paraId="64E032C1" w14:textId="535B950D" w:rsidR="004A311E" w:rsidRPr="00EB3B8A" w:rsidRDefault="009700CA">
          <w:pPr>
            <w:pStyle w:val="TOC1"/>
            <w:tabs>
              <w:tab w:val="right" w:leader="dot" w:pos="9627"/>
            </w:tabs>
            <w:rPr>
              <w:rFonts w:ascii="GHEA Grapalat" w:eastAsiaTheme="minorEastAsia" w:hAnsi="GHEA Grapalat" w:cstheme="minorBidi"/>
              <w:noProof/>
              <w:sz w:val="22"/>
              <w:szCs w:val="22"/>
              <w:lang w:val="en-US" w:eastAsia="en-US"/>
            </w:rPr>
          </w:pPr>
          <w:hyperlink w:anchor="_Toc215422088" w:history="1">
            <w:r w:rsidR="004A311E" w:rsidRPr="00EB3B8A">
              <w:rPr>
                <w:rStyle w:val="Hyperlink"/>
                <w:rFonts w:ascii="GHEA Grapalat" w:hAnsi="GHEA Grapalat" w:cs="Arial"/>
                <w:noProof/>
              </w:rPr>
              <w:t xml:space="preserve">3. </w:t>
            </w:r>
            <w:r w:rsidR="004A311E" w:rsidRPr="00EB3B8A">
              <w:rPr>
                <w:rStyle w:val="Hyperlink"/>
                <w:rFonts w:ascii="GHEA Grapalat" w:hAnsi="GHEA Grapalat"/>
                <w:noProof/>
              </w:rPr>
              <w:t>ԾՐԱԳՐԻ ՏԵՍԼԱԿԱՆԸ ԵՎ ՆՊԱՏԱԿՆԵՐԸ</w:t>
            </w:r>
            <w:r w:rsidR="004A311E" w:rsidRPr="00EB3B8A">
              <w:rPr>
                <w:rFonts w:ascii="GHEA Grapalat" w:hAnsi="GHEA Grapalat"/>
                <w:noProof/>
                <w:webHidden/>
              </w:rPr>
              <w:tab/>
            </w:r>
            <w:r w:rsidR="004A311E" w:rsidRPr="00EB3B8A">
              <w:rPr>
                <w:rFonts w:ascii="GHEA Grapalat" w:hAnsi="GHEA Grapalat"/>
                <w:noProof/>
                <w:webHidden/>
              </w:rPr>
              <w:fldChar w:fldCharType="begin"/>
            </w:r>
            <w:r w:rsidR="004A311E" w:rsidRPr="00EB3B8A">
              <w:rPr>
                <w:rFonts w:ascii="GHEA Grapalat" w:hAnsi="GHEA Grapalat"/>
                <w:noProof/>
                <w:webHidden/>
              </w:rPr>
              <w:instrText xml:space="preserve"> PAGEREF _Toc215422088 \h </w:instrText>
            </w:r>
            <w:r w:rsidR="004A311E" w:rsidRPr="00EB3B8A">
              <w:rPr>
                <w:rFonts w:ascii="GHEA Grapalat" w:hAnsi="GHEA Grapalat"/>
                <w:noProof/>
                <w:webHidden/>
              </w:rPr>
            </w:r>
            <w:r w:rsidR="004A311E" w:rsidRPr="00EB3B8A">
              <w:rPr>
                <w:rFonts w:ascii="GHEA Grapalat" w:hAnsi="GHEA Grapalat"/>
                <w:noProof/>
                <w:webHidden/>
              </w:rPr>
              <w:fldChar w:fldCharType="separate"/>
            </w:r>
            <w:r w:rsidR="001E369F">
              <w:rPr>
                <w:rFonts w:ascii="GHEA Grapalat" w:hAnsi="GHEA Grapalat"/>
                <w:noProof/>
                <w:webHidden/>
              </w:rPr>
              <w:t>31</w:t>
            </w:r>
            <w:r w:rsidR="004A311E" w:rsidRPr="00EB3B8A">
              <w:rPr>
                <w:rFonts w:ascii="GHEA Grapalat" w:hAnsi="GHEA Grapalat"/>
                <w:noProof/>
                <w:webHidden/>
              </w:rPr>
              <w:fldChar w:fldCharType="end"/>
            </w:r>
          </w:hyperlink>
        </w:p>
        <w:p w14:paraId="0807F80C" w14:textId="5EFB04BB" w:rsidR="004A311E" w:rsidRPr="00EB3B8A" w:rsidRDefault="009700CA">
          <w:pPr>
            <w:pStyle w:val="TOC2"/>
            <w:tabs>
              <w:tab w:val="right" w:leader="dot" w:pos="9627"/>
            </w:tabs>
            <w:rPr>
              <w:rFonts w:ascii="GHEA Grapalat" w:eastAsiaTheme="minorEastAsia" w:hAnsi="GHEA Grapalat" w:cstheme="minorBidi"/>
              <w:noProof/>
              <w:sz w:val="22"/>
              <w:szCs w:val="22"/>
              <w:lang w:val="en-US" w:eastAsia="en-US"/>
            </w:rPr>
          </w:pPr>
          <w:hyperlink w:anchor="_Toc215422089" w:history="1">
            <w:r w:rsidR="004A311E" w:rsidRPr="00EB3B8A">
              <w:rPr>
                <w:rStyle w:val="Hyperlink"/>
                <w:rFonts w:ascii="GHEA Grapalat" w:hAnsi="GHEA Grapalat"/>
                <w:noProof/>
              </w:rPr>
              <w:t>3.1 ԱՐԴՅՈՒՆՔԱՅԻՆ ՇՐՋԱՆԱԿԸ</w:t>
            </w:r>
            <w:r w:rsidR="004A311E" w:rsidRPr="00EB3B8A">
              <w:rPr>
                <w:rFonts w:ascii="GHEA Grapalat" w:hAnsi="GHEA Grapalat"/>
                <w:noProof/>
                <w:webHidden/>
              </w:rPr>
              <w:tab/>
            </w:r>
            <w:r w:rsidR="004A311E" w:rsidRPr="00EB3B8A">
              <w:rPr>
                <w:rFonts w:ascii="GHEA Grapalat" w:hAnsi="GHEA Grapalat"/>
                <w:noProof/>
                <w:webHidden/>
              </w:rPr>
              <w:fldChar w:fldCharType="begin"/>
            </w:r>
            <w:r w:rsidR="004A311E" w:rsidRPr="00EB3B8A">
              <w:rPr>
                <w:rFonts w:ascii="GHEA Grapalat" w:hAnsi="GHEA Grapalat"/>
                <w:noProof/>
                <w:webHidden/>
              </w:rPr>
              <w:instrText xml:space="preserve"> PAGEREF _Toc215422089 \h </w:instrText>
            </w:r>
            <w:r w:rsidR="004A311E" w:rsidRPr="00EB3B8A">
              <w:rPr>
                <w:rFonts w:ascii="GHEA Grapalat" w:hAnsi="GHEA Grapalat"/>
                <w:noProof/>
                <w:webHidden/>
              </w:rPr>
            </w:r>
            <w:r w:rsidR="004A311E" w:rsidRPr="00EB3B8A">
              <w:rPr>
                <w:rFonts w:ascii="GHEA Grapalat" w:hAnsi="GHEA Grapalat"/>
                <w:noProof/>
                <w:webHidden/>
              </w:rPr>
              <w:fldChar w:fldCharType="separate"/>
            </w:r>
            <w:r w:rsidR="001E369F">
              <w:rPr>
                <w:rFonts w:ascii="GHEA Grapalat" w:hAnsi="GHEA Grapalat"/>
                <w:noProof/>
                <w:webHidden/>
              </w:rPr>
              <w:t>31</w:t>
            </w:r>
            <w:r w:rsidR="004A311E" w:rsidRPr="00EB3B8A">
              <w:rPr>
                <w:rFonts w:ascii="GHEA Grapalat" w:hAnsi="GHEA Grapalat"/>
                <w:noProof/>
                <w:webHidden/>
              </w:rPr>
              <w:fldChar w:fldCharType="end"/>
            </w:r>
          </w:hyperlink>
        </w:p>
        <w:p w14:paraId="34C3A759" w14:textId="6C35D871" w:rsidR="004A311E" w:rsidRPr="00EB3B8A" w:rsidRDefault="009700CA">
          <w:pPr>
            <w:pStyle w:val="TOC2"/>
            <w:tabs>
              <w:tab w:val="right" w:leader="dot" w:pos="9627"/>
            </w:tabs>
            <w:rPr>
              <w:rFonts w:ascii="GHEA Grapalat" w:eastAsiaTheme="minorEastAsia" w:hAnsi="GHEA Grapalat" w:cstheme="minorBidi"/>
              <w:noProof/>
              <w:sz w:val="22"/>
              <w:szCs w:val="22"/>
              <w:lang w:val="en-US" w:eastAsia="en-US"/>
            </w:rPr>
          </w:pPr>
          <w:hyperlink w:anchor="_Toc215422090" w:history="1">
            <w:r w:rsidR="004A311E" w:rsidRPr="00EB3B8A">
              <w:rPr>
                <w:rStyle w:val="Hyperlink"/>
                <w:rFonts w:ascii="GHEA Grapalat" w:hAnsi="GHEA Grapalat"/>
                <w:noProof/>
              </w:rPr>
              <w:t>3.2 ԿԱՊՆ ԱՅԼ ՓԱՍՏԱԹՂԹԵՐԻ ՀԵՏ</w:t>
            </w:r>
            <w:r w:rsidR="004A311E" w:rsidRPr="00EB3B8A">
              <w:rPr>
                <w:rFonts w:ascii="GHEA Grapalat" w:hAnsi="GHEA Grapalat"/>
                <w:noProof/>
                <w:webHidden/>
              </w:rPr>
              <w:tab/>
            </w:r>
            <w:r w:rsidR="004A311E" w:rsidRPr="00EB3B8A">
              <w:rPr>
                <w:rFonts w:ascii="GHEA Grapalat" w:hAnsi="GHEA Grapalat"/>
                <w:noProof/>
                <w:webHidden/>
              </w:rPr>
              <w:fldChar w:fldCharType="begin"/>
            </w:r>
            <w:r w:rsidR="004A311E" w:rsidRPr="00EB3B8A">
              <w:rPr>
                <w:rFonts w:ascii="GHEA Grapalat" w:hAnsi="GHEA Grapalat"/>
                <w:noProof/>
                <w:webHidden/>
              </w:rPr>
              <w:instrText xml:space="preserve"> PAGEREF _Toc215422090 \h </w:instrText>
            </w:r>
            <w:r w:rsidR="004A311E" w:rsidRPr="00EB3B8A">
              <w:rPr>
                <w:rFonts w:ascii="GHEA Grapalat" w:hAnsi="GHEA Grapalat"/>
                <w:noProof/>
                <w:webHidden/>
              </w:rPr>
            </w:r>
            <w:r w:rsidR="004A311E" w:rsidRPr="00EB3B8A">
              <w:rPr>
                <w:rFonts w:ascii="GHEA Grapalat" w:hAnsi="GHEA Grapalat"/>
                <w:noProof/>
                <w:webHidden/>
              </w:rPr>
              <w:fldChar w:fldCharType="separate"/>
            </w:r>
            <w:r w:rsidR="001E369F">
              <w:rPr>
                <w:rFonts w:ascii="GHEA Grapalat" w:hAnsi="GHEA Grapalat"/>
                <w:noProof/>
                <w:webHidden/>
              </w:rPr>
              <w:t>33</w:t>
            </w:r>
            <w:r w:rsidR="004A311E" w:rsidRPr="00EB3B8A">
              <w:rPr>
                <w:rFonts w:ascii="GHEA Grapalat" w:hAnsi="GHEA Grapalat"/>
                <w:noProof/>
                <w:webHidden/>
              </w:rPr>
              <w:fldChar w:fldCharType="end"/>
            </w:r>
          </w:hyperlink>
        </w:p>
        <w:p w14:paraId="50F7C3A5" w14:textId="448E019A" w:rsidR="004A311E" w:rsidRPr="00EB3B8A" w:rsidRDefault="009700CA">
          <w:pPr>
            <w:pStyle w:val="TOC1"/>
            <w:tabs>
              <w:tab w:val="right" w:leader="dot" w:pos="9627"/>
            </w:tabs>
            <w:rPr>
              <w:rFonts w:ascii="GHEA Grapalat" w:eastAsiaTheme="minorEastAsia" w:hAnsi="GHEA Grapalat" w:cstheme="minorBidi"/>
              <w:noProof/>
              <w:sz w:val="22"/>
              <w:szCs w:val="22"/>
              <w:lang w:val="en-US" w:eastAsia="en-US"/>
            </w:rPr>
          </w:pPr>
          <w:hyperlink w:anchor="_Toc215422091" w:history="1">
            <w:r w:rsidR="004A311E" w:rsidRPr="00EB3B8A">
              <w:rPr>
                <w:rStyle w:val="Hyperlink"/>
                <w:rFonts w:ascii="GHEA Grapalat" w:hAnsi="GHEA Grapalat"/>
                <w:noProof/>
              </w:rPr>
              <w:t>4. ՀԵՏԱԶՈՏՈՒԹՅՈՒՆՆԵՐԻ ԳԵՐԱԶԱՆՑՈՒԹՅԱՆ ԽԹԱՆՈՒՄ</w:t>
            </w:r>
            <w:r w:rsidR="004A311E" w:rsidRPr="00EB3B8A">
              <w:rPr>
                <w:rFonts w:ascii="GHEA Grapalat" w:hAnsi="GHEA Grapalat"/>
                <w:noProof/>
                <w:webHidden/>
              </w:rPr>
              <w:tab/>
            </w:r>
            <w:r w:rsidR="004A311E" w:rsidRPr="00EB3B8A">
              <w:rPr>
                <w:rFonts w:ascii="GHEA Grapalat" w:hAnsi="GHEA Grapalat"/>
                <w:noProof/>
                <w:webHidden/>
              </w:rPr>
              <w:fldChar w:fldCharType="begin"/>
            </w:r>
            <w:r w:rsidR="004A311E" w:rsidRPr="00EB3B8A">
              <w:rPr>
                <w:rFonts w:ascii="GHEA Grapalat" w:hAnsi="GHEA Grapalat"/>
                <w:noProof/>
                <w:webHidden/>
              </w:rPr>
              <w:instrText xml:space="preserve"> PAGEREF _Toc215422091 \h </w:instrText>
            </w:r>
            <w:r w:rsidR="004A311E" w:rsidRPr="00EB3B8A">
              <w:rPr>
                <w:rFonts w:ascii="GHEA Grapalat" w:hAnsi="GHEA Grapalat"/>
                <w:noProof/>
                <w:webHidden/>
              </w:rPr>
            </w:r>
            <w:r w:rsidR="004A311E" w:rsidRPr="00EB3B8A">
              <w:rPr>
                <w:rFonts w:ascii="GHEA Grapalat" w:hAnsi="GHEA Grapalat"/>
                <w:noProof/>
                <w:webHidden/>
              </w:rPr>
              <w:fldChar w:fldCharType="separate"/>
            </w:r>
            <w:r w:rsidR="001E369F">
              <w:rPr>
                <w:rFonts w:ascii="GHEA Grapalat" w:hAnsi="GHEA Grapalat"/>
                <w:noProof/>
                <w:webHidden/>
              </w:rPr>
              <w:t>36</w:t>
            </w:r>
            <w:r w:rsidR="004A311E" w:rsidRPr="00EB3B8A">
              <w:rPr>
                <w:rFonts w:ascii="GHEA Grapalat" w:hAnsi="GHEA Grapalat"/>
                <w:noProof/>
                <w:webHidden/>
              </w:rPr>
              <w:fldChar w:fldCharType="end"/>
            </w:r>
          </w:hyperlink>
        </w:p>
        <w:p w14:paraId="4C196144" w14:textId="36B2E668" w:rsidR="004A311E" w:rsidRPr="00EB3B8A" w:rsidRDefault="009700CA">
          <w:pPr>
            <w:pStyle w:val="TOC2"/>
            <w:tabs>
              <w:tab w:val="right" w:leader="dot" w:pos="9627"/>
            </w:tabs>
            <w:rPr>
              <w:rFonts w:ascii="GHEA Grapalat" w:eastAsiaTheme="minorEastAsia" w:hAnsi="GHEA Grapalat" w:cstheme="minorBidi"/>
              <w:noProof/>
              <w:sz w:val="22"/>
              <w:szCs w:val="22"/>
              <w:lang w:val="en-US" w:eastAsia="en-US"/>
            </w:rPr>
          </w:pPr>
          <w:hyperlink w:anchor="_Toc215422092" w:history="1">
            <w:r w:rsidR="004A311E" w:rsidRPr="00EB3B8A">
              <w:rPr>
                <w:rStyle w:val="Hyperlink"/>
                <w:rFonts w:ascii="GHEA Grapalat" w:hAnsi="GHEA Grapalat"/>
                <w:noProof/>
              </w:rPr>
              <w:t>4.1 ՍԿԶԲՈՒՆՔՆԵՐ ԵՎ ՀԻՄՆԱԽՆԴԻՐՆԵՐ</w:t>
            </w:r>
            <w:r w:rsidR="004A311E" w:rsidRPr="00EB3B8A">
              <w:rPr>
                <w:rFonts w:ascii="GHEA Grapalat" w:hAnsi="GHEA Grapalat"/>
                <w:noProof/>
                <w:webHidden/>
              </w:rPr>
              <w:tab/>
            </w:r>
            <w:r w:rsidR="004A311E" w:rsidRPr="00EB3B8A">
              <w:rPr>
                <w:rFonts w:ascii="GHEA Grapalat" w:hAnsi="GHEA Grapalat"/>
                <w:noProof/>
                <w:webHidden/>
              </w:rPr>
              <w:fldChar w:fldCharType="begin"/>
            </w:r>
            <w:r w:rsidR="004A311E" w:rsidRPr="00EB3B8A">
              <w:rPr>
                <w:rFonts w:ascii="GHEA Grapalat" w:hAnsi="GHEA Grapalat"/>
                <w:noProof/>
                <w:webHidden/>
              </w:rPr>
              <w:instrText xml:space="preserve"> PAGEREF _Toc215422092 \h </w:instrText>
            </w:r>
            <w:r w:rsidR="004A311E" w:rsidRPr="00EB3B8A">
              <w:rPr>
                <w:rFonts w:ascii="GHEA Grapalat" w:hAnsi="GHEA Grapalat"/>
                <w:noProof/>
                <w:webHidden/>
              </w:rPr>
            </w:r>
            <w:r w:rsidR="004A311E" w:rsidRPr="00EB3B8A">
              <w:rPr>
                <w:rFonts w:ascii="GHEA Grapalat" w:hAnsi="GHEA Grapalat"/>
                <w:noProof/>
                <w:webHidden/>
              </w:rPr>
              <w:fldChar w:fldCharType="separate"/>
            </w:r>
            <w:r w:rsidR="001E369F">
              <w:rPr>
                <w:rFonts w:ascii="GHEA Grapalat" w:hAnsi="GHEA Grapalat"/>
                <w:noProof/>
                <w:webHidden/>
              </w:rPr>
              <w:t>36</w:t>
            </w:r>
            <w:r w:rsidR="004A311E" w:rsidRPr="00EB3B8A">
              <w:rPr>
                <w:rFonts w:ascii="GHEA Grapalat" w:hAnsi="GHEA Grapalat"/>
                <w:noProof/>
                <w:webHidden/>
              </w:rPr>
              <w:fldChar w:fldCharType="end"/>
            </w:r>
          </w:hyperlink>
        </w:p>
        <w:p w14:paraId="04B53CC2" w14:textId="4BF87CCA" w:rsidR="004A311E" w:rsidRPr="00EB3B8A" w:rsidRDefault="009700CA">
          <w:pPr>
            <w:pStyle w:val="TOC2"/>
            <w:tabs>
              <w:tab w:val="right" w:leader="dot" w:pos="9627"/>
            </w:tabs>
            <w:rPr>
              <w:rFonts w:ascii="GHEA Grapalat" w:eastAsiaTheme="minorEastAsia" w:hAnsi="GHEA Grapalat" w:cstheme="minorBidi"/>
              <w:noProof/>
              <w:sz w:val="22"/>
              <w:szCs w:val="22"/>
              <w:lang w:val="en-US" w:eastAsia="en-US"/>
            </w:rPr>
          </w:pPr>
          <w:hyperlink w:anchor="_Toc215422093" w:history="1">
            <w:r w:rsidR="004A311E" w:rsidRPr="00EB3B8A">
              <w:rPr>
                <w:rStyle w:val="Hyperlink"/>
                <w:rFonts w:ascii="GHEA Grapalat" w:hAnsi="GHEA Grapalat"/>
                <w:noProof/>
              </w:rPr>
              <w:t>4.2 ՀԻՄՆԱԽՆԴՐԻ ԼՈՒԾՄԱՆ ԵՂԱՆԱԿՆԵՐԸ</w:t>
            </w:r>
            <w:r w:rsidR="004A311E" w:rsidRPr="00EB3B8A">
              <w:rPr>
                <w:rFonts w:ascii="GHEA Grapalat" w:hAnsi="GHEA Grapalat"/>
                <w:noProof/>
                <w:webHidden/>
              </w:rPr>
              <w:tab/>
            </w:r>
            <w:r w:rsidR="004A311E" w:rsidRPr="00EB3B8A">
              <w:rPr>
                <w:rFonts w:ascii="GHEA Grapalat" w:hAnsi="GHEA Grapalat"/>
                <w:noProof/>
                <w:webHidden/>
              </w:rPr>
              <w:fldChar w:fldCharType="begin"/>
            </w:r>
            <w:r w:rsidR="004A311E" w:rsidRPr="00EB3B8A">
              <w:rPr>
                <w:rFonts w:ascii="GHEA Grapalat" w:hAnsi="GHEA Grapalat"/>
                <w:noProof/>
                <w:webHidden/>
              </w:rPr>
              <w:instrText xml:space="preserve"> PAGEREF _Toc215422093 \h </w:instrText>
            </w:r>
            <w:r w:rsidR="004A311E" w:rsidRPr="00EB3B8A">
              <w:rPr>
                <w:rFonts w:ascii="GHEA Grapalat" w:hAnsi="GHEA Grapalat"/>
                <w:noProof/>
                <w:webHidden/>
              </w:rPr>
            </w:r>
            <w:r w:rsidR="004A311E" w:rsidRPr="00EB3B8A">
              <w:rPr>
                <w:rFonts w:ascii="GHEA Grapalat" w:hAnsi="GHEA Grapalat"/>
                <w:noProof/>
                <w:webHidden/>
              </w:rPr>
              <w:fldChar w:fldCharType="separate"/>
            </w:r>
            <w:r w:rsidR="001E369F">
              <w:rPr>
                <w:rFonts w:ascii="GHEA Grapalat" w:hAnsi="GHEA Grapalat"/>
                <w:noProof/>
                <w:webHidden/>
              </w:rPr>
              <w:t>37</w:t>
            </w:r>
            <w:r w:rsidR="004A311E" w:rsidRPr="00EB3B8A">
              <w:rPr>
                <w:rFonts w:ascii="GHEA Grapalat" w:hAnsi="GHEA Grapalat"/>
                <w:noProof/>
                <w:webHidden/>
              </w:rPr>
              <w:fldChar w:fldCharType="end"/>
            </w:r>
          </w:hyperlink>
        </w:p>
        <w:p w14:paraId="37E883CB" w14:textId="7D7DA132" w:rsidR="004A311E" w:rsidRPr="00EB3B8A" w:rsidRDefault="009700CA">
          <w:pPr>
            <w:pStyle w:val="TOC1"/>
            <w:tabs>
              <w:tab w:val="right" w:leader="dot" w:pos="9627"/>
            </w:tabs>
            <w:rPr>
              <w:rFonts w:ascii="GHEA Grapalat" w:eastAsiaTheme="minorEastAsia" w:hAnsi="GHEA Grapalat" w:cstheme="minorBidi"/>
              <w:noProof/>
              <w:sz w:val="22"/>
              <w:szCs w:val="22"/>
              <w:lang w:val="en-US" w:eastAsia="en-US"/>
            </w:rPr>
          </w:pPr>
          <w:hyperlink w:anchor="_Toc215422094" w:history="1">
            <w:r w:rsidR="004A311E" w:rsidRPr="00EB3B8A">
              <w:rPr>
                <w:rStyle w:val="Hyperlink"/>
                <w:rFonts w:ascii="GHEA Grapalat" w:hAnsi="GHEA Grapalat"/>
                <w:noProof/>
              </w:rPr>
              <w:t>5. ՏՆՏԵՍԱԿԱՆ ԱԶԴԵՑՈՒԹՅԱՆ ՄԵԾԱՑՈՒՄ</w:t>
            </w:r>
            <w:r w:rsidR="004A311E" w:rsidRPr="00EB3B8A">
              <w:rPr>
                <w:rFonts w:ascii="GHEA Grapalat" w:hAnsi="GHEA Grapalat"/>
                <w:noProof/>
                <w:webHidden/>
              </w:rPr>
              <w:tab/>
            </w:r>
            <w:r w:rsidR="004A311E" w:rsidRPr="00EB3B8A">
              <w:rPr>
                <w:rFonts w:ascii="GHEA Grapalat" w:hAnsi="GHEA Grapalat"/>
                <w:noProof/>
                <w:webHidden/>
              </w:rPr>
              <w:fldChar w:fldCharType="begin"/>
            </w:r>
            <w:r w:rsidR="004A311E" w:rsidRPr="00EB3B8A">
              <w:rPr>
                <w:rFonts w:ascii="GHEA Grapalat" w:hAnsi="GHEA Grapalat"/>
                <w:noProof/>
                <w:webHidden/>
              </w:rPr>
              <w:instrText xml:space="preserve"> PAGEREF _Toc215422094 \h </w:instrText>
            </w:r>
            <w:r w:rsidR="004A311E" w:rsidRPr="00EB3B8A">
              <w:rPr>
                <w:rFonts w:ascii="GHEA Grapalat" w:hAnsi="GHEA Grapalat"/>
                <w:noProof/>
                <w:webHidden/>
              </w:rPr>
            </w:r>
            <w:r w:rsidR="004A311E" w:rsidRPr="00EB3B8A">
              <w:rPr>
                <w:rFonts w:ascii="GHEA Grapalat" w:hAnsi="GHEA Grapalat"/>
                <w:noProof/>
                <w:webHidden/>
              </w:rPr>
              <w:fldChar w:fldCharType="separate"/>
            </w:r>
            <w:r w:rsidR="001E369F">
              <w:rPr>
                <w:rFonts w:ascii="GHEA Grapalat" w:hAnsi="GHEA Grapalat"/>
                <w:noProof/>
                <w:webHidden/>
              </w:rPr>
              <w:t>41</w:t>
            </w:r>
            <w:r w:rsidR="004A311E" w:rsidRPr="00EB3B8A">
              <w:rPr>
                <w:rFonts w:ascii="GHEA Grapalat" w:hAnsi="GHEA Grapalat"/>
                <w:noProof/>
                <w:webHidden/>
              </w:rPr>
              <w:fldChar w:fldCharType="end"/>
            </w:r>
          </w:hyperlink>
        </w:p>
        <w:p w14:paraId="6E14C7C1" w14:textId="61BB8296" w:rsidR="004A311E" w:rsidRPr="00EB3B8A" w:rsidRDefault="009700CA">
          <w:pPr>
            <w:pStyle w:val="TOC2"/>
            <w:tabs>
              <w:tab w:val="right" w:leader="dot" w:pos="9627"/>
            </w:tabs>
            <w:rPr>
              <w:rFonts w:ascii="GHEA Grapalat" w:eastAsiaTheme="minorEastAsia" w:hAnsi="GHEA Grapalat" w:cstheme="minorBidi"/>
              <w:noProof/>
              <w:sz w:val="22"/>
              <w:szCs w:val="22"/>
              <w:lang w:val="en-US" w:eastAsia="en-US"/>
            </w:rPr>
          </w:pPr>
          <w:hyperlink w:anchor="_Toc215422095" w:history="1">
            <w:r w:rsidR="004A311E" w:rsidRPr="00EB3B8A">
              <w:rPr>
                <w:rStyle w:val="Hyperlink"/>
                <w:rFonts w:ascii="GHEA Grapalat" w:hAnsi="GHEA Grapalat"/>
                <w:noProof/>
              </w:rPr>
              <w:t>5.1 ՍԿԶԲՈՒՆՔՆԵՐ ԵՎ ՀԻՄՆԱԽՆԴԻՐՆԵՐ</w:t>
            </w:r>
            <w:r w:rsidR="004A311E" w:rsidRPr="00EB3B8A">
              <w:rPr>
                <w:rFonts w:ascii="GHEA Grapalat" w:hAnsi="GHEA Grapalat"/>
                <w:noProof/>
                <w:webHidden/>
              </w:rPr>
              <w:tab/>
            </w:r>
            <w:r w:rsidR="004A311E" w:rsidRPr="00EB3B8A">
              <w:rPr>
                <w:rFonts w:ascii="GHEA Grapalat" w:hAnsi="GHEA Grapalat"/>
                <w:noProof/>
                <w:webHidden/>
              </w:rPr>
              <w:fldChar w:fldCharType="begin"/>
            </w:r>
            <w:r w:rsidR="004A311E" w:rsidRPr="00EB3B8A">
              <w:rPr>
                <w:rFonts w:ascii="GHEA Grapalat" w:hAnsi="GHEA Grapalat"/>
                <w:noProof/>
                <w:webHidden/>
              </w:rPr>
              <w:instrText xml:space="preserve"> PAGEREF _Toc215422095 \h </w:instrText>
            </w:r>
            <w:r w:rsidR="004A311E" w:rsidRPr="00EB3B8A">
              <w:rPr>
                <w:rFonts w:ascii="GHEA Grapalat" w:hAnsi="GHEA Grapalat"/>
                <w:noProof/>
                <w:webHidden/>
              </w:rPr>
            </w:r>
            <w:r w:rsidR="004A311E" w:rsidRPr="00EB3B8A">
              <w:rPr>
                <w:rFonts w:ascii="GHEA Grapalat" w:hAnsi="GHEA Grapalat"/>
                <w:noProof/>
                <w:webHidden/>
              </w:rPr>
              <w:fldChar w:fldCharType="separate"/>
            </w:r>
            <w:r w:rsidR="001E369F">
              <w:rPr>
                <w:rFonts w:ascii="GHEA Grapalat" w:hAnsi="GHEA Grapalat"/>
                <w:noProof/>
                <w:webHidden/>
              </w:rPr>
              <w:t>41</w:t>
            </w:r>
            <w:r w:rsidR="004A311E" w:rsidRPr="00EB3B8A">
              <w:rPr>
                <w:rFonts w:ascii="GHEA Grapalat" w:hAnsi="GHEA Grapalat"/>
                <w:noProof/>
                <w:webHidden/>
              </w:rPr>
              <w:fldChar w:fldCharType="end"/>
            </w:r>
          </w:hyperlink>
        </w:p>
        <w:p w14:paraId="2E401C1E" w14:textId="62FE11FC" w:rsidR="004A311E" w:rsidRPr="00EB3B8A" w:rsidRDefault="009700CA">
          <w:pPr>
            <w:pStyle w:val="TOC2"/>
            <w:tabs>
              <w:tab w:val="right" w:leader="dot" w:pos="9627"/>
            </w:tabs>
            <w:rPr>
              <w:rFonts w:ascii="GHEA Grapalat" w:eastAsiaTheme="minorEastAsia" w:hAnsi="GHEA Grapalat" w:cstheme="minorBidi"/>
              <w:noProof/>
              <w:sz w:val="22"/>
              <w:szCs w:val="22"/>
              <w:lang w:val="en-US" w:eastAsia="en-US"/>
            </w:rPr>
          </w:pPr>
          <w:hyperlink w:anchor="_Toc215422096" w:history="1">
            <w:r w:rsidR="004A311E" w:rsidRPr="00EB3B8A">
              <w:rPr>
                <w:rStyle w:val="Hyperlink"/>
                <w:rFonts w:ascii="GHEA Grapalat" w:hAnsi="GHEA Grapalat"/>
                <w:noProof/>
              </w:rPr>
              <w:t>5.2 ՀԻՄՆԱԽՆԴՐԻ ԼՈՒԾՄԱՆ ԵՂԱՆԱԿՆԵՐԸ</w:t>
            </w:r>
            <w:r w:rsidR="004A311E" w:rsidRPr="00EB3B8A">
              <w:rPr>
                <w:rFonts w:ascii="GHEA Grapalat" w:hAnsi="GHEA Grapalat"/>
                <w:noProof/>
                <w:webHidden/>
              </w:rPr>
              <w:tab/>
            </w:r>
            <w:r w:rsidR="004A311E" w:rsidRPr="00EB3B8A">
              <w:rPr>
                <w:rFonts w:ascii="GHEA Grapalat" w:hAnsi="GHEA Grapalat"/>
                <w:noProof/>
                <w:webHidden/>
              </w:rPr>
              <w:fldChar w:fldCharType="begin"/>
            </w:r>
            <w:r w:rsidR="004A311E" w:rsidRPr="00EB3B8A">
              <w:rPr>
                <w:rFonts w:ascii="GHEA Grapalat" w:hAnsi="GHEA Grapalat"/>
                <w:noProof/>
                <w:webHidden/>
              </w:rPr>
              <w:instrText xml:space="preserve"> PAGEREF _Toc215422096 \h </w:instrText>
            </w:r>
            <w:r w:rsidR="004A311E" w:rsidRPr="00EB3B8A">
              <w:rPr>
                <w:rFonts w:ascii="GHEA Grapalat" w:hAnsi="GHEA Grapalat"/>
                <w:noProof/>
                <w:webHidden/>
              </w:rPr>
            </w:r>
            <w:r w:rsidR="004A311E" w:rsidRPr="00EB3B8A">
              <w:rPr>
                <w:rFonts w:ascii="GHEA Grapalat" w:hAnsi="GHEA Grapalat"/>
                <w:noProof/>
                <w:webHidden/>
              </w:rPr>
              <w:fldChar w:fldCharType="separate"/>
            </w:r>
            <w:r w:rsidR="001E369F">
              <w:rPr>
                <w:rFonts w:ascii="GHEA Grapalat" w:hAnsi="GHEA Grapalat"/>
                <w:noProof/>
                <w:webHidden/>
              </w:rPr>
              <w:t>43</w:t>
            </w:r>
            <w:r w:rsidR="004A311E" w:rsidRPr="00EB3B8A">
              <w:rPr>
                <w:rFonts w:ascii="GHEA Grapalat" w:hAnsi="GHEA Grapalat"/>
                <w:noProof/>
                <w:webHidden/>
              </w:rPr>
              <w:fldChar w:fldCharType="end"/>
            </w:r>
          </w:hyperlink>
        </w:p>
        <w:p w14:paraId="6C837F0A" w14:textId="7AC3CA69" w:rsidR="004A311E" w:rsidRPr="00EB3B8A" w:rsidRDefault="009700CA">
          <w:pPr>
            <w:pStyle w:val="TOC1"/>
            <w:tabs>
              <w:tab w:val="right" w:leader="dot" w:pos="9627"/>
            </w:tabs>
            <w:rPr>
              <w:rFonts w:ascii="GHEA Grapalat" w:eastAsiaTheme="minorEastAsia" w:hAnsi="GHEA Grapalat" w:cstheme="minorBidi"/>
              <w:noProof/>
              <w:sz w:val="22"/>
              <w:szCs w:val="22"/>
              <w:lang w:val="en-US" w:eastAsia="en-US"/>
            </w:rPr>
          </w:pPr>
          <w:hyperlink w:anchor="_Toc215422097" w:history="1">
            <w:r w:rsidR="004A311E" w:rsidRPr="00EB3B8A">
              <w:rPr>
                <w:rStyle w:val="Hyperlink"/>
                <w:rFonts w:ascii="GHEA Grapalat" w:hAnsi="GHEA Grapalat"/>
                <w:noProof/>
              </w:rPr>
              <w:t>6. ՍՈՑԻԱԼԱԿԱՆ ՊԱՏԱՍԽԱՆԱՏՎՈՒԹՅԱՆ ԲԱՐՁՐԱՑՈՒՄ</w:t>
            </w:r>
            <w:r w:rsidR="004A311E" w:rsidRPr="00EB3B8A">
              <w:rPr>
                <w:rFonts w:ascii="GHEA Grapalat" w:hAnsi="GHEA Grapalat"/>
                <w:noProof/>
                <w:webHidden/>
              </w:rPr>
              <w:tab/>
            </w:r>
            <w:r w:rsidR="004A311E" w:rsidRPr="00EB3B8A">
              <w:rPr>
                <w:rFonts w:ascii="GHEA Grapalat" w:hAnsi="GHEA Grapalat"/>
                <w:noProof/>
                <w:webHidden/>
              </w:rPr>
              <w:fldChar w:fldCharType="begin"/>
            </w:r>
            <w:r w:rsidR="004A311E" w:rsidRPr="00EB3B8A">
              <w:rPr>
                <w:rFonts w:ascii="GHEA Grapalat" w:hAnsi="GHEA Grapalat"/>
                <w:noProof/>
                <w:webHidden/>
              </w:rPr>
              <w:instrText xml:space="preserve"> PAGEREF _Toc215422097 \h </w:instrText>
            </w:r>
            <w:r w:rsidR="004A311E" w:rsidRPr="00EB3B8A">
              <w:rPr>
                <w:rFonts w:ascii="GHEA Grapalat" w:hAnsi="GHEA Grapalat"/>
                <w:noProof/>
                <w:webHidden/>
              </w:rPr>
            </w:r>
            <w:r w:rsidR="004A311E" w:rsidRPr="00EB3B8A">
              <w:rPr>
                <w:rFonts w:ascii="GHEA Grapalat" w:hAnsi="GHEA Grapalat"/>
                <w:noProof/>
                <w:webHidden/>
              </w:rPr>
              <w:fldChar w:fldCharType="separate"/>
            </w:r>
            <w:r w:rsidR="001E369F">
              <w:rPr>
                <w:rFonts w:ascii="GHEA Grapalat" w:hAnsi="GHEA Grapalat"/>
                <w:noProof/>
                <w:webHidden/>
              </w:rPr>
              <w:t>47</w:t>
            </w:r>
            <w:r w:rsidR="004A311E" w:rsidRPr="00EB3B8A">
              <w:rPr>
                <w:rFonts w:ascii="GHEA Grapalat" w:hAnsi="GHEA Grapalat"/>
                <w:noProof/>
                <w:webHidden/>
              </w:rPr>
              <w:fldChar w:fldCharType="end"/>
            </w:r>
          </w:hyperlink>
        </w:p>
        <w:p w14:paraId="0BADA22A" w14:textId="5C31A664" w:rsidR="004A311E" w:rsidRPr="00EB3B8A" w:rsidRDefault="009700CA">
          <w:pPr>
            <w:pStyle w:val="TOC2"/>
            <w:tabs>
              <w:tab w:val="right" w:leader="dot" w:pos="9627"/>
            </w:tabs>
            <w:rPr>
              <w:rFonts w:ascii="GHEA Grapalat" w:eastAsiaTheme="minorEastAsia" w:hAnsi="GHEA Grapalat" w:cstheme="minorBidi"/>
              <w:noProof/>
              <w:sz w:val="22"/>
              <w:szCs w:val="22"/>
              <w:lang w:val="en-US" w:eastAsia="en-US"/>
            </w:rPr>
          </w:pPr>
          <w:hyperlink w:anchor="_Toc215422098" w:history="1">
            <w:r w:rsidR="004A311E" w:rsidRPr="00EB3B8A">
              <w:rPr>
                <w:rStyle w:val="Hyperlink"/>
                <w:rFonts w:ascii="GHEA Grapalat" w:hAnsi="GHEA Grapalat"/>
                <w:noProof/>
              </w:rPr>
              <w:t>6.1 ՍԿԶԲՈՒՆՔՆԵՐ ԵՎ ՀԻՄՆԱԽՆԴԻՐՆԵՐ</w:t>
            </w:r>
            <w:r w:rsidR="004A311E" w:rsidRPr="00EB3B8A">
              <w:rPr>
                <w:rFonts w:ascii="GHEA Grapalat" w:hAnsi="GHEA Grapalat"/>
                <w:noProof/>
                <w:webHidden/>
              </w:rPr>
              <w:tab/>
            </w:r>
            <w:r w:rsidR="004A311E" w:rsidRPr="00EB3B8A">
              <w:rPr>
                <w:rFonts w:ascii="GHEA Grapalat" w:hAnsi="GHEA Grapalat"/>
                <w:noProof/>
                <w:webHidden/>
              </w:rPr>
              <w:fldChar w:fldCharType="begin"/>
            </w:r>
            <w:r w:rsidR="004A311E" w:rsidRPr="00EB3B8A">
              <w:rPr>
                <w:rFonts w:ascii="GHEA Grapalat" w:hAnsi="GHEA Grapalat"/>
                <w:noProof/>
                <w:webHidden/>
              </w:rPr>
              <w:instrText xml:space="preserve"> PAGEREF _Toc215422098 \h </w:instrText>
            </w:r>
            <w:r w:rsidR="004A311E" w:rsidRPr="00EB3B8A">
              <w:rPr>
                <w:rFonts w:ascii="GHEA Grapalat" w:hAnsi="GHEA Grapalat"/>
                <w:noProof/>
                <w:webHidden/>
              </w:rPr>
            </w:r>
            <w:r w:rsidR="004A311E" w:rsidRPr="00EB3B8A">
              <w:rPr>
                <w:rFonts w:ascii="GHEA Grapalat" w:hAnsi="GHEA Grapalat"/>
                <w:noProof/>
                <w:webHidden/>
              </w:rPr>
              <w:fldChar w:fldCharType="separate"/>
            </w:r>
            <w:r w:rsidR="001E369F">
              <w:rPr>
                <w:rFonts w:ascii="GHEA Grapalat" w:hAnsi="GHEA Grapalat"/>
                <w:noProof/>
                <w:webHidden/>
              </w:rPr>
              <w:t>47</w:t>
            </w:r>
            <w:r w:rsidR="004A311E" w:rsidRPr="00EB3B8A">
              <w:rPr>
                <w:rFonts w:ascii="GHEA Grapalat" w:hAnsi="GHEA Grapalat"/>
                <w:noProof/>
                <w:webHidden/>
              </w:rPr>
              <w:fldChar w:fldCharType="end"/>
            </w:r>
          </w:hyperlink>
        </w:p>
        <w:p w14:paraId="1F32DEBB" w14:textId="7C96DF1B" w:rsidR="004A311E" w:rsidRPr="00EB3B8A" w:rsidRDefault="009700CA">
          <w:pPr>
            <w:pStyle w:val="TOC2"/>
            <w:tabs>
              <w:tab w:val="right" w:leader="dot" w:pos="9627"/>
            </w:tabs>
            <w:rPr>
              <w:rFonts w:ascii="GHEA Grapalat" w:eastAsiaTheme="minorEastAsia" w:hAnsi="GHEA Grapalat" w:cstheme="minorBidi"/>
              <w:noProof/>
              <w:sz w:val="22"/>
              <w:szCs w:val="22"/>
              <w:lang w:val="en-US" w:eastAsia="en-US"/>
            </w:rPr>
          </w:pPr>
          <w:hyperlink w:anchor="_Toc215422099" w:history="1">
            <w:r w:rsidR="004A311E" w:rsidRPr="00EB3B8A">
              <w:rPr>
                <w:rStyle w:val="Hyperlink"/>
                <w:rFonts w:ascii="GHEA Grapalat" w:hAnsi="GHEA Grapalat"/>
                <w:noProof/>
              </w:rPr>
              <w:t>6.2 ՀԻՄՆԱԽՆԴՐԻ ԼՈՒԾՄԱՆ ԵՂԱՆԱԿՆԵՐԸ</w:t>
            </w:r>
            <w:r w:rsidR="004A311E" w:rsidRPr="00EB3B8A">
              <w:rPr>
                <w:rFonts w:ascii="GHEA Grapalat" w:hAnsi="GHEA Grapalat"/>
                <w:noProof/>
                <w:webHidden/>
              </w:rPr>
              <w:tab/>
            </w:r>
            <w:r w:rsidR="004A311E" w:rsidRPr="00EB3B8A">
              <w:rPr>
                <w:rFonts w:ascii="GHEA Grapalat" w:hAnsi="GHEA Grapalat"/>
                <w:noProof/>
                <w:webHidden/>
              </w:rPr>
              <w:fldChar w:fldCharType="begin"/>
            </w:r>
            <w:r w:rsidR="004A311E" w:rsidRPr="00EB3B8A">
              <w:rPr>
                <w:rFonts w:ascii="GHEA Grapalat" w:hAnsi="GHEA Grapalat"/>
                <w:noProof/>
                <w:webHidden/>
              </w:rPr>
              <w:instrText xml:space="preserve"> PAGEREF _Toc215422099 \h </w:instrText>
            </w:r>
            <w:r w:rsidR="004A311E" w:rsidRPr="00EB3B8A">
              <w:rPr>
                <w:rFonts w:ascii="GHEA Grapalat" w:hAnsi="GHEA Grapalat"/>
                <w:noProof/>
                <w:webHidden/>
              </w:rPr>
            </w:r>
            <w:r w:rsidR="004A311E" w:rsidRPr="00EB3B8A">
              <w:rPr>
                <w:rFonts w:ascii="GHEA Grapalat" w:hAnsi="GHEA Grapalat"/>
                <w:noProof/>
                <w:webHidden/>
              </w:rPr>
              <w:fldChar w:fldCharType="separate"/>
            </w:r>
            <w:r w:rsidR="001E369F">
              <w:rPr>
                <w:rFonts w:ascii="GHEA Grapalat" w:hAnsi="GHEA Grapalat"/>
                <w:noProof/>
                <w:webHidden/>
              </w:rPr>
              <w:t>50</w:t>
            </w:r>
            <w:r w:rsidR="004A311E" w:rsidRPr="00EB3B8A">
              <w:rPr>
                <w:rFonts w:ascii="GHEA Grapalat" w:hAnsi="GHEA Grapalat"/>
                <w:noProof/>
                <w:webHidden/>
              </w:rPr>
              <w:fldChar w:fldCharType="end"/>
            </w:r>
          </w:hyperlink>
        </w:p>
        <w:p w14:paraId="7D976B9F" w14:textId="0D8EFE4E" w:rsidR="004A311E" w:rsidRPr="00EB3B8A" w:rsidRDefault="009700CA">
          <w:pPr>
            <w:pStyle w:val="TOC1"/>
            <w:tabs>
              <w:tab w:val="right" w:leader="dot" w:pos="9627"/>
            </w:tabs>
            <w:rPr>
              <w:rFonts w:ascii="GHEA Grapalat" w:eastAsiaTheme="minorEastAsia" w:hAnsi="GHEA Grapalat" w:cstheme="minorBidi"/>
              <w:noProof/>
              <w:sz w:val="22"/>
              <w:szCs w:val="22"/>
              <w:lang w:val="en-US" w:eastAsia="en-US"/>
            </w:rPr>
          </w:pPr>
          <w:hyperlink w:anchor="_Toc215422100" w:history="1">
            <w:r w:rsidR="004A311E" w:rsidRPr="00EB3B8A">
              <w:rPr>
                <w:rStyle w:val="Hyperlink"/>
                <w:rFonts w:ascii="GHEA Grapalat" w:hAnsi="GHEA Grapalat"/>
                <w:noProof/>
              </w:rPr>
              <w:t>7. ՎԵՐԱԿԱԶՄԱՎՈՐՈՒՄ ԵՎ ԱՌԱՋԽԱՂԱՑՈՒՄ</w:t>
            </w:r>
            <w:r w:rsidR="004A311E" w:rsidRPr="00EB3B8A">
              <w:rPr>
                <w:rFonts w:ascii="GHEA Grapalat" w:hAnsi="GHEA Grapalat"/>
                <w:noProof/>
                <w:webHidden/>
              </w:rPr>
              <w:tab/>
            </w:r>
            <w:r w:rsidR="004A311E" w:rsidRPr="00EB3B8A">
              <w:rPr>
                <w:rFonts w:ascii="GHEA Grapalat" w:hAnsi="GHEA Grapalat"/>
                <w:noProof/>
                <w:webHidden/>
              </w:rPr>
              <w:fldChar w:fldCharType="begin"/>
            </w:r>
            <w:r w:rsidR="004A311E" w:rsidRPr="00EB3B8A">
              <w:rPr>
                <w:rFonts w:ascii="GHEA Grapalat" w:hAnsi="GHEA Grapalat"/>
                <w:noProof/>
                <w:webHidden/>
              </w:rPr>
              <w:instrText xml:space="preserve"> PAGEREF _Toc215422100 \h </w:instrText>
            </w:r>
            <w:r w:rsidR="004A311E" w:rsidRPr="00EB3B8A">
              <w:rPr>
                <w:rFonts w:ascii="GHEA Grapalat" w:hAnsi="GHEA Grapalat"/>
                <w:noProof/>
                <w:webHidden/>
              </w:rPr>
            </w:r>
            <w:r w:rsidR="004A311E" w:rsidRPr="00EB3B8A">
              <w:rPr>
                <w:rFonts w:ascii="GHEA Grapalat" w:hAnsi="GHEA Grapalat"/>
                <w:noProof/>
                <w:webHidden/>
              </w:rPr>
              <w:fldChar w:fldCharType="separate"/>
            </w:r>
            <w:r w:rsidR="001E369F">
              <w:rPr>
                <w:rFonts w:ascii="GHEA Grapalat" w:hAnsi="GHEA Grapalat"/>
                <w:noProof/>
                <w:webHidden/>
              </w:rPr>
              <w:t>55</w:t>
            </w:r>
            <w:r w:rsidR="004A311E" w:rsidRPr="00EB3B8A">
              <w:rPr>
                <w:rFonts w:ascii="GHEA Grapalat" w:hAnsi="GHEA Grapalat"/>
                <w:noProof/>
                <w:webHidden/>
              </w:rPr>
              <w:fldChar w:fldCharType="end"/>
            </w:r>
          </w:hyperlink>
        </w:p>
        <w:p w14:paraId="35089BBD" w14:textId="4DA19E69" w:rsidR="004A311E" w:rsidRPr="00EB3B8A" w:rsidRDefault="009700CA">
          <w:pPr>
            <w:pStyle w:val="TOC2"/>
            <w:tabs>
              <w:tab w:val="right" w:leader="dot" w:pos="9627"/>
            </w:tabs>
            <w:rPr>
              <w:rFonts w:ascii="GHEA Grapalat" w:eastAsiaTheme="minorEastAsia" w:hAnsi="GHEA Grapalat" w:cstheme="minorBidi"/>
              <w:noProof/>
              <w:sz w:val="22"/>
              <w:szCs w:val="22"/>
              <w:lang w:val="en-US" w:eastAsia="en-US"/>
            </w:rPr>
          </w:pPr>
          <w:hyperlink w:anchor="_Toc215422101" w:history="1">
            <w:r w:rsidR="004A311E" w:rsidRPr="00EB3B8A">
              <w:rPr>
                <w:rStyle w:val="Hyperlink"/>
                <w:rFonts w:ascii="GHEA Grapalat" w:hAnsi="GHEA Grapalat"/>
                <w:noProof/>
              </w:rPr>
              <w:t>7.1 ՍԿԶԲՈՒՆՔՆԵՐ ԵՎ ՀԻՄՆԱԽՆԴԻՐՆԵՐ</w:t>
            </w:r>
            <w:r w:rsidR="004A311E" w:rsidRPr="00EB3B8A">
              <w:rPr>
                <w:rFonts w:ascii="GHEA Grapalat" w:hAnsi="GHEA Grapalat"/>
                <w:noProof/>
                <w:webHidden/>
              </w:rPr>
              <w:tab/>
            </w:r>
            <w:r w:rsidR="004A311E" w:rsidRPr="00EB3B8A">
              <w:rPr>
                <w:rFonts w:ascii="GHEA Grapalat" w:hAnsi="GHEA Grapalat"/>
                <w:noProof/>
                <w:webHidden/>
              </w:rPr>
              <w:fldChar w:fldCharType="begin"/>
            </w:r>
            <w:r w:rsidR="004A311E" w:rsidRPr="00EB3B8A">
              <w:rPr>
                <w:rFonts w:ascii="GHEA Grapalat" w:hAnsi="GHEA Grapalat"/>
                <w:noProof/>
                <w:webHidden/>
              </w:rPr>
              <w:instrText xml:space="preserve"> PAGEREF _Toc215422101 \h </w:instrText>
            </w:r>
            <w:r w:rsidR="004A311E" w:rsidRPr="00EB3B8A">
              <w:rPr>
                <w:rFonts w:ascii="GHEA Grapalat" w:hAnsi="GHEA Grapalat"/>
                <w:noProof/>
                <w:webHidden/>
              </w:rPr>
            </w:r>
            <w:r w:rsidR="004A311E" w:rsidRPr="00EB3B8A">
              <w:rPr>
                <w:rFonts w:ascii="GHEA Grapalat" w:hAnsi="GHEA Grapalat"/>
                <w:noProof/>
                <w:webHidden/>
              </w:rPr>
              <w:fldChar w:fldCharType="separate"/>
            </w:r>
            <w:r w:rsidR="001E369F">
              <w:rPr>
                <w:rFonts w:ascii="GHEA Grapalat" w:hAnsi="GHEA Grapalat"/>
                <w:noProof/>
                <w:webHidden/>
              </w:rPr>
              <w:t>55</w:t>
            </w:r>
            <w:r w:rsidR="004A311E" w:rsidRPr="00EB3B8A">
              <w:rPr>
                <w:rFonts w:ascii="GHEA Grapalat" w:hAnsi="GHEA Grapalat"/>
                <w:noProof/>
                <w:webHidden/>
              </w:rPr>
              <w:fldChar w:fldCharType="end"/>
            </w:r>
          </w:hyperlink>
        </w:p>
        <w:p w14:paraId="264B6792" w14:textId="5B93D4D4" w:rsidR="004A311E" w:rsidRPr="00EB3B8A" w:rsidRDefault="009700CA">
          <w:pPr>
            <w:pStyle w:val="TOC2"/>
            <w:tabs>
              <w:tab w:val="right" w:leader="dot" w:pos="9627"/>
            </w:tabs>
            <w:rPr>
              <w:rFonts w:ascii="GHEA Grapalat" w:eastAsiaTheme="minorEastAsia" w:hAnsi="GHEA Grapalat" w:cstheme="minorBidi"/>
              <w:noProof/>
              <w:sz w:val="22"/>
              <w:szCs w:val="22"/>
              <w:lang w:val="en-US" w:eastAsia="en-US"/>
            </w:rPr>
          </w:pPr>
          <w:hyperlink w:anchor="_Toc215422102" w:history="1">
            <w:r w:rsidR="004A311E" w:rsidRPr="00EB3B8A">
              <w:rPr>
                <w:rStyle w:val="Hyperlink"/>
                <w:rFonts w:ascii="GHEA Grapalat" w:hAnsi="GHEA Grapalat"/>
                <w:noProof/>
              </w:rPr>
              <w:t>7.2 ՀԻՄՆԱԽՆԴՐԻ ԼՈՒԾՄԱՆ ԵՂԱՆԱԿՆԵՐԸ</w:t>
            </w:r>
            <w:r w:rsidR="004A311E" w:rsidRPr="00EB3B8A">
              <w:rPr>
                <w:rFonts w:ascii="GHEA Grapalat" w:hAnsi="GHEA Grapalat"/>
                <w:noProof/>
                <w:webHidden/>
              </w:rPr>
              <w:tab/>
            </w:r>
            <w:r w:rsidR="004A311E" w:rsidRPr="00EB3B8A">
              <w:rPr>
                <w:rFonts w:ascii="GHEA Grapalat" w:hAnsi="GHEA Grapalat"/>
                <w:noProof/>
                <w:webHidden/>
              </w:rPr>
              <w:fldChar w:fldCharType="begin"/>
            </w:r>
            <w:r w:rsidR="004A311E" w:rsidRPr="00EB3B8A">
              <w:rPr>
                <w:rFonts w:ascii="GHEA Grapalat" w:hAnsi="GHEA Grapalat"/>
                <w:noProof/>
                <w:webHidden/>
              </w:rPr>
              <w:instrText xml:space="preserve"> PAGEREF _Toc215422102 \h </w:instrText>
            </w:r>
            <w:r w:rsidR="004A311E" w:rsidRPr="00EB3B8A">
              <w:rPr>
                <w:rFonts w:ascii="GHEA Grapalat" w:hAnsi="GHEA Grapalat"/>
                <w:noProof/>
                <w:webHidden/>
              </w:rPr>
            </w:r>
            <w:r w:rsidR="004A311E" w:rsidRPr="00EB3B8A">
              <w:rPr>
                <w:rFonts w:ascii="GHEA Grapalat" w:hAnsi="GHEA Grapalat"/>
                <w:noProof/>
                <w:webHidden/>
              </w:rPr>
              <w:fldChar w:fldCharType="separate"/>
            </w:r>
            <w:r w:rsidR="001E369F">
              <w:rPr>
                <w:rFonts w:ascii="GHEA Grapalat" w:hAnsi="GHEA Grapalat"/>
                <w:noProof/>
                <w:webHidden/>
              </w:rPr>
              <w:t>57</w:t>
            </w:r>
            <w:r w:rsidR="004A311E" w:rsidRPr="00EB3B8A">
              <w:rPr>
                <w:rFonts w:ascii="GHEA Grapalat" w:hAnsi="GHEA Grapalat"/>
                <w:noProof/>
                <w:webHidden/>
              </w:rPr>
              <w:fldChar w:fldCharType="end"/>
            </w:r>
          </w:hyperlink>
        </w:p>
        <w:p w14:paraId="35D11193" w14:textId="519A4FA7" w:rsidR="004A311E" w:rsidRPr="00EB3B8A" w:rsidRDefault="009700CA">
          <w:pPr>
            <w:pStyle w:val="TOC1"/>
            <w:tabs>
              <w:tab w:val="right" w:leader="dot" w:pos="9627"/>
            </w:tabs>
            <w:rPr>
              <w:rFonts w:ascii="GHEA Grapalat" w:eastAsiaTheme="minorEastAsia" w:hAnsi="GHEA Grapalat" w:cstheme="minorBidi"/>
              <w:noProof/>
              <w:sz w:val="22"/>
              <w:szCs w:val="22"/>
              <w:lang w:val="en-US" w:eastAsia="en-US"/>
            </w:rPr>
          </w:pPr>
          <w:hyperlink w:anchor="_Toc215422103" w:history="1">
            <w:r w:rsidR="004A311E" w:rsidRPr="00EB3B8A">
              <w:rPr>
                <w:rStyle w:val="Hyperlink"/>
                <w:rFonts w:ascii="GHEA Grapalat" w:hAnsi="GHEA Grapalat"/>
                <w:noProof/>
              </w:rPr>
              <w:t>8. ԾՐԱԳՐԻ ՌԻՍԿԵՐԸ ԵՎ ԴՐԱՆՑ ԿԱՌԱՎԱՐՄԱՆ ԵՂԱՆԱԿՆԵՐԸ</w:t>
            </w:r>
            <w:r w:rsidR="004A311E" w:rsidRPr="00EB3B8A">
              <w:rPr>
                <w:rFonts w:ascii="GHEA Grapalat" w:hAnsi="GHEA Grapalat"/>
                <w:noProof/>
                <w:webHidden/>
              </w:rPr>
              <w:tab/>
            </w:r>
            <w:r w:rsidR="004A311E" w:rsidRPr="00EB3B8A">
              <w:rPr>
                <w:rFonts w:ascii="GHEA Grapalat" w:hAnsi="GHEA Grapalat"/>
                <w:noProof/>
                <w:webHidden/>
              </w:rPr>
              <w:fldChar w:fldCharType="begin"/>
            </w:r>
            <w:r w:rsidR="004A311E" w:rsidRPr="00EB3B8A">
              <w:rPr>
                <w:rFonts w:ascii="GHEA Grapalat" w:hAnsi="GHEA Grapalat"/>
                <w:noProof/>
                <w:webHidden/>
              </w:rPr>
              <w:instrText xml:space="preserve"> PAGEREF _Toc215422103 \h </w:instrText>
            </w:r>
            <w:r w:rsidR="004A311E" w:rsidRPr="00EB3B8A">
              <w:rPr>
                <w:rFonts w:ascii="GHEA Grapalat" w:hAnsi="GHEA Grapalat"/>
                <w:noProof/>
                <w:webHidden/>
              </w:rPr>
            </w:r>
            <w:r w:rsidR="004A311E" w:rsidRPr="00EB3B8A">
              <w:rPr>
                <w:rFonts w:ascii="GHEA Grapalat" w:hAnsi="GHEA Grapalat"/>
                <w:noProof/>
                <w:webHidden/>
              </w:rPr>
              <w:fldChar w:fldCharType="separate"/>
            </w:r>
            <w:r w:rsidR="001E369F">
              <w:rPr>
                <w:rFonts w:ascii="GHEA Grapalat" w:hAnsi="GHEA Grapalat"/>
                <w:noProof/>
                <w:webHidden/>
              </w:rPr>
              <w:t>61</w:t>
            </w:r>
            <w:r w:rsidR="004A311E" w:rsidRPr="00EB3B8A">
              <w:rPr>
                <w:rFonts w:ascii="GHEA Grapalat" w:hAnsi="GHEA Grapalat"/>
                <w:noProof/>
                <w:webHidden/>
              </w:rPr>
              <w:fldChar w:fldCharType="end"/>
            </w:r>
          </w:hyperlink>
        </w:p>
        <w:p w14:paraId="309BFD75" w14:textId="04F1672C" w:rsidR="004A311E" w:rsidRPr="00EB3B8A" w:rsidRDefault="009700CA">
          <w:pPr>
            <w:pStyle w:val="TOC2"/>
            <w:tabs>
              <w:tab w:val="right" w:leader="dot" w:pos="9627"/>
            </w:tabs>
            <w:rPr>
              <w:rFonts w:ascii="GHEA Grapalat" w:eastAsiaTheme="minorEastAsia" w:hAnsi="GHEA Grapalat" w:cstheme="minorBidi"/>
              <w:noProof/>
              <w:sz w:val="22"/>
              <w:szCs w:val="22"/>
              <w:lang w:val="en-US" w:eastAsia="en-US"/>
            </w:rPr>
          </w:pPr>
          <w:hyperlink w:anchor="_Toc215422104" w:history="1">
            <w:r w:rsidR="004A311E" w:rsidRPr="00EB3B8A">
              <w:rPr>
                <w:rStyle w:val="Hyperlink"/>
                <w:rFonts w:ascii="GHEA Grapalat" w:hAnsi="GHEA Grapalat"/>
                <w:noProof/>
              </w:rPr>
              <w:t>8.1 ՌԻՍԿԵՐԸ</w:t>
            </w:r>
            <w:r w:rsidR="004A311E" w:rsidRPr="00EB3B8A">
              <w:rPr>
                <w:rFonts w:ascii="GHEA Grapalat" w:hAnsi="GHEA Grapalat"/>
                <w:noProof/>
                <w:webHidden/>
              </w:rPr>
              <w:tab/>
            </w:r>
            <w:r w:rsidR="004A311E" w:rsidRPr="00EB3B8A">
              <w:rPr>
                <w:rFonts w:ascii="GHEA Grapalat" w:hAnsi="GHEA Grapalat"/>
                <w:noProof/>
                <w:webHidden/>
              </w:rPr>
              <w:fldChar w:fldCharType="begin"/>
            </w:r>
            <w:r w:rsidR="004A311E" w:rsidRPr="00EB3B8A">
              <w:rPr>
                <w:rFonts w:ascii="GHEA Grapalat" w:hAnsi="GHEA Grapalat"/>
                <w:noProof/>
                <w:webHidden/>
              </w:rPr>
              <w:instrText xml:space="preserve"> PAGEREF _Toc215422104 \h </w:instrText>
            </w:r>
            <w:r w:rsidR="004A311E" w:rsidRPr="00EB3B8A">
              <w:rPr>
                <w:rFonts w:ascii="GHEA Grapalat" w:hAnsi="GHEA Grapalat"/>
                <w:noProof/>
                <w:webHidden/>
              </w:rPr>
            </w:r>
            <w:r w:rsidR="004A311E" w:rsidRPr="00EB3B8A">
              <w:rPr>
                <w:rFonts w:ascii="GHEA Grapalat" w:hAnsi="GHEA Grapalat"/>
                <w:noProof/>
                <w:webHidden/>
              </w:rPr>
              <w:fldChar w:fldCharType="separate"/>
            </w:r>
            <w:r w:rsidR="001E369F">
              <w:rPr>
                <w:rFonts w:ascii="GHEA Grapalat" w:hAnsi="GHEA Grapalat"/>
                <w:noProof/>
                <w:webHidden/>
              </w:rPr>
              <w:t>61</w:t>
            </w:r>
            <w:r w:rsidR="004A311E" w:rsidRPr="00EB3B8A">
              <w:rPr>
                <w:rFonts w:ascii="GHEA Grapalat" w:hAnsi="GHEA Grapalat"/>
                <w:noProof/>
                <w:webHidden/>
              </w:rPr>
              <w:fldChar w:fldCharType="end"/>
            </w:r>
          </w:hyperlink>
        </w:p>
        <w:p w14:paraId="6B574F29" w14:textId="41CEFEED" w:rsidR="004A311E" w:rsidRPr="00EB3B8A" w:rsidRDefault="009700CA">
          <w:pPr>
            <w:pStyle w:val="TOC2"/>
            <w:tabs>
              <w:tab w:val="right" w:leader="dot" w:pos="9627"/>
            </w:tabs>
            <w:rPr>
              <w:rFonts w:ascii="GHEA Grapalat" w:eastAsiaTheme="minorEastAsia" w:hAnsi="GHEA Grapalat" w:cstheme="minorBidi"/>
              <w:noProof/>
              <w:sz w:val="22"/>
              <w:szCs w:val="22"/>
              <w:lang w:val="en-US" w:eastAsia="en-US"/>
            </w:rPr>
          </w:pPr>
          <w:hyperlink w:anchor="_Toc215422105" w:history="1">
            <w:r w:rsidR="004A311E" w:rsidRPr="00EB3B8A">
              <w:rPr>
                <w:rStyle w:val="Hyperlink"/>
                <w:rFonts w:ascii="GHEA Grapalat" w:hAnsi="GHEA Grapalat"/>
                <w:noProof/>
              </w:rPr>
              <w:t>8.</w:t>
            </w:r>
            <w:r w:rsidR="004A311E" w:rsidRPr="00EB3B8A">
              <w:rPr>
                <w:rStyle w:val="Hyperlink"/>
                <w:rFonts w:ascii="GHEA Grapalat" w:hAnsi="GHEA Grapalat"/>
                <w:noProof/>
                <w:lang w:val="en-US"/>
              </w:rPr>
              <w:t>2</w:t>
            </w:r>
            <w:r w:rsidR="004A311E" w:rsidRPr="00EB3B8A">
              <w:rPr>
                <w:rStyle w:val="Hyperlink"/>
                <w:rFonts w:ascii="GHEA Grapalat" w:hAnsi="GHEA Grapalat"/>
                <w:noProof/>
              </w:rPr>
              <w:t xml:space="preserve"> ՌԻՍԿԵՐԻ ԿԱՌԱՎԱՐՈՒՄԸ</w:t>
            </w:r>
            <w:r w:rsidR="004A311E" w:rsidRPr="00EB3B8A">
              <w:rPr>
                <w:rFonts w:ascii="GHEA Grapalat" w:hAnsi="GHEA Grapalat"/>
                <w:noProof/>
                <w:webHidden/>
              </w:rPr>
              <w:tab/>
            </w:r>
            <w:r w:rsidR="004A311E" w:rsidRPr="00EB3B8A">
              <w:rPr>
                <w:rFonts w:ascii="GHEA Grapalat" w:hAnsi="GHEA Grapalat"/>
                <w:noProof/>
                <w:webHidden/>
              </w:rPr>
              <w:fldChar w:fldCharType="begin"/>
            </w:r>
            <w:r w:rsidR="004A311E" w:rsidRPr="00EB3B8A">
              <w:rPr>
                <w:rFonts w:ascii="GHEA Grapalat" w:hAnsi="GHEA Grapalat"/>
                <w:noProof/>
                <w:webHidden/>
              </w:rPr>
              <w:instrText xml:space="preserve"> PAGEREF _Toc215422105 \h </w:instrText>
            </w:r>
            <w:r w:rsidR="004A311E" w:rsidRPr="00EB3B8A">
              <w:rPr>
                <w:rFonts w:ascii="GHEA Grapalat" w:hAnsi="GHEA Grapalat"/>
                <w:noProof/>
                <w:webHidden/>
              </w:rPr>
            </w:r>
            <w:r w:rsidR="004A311E" w:rsidRPr="00EB3B8A">
              <w:rPr>
                <w:rFonts w:ascii="GHEA Grapalat" w:hAnsi="GHEA Grapalat"/>
                <w:noProof/>
                <w:webHidden/>
              </w:rPr>
              <w:fldChar w:fldCharType="separate"/>
            </w:r>
            <w:r w:rsidR="001E369F">
              <w:rPr>
                <w:rFonts w:ascii="GHEA Grapalat" w:hAnsi="GHEA Grapalat"/>
                <w:noProof/>
                <w:webHidden/>
              </w:rPr>
              <w:t>64</w:t>
            </w:r>
            <w:r w:rsidR="004A311E" w:rsidRPr="00EB3B8A">
              <w:rPr>
                <w:rFonts w:ascii="GHEA Grapalat" w:hAnsi="GHEA Grapalat"/>
                <w:noProof/>
                <w:webHidden/>
              </w:rPr>
              <w:fldChar w:fldCharType="end"/>
            </w:r>
          </w:hyperlink>
        </w:p>
        <w:p w14:paraId="0F84DA0C" w14:textId="2A650B4C" w:rsidR="004A311E" w:rsidRPr="00EB3B8A" w:rsidRDefault="009700CA">
          <w:pPr>
            <w:pStyle w:val="TOC1"/>
            <w:tabs>
              <w:tab w:val="right" w:leader="dot" w:pos="9627"/>
            </w:tabs>
            <w:rPr>
              <w:rFonts w:ascii="GHEA Grapalat" w:eastAsiaTheme="minorEastAsia" w:hAnsi="GHEA Grapalat" w:cstheme="minorBidi"/>
              <w:noProof/>
              <w:sz w:val="22"/>
              <w:szCs w:val="22"/>
              <w:lang w:val="en-US" w:eastAsia="en-US"/>
            </w:rPr>
          </w:pPr>
          <w:hyperlink w:anchor="_Toc215422106" w:history="1">
            <w:r w:rsidR="004A311E" w:rsidRPr="00EB3B8A">
              <w:rPr>
                <w:rStyle w:val="Hyperlink"/>
                <w:rFonts w:ascii="GHEA Grapalat" w:hAnsi="GHEA Grapalat"/>
                <w:noProof/>
                <w:lang w:val="en-US"/>
              </w:rPr>
              <w:t>9</w:t>
            </w:r>
            <w:r w:rsidR="004A311E" w:rsidRPr="00EB3B8A">
              <w:rPr>
                <w:rStyle w:val="Hyperlink"/>
                <w:rFonts w:ascii="GHEA Grapalat" w:hAnsi="GHEA Grapalat"/>
                <w:noProof/>
              </w:rPr>
              <w:t>. ԾՐԱԳՐԻ ՄՇՏԱԴԻՏԱՐԿՈՒՄԸ</w:t>
            </w:r>
            <w:r w:rsidR="004A311E" w:rsidRPr="00EB3B8A">
              <w:rPr>
                <w:rFonts w:ascii="GHEA Grapalat" w:hAnsi="GHEA Grapalat"/>
                <w:noProof/>
                <w:webHidden/>
              </w:rPr>
              <w:tab/>
            </w:r>
            <w:r w:rsidR="004A311E" w:rsidRPr="00EB3B8A">
              <w:rPr>
                <w:rFonts w:ascii="GHEA Grapalat" w:hAnsi="GHEA Grapalat"/>
                <w:noProof/>
                <w:webHidden/>
              </w:rPr>
              <w:fldChar w:fldCharType="begin"/>
            </w:r>
            <w:r w:rsidR="004A311E" w:rsidRPr="00EB3B8A">
              <w:rPr>
                <w:rFonts w:ascii="GHEA Grapalat" w:hAnsi="GHEA Grapalat"/>
                <w:noProof/>
                <w:webHidden/>
              </w:rPr>
              <w:instrText xml:space="preserve"> PAGEREF _Toc215422106 \h </w:instrText>
            </w:r>
            <w:r w:rsidR="004A311E" w:rsidRPr="00EB3B8A">
              <w:rPr>
                <w:rFonts w:ascii="GHEA Grapalat" w:hAnsi="GHEA Grapalat"/>
                <w:noProof/>
                <w:webHidden/>
              </w:rPr>
            </w:r>
            <w:r w:rsidR="004A311E" w:rsidRPr="00EB3B8A">
              <w:rPr>
                <w:rFonts w:ascii="GHEA Grapalat" w:hAnsi="GHEA Grapalat"/>
                <w:noProof/>
                <w:webHidden/>
              </w:rPr>
              <w:fldChar w:fldCharType="separate"/>
            </w:r>
            <w:r w:rsidR="001E369F">
              <w:rPr>
                <w:rFonts w:ascii="GHEA Grapalat" w:hAnsi="GHEA Grapalat"/>
                <w:noProof/>
                <w:webHidden/>
              </w:rPr>
              <w:t>67</w:t>
            </w:r>
            <w:r w:rsidR="004A311E" w:rsidRPr="00EB3B8A">
              <w:rPr>
                <w:rFonts w:ascii="GHEA Grapalat" w:hAnsi="GHEA Grapalat"/>
                <w:noProof/>
                <w:webHidden/>
              </w:rPr>
              <w:fldChar w:fldCharType="end"/>
            </w:r>
          </w:hyperlink>
        </w:p>
        <w:p w14:paraId="76ADC577" w14:textId="22E7BF88" w:rsidR="004A311E" w:rsidRDefault="009700CA">
          <w:pPr>
            <w:pStyle w:val="TOC1"/>
            <w:tabs>
              <w:tab w:val="right" w:leader="dot" w:pos="9627"/>
            </w:tabs>
            <w:rPr>
              <w:rFonts w:asciiTheme="minorHAnsi" w:eastAsiaTheme="minorEastAsia" w:hAnsiTheme="minorHAnsi" w:cstheme="minorBidi"/>
              <w:noProof/>
              <w:sz w:val="22"/>
              <w:szCs w:val="22"/>
              <w:lang w:val="en-US" w:eastAsia="en-US"/>
            </w:rPr>
          </w:pPr>
          <w:hyperlink w:anchor="_Toc215422107" w:history="1">
            <w:r w:rsidR="004A311E" w:rsidRPr="00EB3B8A">
              <w:rPr>
                <w:rStyle w:val="Hyperlink"/>
                <w:rFonts w:ascii="GHEA Grapalat" w:hAnsi="GHEA Grapalat"/>
                <w:noProof/>
                <w:lang w:val="en-US"/>
              </w:rPr>
              <w:t>10</w:t>
            </w:r>
            <w:r w:rsidR="004A311E" w:rsidRPr="00EB3B8A">
              <w:rPr>
                <w:rStyle w:val="Hyperlink"/>
                <w:rFonts w:ascii="GHEA Grapalat" w:hAnsi="GHEA Grapalat"/>
                <w:noProof/>
              </w:rPr>
              <w:t>. ԾՐԱԳՐԻ ՖԻՆԱՆՍԱՎՈՐՄԱՆ ԱՂԲՅՈՒՐՆԵՐԸ</w:t>
            </w:r>
            <w:r w:rsidR="004A311E" w:rsidRPr="00EB3B8A">
              <w:rPr>
                <w:rFonts w:ascii="GHEA Grapalat" w:hAnsi="GHEA Grapalat"/>
                <w:noProof/>
                <w:webHidden/>
              </w:rPr>
              <w:tab/>
            </w:r>
            <w:r w:rsidR="004A311E" w:rsidRPr="00EB3B8A">
              <w:rPr>
                <w:rFonts w:ascii="GHEA Grapalat" w:hAnsi="GHEA Grapalat"/>
                <w:noProof/>
                <w:webHidden/>
              </w:rPr>
              <w:fldChar w:fldCharType="begin"/>
            </w:r>
            <w:r w:rsidR="004A311E" w:rsidRPr="00EB3B8A">
              <w:rPr>
                <w:rFonts w:ascii="GHEA Grapalat" w:hAnsi="GHEA Grapalat"/>
                <w:noProof/>
                <w:webHidden/>
              </w:rPr>
              <w:instrText xml:space="preserve"> PAGEREF _Toc215422107 \h </w:instrText>
            </w:r>
            <w:r w:rsidR="004A311E" w:rsidRPr="00EB3B8A">
              <w:rPr>
                <w:rFonts w:ascii="GHEA Grapalat" w:hAnsi="GHEA Grapalat"/>
                <w:noProof/>
                <w:webHidden/>
              </w:rPr>
            </w:r>
            <w:r w:rsidR="004A311E" w:rsidRPr="00EB3B8A">
              <w:rPr>
                <w:rFonts w:ascii="GHEA Grapalat" w:hAnsi="GHEA Grapalat"/>
                <w:noProof/>
                <w:webHidden/>
              </w:rPr>
              <w:fldChar w:fldCharType="separate"/>
            </w:r>
            <w:r w:rsidR="001E369F">
              <w:rPr>
                <w:rFonts w:ascii="GHEA Grapalat" w:hAnsi="GHEA Grapalat"/>
                <w:noProof/>
                <w:webHidden/>
              </w:rPr>
              <w:t>68</w:t>
            </w:r>
            <w:r w:rsidR="004A311E" w:rsidRPr="00EB3B8A">
              <w:rPr>
                <w:rFonts w:ascii="GHEA Grapalat" w:hAnsi="GHEA Grapalat"/>
                <w:noProof/>
                <w:webHidden/>
              </w:rPr>
              <w:fldChar w:fldCharType="end"/>
            </w:r>
          </w:hyperlink>
        </w:p>
        <w:p w14:paraId="70FDF775" w14:textId="037D4E89" w:rsidR="00673A33" w:rsidRPr="00C72AB5" w:rsidRDefault="00673A33">
          <w:r w:rsidRPr="00C72AB5">
            <w:rPr>
              <w:b/>
              <w:bCs/>
            </w:rPr>
            <w:fldChar w:fldCharType="end"/>
          </w:r>
        </w:p>
      </w:sdtContent>
    </w:sdt>
    <w:p w14:paraId="6E346B25" w14:textId="77777777" w:rsidR="00581F5D" w:rsidRPr="00C72AB5" w:rsidRDefault="00581F5D">
      <w:pPr>
        <w:rPr>
          <w:rFonts w:ascii="GHEA Grapalat" w:hAnsi="GHEA Grapalat" w:cs="Sylfaen"/>
          <w:sz w:val="24"/>
          <w:szCs w:val="24"/>
        </w:rPr>
      </w:pPr>
      <w:r w:rsidRPr="00C72AB5">
        <w:rPr>
          <w:rFonts w:ascii="GHEA Grapalat" w:hAnsi="GHEA Grapalat" w:cs="Sylfaen"/>
          <w:sz w:val="24"/>
          <w:szCs w:val="24"/>
        </w:rPr>
        <w:br w:type="page"/>
      </w:r>
    </w:p>
    <w:p w14:paraId="24698605" w14:textId="77777777" w:rsidR="00A160A0" w:rsidRPr="0041728B" w:rsidRDefault="00A160A0" w:rsidP="00A160A0">
      <w:pPr>
        <w:tabs>
          <w:tab w:val="left" w:pos="9356"/>
        </w:tabs>
        <w:autoSpaceDE w:val="0"/>
        <w:autoSpaceDN w:val="0"/>
        <w:adjustRightInd w:val="0"/>
        <w:ind w:firstLine="426"/>
        <w:jc w:val="right"/>
        <w:rPr>
          <w:rFonts w:ascii="GHEA Grapalat" w:hAnsi="GHEA Grapalat" w:cs="DejaVuSans-Bold"/>
        </w:rPr>
      </w:pPr>
      <w:r>
        <w:rPr>
          <w:rFonts w:ascii="GHEA Grapalat" w:hAnsi="GHEA Grapalat" w:cs="DejaVuSans-Bold"/>
        </w:rPr>
        <w:lastRenderedPageBreak/>
        <w:t>Հավելված N 2</w:t>
      </w:r>
    </w:p>
    <w:p w14:paraId="7F472569" w14:textId="019175F4" w:rsidR="00A160A0" w:rsidRPr="0041728B" w:rsidRDefault="00A160A0" w:rsidP="00A160A0">
      <w:pPr>
        <w:tabs>
          <w:tab w:val="left" w:pos="9356"/>
        </w:tabs>
        <w:autoSpaceDE w:val="0"/>
        <w:autoSpaceDN w:val="0"/>
        <w:adjustRightInd w:val="0"/>
        <w:ind w:firstLine="426"/>
        <w:jc w:val="right"/>
        <w:rPr>
          <w:rFonts w:ascii="GHEA Grapalat" w:hAnsi="GHEA Grapalat" w:cs="DejaVuSans-Bold"/>
        </w:rPr>
      </w:pPr>
      <w:r w:rsidRPr="0041728B">
        <w:rPr>
          <w:rFonts w:ascii="GHEA Grapalat" w:hAnsi="GHEA Grapalat" w:cs="DejaVuSans-Bold"/>
        </w:rPr>
        <w:t>ՀՀ կառավարության 202</w:t>
      </w:r>
      <w:r w:rsidR="00357150">
        <w:rPr>
          <w:rFonts w:ascii="GHEA Grapalat" w:hAnsi="GHEA Grapalat" w:cs="DejaVuSans-Bold"/>
        </w:rPr>
        <w:t>6</w:t>
      </w:r>
      <w:r w:rsidRPr="0041728B">
        <w:rPr>
          <w:rFonts w:ascii="GHEA Grapalat" w:hAnsi="GHEA Grapalat" w:cs="DejaVuSans-Bold"/>
        </w:rPr>
        <w:t xml:space="preserve"> թվականի</w:t>
      </w:r>
    </w:p>
    <w:p w14:paraId="677324CE" w14:textId="5B6733C4" w:rsidR="00A160A0" w:rsidRPr="0041728B" w:rsidRDefault="00731EC4" w:rsidP="00A160A0">
      <w:pPr>
        <w:tabs>
          <w:tab w:val="left" w:pos="9356"/>
        </w:tabs>
        <w:autoSpaceDE w:val="0"/>
        <w:autoSpaceDN w:val="0"/>
        <w:adjustRightInd w:val="0"/>
        <w:ind w:firstLine="426"/>
        <w:jc w:val="right"/>
        <w:rPr>
          <w:rFonts w:ascii="GHEA Grapalat" w:hAnsi="GHEA Grapalat" w:cs="DejaVuSans-Bold"/>
        </w:rPr>
      </w:pPr>
      <w:r>
        <w:rPr>
          <w:rFonts w:ascii="GHEA Grapalat" w:hAnsi="GHEA Grapalat" w:cs="DejaVuSans-Bold"/>
        </w:rPr>
        <w:t>---------------- -ի N ………-</w:t>
      </w:r>
      <w:r w:rsidRPr="000570F2">
        <w:rPr>
          <w:rFonts w:ascii="GHEA Grapalat" w:hAnsi="GHEA Grapalat" w:cs="DejaVuSans-Bold"/>
        </w:rPr>
        <w:t>Լ</w:t>
      </w:r>
      <w:r w:rsidR="00A160A0" w:rsidRPr="0041728B">
        <w:rPr>
          <w:rFonts w:ascii="GHEA Grapalat" w:hAnsi="GHEA Grapalat" w:cs="DejaVuSans-Bold"/>
        </w:rPr>
        <w:t xml:space="preserve"> որոշման</w:t>
      </w:r>
    </w:p>
    <w:p w14:paraId="202D8701" w14:textId="77777777" w:rsidR="00FC4265" w:rsidRDefault="00FC4265" w:rsidP="0049437D">
      <w:pPr>
        <w:tabs>
          <w:tab w:val="left" w:pos="851"/>
        </w:tabs>
        <w:spacing w:line="276" w:lineRule="auto"/>
        <w:ind w:firstLine="567"/>
        <w:jc w:val="center"/>
        <w:rPr>
          <w:rFonts w:ascii="GHEA Grapalat" w:hAnsi="GHEA Grapalat" w:cs="Sylfaen"/>
          <w:b/>
          <w:sz w:val="24"/>
          <w:szCs w:val="24"/>
        </w:rPr>
      </w:pPr>
    </w:p>
    <w:p w14:paraId="51202E71" w14:textId="421AFB75" w:rsidR="00556B07" w:rsidRPr="00C72AB5" w:rsidRDefault="00556B07" w:rsidP="0049437D">
      <w:pPr>
        <w:tabs>
          <w:tab w:val="left" w:pos="851"/>
        </w:tabs>
        <w:spacing w:line="276" w:lineRule="auto"/>
        <w:ind w:firstLine="567"/>
        <w:jc w:val="center"/>
        <w:rPr>
          <w:rFonts w:ascii="GHEA Grapalat" w:hAnsi="GHEA Grapalat" w:cs="Sylfaen"/>
          <w:b/>
          <w:sz w:val="24"/>
          <w:szCs w:val="24"/>
        </w:rPr>
      </w:pPr>
      <w:r w:rsidRPr="00C72AB5">
        <w:rPr>
          <w:rFonts w:ascii="GHEA Grapalat" w:hAnsi="GHEA Grapalat" w:cs="Sylfaen"/>
          <w:b/>
          <w:sz w:val="24"/>
          <w:szCs w:val="24"/>
        </w:rPr>
        <w:t xml:space="preserve">ՀԱՅԱՍՏԱՆԻ ՀԱՆՐԱՊԵՏՈՒԹՅԱՆ ԳԻՏՈՒԹՅԱՆ ՈԼՈՐՏԻ ԶԱՐԳԱՑՄԱՆ </w:t>
      </w:r>
    </w:p>
    <w:p w14:paraId="5AA285EF" w14:textId="1ABCDE81" w:rsidR="00556B07" w:rsidRPr="00C72AB5" w:rsidRDefault="00E73DD0" w:rsidP="0049437D">
      <w:pPr>
        <w:tabs>
          <w:tab w:val="left" w:pos="851"/>
        </w:tabs>
        <w:spacing w:line="276" w:lineRule="auto"/>
        <w:ind w:left="567"/>
        <w:jc w:val="center"/>
        <w:rPr>
          <w:rFonts w:ascii="GHEA Grapalat" w:hAnsi="GHEA Grapalat" w:cs="Sylfaen"/>
          <w:b/>
          <w:sz w:val="24"/>
          <w:szCs w:val="24"/>
        </w:rPr>
      </w:pPr>
      <w:r w:rsidRPr="00C72AB5">
        <w:rPr>
          <w:rFonts w:ascii="GHEA Grapalat" w:hAnsi="GHEA Grapalat" w:cs="Sylfaen"/>
          <w:b/>
          <w:sz w:val="24"/>
          <w:szCs w:val="24"/>
        </w:rPr>
        <w:t xml:space="preserve">2026-2030 </w:t>
      </w:r>
      <w:r w:rsidR="00556B07" w:rsidRPr="00C72AB5">
        <w:rPr>
          <w:rFonts w:ascii="GHEA Grapalat" w:hAnsi="GHEA Grapalat" w:cs="Sylfaen"/>
          <w:b/>
          <w:sz w:val="24"/>
          <w:szCs w:val="24"/>
        </w:rPr>
        <w:t>ԹՎԱԿԱՆՆԵՐԻ</w:t>
      </w:r>
    </w:p>
    <w:p w14:paraId="0ACD757B" w14:textId="77777777" w:rsidR="001F355D" w:rsidRPr="00C72AB5" w:rsidRDefault="001F355D" w:rsidP="001F355D">
      <w:pPr>
        <w:tabs>
          <w:tab w:val="left" w:pos="851"/>
        </w:tabs>
        <w:spacing w:line="276" w:lineRule="auto"/>
        <w:ind w:firstLine="567"/>
        <w:jc w:val="center"/>
        <w:rPr>
          <w:rFonts w:ascii="GHEA Grapalat" w:hAnsi="GHEA Grapalat" w:cs="Sylfaen"/>
          <w:b/>
          <w:sz w:val="24"/>
          <w:szCs w:val="24"/>
        </w:rPr>
      </w:pPr>
      <w:r w:rsidRPr="00C72AB5">
        <w:rPr>
          <w:rFonts w:ascii="GHEA Grapalat" w:hAnsi="GHEA Grapalat" w:cs="Sylfaen"/>
          <w:b/>
          <w:sz w:val="24"/>
          <w:szCs w:val="24"/>
        </w:rPr>
        <w:t xml:space="preserve">ՌԱԶՄԱՎԱՐԱԿԱՆ ԾՐԱԳԻՐ </w:t>
      </w:r>
    </w:p>
    <w:p w14:paraId="7F708575" w14:textId="77777777" w:rsidR="00E73DD0" w:rsidRPr="00C72AB5" w:rsidRDefault="00E73DD0" w:rsidP="0049437D">
      <w:pPr>
        <w:tabs>
          <w:tab w:val="left" w:pos="851"/>
        </w:tabs>
        <w:spacing w:line="276" w:lineRule="auto"/>
        <w:ind w:left="567"/>
        <w:jc w:val="center"/>
        <w:rPr>
          <w:rFonts w:ascii="GHEA Grapalat" w:hAnsi="GHEA Grapalat" w:cs="Sylfaen"/>
          <w:b/>
          <w:sz w:val="24"/>
          <w:szCs w:val="24"/>
        </w:rPr>
      </w:pPr>
    </w:p>
    <w:p w14:paraId="27F8F658" w14:textId="07D829E1" w:rsidR="00556B07" w:rsidRPr="00C72AB5" w:rsidRDefault="004956AA" w:rsidP="00581F5D">
      <w:pPr>
        <w:pStyle w:val="Heading1"/>
      </w:pPr>
      <w:bookmarkStart w:id="1" w:name="_Toc215422082"/>
      <w:r w:rsidRPr="00C72AB5">
        <w:t xml:space="preserve">1. </w:t>
      </w:r>
      <w:r w:rsidR="00556B07" w:rsidRPr="00C72AB5">
        <w:t>ՆԵՐԱԾՈՒԹՅՈՒՆ</w:t>
      </w:r>
      <w:bookmarkEnd w:id="1"/>
    </w:p>
    <w:p w14:paraId="51EEE7D9" w14:textId="77777777" w:rsidR="00840859" w:rsidRPr="00C72AB5" w:rsidRDefault="00840859" w:rsidP="0049437D">
      <w:pPr>
        <w:tabs>
          <w:tab w:val="left" w:pos="851"/>
        </w:tabs>
        <w:spacing w:line="276" w:lineRule="auto"/>
        <w:ind w:left="4253"/>
        <w:jc w:val="center"/>
        <w:rPr>
          <w:rFonts w:ascii="GHEA Grapalat" w:hAnsi="GHEA Grapalat" w:cs="Sylfaen"/>
          <w:b/>
          <w:sz w:val="24"/>
          <w:szCs w:val="24"/>
        </w:rPr>
      </w:pPr>
    </w:p>
    <w:p w14:paraId="150F639D" w14:textId="4CA52425" w:rsidR="00556B07" w:rsidRPr="00C72AB5" w:rsidRDefault="00EA2E84" w:rsidP="0049437D">
      <w:pPr>
        <w:tabs>
          <w:tab w:val="left" w:pos="851"/>
          <w:tab w:val="left" w:pos="993"/>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t xml:space="preserve">1. </w:t>
      </w:r>
      <w:r w:rsidR="00556B07" w:rsidRPr="00C72AB5">
        <w:rPr>
          <w:rFonts w:ascii="GHEA Grapalat" w:hAnsi="GHEA Grapalat" w:cs="Sylfaen"/>
          <w:sz w:val="24"/>
          <w:szCs w:val="24"/>
        </w:rPr>
        <w:t xml:space="preserve">Հայաստանի Հանրապետության գիտության ոլորտի զարգացման </w:t>
      </w:r>
      <w:r w:rsidR="00DF6F18" w:rsidRPr="00C72AB5">
        <w:rPr>
          <w:rFonts w:ascii="GHEA Grapalat" w:hAnsi="GHEA Grapalat" w:cs="Sylfaen"/>
          <w:sz w:val="24"/>
          <w:szCs w:val="24"/>
        </w:rPr>
        <w:t>202</w:t>
      </w:r>
      <w:r w:rsidR="00E73DD0" w:rsidRPr="00C72AB5">
        <w:rPr>
          <w:rFonts w:ascii="GHEA Grapalat" w:hAnsi="GHEA Grapalat" w:cs="Sylfaen"/>
          <w:sz w:val="24"/>
          <w:szCs w:val="24"/>
        </w:rPr>
        <w:t>6</w:t>
      </w:r>
      <w:r w:rsidR="00556B07" w:rsidRPr="00C72AB5">
        <w:rPr>
          <w:rFonts w:ascii="GHEA Grapalat" w:hAnsi="GHEA Grapalat" w:cs="Sylfaen"/>
          <w:sz w:val="24"/>
          <w:szCs w:val="24"/>
        </w:rPr>
        <w:t>-</w:t>
      </w:r>
      <w:r w:rsidR="00DF6F18" w:rsidRPr="00C72AB5">
        <w:rPr>
          <w:rFonts w:ascii="GHEA Grapalat" w:hAnsi="GHEA Grapalat" w:cs="Sylfaen"/>
          <w:sz w:val="24"/>
          <w:szCs w:val="24"/>
        </w:rPr>
        <w:t>20</w:t>
      </w:r>
      <w:r w:rsidR="005839E0" w:rsidRPr="00C72AB5">
        <w:rPr>
          <w:rFonts w:ascii="GHEA Grapalat" w:hAnsi="GHEA Grapalat" w:cs="Sylfaen"/>
          <w:sz w:val="24"/>
          <w:szCs w:val="24"/>
        </w:rPr>
        <w:t>30</w:t>
      </w:r>
      <w:r w:rsidR="00556B07" w:rsidRPr="00C72AB5">
        <w:rPr>
          <w:rFonts w:ascii="Calibri" w:hAnsi="Calibri" w:cs="Calibri"/>
          <w:sz w:val="24"/>
          <w:szCs w:val="24"/>
        </w:rPr>
        <w:t> </w:t>
      </w:r>
      <w:r w:rsidR="00556B07" w:rsidRPr="00C72AB5">
        <w:rPr>
          <w:rFonts w:ascii="GHEA Grapalat" w:hAnsi="GHEA Grapalat" w:cs="GHEA Grapalat"/>
          <w:sz w:val="24"/>
          <w:szCs w:val="24"/>
        </w:rPr>
        <w:t>թվականների</w:t>
      </w:r>
      <w:r w:rsidR="00556B07" w:rsidRPr="00C72AB5">
        <w:rPr>
          <w:rFonts w:ascii="GHEA Grapalat" w:hAnsi="GHEA Grapalat" w:cs="Sylfaen"/>
          <w:sz w:val="24"/>
          <w:szCs w:val="24"/>
        </w:rPr>
        <w:t xml:space="preserve"> </w:t>
      </w:r>
      <w:r w:rsidR="00556B07" w:rsidRPr="00C72AB5">
        <w:rPr>
          <w:rFonts w:ascii="GHEA Grapalat" w:hAnsi="GHEA Grapalat" w:cs="GHEA Grapalat"/>
          <w:sz w:val="24"/>
          <w:szCs w:val="24"/>
        </w:rPr>
        <w:t>ռազմավարական</w:t>
      </w:r>
      <w:r w:rsidR="00556B07" w:rsidRPr="00C72AB5">
        <w:rPr>
          <w:rFonts w:ascii="GHEA Grapalat" w:hAnsi="GHEA Grapalat" w:cs="Sylfaen"/>
          <w:sz w:val="24"/>
          <w:szCs w:val="24"/>
        </w:rPr>
        <w:t xml:space="preserve"> </w:t>
      </w:r>
      <w:r w:rsidR="00556B07" w:rsidRPr="00C72AB5">
        <w:rPr>
          <w:rFonts w:ascii="GHEA Grapalat" w:hAnsi="GHEA Grapalat" w:cs="GHEA Grapalat"/>
          <w:sz w:val="24"/>
          <w:szCs w:val="24"/>
        </w:rPr>
        <w:t>ծրագիրը</w:t>
      </w:r>
      <w:r w:rsidR="00556B07" w:rsidRPr="00C72AB5">
        <w:rPr>
          <w:rFonts w:ascii="GHEA Grapalat" w:hAnsi="GHEA Grapalat" w:cs="Sylfaen"/>
          <w:sz w:val="24"/>
          <w:szCs w:val="24"/>
        </w:rPr>
        <w:t xml:space="preserve"> (</w:t>
      </w:r>
      <w:r w:rsidR="00556B07" w:rsidRPr="00C72AB5">
        <w:rPr>
          <w:rFonts w:ascii="GHEA Grapalat" w:hAnsi="GHEA Grapalat" w:cs="GHEA Grapalat"/>
          <w:sz w:val="24"/>
          <w:szCs w:val="24"/>
        </w:rPr>
        <w:t>այսուհետ՝</w:t>
      </w:r>
      <w:r w:rsidR="00556B07" w:rsidRPr="00C72AB5">
        <w:rPr>
          <w:rFonts w:ascii="GHEA Grapalat" w:hAnsi="GHEA Grapalat" w:cs="Sylfaen"/>
          <w:sz w:val="24"/>
          <w:szCs w:val="24"/>
        </w:rPr>
        <w:t xml:space="preserve"> </w:t>
      </w:r>
      <w:r w:rsidR="00F3363C" w:rsidRPr="00C72AB5">
        <w:rPr>
          <w:rFonts w:ascii="GHEA Grapalat" w:hAnsi="GHEA Grapalat" w:cs="Sylfaen"/>
          <w:sz w:val="24"/>
          <w:szCs w:val="24"/>
        </w:rPr>
        <w:t>Ծրագիր</w:t>
      </w:r>
      <w:r w:rsidR="00556B07" w:rsidRPr="00C72AB5">
        <w:rPr>
          <w:rFonts w:ascii="GHEA Grapalat" w:hAnsi="GHEA Grapalat" w:cs="Sylfaen"/>
          <w:sz w:val="24"/>
          <w:szCs w:val="24"/>
        </w:rPr>
        <w:t xml:space="preserve">) </w:t>
      </w:r>
      <w:r w:rsidR="00223C8D">
        <w:rPr>
          <w:rFonts w:ascii="GHEA Grapalat" w:hAnsi="GHEA Grapalat" w:cs="Sylfaen"/>
          <w:sz w:val="24"/>
          <w:szCs w:val="24"/>
        </w:rPr>
        <w:t>գիտատեխնոլոգիական</w:t>
      </w:r>
      <w:r w:rsidR="00556B07" w:rsidRPr="00C72AB5">
        <w:rPr>
          <w:rFonts w:ascii="GHEA Grapalat" w:hAnsi="GHEA Grapalat" w:cs="Sylfaen"/>
          <w:sz w:val="24"/>
          <w:szCs w:val="24"/>
        </w:rPr>
        <w:t xml:space="preserve"> գործունեության բնագավառում գերազանցության խթանման</w:t>
      </w:r>
      <w:r w:rsidR="00F3363C" w:rsidRPr="00C72AB5">
        <w:rPr>
          <w:rFonts w:ascii="GHEA Grapalat" w:hAnsi="GHEA Grapalat" w:cs="Sylfaen"/>
          <w:sz w:val="24"/>
          <w:szCs w:val="24"/>
        </w:rPr>
        <w:t>,</w:t>
      </w:r>
      <w:r w:rsidR="00556B07" w:rsidRPr="00C72AB5">
        <w:rPr>
          <w:rFonts w:ascii="GHEA Grapalat" w:hAnsi="GHEA Grapalat" w:cs="Sylfaen"/>
          <w:sz w:val="24"/>
          <w:szCs w:val="24"/>
        </w:rPr>
        <w:t xml:space="preserve"> միջազգային </w:t>
      </w:r>
      <w:r w:rsidR="00CC01C7" w:rsidRPr="00C72AB5">
        <w:rPr>
          <w:rFonts w:ascii="GHEA Grapalat" w:hAnsi="GHEA Grapalat" w:cs="Sylfaen"/>
          <w:sz w:val="24"/>
          <w:szCs w:val="24"/>
        </w:rPr>
        <w:t xml:space="preserve">հետազոտական </w:t>
      </w:r>
      <w:r w:rsidR="006B251D" w:rsidRPr="00C72AB5">
        <w:rPr>
          <w:rFonts w:ascii="GHEA Grapalat" w:hAnsi="GHEA Grapalat" w:cs="Sylfaen"/>
          <w:sz w:val="24"/>
          <w:szCs w:val="24"/>
        </w:rPr>
        <w:t>տարածքում</w:t>
      </w:r>
      <w:r w:rsidR="00556B07" w:rsidRPr="00C72AB5">
        <w:rPr>
          <w:rFonts w:ascii="GHEA Grapalat" w:hAnsi="GHEA Grapalat" w:cs="Sylfaen"/>
          <w:sz w:val="24"/>
          <w:szCs w:val="24"/>
        </w:rPr>
        <w:t xml:space="preserve">, </w:t>
      </w:r>
      <w:r w:rsidR="00F3363C" w:rsidRPr="00C72AB5">
        <w:rPr>
          <w:rFonts w:ascii="GHEA Grapalat" w:hAnsi="GHEA Grapalat" w:cs="Sylfaen"/>
          <w:sz w:val="24"/>
          <w:szCs w:val="24"/>
        </w:rPr>
        <w:t>մասնավորապես</w:t>
      </w:r>
      <w:r w:rsidR="00223C8D">
        <w:rPr>
          <w:rFonts w:ascii="GHEA Grapalat" w:hAnsi="GHEA Grapalat" w:cs="Sylfaen"/>
          <w:sz w:val="24"/>
          <w:szCs w:val="24"/>
        </w:rPr>
        <w:t>,</w:t>
      </w:r>
      <w:r w:rsidR="00556B07" w:rsidRPr="00C72AB5">
        <w:rPr>
          <w:rFonts w:ascii="GHEA Grapalat" w:hAnsi="GHEA Grapalat" w:cs="Sylfaen"/>
          <w:sz w:val="24"/>
          <w:szCs w:val="24"/>
        </w:rPr>
        <w:t xml:space="preserve"> Եվրոպական հետազոտական տարածքում (այսուհետ՝ ԵՀՏ) մրցունակ</w:t>
      </w:r>
      <w:r w:rsidR="00001257" w:rsidRPr="00C72AB5">
        <w:rPr>
          <w:rFonts w:ascii="GHEA Grapalat" w:hAnsi="GHEA Grapalat" w:cs="Sylfaen"/>
          <w:sz w:val="24"/>
          <w:szCs w:val="24"/>
        </w:rPr>
        <w:t xml:space="preserve">, օպտիմալ կառավարվող և արդյունավետ </w:t>
      </w:r>
      <w:r w:rsidR="00556B07" w:rsidRPr="00C72AB5">
        <w:rPr>
          <w:rFonts w:ascii="GHEA Grapalat" w:hAnsi="GHEA Grapalat" w:cs="Sylfaen"/>
          <w:sz w:val="24"/>
          <w:szCs w:val="24"/>
        </w:rPr>
        <w:t>գիտահետազոտական համակարգ ստեղծելուն ուղղված միջոցառումների ու դրանց արդյունավետության գնահատման առանցքային ցուցանիշների ամբողջություն է:</w:t>
      </w:r>
    </w:p>
    <w:p w14:paraId="0A6D491E" w14:textId="51338742" w:rsidR="00556B07" w:rsidRPr="00C72AB5" w:rsidRDefault="00EA2E84" w:rsidP="0049437D">
      <w:pPr>
        <w:tabs>
          <w:tab w:val="left" w:pos="851"/>
          <w:tab w:val="left" w:pos="993"/>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t xml:space="preserve">2. </w:t>
      </w:r>
      <w:r w:rsidR="00556B07" w:rsidRPr="00C72AB5">
        <w:rPr>
          <w:rFonts w:ascii="GHEA Grapalat" w:hAnsi="GHEA Grapalat" w:cs="Sylfaen"/>
          <w:sz w:val="24"/>
          <w:szCs w:val="24"/>
        </w:rPr>
        <w:t xml:space="preserve">Ծրագրի </w:t>
      </w:r>
      <w:r w:rsidR="00A14F93" w:rsidRPr="00C72AB5">
        <w:rPr>
          <w:rFonts w:ascii="GHEA Grapalat" w:hAnsi="GHEA Grapalat" w:cs="Sylfaen"/>
          <w:sz w:val="24"/>
          <w:szCs w:val="24"/>
        </w:rPr>
        <w:t xml:space="preserve">մշակման </w:t>
      </w:r>
      <w:r w:rsidR="00556B07" w:rsidRPr="00C72AB5">
        <w:rPr>
          <w:rFonts w:ascii="GHEA Grapalat" w:hAnsi="GHEA Grapalat" w:cs="Sylfaen"/>
          <w:sz w:val="24"/>
          <w:szCs w:val="24"/>
        </w:rPr>
        <w:t>համար հիմք են հանդիսացել</w:t>
      </w:r>
      <w:r w:rsidR="00DF6F18" w:rsidRPr="00C72AB5">
        <w:rPr>
          <w:rFonts w:ascii="GHEA Grapalat" w:hAnsi="GHEA Grapalat" w:cs="Sylfaen"/>
          <w:sz w:val="24"/>
          <w:szCs w:val="24"/>
        </w:rPr>
        <w:t xml:space="preserve"> </w:t>
      </w:r>
      <w:r w:rsidR="00DC0E06" w:rsidRPr="00C72AB5">
        <w:rPr>
          <w:rFonts w:ascii="GHEA Grapalat" w:hAnsi="GHEA Grapalat" w:cs="Sylfaen"/>
          <w:sz w:val="24"/>
          <w:szCs w:val="24"/>
        </w:rPr>
        <w:t>Հայաստանի Հանրապետության Ազգային ժողովի 20</w:t>
      </w:r>
      <w:r w:rsidR="00725669" w:rsidRPr="00C72AB5">
        <w:rPr>
          <w:rFonts w:ascii="GHEA Grapalat" w:hAnsi="GHEA Grapalat" w:cs="Sylfaen"/>
          <w:sz w:val="24"/>
          <w:szCs w:val="24"/>
        </w:rPr>
        <w:t>2</w:t>
      </w:r>
      <w:r w:rsidR="00DC0E06" w:rsidRPr="00C72AB5">
        <w:rPr>
          <w:rFonts w:ascii="GHEA Grapalat" w:hAnsi="GHEA Grapalat" w:cs="Sylfaen"/>
          <w:sz w:val="24"/>
          <w:szCs w:val="24"/>
        </w:rPr>
        <w:t xml:space="preserve">1 թվականի </w:t>
      </w:r>
      <w:r w:rsidR="00725669" w:rsidRPr="00C72AB5">
        <w:rPr>
          <w:rFonts w:ascii="GHEA Grapalat" w:hAnsi="GHEA Grapalat" w:cs="Sylfaen"/>
          <w:sz w:val="24"/>
          <w:szCs w:val="24"/>
        </w:rPr>
        <w:t>օգոստոս</w:t>
      </w:r>
      <w:r w:rsidR="00DC0E06" w:rsidRPr="00C72AB5">
        <w:rPr>
          <w:rFonts w:ascii="GHEA Grapalat" w:hAnsi="GHEA Grapalat" w:cs="Sylfaen"/>
          <w:sz w:val="24"/>
          <w:szCs w:val="24"/>
        </w:rPr>
        <w:t xml:space="preserve">ի </w:t>
      </w:r>
      <w:r w:rsidR="000A6B74" w:rsidRPr="00C72AB5">
        <w:rPr>
          <w:rFonts w:ascii="GHEA Grapalat" w:hAnsi="GHEA Grapalat" w:cs="Sylfaen"/>
          <w:sz w:val="24"/>
          <w:szCs w:val="24"/>
        </w:rPr>
        <w:t>26</w:t>
      </w:r>
      <w:r w:rsidR="00DC0E06" w:rsidRPr="00C72AB5">
        <w:rPr>
          <w:rFonts w:ascii="GHEA Grapalat" w:hAnsi="GHEA Grapalat" w:cs="Sylfaen"/>
          <w:sz w:val="24"/>
          <w:szCs w:val="24"/>
        </w:rPr>
        <w:t xml:space="preserve">-ի ԱԺՈ-002-Ն որոշմամբ հավանության արժանացած Հայաստանի Հանրապետության կառավարության </w:t>
      </w:r>
      <w:r w:rsidR="000A6B74" w:rsidRPr="00C72AB5">
        <w:rPr>
          <w:rFonts w:ascii="GHEA Grapalat" w:hAnsi="GHEA Grapalat" w:cs="Sylfaen"/>
          <w:sz w:val="24"/>
          <w:szCs w:val="24"/>
        </w:rPr>
        <w:t xml:space="preserve">2021-2026 </w:t>
      </w:r>
      <w:r w:rsidR="00DC0E06" w:rsidRPr="00C72AB5">
        <w:rPr>
          <w:rFonts w:ascii="GHEA Grapalat" w:hAnsi="GHEA Grapalat" w:cs="Sylfaen"/>
          <w:sz w:val="24"/>
          <w:szCs w:val="24"/>
        </w:rPr>
        <w:t xml:space="preserve">ծրագրի հիմնադրույթները, </w:t>
      </w:r>
      <w:r w:rsidR="00223C8D" w:rsidRPr="00C72AB5">
        <w:rPr>
          <w:rFonts w:ascii="GHEA Grapalat" w:hAnsi="GHEA Grapalat" w:cs="Sylfaen"/>
          <w:sz w:val="24"/>
          <w:szCs w:val="24"/>
        </w:rPr>
        <w:t>Հայաստանի Հանրապետության</w:t>
      </w:r>
      <w:r w:rsidR="00B80AAC" w:rsidRPr="00E604E4">
        <w:rPr>
          <w:rFonts w:ascii="Calibri" w:hAnsi="Calibri" w:cs="Calibri"/>
          <w:sz w:val="24"/>
          <w:szCs w:val="24"/>
        </w:rPr>
        <w:t> </w:t>
      </w:r>
      <w:r w:rsidR="00B80AAC" w:rsidRPr="00E604E4">
        <w:rPr>
          <w:rFonts w:ascii="GHEA Grapalat" w:hAnsi="GHEA Grapalat" w:cs="Sylfaen"/>
          <w:sz w:val="24"/>
          <w:szCs w:val="24"/>
        </w:rPr>
        <w:t xml:space="preserve">կառավարության 2021 թվականի </w:t>
      </w:r>
      <w:r w:rsidR="00223C8D">
        <w:rPr>
          <w:rFonts w:ascii="GHEA Grapalat" w:hAnsi="GHEA Grapalat" w:cs="Sylfaen"/>
          <w:sz w:val="24"/>
          <w:szCs w:val="24"/>
        </w:rPr>
        <w:t>նոյեմբերի</w:t>
      </w:r>
      <w:r w:rsidR="00B80AAC" w:rsidRPr="00E604E4">
        <w:rPr>
          <w:rFonts w:ascii="GHEA Grapalat" w:hAnsi="GHEA Grapalat" w:cs="Sylfaen"/>
          <w:sz w:val="24"/>
          <w:szCs w:val="24"/>
        </w:rPr>
        <w:t xml:space="preserve"> </w:t>
      </w:r>
      <w:r w:rsidR="00223C8D">
        <w:rPr>
          <w:rFonts w:ascii="GHEA Grapalat" w:hAnsi="GHEA Grapalat" w:cs="Sylfaen"/>
          <w:sz w:val="24"/>
          <w:szCs w:val="24"/>
        </w:rPr>
        <w:t>18</w:t>
      </w:r>
      <w:r w:rsidR="00B80AAC" w:rsidRPr="00E604E4">
        <w:rPr>
          <w:rFonts w:ascii="GHEA Grapalat" w:hAnsi="GHEA Grapalat" w:cs="Sylfaen"/>
          <w:sz w:val="24"/>
          <w:szCs w:val="24"/>
        </w:rPr>
        <w:t xml:space="preserve">-ի N </w:t>
      </w:r>
      <w:r w:rsidR="00223C8D">
        <w:rPr>
          <w:rFonts w:ascii="GHEA Grapalat" w:hAnsi="GHEA Grapalat" w:cs="Sylfaen"/>
          <w:sz w:val="24"/>
          <w:szCs w:val="24"/>
        </w:rPr>
        <w:t>1902</w:t>
      </w:r>
      <w:r w:rsidR="00B80AAC" w:rsidRPr="00E604E4">
        <w:rPr>
          <w:rFonts w:ascii="GHEA Grapalat" w:hAnsi="GHEA Grapalat" w:cs="Sylfaen"/>
          <w:sz w:val="24"/>
          <w:szCs w:val="24"/>
        </w:rPr>
        <w:t xml:space="preserve">-Լ որոշմամբ հաստատված </w:t>
      </w:r>
      <w:r w:rsidR="00744E08" w:rsidRPr="00C72AB5">
        <w:rPr>
          <w:rFonts w:ascii="GHEA Grapalat" w:hAnsi="GHEA Grapalat" w:cs="Sylfaen"/>
          <w:sz w:val="24"/>
          <w:szCs w:val="24"/>
        </w:rPr>
        <w:t>Հայաստանի Հանրապետության</w:t>
      </w:r>
      <w:r w:rsidR="00B80AAC" w:rsidRPr="00E604E4">
        <w:rPr>
          <w:rFonts w:ascii="GHEA Grapalat" w:hAnsi="GHEA Grapalat" w:cs="Sylfaen"/>
          <w:sz w:val="24"/>
          <w:szCs w:val="24"/>
        </w:rPr>
        <w:t xml:space="preserve"> կառավարության 2021-2026 թվականների գործո</w:t>
      </w:r>
      <w:r w:rsidR="00B80AAC">
        <w:rPr>
          <w:rFonts w:ascii="GHEA Grapalat" w:hAnsi="GHEA Grapalat" w:cs="Sylfaen"/>
          <w:sz w:val="24"/>
          <w:szCs w:val="24"/>
        </w:rPr>
        <w:t>ւնեության միջոցառումների ծրագիրը</w:t>
      </w:r>
      <w:r w:rsidR="00074331" w:rsidRPr="00C72AB5">
        <w:rPr>
          <w:rFonts w:ascii="GHEA Grapalat" w:hAnsi="GHEA Grapalat" w:cs="Sylfaen"/>
          <w:sz w:val="24"/>
          <w:szCs w:val="24"/>
        </w:rPr>
        <w:t>,</w:t>
      </w:r>
      <w:r w:rsidR="00DC0E06" w:rsidRPr="00C72AB5">
        <w:rPr>
          <w:rFonts w:ascii="GHEA Grapalat" w:hAnsi="GHEA Grapalat" w:cs="Sylfaen"/>
          <w:sz w:val="24"/>
          <w:szCs w:val="24"/>
        </w:rPr>
        <w:t xml:space="preserve"> Հայաստանի Հանրապետության կառավարության 2017</w:t>
      </w:r>
      <w:r w:rsidR="00DC0E06" w:rsidRPr="00C72AB5">
        <w:rPr>
          <w:rFonts w:ascii="Calibri" w:hAnsi="Calibri" w:cs="Calibri"/>
          <w:sz w:val="24"/>
          <w:szCs w:val="24"/>
        </w:rPr>
        <w:t> </w:t>
      </w:r>
      <w:r w:rsidR="00DC0E06" w:rsidRPr="00C72AB5">
        <w:rPr>
          <w:rFonts w:ascii="GHEA Grapalat" w:hAnsi="GHEA Grapalat" w:cs="Sylfaen"/>
          <w:sz w:val="24"/>
          <w:szCs w:val="24"/>
        </w:rPr>
        <w:t>թվականի օգոստոսի 17-ի նիստի N</w:t>
      </w:r>
      <w:r w:rsidR="00DC0E06" w:rsidRPr="00C72AB5">
        <w:rPr>
          <w:rFonts w:ascii="Calibri" w:hAnsi="Calibri" w:cs="Calibri"/>
          <w:sz w:val="24"/>
          <w:szCs w:val="24"/>
        </w:rPr>
        <w:t> </w:t>
      </w:r>
      <w:r w:rsidR="00DC0E06" w:rsidRPr="00C72AB5">
        <w:rPr>
          <w:rFonts w:ascii="GHEA Grapalat" w:hAnsi="GHEA Grapalat" w:cs="Sylfaen"/>
          <w:sz w:val="24"/>
          <w:szCs w:val="24"/>
        </w:rPr>
        <w:t>35 արձանագրային որոշմամբ հավանության արժանացած Հայաստանի Հանրապետության գիտության ոլորտի զարգացման</w:t>
      </w:r>
      <w:r w:rsidR="006B251D" w:rsidRPr="00C72AB5">
        <w:rPr>
          <w:rFonts w:ascii="GHEA Grapalat" w:hAnsi="GHEA Grapalat" w:cs="Sylfaen"/>
          <w:sz w:val="24"/>
          <w:szCs w:val="24"/>
        </w:rPr>
        <w:t xml:space="preserve"> </w:t>
      </w:r>
      <w:r w:rsidR="00DC0E06" w:rsidRPr="00C72AB5">
        <w:rPr>
          <w:rFonts w:ascii="GHEA Grapalat" w:hAnsi="GHEA Grapalat" w:cs="Sylfaen"/>
          <w:sz w:val="24"/>
          <w:szCs w:val="24"/>
        </w:rPr>
        <w:t>2017-2020</w:t>
      </w:r>
      <w:r w:rsidR="006B251D" w:rsidRPr="00C72AB5">
        <w:rPr>
          <w:rFonts w:ascii="GHEA Grapalat" w:hAnsi="GHEA Grapalat" w:cs="Sylfaen"/>
          <w:sz w:val="24"/>
          <w:szCs w:val="24"/>
        </w:rPr>
        <w:t xml:space="preserve"> </w:t>
      </w:r>
      <w:r w:rsidR="00DC0E06" w:rsidRPr="00C72AB5">
        <w:rPr>
          <w:rFonts w:ascii="GHEA Grapalat" w:hAnsi="GHEA Grapalat" w:cs="Sylfaen"/>
          <w:sz w:val="24"/>
          <w:szCs w:val="24"/>
        </w:rPr>
        <w:t>թվականների ռազմավարական ծրագրի արդյունքները</w:t>
      </w:r>
      <w:r w:rsidR="006B251D" w:rsidRPr="00C72AB5">
        <w:rPr>
          <w:rFonts w:ascii="GHEA Grapalat" w:hAnsi="GHEA Grapalat" w:cs="Sylfaen"/>
          <w:sz w:val="24"/>
          <w:szCs w:val="24"/>
        </w:rPr>
        <w:t>, «Հայաստանի Հանրապետության կրթության մինչ</w:t>
      </w:r>
      <w:r w:rsidR="00585C6E" w:rsidRPr="00C72AB5">
        <w:rPr>
          <w:rFonts w:ascii="GHEA Grapalat" w:hAnsi="GHEA Grapalat" w:cs="Sylfaen"/>
          <w:sz w:val="24"/>
          <w:szCs w:val="24"/>
        </w:rPr>
        <w:t>և</w:t>
      </w:r>
      <w:r w:rsidR="006B251D" w:rsidRPr="00C72AB5">
        <w:rPr>
          <w:rFonts w:ascii="GHEA Grapalat" w:hAnsi="GHEA Grapalat" w:cs="Sylfaen"/>
          <w:sz w:val="24"/>
          <w:szCs w:val="24"/>
        </w:rPr>
        <w:t xml:space="preserve"> 2030 թվականի զարգացման պետական ծրագիրը հաստատելու մասին</w:t>
      </w:r>
      <w:r w:rsidR="00472707" w:rsidRPr="00C72AB5">
        <w:rPr>
          <w:rFonts w:ascii="GHEA Grapalat" w:hAnsi="GHEA Grapalat" w:cs="Sylfaen"/>
          <w:sz w:val="24"/>
          <w:szCs w:val="24"/>
        </w:rPr>
        <w:t>»</w:t>
      </w:r>
      <w:r w:rsidR="006B251D" w:rsidRPr="00C72AB5">
        <w:rPr>
          <w:rFonts w:ascii="GHEA Grapalat" w:hAnsi="GHEA Grapalat" w:cs="Sylfaen"/>
          <w:sz w:val="24"/>
          <w:szCs w:val="24"/>
        </w:rPr>
        <w:t xml:space="preserve">  Հայաստանի Հանրապետության օրենքը</w:t>
      </w:r>
      <w:r w:rsidR="00CC060C" w:rsidRPr="00C72AB5">
        <w:rPr>
          <w:rFonts w:ascii="GHEA Grapalat" w:hAnsi="GHEA Grapalat" w:cs="Sylfaen"/>
          <w:sz w:val="24"/>
          <w:szCs w:val="24"/>
        </w:rPr>
        <w:t xml:space="preserve">, </w:t>
      </w:r>
      <w:r w:rsidR="00093AC0" w:rsidRPr="00C72AB5">
        <w:rPr>
          <w:rFonts w:ascii="GHEA Grapalat" w:hAnsi="GHEA Grapalat" w:cs="Sylfaen"/>
          <w:sz w:val="24"/>
          <w:szCs w:val="24"/>
        </w:rPr>
        <w:t>Հայաստանի Հանրապետության կառավարության 2023 թվականի</w:t>
      </w:r>
      <w:r w:rsidR="00093AC0" w:rsidRPr="00093AC0">
        <w:rPr>
          <w:rFonts w:ascii="GHEA Grapalat" w:hAnsi="GHEA Grapalat" w:cs="Sylfaen"/>
          <w:sz w:val="24"/>
          <w:szCs w:val="24"/>
        </w:rPr>
        <w:t xml:space="preserve"> հոկտեմբերի 19-ի</w:t>
      </w:r>
      <w:r w:rsidR="00093AC0" w:rsidRPr="00C72AB5">
        <w:rPr>
          <w:rFonts w:ascii="GHEA Grapalat" w:hAnsi="GHEA Grapalat" w:cs="Sylfaen"/>
          <w:sz w:val="24"/>
          <w:szCs w:val="24"/>
        </w:rPr>
        <w:t xml:space="preserve"> «</w:t>
      </w:r>
      <w:r w:rsidR="00CC060C" w:rsidRPr="00C72AB5">
        <w:rPr>
          <w:rFonts w:ascii="GHEA Grapalat" w:hAnsi="GHEA Grapalat" w:cs="Sylfaen"/>
          <w:sz w:val="24"/>
          <w:szCs w:val="24"/>
        </w:rPr>
        <w:t>«Ակադեմիական քաղաք» ծրագրի հայեցակարգը հաստատելու մասին</w:t>
      </w:r>
      <w:r w:rsidR="00093AC0" w:rsidRPr="00C72AB5">
        <w:rPr>
          <w:rFonts w:ascii="GHEA Grapalat" w:hAnsi="GHEA Grapalat" w:cs="Sylfaen"/>
          <w:sz w:val="24"/>
          <w:szCs w:val="24"/>
        </w:rPr>
        <w:t>»</w:t>
      </w:r>
      <w:r w:rsidR="00CC060C" w:rsidRPr="00C72AB5">
        <w:rPr>
          <w:rFonts w:ascii="GHEA Grapalat" w:hAnsi="GHEA Grapalat" w:cs="Sylfaen"/>
          <w:sz w:val="24"/>
          <w:szCs w:val="24"/>
        </w:rPr>
        <w:t xml:space="preserve"> N 1802-Լ</w:t>
      </w:r>
      <w:r w:rsidR="006B251D" w:rsidRPr="00C72AB5">
        <w:rPr>
          <w:rFonts w:ascii="GHEA Grapalat" w:hAnsi="GHEA Grapalat" w:cs="Sylfaen"/>
          <w:sz w:val="24"/>
          <w:szCs w:val="24"/>
        </w:rPr>
        <w:t xml:space="preserve"> </w:t>
      </w:r>
      <w:r w:rsidR="00CC060C" w:rsidRPr="00C72AB5">
        <w:rPr>
          <w:rFonts w:ascii="GHEA Grapalat" w:hAnsi="GHEA Grapalat" w:cs="Sylfaen"/>
          <w:sz w:val="24"/>
          <w:szCs w:val="24"/>
        </w:rPr>
        <w:t xml:space="preserve">որոշումը </w:t>
      </w:r>
      <w:r w:rsidR="00074331" w:rsidRPr="00C72AB5">
        <w:rPr>
          <w:rFonts w:ascii="GHEA Grapalat" w:hAnsi="GHEA Grapalat" w:cs="Sylfaen"/>
          <w:sz w:val="24"/>
          <w:szCs w:val="24"/>
        </w:rPr>
        <w:t xml:space="preserve">և Հայաստանի վերափոխման </w:t>
      </w:r>
      <w:r w:rsidR="00223C8D">
        <w:rPr>
          <w:rFonts w:ascii="GHEA Grapalat" w:hAnsi="GHEA Grapalat" w:cs="Sylfaen"/>
          <w:sz w:val="24"/>
          <w:szCs w:val="24"/>
        </w:rPr>
        <w:t xml:space="preserve">մինչև 2050 թվականի </w:t>
      </w:r>
      <w:r w:rsidR="00074331" w:rsidRPr="0091137B">
        <w:rPr>
          <w:rFonts w:ascii="GHEA Grapalat" w:hAnsi="GHEA Grapalat" w:cs="Sylfaen"/>
          <w:sz w:val="24"/>
          <w:szCs w:val="24"/>
        </w:rPr>
        <w:t>ռազմավարությունը</w:t>
      </w:r>
      <w:r w:rsidR="003F34B8" w:rsidRPr="0091137B">
        <w:rPr>
          <w:rFonts w:ascii="GHEA Grapalat" w:hAnsi="GHEA Grapalat" w:cs="Sylfaen"/>
          <w:b/>
          <w:sz w:val="24"/>
          <w:szCs w:val="24"/>
        </w:rPr>
        <w:t>,</w:t>
      </w:r>
      <w:r w:rsidR="003D58E6" w:rsidRPr="00C72AB5">
        <w:rPr>
          <w:rFonts w:ascii="GHEA Grapalat" w:hAnsi="GHEA Grapalat" w:cs="Sylfaen"/>
          <w:sz w:val="24"/>
          <w:szCs w:val="24"/>
        </w:rPr>
        <w:t xml:space="preserve"> ինչպես նաև </w:t>
      </w:r>
      <w:r w:rsidR="008F4F0A" w:rsidRPr="00C72AB5">
        <w:rPr>
          <w:rFonts w:ascii="GHEA Grapalat" w:hAnsi="GHEA Grapalat" w:cs="Sylfaen"/>
          <w:sz w:val="24"/>
          <w:szCs w:val="24"/>
        </w:rPr>
        <w:t>Համաշխարհային բանկի 2019 թվականի «Հայաստանի տեխնոլոգիական ներուժի իրացում» զեկույցը</w:t>
      </w:r>
      <w:r w:rsidR="00C82B95" w:rsidRPr="00C72AB5">
        <w:rPr>
          <w:rFonts w:ascii="GHEA Grapalat" w:hAnsi="GHEA Grapalat" w:cs="Sylfaen"/>
          <w:sz w:val="24"/>
          <w:szCs w:val="24"/>
          <w:vertAlign w:val="superscript"/>
        </w:rPr>
        <w:footnoteReference w:id="1"/>
      </w:r>
      <w:r w:rsidR="00A14F93" w:rsidRPr="00C72AB5">
        <w:rPr>
          <w:rFonts w:ascii="GHEA Grapalat" w:hAnsi="GHEA Grapalat" w:cs="Sylfaen"/>
          <w:sz w:val="24"/>
          <w:szCs w:val="24"/>
        </w:rPr>
        <w:t>,</w:t>
      </w:r>
      <w:r w:rsidR="008F4F0A" w:rsidRPr="00C72AB5">
        <w:rPr>
          <w:rFonts w:ascii="GHEA Grapalat" w:hAnsi="GHEA Grapalat" w:cs="Sylfaen"/>
          <w:sz w:val="24"/>
          <w:szCs w:val="24"/>
        </w:rPr>
        <w:t xml:space="preserve"> Եվրոպական հանձնաժողովի Հետազոտությունների և մշակումների գլխավոր տնօր</w:t>
      </w:r>
      <w:r w:rsidR="003F34B8" w:rsidRPr="0091137B">
        <w:rPr>
          <w:rFonts w:ascii="GHEA Grapalat" w:hAnsi="GHEA Grapalat" w:cs="Sylfaen"/>
          <w:sz w:val="24"/>
          <w:szCs w:val="24"/>
        </w:rPr>
        <w:t>ի</w:t>
      </w:r>
      <w:r w:rsidR="008F4F0A" w:rsidRPr="00C72AB5">
        <w:rPr>
          <w:rFonts w:ascii="GHEA Grapalat" w:hAnsi="GHEA Grapalat" w:cs="Sylfaen"/>
          <w:sz w:val="24"/>
          <w:szCs w:val="24"/>
        </w:rPr>
        <w:t>նության 2020 թվականի Հատուկ օժանդակություն Հայաստանին. «Նշաձողի բարձրացում. գիտության նոր առաքելությունը Հայաստանի զարգացման մեջ» ուսումնասիրությունը</w:t>
      </w:r>
      <w:r w:rsidR="00173CF1" w:rsidRPr="00C72AB5">
        <w:rPr>
          <w:rFonts w:ascii="GHEA Grapalat" w:hAnsi="GHEA Grapalat" w:cs="Sylfaen"/>
          <w:sz w:val="24"/>
          <w:szCs w:val="24"/>
          <w:vertAlign w:val="superscript"/>
        </w:rPr>
        <w:footnoteReference w:id="2"/>
      </w:r>
      <w:r w:rsidR="00A14F93" w:rsidRPr="00C72AB5">
        <w:rPr>
          <w:rFonts w:ascii="GHEA Grapalat" w:hAnsi="GHEA Grapalat" w:cs="Sylfaen"/>
          <w:sz w:val="24"/>
          <w:szCs w:val="24"/>
        </w:rPr>
        <w:t xml:space="preserve">, </w:t>
      </w:r>
      <w:r w:rsidR="009A467D" w:rsidRPr="00C72AB5">
        <w:rPr>
          <w:rFonts w:ascii="GHEA Grapalat" w:hAnsi="GHEA Grapalat" w:cs="Sylfaen"/>
          <w:sz w:val="24"/>
          <w:szCs w:val="24"/>
        </w:rPr>
        <w:t xml:space="preserve">ԵՄ միացյալ </w:t>
      </w:r>
      <w:r w:rsidR="009A467D" w:rsidRPr="00C72AB5">
        <w:rPr>
          <w:rFonts w:ascii="GHEA Grapalat" w:hAnsi="GHEA Grapalat" w:cs="Sylfaen"/>
          <w:sz w:val="24"/>
          <w:szCs w:val="24"/>
        </w:rPr>
        <w:lastRenderedPageBreak/>
        <w:t xml:space="preserve">հետազոտական կենտրոնի </w:t>
      </w:r>
      <w:r w:rsidR="00DB2E67" w:rsidRPr="00C72AB5">
        <w:rPr>
          <w:rFonts w:ascii="GHEA Grapalat" w:hAnsi="GHEA Grapalat" w:cs="Sylfaen"/>
          <w:sz w:val="24"/>
          <w:szCs w:val="24"/>
        </w:rPr>
        <w:t>2021</w:t>
      </w:r>
      <w:r w:rsidR="0091137B">
        <w:rPr>
          <w:rFonts w:ascii="GHEA Grapalat" w:hAnsi="GHEA Grapalat" w:cs="Sylfaen"/>
          <w:sz w:val="24"/>
          <w:szCs w:val="24"/>
        </w:rPr>
        <w:t xml:space="preserve"> թվականին</w:t>
      </w:r>
      <w:r w:rsidR="00DB2E67" w:rsidRPr="00C72AB5">
        <w:rPr>
          <w:rFonts w:ascii="GHEA Grapalat" w:hAnsi="GHEA Grapalat" w:cs="Sylfaen"/>
          <w:sz w:val="24"/>
          <w:szCs w:val="24"/>
        </w:rPr>
        <w:t xml:space="preserve"> հրատարակված Տեխնոլոգիաների փոխանցումը Հայաստանում 2019-2020 զեկույցը</w:t>
      </w:r>
      <w:r w:rsidR="00DB2E67" w:rsidRPr="00C72AB5">
        <w:rPr>
          <w:rFonts w:ascii="GHEA Grapalat" w:hAnsi="GHEA Grapalat" w:cs="Sylfaen"/>
          <w:sz w:val="24"/>
          <w:szCs w:val="24"/>
          <w:vertAlign w:val="superscript"/>
        </w:rPr>
        <w:footnoteReference w:id="3"/>
      </w:r>
      <w:r w:rsidR="00094011" w:rsidRPr="00C72AB5">
        <w:rPr>
          <w:rFonts w:ascii="GHEA Grapalat" w:hAnsi="GHEA Grapalat" w:cs="Sylfaen"/>
          <w:sz w:val="24"/>
          <w:szCs w:val="24"/>
        </w:rPr>
        <w:t xml:space="preserve">, ՄԱԿ-ի Եվրոպական տնտեսական հանձնաժողովի Ենթատարածաշրջանային Նորարարական քաղաքականության </w:t>
      </w:r>
      <w:r w:rsidR="004158BC" w:rsidRPr="00C72AB5">
        <w:rPr>
          <w:rFonts w:ascii="GHEA Grapalat" w:hAnsi="GHEA Grapalat" w:cs="Sylfaen"/>
          <w:sz w:val="24"/>
          <w:szCs w:val="24"/>
        </w:rPr>
        <w:t>հեռանկար 2020-ը</w:t>
      </w:r>
      <w:r w:rsidR="00094011" w:rsidRPr="00C72AB5">
        <w:rPr>
          <w:rFonts w:ascii="GHEA Grapalat" w:hAnsi="GHEA Grapalat"/>
          <w:sz w:val="24"/>
          <w:szCs w:val="24"/>
          <w:vertAlign w:val="superscript"/>
        </w:rPr>
        <w:footnoteReference w:id="4"/>
      </w:r>
      <w:r w:rsidR="00DE6A6A" w:rsidRPr="00C72AB5">
        <w:rPr>
          <w:rFonts w:ascii="GHEA Grapalat" w:hAnsi="GHEA Grapalat" w:cs="Sylfaen"/>
          <w:sz w:val="24"/>
          <w:szCs w:val="24"/>
        </w:rPr>
        <w:t>, Եվրոպական հե</w:t>
      </w:r>
      <w:r w:rsidR="00ED4244">
        <w:rPr>
          <w:rFonts w:ascii="GHEA Grapalat" w:hAnsi="GHEA Grapalat" w:cs="Sylfaen"/>
          <w:sz w:val="24"/>
          <w:szCs w:val="24"/>
        </w:rPr>
        <w:t>տ</w:t>
      </w:r>
      <w:r w:rsidR="00DE6A6A" w:rsidRPr="00C72AB5">
        <w:rPr>
          <w:rFonts w:ascii="GHEA Grapalat" w:hAnsi="GHEA Grapalat" w:cs="Sylfaen"/>
          <w:sz w:val="24"/>
          <w:szCs w:val="24"/>
        </w:rPr>
        <w:t>ազոտական տարածքի քաղաքակա</w:t>
      </w:r>
      <w:r w:rsidR="00ED4244">
        <w:rPr>
          <w:rFonts w:ascii="GHEA Grapalat" w:hAnsi="GHEA Grapalat" w:cs="Sylfaen"/>
          <w:sz w:val="24"/>
          <w:szCs w:val="24"/>
        </w:rPr>
        <w:t>ն օ</w:t>
      </w:r>
      <w:r w:rsidR="0091137B">
        <w:rPr>
          <w:rFonts w:ascii="GHEA Grapalat" w:hAnsi="GHEA Grapalat" w:cs="Sylfaen"/>
          <w:sz w:val="24"/>
          <w:szCs w:val="24"/>
        </w:rPr>
        <w:t>րակարգը 2022-2024</w:t>
      </w:r>
      <w:r w:rsidR="00DE6A6A" w:rsidRPr="00C72AB5">
        <w:rPr>
          <w:rFonts w:ascii="GHEA Grapalat" w:hAnsi="GHEA Grapalat" w:cs="Sylfaen"/>
          <w:sz w:val="24"/>
          <w:szCs w:val="24"/>
        </w:rPr>
        <w:t>թ</w:t>
      </w:r>
      <w:r w:rsidR="0091137B">
        <w:rPr>
          <w:rFonts w:ascii="GHEA Grapalat" w:hAnsi="GHEA Grapalat" w:cs="Sylfaen"/>
          <w:sz w:val="24"/>
          <w:szCs w:val="24"/>
        </w:rPr>
        <w:t>թ.</w:t>
      </w:r>
      <w:r w:rsidR="00DE6A6A" w:rsidRPr="00C72AB5">
        <w:rPr>
          <w:rFonts w:ascii="GHEA Grapalat" w:hAnsi="GHEA Grapalat" w:cs="Sylfaen"/>
          <w:sz w:val="24"/>
          <w:szCs w:val="24"/>
        </w:rPr>
        <w:t xml:space="preserve"> համար</w:t>
      </w:r>
      <w:r w:rsidR="00DE6A6A" w:rsidRPr="00C72AB5">
        <w:rPr>
          <w:rFonts w:ascii="GHEA Grapalat" w:hAnsi="GHEA Grapalat"/>
          <w:sz w:val="24"/>
          <w:szCs w:val="24"/>
          <w:vertAlign w:val="superscript"/>
        </w:rPr>
        <w:footnoteReference w:id="5"/>
      </w:r>
      <w:r w:rsidR="004610C8" w:rsidRPr="00C72AB5">
        <w:rPr>
          <w:rFonts w:ascii="GHEA Grapalat" w:hAnsi="GHEA Grapalat" w:cs="Sylfaen"/>
          <w:sz w:val="24"/>
          <w:szCs w:val="24"/>
        </w:rPr>
        <w:t>, Հետազոտական ենթակառուցվածքների Եվրոպական ռազմավարական համաժողովի 2021 թվականի ճանապարհային քարտեզը և Հետազոտական ենթակառուցվածքների վերաբերյալ ռազմավարական զեկույցը</w:t>
      </w:r>
      <w:r w:rsidR="004610C8" w:rsidRPr="00C72AB5">
        <w:rPr>
          <w:rFonts w:ascii="GHEA Grapalat" w:hAnsi="GHEA Grapalat"/>
          <w:sz w:val="24"/>
          <w:szCs w:val="24"/>
          <w:vertAlign w:val="superscript"/>
        </w:rPr>
        <w:footnoteReference w:id="6"/>
      </w:r>
      <w:r w:rsidR="00AB66B9" w:rsidRPr="00C72AB5">
        <w:rPr>
          <w:rFonts w:ascii="GHEA Grapalat" w:hAnsi="GHEA Grapalat" w:cs="Sylfaen"/>
          <w:sz w:val="24"/>
          <w:szCs w:val="24"/>
        </w:rPr>
        <w:t>,</w:t>
      </w:r>
      <w:r w:rsidR="00ED4244">
        <w:rPr>
          <w:rFonts w:ascii="GHEA Grapalat" w:hAnsi="GHEA Grapalat" w:cs="Sylfaen"/>
          <w:sz w:val="24"/>
          <w:szCs w:val="24"/>
        </w:rPr>
        <w:t xml:space="preserve"> ՅՈՒՆԵՍԿՕ</w:t>
      </w:r>
      <w:r w:rsidR="00D97BAB" w:rsidRPr="00C72AB5">
        <w:rPr>
          <w:rFonts w:ascii="GHEA Grapalat" w:hAnsi="GHEA Grapalat" w:cs="Sylfaen"/>
          <w:sz w:val="24"/>
          <w:szCs w:val="24"/>
        </w:rPr>
        <w:t>-ի Գիտության զեկույց – դեպի 2030-ը</w:t>
      </w:r>
      <w:r w:rsidR="00D97BAB" w:rsidRPr="00C72AB5">
        <w:rPr>
          <w:rFonts w:ascii="GHEA Grapalat" w:hAnsi="GHEA Grapalat"/>
          <w:sz w:val="24"/>
          <w:szCs w:val="24"/>
          <w:vertAlign w:val="superscript"/>
        </w:rPr>
        <w:footnoteReference w:id="7"/>
      </w:r>
      <w:r w:rsidR="00AB66B9" w:rsidRPr="00C72AB5">
        <w:rPr>
          <w:rFonts w:ascii="GHEA Grapalat" w:hAnsi="GHEA Grapalat" w:cs="Sylfaen"/>
          <w:sz w:val="24"/>
          <w:szCs w:val="24"/>
        </w:rPr>
        <w:t xml:space="preserve"> և ՄԱԿ-ի Եվրոպական տնտեսական հանձնաժողովի Նորարարություն հանուն կայուն զարգացման Հայաստանի ակնարկ 2023-ը</w:t>
      </w:r>
      <w:r w:rsidR="00AB66B9" w:rsidRPr="00C72AB5">
        <w:rPr>
          <w:rFonts w:ascii="GHEA Grapalat" w:hAnsi="GHEA Grapalat"/>
          <w:sz w:val="24"/>
          <w:szCs w:val="24"/>
          <w:vertAlign w:val="superscript"/>
        </w:rPr>
        <w:footnoteReference w:id="8"/>
      </w:r>
      <w:r w:rsidR="00AB66B9" w:rsidRPr="00C72AB5">
        <w:rPr>
          <w:rFonts w:ascii="GHEA Grapalat" w:hAnsi="GHEA Grapalat" w:cs="Sylfaen"/>
          <w:sz w:val="24"/>
          <w:szCs w:val="24"/>
        </w:rPr>
        <w:t>,</w:t>
      </w:r>
    </w:p>
    <w:p w14:paraId="1D9AB787" w14:textId="18DA8EF6" w:rsidR="00556B07" w:rsidRPr="00C72AB5" w:rsidRDefault="00EA2E84" w:rsidP="0049437D">
      <w:pPr>
        <w:tabs>
          <w:tab w:val="left" w:pos="851"/>
          <w:tab w:val="left" w:pos="993"/>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t xml:space="preserve">3. </w:t>
      </w:r>
      <w:r w:rsidR="00556B07" w:rsidRPr="00C72AB5">
        <w:rPr>
          <w:rFonts w:ascii="GHEA Grapalat" w:hAnsi="GHEA Grapalat" w:cs="Sylfaen"/>
          <w:sz w:val="24"/>
          <w:szCs w:val="24"/>
        </w:rPr>
        <w:t xml:space="preserve">Ծրագիրն իրականացվելու է Հայաստանի Հանրապետության կառավարության, </w:t>
      </w:r>
      <w:r w:rsidR="008A6131" w:rsidRPr="00C72AB5">
        <w:rPr>
          <w:rFonts w:ascii="GHEA Grapalat" w:hAnsi="GHEA Grapalat" w:cs="Sylfaen"/>
          <w:sz w:val="24"/>
          <w:szCs w:val="24"/>
        </w:rPr>
        <w:t xml:space="preserve">միջազգային </w:t>
      </w:r>
      <w:r w:rsidR="00F42FE2" w:rsidRPr="00C72AB5">
        <w:rPr>
          <w:rFonts w:ascii="GHEA Grapalat" w:hAnsi="GHEA Grapalat" w:cs="Sylfaen"/>
          <w:sz w:val="24"/>
          <w:szCs w:val="24"/>
        </w:rPr>
        <w:t xml:space="preserve">գործընկեր </w:t>
      </w:r>
      <w:r w:rsidR="008A6131" w:rsidRPr="00C72AB5">
        <w:rPr>
          <w:rFonts w:ascii="GHEA Grapalat" w:hAnsi="GHEA Grapalat" w:cs="Sylfaen"/>
          <w:sz w:val="24"/>
          <w:szCs w:val="24"/>
        </w:rPr>
        <w:t xml:space="preserve">կառույցների, </w:t>
      </w:r>
      <w:r w:rsidR="00556B07" w:rsidRPr="00C72AB5">
        <w:rPr>
          <w:rFonts w:ascii="GHEA Grapalat" w:hAnsi="GHEA Grapalat" w:cs="Sylfaen"/>
          <w:sz w:val="24"/>
          <w:szCs w:val="24"/>
        </w:rPr>
        <w:t xml:space="preserve">մասնավոր </w:t>
      </w:r>
      <w:r w:rsidR="00F42FE2" w:rsidRPr="00C72AB5">
        <w:rPr>
          <w:rFonts w:ascii="GHEA Grapalat" w:hAnsi="GHEA Grapalat" w:cs="Sylfaen"/>
          <w:sz w:val="24"/>
          <w:szCs w:val="24"/>
        </w:rPr>
        <w:t>հատվածի</w:t>
      </w:r>
      <w:r w:rsidR="00556B07" w:rsidRPr="00C72AB5">
        <w:rPr>
          <w:rFonts w:ascii="GHEA Grapalat" w:hAnsi="GHEA Grapalat" w:cs="Sylfaen"/>
          <w:sz w:val="24"/>
          <w:szCs w:val="24"/>
        </w:rPr>
        <w:t>, քաղաքացիական հասարակության ինստիտուտների և Սփյուռքի ջանքերի զուգակցմամբ:</w:t>
      </w:r>
    </w:p>
    <w:p w14:paraId="48DEA648" w14:textId="08FAB369" w:rsidR="00FC4265" w:rsidRPr="00C72AB5" w:rsidRDefault="00FC4265" w:rsidP="00FC4265">
      <w:pPr>
        <w:tabs>
          <w:tab w:val="left" w:pos="851"/>
          <w:tab w:val="left" w:pos="993"/>
        </w:tabs>
        <w:spacing w:line="276" w:lineRule="auto"/>
        <w:jc w:val="both"/>
        <w:rPr>
          <w:rFonts w:ascii="GHEA Grapalat" w:hAnsi="GHEA Grapalat" w:cs="Sylfaen"/>
          <w:sz w:val="24"/>
          <w:szCs w:val="24"/>
        </w:rPr>
      </w:pPr>
    </w:p>
    <w:p w14:paraId="577FD0FC" w14:textId="700317F0" w:rsidR="00BD6616" w:rsidRPr="00FC4265" w:rsidRDefault="004956AA" w:rsidP="00FC4265">
      <w:pPr>
        <w:pStyle w:val="Heading1"/>
      </w:pPr>
      <w:bookmarkStart w:id="2" w:name="_Toc215422083"/>
      <w:r w:rsidRPr="00C72AB5">
        <w:t xml:space="preserve">2. </w:t>
      </w:r>
      <w:r w:rsidR="00581F5D" w:rsidRPr="00C72AB5">
        <w:t>ԱՌԿԱ ԻՐԱՎԻՃԱԿԸ</w:t>
      </w:r>
      <w:bookmarkEnd w:id="2"/>
    </w:p>
    <w:p w14:paraId="597F7B62" w14:textId="2F7E6684" w:rsidR="00BD6616" w:rsidRPr="00C72AB5" w:rsidRDefault="004956AA" w:rsidP="00BD6616">
      <w:pPr>
        <w:pStyle w:val="Heading2"/>
      </w:pPr>
      <w:bookmarkStart w:id="3" w:name="_Toc215422084"/>
      <w:r w:rsidRPr="00C72AB5">
        <w:t xml:space="preserve">2.1 </w:t>
      </w:r>
      <w:r w:rsidR="00BD6616" w:rsidRPr="00C72AB5">
        <w:t>ԿԱՌԱՎԱՐՈՒՄ ԵՎ ՖԻՆԱՆՍԱՎՈՐՈՒՄ</w:t>
      </w:r>
      <w:bookmarkEnd w:id="3"/>
    </w:p>
    <w:p w14:paraId="2C6A5297" w14:textId="77777777" w:rsidR="00393A9F" w:rsidRPr="00C72AB5" w:rsidRDefault="00393A9F" w:rsidP="0073444C">
      <w:pPr>
        <w:rPr>
          <w:rFonts w:eastAsia="Calibri"/>
          <w:lang w:eastAsia="en-US"/>
        </w:rPr>
      </w:pPr>
    </w:p>
    <w:p w14:paraId="5FF8B5CE" w14:textId="787CADCF" w:rsidR="007E4781" w:rsidRPr="00C72AB5" w:rsidRDefault="0068358C" w:rsidP="0049437D">
      <w:pPr>
        <w:tabs>
          <w:tab w:val="left" w:pos="851"/>
          <w:tab w:val="left" w:pos="993"/>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t>4</w:t>
      </w:r>
      <w:r w:rsidR="00065D7A" w:rsidRPr="00C72AB5">
        <w:rPr>
          <w:rFonts w:ascii="GHEA Grapalat" w:hAnsi="GHEA Grapalat" w:cs="Sylfaen"/>
          <w:sz w:val="24"/>
          <w:szCs w:val="24"/>
        </w:rPr>
        <w:t xml:space="preserve">. </w:t>
      </w:r>
      <w:r w:rsidR="0034329C">
        <w:rPr>
          <w:rFonts w:ascii="GHEA Grapalat" w:hAnsi="GHEA Grapalat" w:cs="Sylfaen"/>
          <w:sz w:val="24"/>
          <w:szCs w:val="24"/>
        </w:rPr>
        <w:t>Գիտատեխնոլոգիական</w:t>
      </w:r>
      <w:r w:rsidR="00CC01C7" w:rsidRPr="00C72AB5">
        <w:rPr>
          <w:rFonts w:ascii="GHEA Grapalat" w:hAnsi="GHEA Grapalat" w:cs="Sylfaen"/>
          <w:sz w:val="24"/>
          <w:szCs w:val="24"/>
        </w:rPr>
        <w:t xml:space="preserve"> գործունեության </w:t>
      </w:r>
      <w:r w:rsidR="00C35AC1" w:rsidRPr="00C72AB5">
        <w:rPr>
          <w:rFonts w:ascii="GHEA Grapalat" w:hAnsi="GHEA Grapalat" w:cs="Sylfaen"/>
          <w:sz w:val="24"/>
          <w:szCs w:val="24"/>
        </w:rPr>
        <w:t>ո</w:t>
      </w:r>
      <w:r w:rsidR="00CC01C7" w:rsidRPr="00C72AB5">
        <w:rPr>
          <w:rFonts w:ascii="GHEA Grapalat" w:hAnsi="GHEA Grapalat" w:cs="Sylfaen"/>
          <w:sz w:val="24"/>
          <w:szCs w:val="24"/>
        </w:rPr>
        <w:t xml:space="preserve">լորտի քաղաքականությունը մշակվում է </w:t>
      </w:r>
      <w:r w:rsidR="003F34B8" w:rsidRPr="0091137B">
        <w:rPr>
          <w:rFonts w:ascii="GHEA Grapalat" w:hAnsi="GHEA Grapalat" w:cs="Sylfaen"/>
          <w:sz w:val="24"/>
          <w:szCs w:val="24"/>
        </w:rPr>
        <w:t xml:space="preserve">Հայաստանի Հանրապետության </w:t>
      </w:r>
      <w:r w:rsidR="00CC01C7" w:rsidRPr="0091137B">
        <w:rPr>
          <w:rFonts w:ascii="GHEA Grapalat" w:hAnsi="GHEA Grapalat" w:cs="Sylfaen"/>
          <w:sz w:val="24"/>
          <w:szCs w:val="24"/>
        </w:rPr>
        <w:t xml:space="preserve">Ազգային ժողովի և </w:t>
      </w:r>
      <w:r w:rsidR="003F34B8" w:rsidRPr="0091137B">
        <w:rPr>
          <w:rFonts w:ascii="GHEA Grapalat" w:hAnsi="GHEA Grapalat" w:cs="Sylfaen"/>
          <w:sz w:val="24"/>
          <w:szCs w:val="24"/>
        </w:rPr>
        <w:t>Հայաստանի Հանրապետության</w:t>
      </w:r>
      <w:r w:rsidR="00CC01C7" w:rsidRPr="0091137B">
        <w:rPr>
          <w:rFonts w:ascii="GHEA Grapalat" w:hAnsi="GHEA Grapalat" w:cs="Sylfaen"/>
          <w:sz w:val="24"/>
          <w:szCs w:val="24"/>
        </w:rPr>
        <w:t xml:space="preserve"> կառավարության կողմից, մասնավորապես</w:t>
      </w:r>
      <w:r w:rsidR="0034329C">
        <w:rPr>
          <w:rFonts w:ascii="GHEA Grapalat" w:hAnsi="GHEA Grapalat" w:cs="Sylfaen"/>
          <w:sz w:val="24"/>
          <w:szCs w:val="24"/>
        </w:rPr>
        <w:t>,</w:t>
      </w:r>
      <w:r w:rsidR="00CC01C7" w:rsidRPr="0091137B">
        <w:rPr>
          <w:rFonts w:ascii="GHEA Grapalat" w:hAnsi="GHEA Grapalat" w:cs="Sylfaen"/>
          <w:sz w:val="24"/>
          <w:szCs w:val="24"/>
        </w:rPr>
        <w:t xml:space="preserve"> 3 նախարարությունների</w:t>
      </w:r>
      <w:r w:rsidR="00C35AC1" w:rsidRPr="0091137B">
        <w:rPr>
          <w:rFonts w:ascii="GHEA Grapalat" w:hAnsi="GHEA Grapalat" w:cs="Sylfaen"/>
          <w:sz w:val="24"/>
          <w:szCs w:val="24"/>
        </w:rPr>
        <w:t xml:space="preserve">` </w:t>
      </w:r>
      <w:r w:rsidR="00311196" w:rsidRPr="0091137B">
        <w:rPr>
          <w:rFonts w:ascii="GHEA Grapalat" w:hAnsi="GHEA Grapalat" w:cs="Sylfaen"/>
          <w:sz w:val="24"/>
          <w:szCs w:val="24"/>
        </w:rPr>
        <w:t>Հայաստանի Հանրապետության</w:t>
      </w:r>
      <w:r w:rsidR="003F34B8" w:rsidRPr="0091137B">
        <w:rPr>
          <w:rFonts w:ascii="GHEA Grapalat" w:hAnsi="GHEA Grapalat" w:cs="Sylfaen"/>
          <w:sz w:val="24"/>
          <w:szCs w:val="24"/>
        </w:rPr>
        <w:t xml:space="preserve"> </w:t>
      </w:r>
      <w:r w:rsidR="00C35AC1" w:rsidRPr="0091137B">
        <w:rPr>
          <w:rFonts w:ascii="GHEA Grapalat" w:hAnsi="GHEA Grapalat" w:cs="Sylfaen"/>
          <w:sz w:val="24"/>
          <w:szCs w:val="24"/>
        </w:rPr>
        <w:t xml:space="preserve">կրթության, գիտության, մշակույթի և սպորտի նախարարության, </w:t>
      </w:r>
      <w:r w:rsidR="00311196" w:rsidRPr="0091137B">
        <w:rPr>
          <w:rFonts w:ascii="GHEA Grapalat" w:hAnsi="GHEA Grapalat" w:cs="Sylfaen"/>
          <w:sz w:val="24"/>
          <w:szCs w:val="24"/>
        </w:rPr>
        <w:t xml:space="preserve">Հայաստանի Հանրապետության </w:t>
      </w:r>
      <w:r w:rsidR="00C35AC1" w:rsidRPr="0091137B">
        <w:rPr>
          <w:rFonts w:ascii="GHEA Grapalat" w:hAnsi="GHEA Grapalat" w:cs="Sylfaen"/>
          <w:sz w:val="24"/>
          <w:szCs w:val="24"/>
        </w:rPr>
        <w:t xml:space="preserve">բարձր տեխնոլոգիական </w:t>
      </w:r>
      <w:r w:rsidR="00F1562B" w:rsidRPr="0091137B">
        <w:rPr>
          <w:rFonts w:ascii="GHEA Grapalat" w:hAnsi="GHEA Grapalat" w:cs="Sylfaen"/>
          <w:sz w:val="24"/>
          <w:szCs w:val="24"/>
        </w:rPr>
        <w:t xml:space="preserve">արդյունաբերության </w:t>
      </w:r>
      <w:r w:rsidR="00C35AC1" w:rsidRPr="0091137B">
        <w:rPr>
          <w:rFonts w:ascii="GHEA Grapalat" w:hAnsi="GHEA Grapalat" w:cs="Sylfaen"/>
          <w:sz w:val="24"/>
          <w:szCs w:val="24"/>
        </w:rPr>
        <w:t xml:space="preserve">նախարարության և </w:t>
      </w:r>
      <w:r w:rsidR="00311196" w:rsidRPr="0091137B">
        <w:rPr>
          <w:rFonts w:ascii="GHEA Grapalat" w:hAnsi="GHEA Grapalat" w:cs="Sylfaen"/>
          <w:sz w:val="24"/>
          <w:szCs w:val="24"/>
        </w:rPr>
        <w:t>Հայաստանի Հանրապետության</w:t>
      </w:r>
      <w:r w:rsidR="003F34B8" w:rsidRPr="0091137B">
        <w:rPr>
          <w:rFonts w:ascii="GHEA Grapalat" w:hAnsi="GHEA Grapalat" w:cs="Sylfaen"/>
          <w:sz w:val="24"/>
          <w:szCs w:val="24"/>
        </w:rPr>
        <w:t xml:space="preserve"> </w:t>
      </w:r>
      <w:r w:rsidR="00C35AC1" w:rsidRPr="0091137B">
        <w:rPr>
          <w:rFonts w:ascii="GHEA Grapalat" w:hAnsi="GHEA Grapalat" w:cs="Sylfaen"/>
          <w:sz w:val="24"/>
          <w:szCs w:val="24"/>
        </w:rPr>
        <w:t xml:space="preserve">էկոնոմիկայի նախարարության </w:t>
      </w:r>
      <w:r w:rsidR="00CC01C7" w:rsidRPr="0091137B">
        <w:rPr>
          <w:rFonts w:ascii="GHEA Grapalat" w:hAnsi="GHEA Grapalat" w:cs="Sylfaen"/>
          <w:sz w:val="24"/>
          <w:szCs w:val="24"/>
        </w:rPr>
        <w:t>լիազորությունների շրջանակներում:</w:t>
      </w:r>
      <w:r w:rsidR="008564CE" w:rsidRPr="0091137B">
        <w:rPr>
          <w:rFonts w:ascii="GHEA Grapalat" w:hAnsi="GHEA Grapalat" w:cs="Sylfaen"/>
          <w:sz w:val="24"/>
          <w:szCs w:val="24"/>
        </w:rPr>
        <w:t xml:space="preserve"> Ոլորտի գործունեությունը հիմնականում կարգավորվում է «</w:t>
      </w:r>
      <w:r w:rsidR="00D25031" w:rsidRPr="0091137B">
        <w:rPr>
          <w:rFonts w:ascii="GHEA Grapalat" w:hAnsi="GHEA Grapalat" w:cs="Sylfaen"/>
          <w:sz w:val="24"/>
          <w:szCs w:val="24"/>
        </w:rPr>
        <w:t>Բարձրագույն կրթության և գիտության</w:t>
      </w:r>
      <w:r w:rsidR="00A863E6" w:rsidRPr="00223C8D">
        <w:rPr>
          <w:rFonts w:ascii="GHEA Grapalat" w:hAnsi="GHEA Grapalat" w:cs="Sylfaen"/>
          <w:sz w:val="24"/>
          <w:szCs w:val="24"/>
        </w:rPr>
        <w:t xml:space="preserve"> </w:t>
      </w:r>
      <w:r w:rsidR="00A863E6" w:rsidRPr="0091137B">
        <w:rPr>
          <w:rFonts w:ascii="GHEA Grapalat" w:hAnsi="GHEA Grapalat" w:cs="Sylfaen"/>
          <w:sz w:val="24"/>
          <w:szCs w:val="24"/>
        </w:rPr>
        <w:t>մասին</w:t>
      </w:r>
      <w:r w:rsidR="008564CE" w:rsidRPr="0091137B">
        <w:rPr>
          <w:rFonts w:ascii="GHEA Grapalat" w:hAnsi="GHEA Grapalat" w:cs="Sylfaen"/>
          <w:sz w:val="24"/>
          <w:szCs w:val="24"/>
        </w:rPr>
        <w:t>»</w:t>
      </w:r>
      <w:r w:rsidR="00D25031" w:rsidRPr="0091137B">
        <w:rPr>
          <w:rFonts w:ascii="GHEA Grapalat" w:hAnsi="GHEA Grapalat" w:cs="Sylfaen"/>
          <w:sz w:val="24"/>
          <w:szCs w:val="24"/>
        </w:rPr>
        <w:t xml:space="preserve"> և մասնակի`</w:t>
      </w:r>
      <w:r w:rsidR="008564CE" w:rsidRPr="0091137B">
        <w:rPr>
          <w:rFonts w:ascii="GHEA Grapalat" w:hAnsi="GHEA Grapalat" w:cs="Sylfaen"/>
          <w:sz w:val="24"/>
          <w:szCs w:val="24"/>
        </w:rPr>
        <w:t xml:space="preserve"> «</w:t>
      </w:r>
      <w:r w:rsidR="00A863E6" w:rsidRPr="00223C8D">
        <w:rPr>
          <w:rFonts w:ascii="GHEA Grapalat" w:hAnsi="GHEA Grapalat" w:cs="Sylfaen"/>
          <w:sz w:val="24"/>
          <w:szCs w:val="24"/>
        </w:rPr>
        <w:t>Հ</w:t>
      </w:r>
      <w:r w:rsidR="008564CE" w:rsidRPr="0091137B">
        <w:rPr>
          <w:rFonts w:ascii="GHEA Grapalat" w:hAnsi="GHEA Grapalat" w:cs="Sylfaen"/>
          <w:sz w:val="24"/>
          <w:szCs w:val="24"/>
        </w:rPr>
        <w:t>եղինակային իրավունքի և հարակից իրավունքների մասին</w:t>
      </w:r>
      <w:r w:rsidR="00A863E6" w:rsidRPr="0091137B">
        <w:rPr>
          <w:rFonts w:ascii="GHEA Grapalat" w:hAnsi="GHEA Grapalat" w:cs="Sylfaen"/>
          <w:sz w:val="24"/>
          <w:szCs w:val="24"/>
        </w:rPr>
        <w:t>»</w:t>
      </w:r>
      <w:r w:rsidR="008564CE" w:rsidRPr="0091137B">
        <w:rPr>
          <w:rFonts w:ascii="GHEA Grapalat" w:hAnsi="GHEA Grapalat" w:cs="Sylfaen"/>
          <w:sz w:val="24"/>
          <w:szCs w:val="24"/>
        </w:rPr>
        <w:t xml:space="preserve"> </w:t>
      </w:r>
      <w:r w:rsidR="008564CE" w:rsidRPr="00C72AB5">
        <w:rPr>
          <w:rFonts w:ascii="GHEA Grapalat" w:hAnsi="GHEA Grapalat" w:cs="Sylfaen"/>
          <w:sz w:val="24"/>
          <w:szCs w:val="24"/>
        </w:rPr>
        <w:t xml:space="preserve">օրենքներով, նորմատիվ իրավական ակտերով և այլ իրավական փաստաթղթերով: </w:t>
      </w:r>
      <w:r w:rsidR="00CC01C7" w:rsidRPr="00C72AB5">
        <w:rPr>
          <w:rFonts w:ascii="GHEA Grapalat" w:hAnsi="GHEA Grapalat" w:cs="Sylfaen"/>
          <w:sz w:val="24"/>
          <w:szCs w:val="24"/>
        </w:rPr>
        <w:t>Ոլորտ</w:t>
      </w:r>
      <w:r w:rsidR="008564CE" w:rsidRPr="00C72AB5">
        <w:rPr>
          <w:rFonts w:ascii="GHEA Grapalat" w:hAnsi="GHEA Grapalat" w:cs="Sylfaen"/>
          <w:sz w:val="24"/>
          <w:szCs w:val="24"/>
        </w:rPr>
        <w:t xml:space="preserve">ում </w:t>
      </w:r>
      <w:r w:rsidR="00CC01C7" w:rsidRPr="00C72AB5">
        <w:rPr>
          <w:rFonts w:ascii="GHEA Grapalat" w:hAnsi="GHEA Grapalat" w:cs="Sylfaen"/>
          <w:sz w:val="24"/>
          <w:szCs w:val="24"/>
        </w:rPr>
        <w:t>քաղաքականությ</w:t>
      </w:r>
      <w:r w:rsidR="008564CE" w:rsidRPr="00C72AB5">
        <w:rPr>
          <w:rFonts w:ascii="GHEA Grapalat" w:hAnsi="GHEA Grapalat" w:cs="Sylfaen"/>
          <w:sz w:val="24"/>
          <w:szCs w:val="24"/>
        </w:rPr>
        <w:t xml:space="preserve">ունն </w:t>
      </w:r>
      <w:r w:rsidR="00CC01C7" w:rsidRPr="00C72AB5">
        <w:rPr>
          <w:rFonts w:ascii="GHEA Grapalat" w:hAnsi="GHEA Grapalat" w:cs="Sylfaen"/>
          <w:sz w:val="24"/>
          <w:szCs w:val="24"/>
        </w:rPr>
        <w:t>իրականաց</w:t>
      </w:r>
      <w:r w:rsidR="008564CE" w:rsidRPr="00C72AB5">
        <w:rPr>
          <w:rFonts w:ascii="GHEA Grapalat" w:hAnsi="GHEA Grapalat" w:cs="Sylfaen"/>
          <w:sz w:val="24"/>
          <w:szCs w:val="24"/>
        </w:rPr>
        <w:t xml:space="preserve">վում է նշված նախարարությունների և նախարարություններին ենթակա </w:t>
      </w:r>
      <w:r w:rsidR="0034329C">
        <w:rPr>
          <w:rFonts w:ascii="GHEA Grapalat" w:hAnsi="GHEA Grapalat" w:cs="Sylfaen"/>
          <w:sz w:val="24"/>
          <w:szCs w:val="24"/>
        </w:rPr>
        <w:t>պետական մարմինների</w:t>
      </w:r>
      <w:r w:rsidR="008564CE" w:rsidRPr="00C72AB5">
        <w:rPr>
          <w:rFonts w:ascii="GHEA Grapalat" w:hAnsi="GHEA Grapalat" w:cs="Sylfaen"/>
          <w:sz w:val="24"/>
          <w:szCs w:val="24"/>
        </w:rPr>
        <w:t xml:space="preserve"> միջոցով</w:t>
      </w:r>
      <w:r w:rsidR="007E4781" w:rsidRPr="00C72AB5">
        <w:rPr>
          <w:rFonts w:ascii="GHEA Grapalat" w:hAnsi="GHEA Grapalat" w:cs="Sylfaen"/>
          <w:sz w:val="24"/>
          <w:szCs w:val="24"/>
        </w:rPr>
        <w:t>, մասնավորապես</w:t>
      </w:r>
      <w:r w:rsidR="0034329C">
        <w:rPr>
          <w:rFonts w:ascii="GHEA Grapalat" w:hAnsi="GHEA Grapalat" w:cs="Sylfaen"/>
          <w:sz w:val="24"/>
          <w:szCs w:val="24"/>
        </w:rPr>
        <w:t>,</w:t>
      </w:r>
      <w:r w:rsidR="007E4781" w:rsidRPr="00C72AB5">
        <w:rPr>
          <w:rFonts w:ascii="GHEA Grapalat" w:hAnsi="GHEA Grapalat" w:cs="Sylfaen"/>
          <w:sz w:val="24"/>
          <w:szCs w:val="24"/>
        </w:rPr>
        <w:t xml:space="preserve"> ոլորտի քաղաքականության մշակմանը մասնակցում և ֆինանսավորման ծրագրերն իրականացվում </w:t>
      </w:r>
      <w:r w:rsidR="007E4781" w:rsidRPr="0091137B">
        <w:rPr>
          <w:rFonts w:ascii="GHEA Grapalat" w:hAnsi="GHEA Grapalat" w:cs="Sylfaen"/>
          <w:sz w:val="24"/>
          <w:szCs w:val="24"/>
        </w:rPr>
        <w:t xml:space="preserve">է </w:t>
      </w:r>
      <w:r w:rsidR="00311196" w:rsidRPr="0091137B">
        <w:rPr>
          <w:rFonts w:ascii="GHEA Grapalat" w:hAnsi="GHEA Grapalat" w:cs="Sylfaen"/>
          <w:sz w:val="24"/>
          <w:szCs w:val="24"/>
        </w:rPr>
        <w:t xml:space="preserve">Հայաստանի Հանրապետության կրթության, գիտության, մշակույթի և սպորտի նախարարության </w:t>
      </w:r>
      <w:r w:rsidR="00C35AC1" w:rsidRPr="0091137B">
        <w:rPr>
          <w:rFonts w:ascii="GHEA Grapalat" w:hAnsi="GHEA Grapalat" w:cs="Sylfaen"/>
          <w:sz w:val="24"/>
          <w:szCs w:val="24"/>
        </w:rPr>
        <w:t xml:space="preserve">բարձրագույն կրթության և </w:t>
      </w:r>
      <w:r w:rsidR="007E4781" w:rsidRPr="0091137B">
        <w:rPr>
          <w:rFonts w:ascii="GHEA Grapalat" w:hAnsi="GHEA Grapalat" w:cs="Sylfaen"/>
          <w:sz w:val="24"/>
          <w:szCs w:val="24"/>
        </w:rPr>
        <w:t>գիտության կոմիտեի</w:t>
      </w:r>
      <w:r w:rsidR="00692DC6">
        <w:rPr>
          <w:rFonts w:ascii="GHEA Grapalat" w:hAnsi="GHEA Grapalat" w:cs="Sylfaen"/>
          <w:sz w:val="24"/>
          <w:szCs w:val="24"/>
        </w:rPr>
        <w:t xml:space="preserve"> (այսուհետ՝ Կոմիտե)</w:t>
      </w:r>
      <w:r w:rsidR="007E4781" w:rsidRPr="0091137B">
        <w:rPr>
          <w:rFonts w:ascii="GHEA Grapalat" w:hAnsi="GHEA Grapalat" w:cs="Sylfaen"/>
          <w:sz w:val="24"/>
          <w:szCs w:val="24"/>
        </w:rPr>
        <w:t xml:space="preserve"> կողմից, իսկ պաշտպանական </w:t>
      </w:r>
      <w:r w:rsidR="007E4781" w:rsidRPr="0091137B">
        <w:rPr>
          <w:rFonts w:ascii="GHEA Grapalat" w:hAnsi="GHEA Grapalat" w:cs="Sylfaen"/>
          <w:sz w:val="24"/>
          <w:szCs w:val="24"/>
        </w:rPr>
        <w:lastRenderedPageBreak/>
        <w:t>ոլորտում գիտահետազոտական և փորձակոնստրուկտորական աշխատանքների ֆինանսավորում</w:t>
      </w:r>
      <w:r w:rsidR="007D017E" w:rsidRPr="0091137B">
        <w:rPr>
          <w:rFonts w:ascii="GHEA Grapalat" w:hAnsi="GHEA Grapalat" w:cs="Sylfaen"/>
          <w:sz w:val="24"/>
          <w:szCs w:val="24"/>
        </w:rPr>
        <w:t>ը հիմնականում</w:t>
      </w:r>
      <w:r w:rsidR="007E4781" w:rsidRPr="0091137B">
        <w:rPr>
          <w:rFonts w:ascii="GHEA Grapalat" w:hAnsi="GHEA Grapalat" w:cs="Sylfaen"/>
          <w:sz w:val="24"/>
          <w:szCs w:val="24"/>
        </w:rPr>
        <w:t xml:space="preserve"> իրականացվում է </w:t>
      </w:r>
      <w:r w:rsidR="00311196" w:rsidRPr="0091137B">
        <w:rPr>
          <w:rFonts w:ascii="GHEA Grapalat" w:hAnsi="GHEA Grapalat" w:cs="Sylfaen"/>
          <w:sz w:val="24"/>
          <w:szCs w:val="24"/>
        </w:rPr>
        <w:t xml:space="preserve">Հայաստանի Հանրապետության բարձր տեխնոլոգիական արդյունաբերության նախարարության </w:t>
      </w:r>
      <w:r w:rsidR="007E4781" w:rsidRPr="00C72AB5">
        <w:rPr>
          <w:rFonts w:ascii="GHEA Grapalat" w:hAnsi="GHEA Grapalat" w:cs="Sylfaen"/>
          <w:sz w:val="24"/>
          <w:szCs w:val="24"/>
        </w:rPr>
        <w:t>ռազմարդյունաբերության կոմիտեի կողմից</w:t>
      </w:r>
      <w:r w:rsidR="008564CE" w:rsidRPr="00C72AB5">
        <w:rPr>
          <w:rFonts w:ascii="GHEA Grapalat" w:hAnsi="GHEA Grapalat" w:cs="Sylfaen"/>
          <w:sz w:val="24"/>
          <w:szCs w:val="24"/>
        </w:rPr>
        <w:t>:</w:t>
      </w:r>
    </w:p>
    <w:p w14:paraId="26FAD8E5" w14:textId="43506B4C" w:rsidR="00BC5A1D" w:rsidRDefault="0068358C" w:rsidP="0049437D">
      <w:pPr>
        <w:tabs>
          <w:tab w:val="left" w:pos="851"/>
          <w:tab w:val="left" w:pos="993"/>
        </w:tabs>
        <w:spacing w:line="276" w:lineRule="auto"/>
        <w:ind w:firstLine="567"/>
        <w:jc w:val="both"/>
        <w:rPr>
          <w:rFonts w:ascii="GHEA Grapalat" w:hAnsi="GHEA Grapalat" w:cs="Arial"/>
          <w:sz w:val="24"/>
          <w:szCs w:val="24"/>
        </w:rPr>
      </w:pPr>
      <w:r w:rsidRPr="00C72AB5">
        <w:rPr>
          <w:rFonts w:ascii="GHEA Grapalat" w:hAnsi="GHEA Grapalat" w:cs="Sylfaen"/>
          <w:sz w:val="24"/>
          <w:szCs w:val="24"/>
        </w:rPr>
        <w:t>5</w:t>
      </w:r>
      <w:r w:rsidR="00CD731F" w:rsidRPr="00C72AB5">
        <w:rPr>
          <w:rFonts w:ascii="GHEA Grapalat" w:hAnsi="GHEA Grapalat" w:cs="Sylfaen"/>
          <w:sz w:val="24"/>
          <w:szCs w:val="24"/>
        </w:rPr>
        <w:t xml:space="preserve">. </w:t>
      </w:r>
      <w:r w:rsidR="00EB3139" w:rsidRPr="00C72AB5">
        <w:rPr>
          <w:rFonts w:ascii="GHEA Grapalat" w:hAnsi="GHEA Grapalat" w:cs="Sylfaen"/>
          <w:sz w:val="24"/>
          <w:szCs w:val="24"/>
        </w:rPr>
        <w:t>Գիտա</w:t>
      </w:r>
      <w:r w:rsidR="00C11292">
        <w:rPr>
          <w:rFonts w:ascii="GHEA Grapalat" w:hAnsi="GHEA Grapalat" w:cs="Sylfaen"/>
          <w:sz w:val="24"/>
          <w:szCs w:val="24"/>
        </w:rPr>
        <w:t>տեխնոլոգիական</w:t>
      </w:r>
      <w:r w:rsidR="00EB3139" w:rsidRPr="00C72AB5">
        <w:rPr>
          <w:rFonts w:ascii="GHEA Grapalat" w:hAnsi="GHEA Grapalat" w:cs="Sylfaen"/>
          <w:sz w:val="24"/>
          <w:szCs w:val="24"/>
        </w:rPr>
        <w:t xml:space="preserve"> գործունեության </w:t>
      </w:r>
      <w:r w:rsidR="0028105E" w:rsidRPr="00C72AB5">
        <w:rPr>
          <w:rFonts w:ascii="GHEA Grapalat" w:hAnsi="GHEA Grapalat" w:cs="Sylfaen"/>
          <w:sz w:val="24"/>
          <w:szCs w:val="24"/>
        </w:rPr>
        <w:t xml:space="preserve">ոլորտի </w:t>
      </w:r>
      <w:r w:rsidR="008A6131" w:rsidRPr="00C72AB5">
        <w:rPr>
          <w:rFonts w:ascii="GHEA Grapalat" w:hAnsi="GHEA Grapalat" w:cs="Sylfaen"/>
          <w:sz w:val="24"/>
          <w:szCs w:val="24"/>
        </w:rPr>
        <w:t>պետական ֆինանսա</w:t>
      </w:r>
      <w:r w:rsidR="003424BD">
        <w:rPr>
          <w:rFonts w:ascii="GHEA Grapalat" w:hAnsi="GHEA Grapalat" w:cs="Sylfaen"/>
          <w:sz w:val="24"/>
          <w:szCs w:val="24"/>
        </w:rPr>
        <w:t xml:space="preserve">կան հատկացումների </w:t>
      </w:r>
      <w:r w:rsidR="008A6131" w:rsidRPr="00C72AB5">
        <w:rPr>
          <w:rFonts w:ascii="GHEA Grapalat" w:hAnsi="GHEA Grapalat" w:cs="Sylfaen"/>
          <w:sz w:val="24"/>
          <w:szCs w:val="24"/>
        </w:rPr>
        <w:t>ծավալները</w:t>
      </w:r>
      <w:r w:rsidR="0028105E" w:rsidRPr="00C72AB5">
        <w:rPr>
          <w:rFonts w:ascii="GHEA Grapalat" w:hAnsi="GHEA Grapalat" w:cs="Sylfaen"/>
          <w:sz w:val="24"/>
          <w:szCs w:val="24"/>
        </w:rPr>
        <w:t xml:space="preserve"> 2010 թվականից գրանցել են որոշակի աճ` 2015-2018</w:t>
      </w:r>
      <w:r w:rsidR="00C11292">
        <w:rPr>
          <w:rFonts w:ascii="GHEA Grapalat" w:hAnsi="GHEA Grapalat" w:cs="Sylfaen"/>
          <w:sz w:val="24"/>
          <w:szCs w:val="24"/>
        </w:rPr>
        <w:t xml:space="preserve"> թվականներին </w:t>
      </w:r>
      <w:r w:rsidR="0028105E" w:rsidRPr="00C72AB5">
        <w:rPr>
          <w:rFonts w:ascii="GHEA Grapalat" w:hAnsi="GHEA Grapalat" w:cs="Sylfaen"/>
          <w:sz w:val="24"/>
          <w:szCs w:val="24"/>
        </w:rPr>
        <w:t xml:space="preserve">հասնելով </w:t>
      </w:r>
      <w:r w:rsidR="008A6131" w:rsidRPr="00C72AB5">
        <w:rPr>
          <w:rFonts w:ascii="GHEA Grapalat" w:hAnsi="GHEA Grapalat" w:cs="Sylfaen"/>
          <w:sz w:val="24"/>
          <w:szCs w:val="24"/>
        </w:rPr>
        <w:t>1</w:t>
      </w:r>
      <w:r w:rsidR="008C4D68" w:rsidRPr="00C72AB5">
        <w:rPr>
          <w:rFonts w:ascii="GHEA Grapalat" w:hAnsi="GHEA Grapalat" w:cs="Sylfaen"/>
          <w:sz w:val="24"/>
          <w:szCs w:val="24"/>
        </w:rPr>
        <w:t>3</w:t>
      </w:r>
      <w:r w:rsidR="008A6131" w:rsidRPr="00C72AB5">
        <w:rPr>
          <w:rFonts w:ascii="GHEA Grapalat" w:hAnsi="GHEA Grapalat" w:cs="Sylfaen"/>
          <w:sz w:val="24"/>
          <w:szCs w:val="24"/>
        </w:rPr>
        <w:t>-1</w:t>
      </w:r>
      <w:r w:rsidR="008C4D68" w:rsidRPr="00C72AB5">
        <w:rPr>
          <w:rFonts w:ascii="GHEA Grapalat" w:hAnsi="GHEA Grapalat" w:cs="Sylfaen"/>
          <w:sz w:val="24"/>
          <w:szCs w:val="24"/>
        </w:rPr>
        <w:t>4</w:t>
      </w:r>
      <w:r w:rsidR="008A6131" w:rsidRPr="00C72AB5">
        <w:rPr>
          <w:rFonts w:ascii="GHEA Grapalat" w:hAnsi="GHEA Grapalat" w:cs="Sylfaen"/>
          <w:sz w:val="24"/>
          <w:szCs w:val="24"/>
        </w:rPr>
        <w:t xml:space="preserve"> մլրդ ՀՀ դրամ</w:t>
      </w:r>
      <w:r w:rsidR="0028105E" w:rsidRPr="00C72AB5">
        <w:rPr>
          <w:rFonts w:ascii="GHEA Grapalat" w:hAnsi="GHEA Grapalat" w:cs="Sylfaen"/>
          <w:sz w:val="24"/>
          <w:szCs w:val="24"/>
        </w:rPr>
        <w:t xml:space="preserve"> սահմաններին</w:t>
      </w:r>
      <w:r w:rsidR="008A6131" w:rsidRPr="00C72AB5">
        <w:rPr>
          <w:rFonts w:ascii="GHEA Grapalat" w:hAnsi="GHEA Grapalat" w:cs="Sylfaen"/>
          <w:sz w:val="24"/>
          <w:szCs w:val="24"/>
        </w:rPr>
        <w:t xml:space="preserve">, ինչը </w:t>
      </w:r>
      <w:r w:rsidR="000C652A" w:rsidRPr="00C72AB5">
        <w:rPr>
          <w:rFonts w:ascii="GHEA Grapalat" w:hAnsi="GHEA Grapalat" w:cs="Sylfaen"/>
          <w:sz w:val="24"/>
          <w:szCs w:val="24"/>
        </w:rPr>
        <w:t>տատանվել</w:t>
      </w:r>
      <w:r w:rsidR="008A6131" w:rsidRPr="00C72AB5">
        <w:rPr>
          <w:rFonts w:ascii="GHEA Grapalat" w:hAnsi="GHEA Grapalat" w:cs="Sylfaen"/>
          <w:sz w:val="24"/>
          <w:szCs w:val="24"/>
        </w:rPr>
        <w:t xml:space="preserve"> է ՀՆԱ-ի 0.2</w:t>
      </w:r>
      <w:r w:rsidR="0028105E" w:rsidRPr="00C72AB5">
        <w:rPr>
          <w:rFonts w:ascii="GHEA Grapalat" w:hAnsi="GHEA Grapalat" w:cs="Sylfaen"/>
          <w:sz w:val="24"/>
          <w:szCs w:val="24"/>
        </w:rPr>
        <w:t>4</w:t>
      </w:r>
      <w:r w:rsidR="00311196">
        <w:rPr>
          <w:rFonts w:ascii="GHEA Grapalat" w:hAnsi="GHEA Grapalat" w:cs="Sylfaen"/>
          <w:sz w:val="24"/>
          <w:szCs w:val="24"/>
        </w:rPr>
        <w:t xml:space="preserve">%-0.28% </w:t>
      </w:r>
      <w:r w:rsidR="000C652A" w:rsidRPr="00C72AB5">
        <w:rPr>
          <w:rFonts w:ascii="GHEA Grapalat" w:hAnsi="GHEA Grapalat" w:cs="Sylfaen"/>
          <w:sz w:val="24"/>
          <w:szCs w:val="24"/>
        </w:rPr>
        <w:t>տիրույթում</w:t>
      </w:r>
      <w:r w:rsidR="008A6131" w:rsidRPr="00C72AB5">
        <w:rPr>
          <w:rFonts w:ascii="GHEA Grapalat" w:hAnsi="GHEA Grapalat" w:cs="Sylfaen"/>
          <w:sz w:val="24"/>
          <w:szCs w:val="24"/>
        </w:rPr>
        <w:t xml:space="preserve"> (տե΄ս, </w:t>
      </w:r>
      <w:r w:rsidR="005F7C93" w:rsidRPr="00C72AB5">
        <w:rPr>
          <w:rFonts w:ascii="GHEA Grapalat" w:hAnsi="GHEA Grapalat" w:cs="Sylfaen"/>
          <w:sz w:val="24"/>
          <w:szCs w:val="24"/>
        </w:rPr>
        <w:t>Գծապատկեր</w:t>
      </w:r>
      <w:r w:rsidR="000C652A" w:rsidRPr="00C72AB5">
        <w:rPr>
          <w:rFonts w:ascii="GHEA Grapalat" w:hAnsi="GHEA Grapalat" w:cs="Sylfaen"/>
          <w:sz w:val="24"/>
          <w:szCs w:val="24"/>
        </w:rPr>
        <w:t xml:space="preserve"> </w:t>
      </w:r>
      <w:r w:rsidR="00D54FC0" w:rsidRPr="00C72AB5">
        <w:rPr>
          <w:rFonts w:ascii="GHEA Grapalat" w:hAnsi="GHEA Grapalat" w:cs="Sylfaen"/>
          <w:sz w:val="24"/>
          <w:szCs w:val="24"/>
        </w:rPr>
        <w:t>1</w:t>
      </w:r>
      <w:r w:rsidR="008A6131" w:rsidRPr="00C72AB5">
        <w:rPr>
          <w:rFonts w:ascii="GHEA Grapalat" w:hAnsi="GHEA Grapalat" w:cs="Sylfaen"/>
          <w:sz w:val="24"/>
          <w:szCs w:val="24"/>
        </w:rPr>
        <w:t xml:space="preserve">): </w:t>
      </w:r>
      <w:r w:rsidR="00C11292" w:rsidRPr="00C72AB5">
        <w:rPr>
          <w:rFonts w:ascii="GHEA Grapalat" w:hAnsi="GHEA Grapalat" w:cs="Sylfaen"/>
          <w:sz w:val="24"/>
          <w:szCs w:val="24"/>
        </w:rPr>
        <w:t>Գիտա</w:t>
      </w:r>
      <w:r w:rsidR="00C11292">
        <w:rPr>
          <w:rFonts w:ascii="GHEA Grapalat" w:hAnsi="GHEA Grapalat" w:cs="Sylfaen"/>
          <w:sz w:val="24"/>
          <w:szCs w:val="24"/>
        </w:rPr>
        <w:t>տեխնոլոգիական</w:t>
      </w:r>
      <w:r w:rsidR="00EB3139" w:rsidRPr="00C72AB5">
        <w:rPr>
          <w:rFonts w:ascii="GHEA Grapalat" w:hAnsi="GHEA Grapalat" w:cs="Sylfaen"/>
          <w:sz w:val="24"/>
          <w:szCs w:val="24"/>
        </w:rPr>
        <w:t xml:space="preserve"> գործունեության</w:t>
      </w:r>
      <w:r w:rsidR="00DF6AAC" w:rsidRPr="00C72AB5">
        <w:rPr>
          <w:rFonts w:ascii="GHEA Grapalat" w:hAnsi="GHEA Grapalat" w:cs="Sylfaen"/>
          <w:sz w:val="24"/>
          <w:szCs w:val="24"/>
        </w:rPr>
        <w:t xml:space="preserve"> ոլորտի պետական ֆինանսավորման ծավալները 20</w:t>
      </w:r>
      <w:r w:rsidR="00DA77B5" w:rsidRPr="00C72AB5">
        <w:rPr>
          <w:rFonts w:ascii="GHEA Grapalat" w:hAnsi="GHEA Grapalat" w:cs="Sylfaen"/>
          <w:sz w:val="24"/>
          <w:szCs w:val="24"/>
        </w:rPr>
        <w:t>1</w:t>
      </w:r>
      <w:r w:rsidR="0028105E" w:rsidRPr="00C72AB5">
        <w:rPr>
          <w:rFonts w:ascii="GHEA Grapalat" w:hAnsi="GHEA Grapalat" w:cs="Sylfaen"/>
          <w:sz w:val="24"/>
          <w:szCs w:val="24"/>
        </w:rPr>
        <w:t>9</w:t>
      </w:r>
      <w:r w:rsidR="00DF6AAC" w:rsidRPr="00C72AB5">
        <w:rPr>
          <w:rFonts w:ascii="GHEA Grapalat" w:hAnsi="GHEA Grapalat" w:cs="Sylfaen"/>
          <w:sz w:val="24"/>
          <w:szCs w:val="24"/>
        </w:rPr>
        <w:t>-20</w:t>
      </w:r>
      <w:r w:rsidR="00DA77B5" w:rsidRPr="00C72AB5">
        <w:rPr>
          <w:rFonts w:ascii="GHEA Grapalat" w:hAnsi="GHEA Grapalat" w:cs="Sylfaen"/>
          <w:sz w:val="24"/>
          <w:szCs w:val="24"/>
        </w:rPr>
        <w:t>2</w:t>
      </w:r>
      <w:r w:rsidR="0028105E" w:rsidRPr="00C72AB5">
        <w:rPr>
          <w:rFonts w:ascii="GHEA Grapalat" w:hAnsi="GHEA Grapalat" w:cs="Sylfaen"/>
          <w:sz w:val="24"/>
          <w:szCs w:val="24"/>
        </w:rPr>
        <w:t>1</w:t>
      </w:r>
      <w:r w:rsidR="009E41ED" w:rsidRPr="00C72AB5">
        <w:rPr>
          <w:rFonts w:ascii="GHEA Grapalat" w:hAnsi="GHEA Grapalat" w:cs="Sylfaen"/>
          <w:sz w:val="24"/>
          <w:szCs w:val="24"/>
        </w:rPr>
        <w:t xml:space="preserve"> </w:t>
      </w:r>
      <w:r w:rsidR="00DF6AAC" w:rsidRPr="00C72AB5">
        <w:rPr>
          <w:rFonts w:ascii="GHEA Grapalat" w:hAnsi="GHEA Grapalat" w:cs="Sylfaen"/>
          <w:sz w:val="24"/>
          <w:szCs w:val="24"/>
        </w:rPr>
        <w:t>թվականներին բացարձակ արժեքով</w:t>
      </w:r>
      <w:r w:rsidR="0028105E" w:rsidRPr="00C72AB5">
        <w:rPr>
          <w:rFonts w:ascii="GHEA Grapalat" w:hAnsi="GHEA Grapalat" w:cs="Sylfaen"/>
          <w:sz w:val="24"/>
          <w:szCs w:val="24"/>
        </w:rPr>
        <w:t xml:space="preserve"> </w:t>
      </w:r>
      <w:r w:rsidR="00DF6AAC" w:rsidRPr="00C72AB5">
        <w:rPr>
          <w:rFonts w:ascii="GHEA Grapalat" w:hAnsi="GHEA Grapalat" w:cs="Sylfaen"/>
          <w:sz w:val="24"/>
          <w:szCs w:val="24"/>
        </w:rPr>
        <w:t xml:space="preserve">աճել են` </w:t>
      </w:r>
      <w:r w:rsidR="0028105E" w:rsidRPr="00C72AB5">
        <w:rPr>
          <w:rFonts w:ascii="GHEA Grapalat" w:hAnsi="GHEA Grapalat" w:cs="Sylfaen"/>
          <w:sz w:val="24"/>
          <w:szCs w:val="24"/>
        </w:rPr>
        <w:t>16.7 մլրդ</w:t>
      </w:r>
      <w:r w:rsidR="00DF6AAC" w:rsidRPr="00C72AB5">
        <w:rPr>
          <w:rFonts w:ascii="GHEA Grapalat" w:hAnsi="GHEA Grapalat" w:cs="Sylfaen"/>
          <w:sz w:val="24"/>
          <w:szCs w:val="24"/>
        </w:rPr>
        <w:t xml:space="preserve"> ՀՀ դրամից մինչև </w:t>
      </w:r>
      <w:r w:rsidR="0028105E" w:rsidRPr="00C72AB5">
        <w:rPr>
          <w:rFonts w:ascii="GHEA Grapalat" w:hAnsi="GHEA Grapalat" w:cs="Sylfaen"/>
          <w:sz w:val="24"/>
          <w:szCs w:val="24"/>
        </w:rPr>
        <w:t>19.</w:t>
      </w:r>
      <w:r w:rsidR="00AB6CC7" w:rsidRPr="00C72AB5">
        <w:rPr>
          <w:rFonts w:ascii="GHEA Grapalat" w:hAnsi="GHEA Grapalat" w:cs="Sylfaen"/>
          <w:sz w:val="24"/>
          <w:szCs w:val="24"/>
        </w:rPr>
        <w:t>8</w:t>
      </w:r>
      <w:r w:rsidR="00DF6AAC" w:rsidRPr="00C72AB5">
        <w:rPr>
          <w:rFonts w:ascii="GHEA Grapalat" w:hAnsi="GHEA Grapalat" w:cs="Sylfaen"/>
          <w:sz w:val="24"/>
          <w:szCs w:val="24"/>
        </w:rPr>
        <w:t xml:space="preserve"> </w:t>
      </w:r>
      <w:r w:rsidR="0028105E" w:rsidRPr="00C72AB5">
        <w:rPr>
          <w:rFonts w:ascii="GHEA Grapalat" w:hAnsi="GHEA Grapalat" w:cs="Sylfaen"/>
          <w:sz w:val="24"/>
          <w:szCs w:val="24"/>
        </w:rPr>
        <w:t>մլրդ</w:t>
      </w:r>
      <w:r w:rsidR="0091137B">
        <w:rPr>
          <w:rFonts w:ascii="GHEA Grapalat" w:hAnsi="GHEA Grapalat" w:cs="Sylfaen"/>
          <w:sz w:val="24"/>
          <w:szCs w:val="24"/>
        </w:rPr>
        <w:t xml:space="preserve"> ՀՀ</w:t>
      </w:r>
      <w:r w:rsidR="0091137B">
        <w:rPr>
          <w:rFonts w:ascii="Calibri" w:hAnsi="Calibri" w:cs="Sylfaen"/>
          <w:sz w:val="24"/>
          <w:szCs w:val="24"/>
        </w:rPr>
        <w:t> </w:t>
      </w:r>
      <w:r w:rsidR="00DF6AAC" w:rsidRPr="00C72AB5">
        <w:rPr>
          <w:rFonts w:ascii="GHEA Grapalat" w:hAnsi="GHEA Grapalat" w:cs="Sylfaen"/>
          <w:sz w:val="24"/>
          <w:szCs w:val="24"/>
        </w:rPr>
        <w:t>դրամ` կազմելով համախառն ներքին արդյունքի</w:t>
      </w:r>
      <w:r w:rsidR="00FA0B13" w:rsidRPr="00C72AB5">
        <w:rPr>
          <w:rFonts w:ascii="GHEA Grapalat" w:hAnsi="GHEA Grapalat" w:cs="Sylfaen"/>
          <w:sz w:val="24"/>
          <w:szCs w:val="24"/>
          <w:vertAlign w:val="superscript"/>
        </w:rPr>
        <w:footnoteReference w:id="9"/>
      </w:r>
      <w:r w:rsidR="00DF6AAC" w:rsidRPr="00C72AB5">
        <w:rPr>
          <w:rFonts w:ascii="GHEA Grapalat" w:hAnsi="GHEA Grapalat" w:cs="Sylfaen"/>
          <w:sz w:val="24"/>
          <w:szCs w:val="24"/>
        </w:rPr>
        <w:t xml:space="preserve"> (այսուհետ` ՀՆԱ) համապատասխանաբար </w:t>
      </w:r>
      <w:r w:rsidR="0028105E" w:rsidRPr="00C72AB5">
        <w:rPr>
          <w:rFonts w:ascii="GHEA Grapalat" w:hAnsi="GHEA Grapalat" w:cs="Sylfaen"/>
          <w:sz w:val="24"/>
          <w:szCs w:val="24"/>
        </w:rPr>
        <w:t>0.25</w:t>
      </w:r>
      <w:r w:rsidR="0091137B">
        <w:rPr>
          <w:rFonts w:ascii="GHEA Grapalat" w:hAnsi="GHEA Grapalat" w:cs="Sylfaen"/>
          <w:sz w:val="24"/>
          <w:szCs w:val="24"/>
        </w:rPr>
        <w:t>%</w:t>
      </w:r>
      <w:r w:rsidR="0028105E" w:rsidRPr="00C72AB5">
        <w:rPr>
          <w:rFonts w:ascii="GHEA Grapalat" w:hAnsi="GHEA Grapalat" w:cs="Sylfaen"/>
          <w:sz w:val="24"/>
          <w:szCs w:val="24"/>
        </w:rPr>
        <w:t xml:space="preserve"> և 0.28</w:t>
      </w:r>
      <w:r w:rsidR="0091137B">
        <w:rPr>
          <w:rFonts w:ascii="GHEA Grapalat" w:hAnsi="GHEA Grapalat" w:cs="Sylfaen"/>
          <w:sz w:val="24"/>
          <w:szCs w:val="24"/>
        </w:rPr>
        <w:t>%</w:t>
      </w:r>
      <w:r w:rsidR="007D017E" w:rsidRPr="00C72AB5">
        <w:rPr>
          <w:rFonts w:ascii="GHEA Grapalat" w:hAnsi="GHEA Grapalat" w:cs="Sylfaen"/>
          <w:sz w:val="24"/>
          <w:szCs w:val="24"/>
        </w:rPr>
        <w:t>:</w:t>
      </w:r>
      <w:r w:rsidR="003B07DC" w:rsidRPr="00C72AB5">
        <w:rPr>
          <w:rFonts w:ascii="GHEA Grapalat" w:hAnsi="GHEA Grapalat" w:cs="Sylfaen"/>
          <w:sz w:val="24"/>
          <w:szCs w:val="24"/>
        </w:rPr>
        <w:t xml:space="preserve"> </w:t>
      </w:r>
      <w:r w:rsidR="001726F9" w:rsidRPr="00C72AB5">
        <w:rPr>
          <w:rFonts w:ascii="GHEA Grapalat" w:hAnsi="GHEA Grapalat" w:cs="Sylfaen"/>
          <w:sz w:val="24"/>
          <w:szCs w:val="24"/>
        </w:rPr>
        <w:t>2022 թվականի</w:t>
      </w:r>
      <w:r w:rsidR="00CD2DE6" w:rsidRPr="00C72AB5">
        <w:rPr>
          <w:rFonts w:ascii="GHEA Grapalat" w:hAnsi="GHEA Grapalat" w:cs="Sylfaen"/>
          <w:sz w:val="24"/>
          <w:szCs w:val="24"/>
        </w:rPr>
        <w:t xml:space="preserve">ց, համապատասխան </w:t>
      </w:r>
      <w:r w:rsidR="00D357C0" w:rsidRPr="0091137B">
        <w:rPr>
          <w:rFonts w:ascii="GHEA Grapalat" w:hAnsi="GHEA Grapalat" w:cs="Sylfaen"/>
          <w:sz w:val="24"/>
          <w:szCs w:val="24"/>
        </w:rPr>
        <w:t>Հայաստանի Հանրապետության</w:t>
      </w:r>
      <w:r w:rsidR="00CD2DE6" w:rsidRPr="0091137B">
        <w:rPr>
          <w:rFonts w:ascii="GHEA Grapalat" w:hAnsi="GHEA Grapalat" w:cs="Sylfaen"/>
          <w:sz w:val="24"/>
          <w:szCs w:val="24"/>
        </w:rPr>
        <w:t xml:space="preserve"> </w:t>
      </w:r>
      <w:r w:rsidR="00CD2DE6" w:rsidRPr="00C72AB5">
        <w:rPr>
          <w:rFonts w:ascii="GHEA Grapalat" w:hAnsi="GHEA Grapalat" w:cs="Sylfaen"/>
          <w:sz w:val="24"/>
          <w:szCs w:val="24"/>
        </w:rPr>
        <w:t>կառավարության 2021-2026</w:t>
      </w:r>
      <w:r w:rsidR="00C11292">
        <w:rPr>
          <w:rFonts w:ascii="GHEA Grapalat" w:hAnsi="GHEA Grapalat" w:cs="Sylfaen"/>
          <w:sz w:val="24"/>
          <w:szCs w:val="24"/>
        </w:rPr>
        <w:t xml:space="preserve"> թվականների</w:t>
      </w:r>
      <w:r w:rsidR="00CD2DE6" w:rsidRPr="00C72AB5">
        <w:rPr>
          <w:rFonts w:ascii="GHEA Grapalat" w:hAnsi="GHEA Grapalat" w:cs="Sylfaen"/>
          <w:sz w:val="24"/>
          <w:szCs w:val="24"/>
        </w:rPr>
        <w:t xml:space="preserve"> ծրագրի,</w:t>
      </w:r>
      <w:r w:rsidR="001726F9" w:rsidRPr="00C72AB5">
        <w:rPr>
          <w:rFonts w:ascii="GHEA Grapalat" w:hAnsi="GHEA Grapalat" w:cs="Sylfaen"/>
          <w:sz w:val="24"/>
          <w:szCs w:val="24"/>
        </w:rPr>
        <w:t xml:space="preserve"> </w:t>
      </w:r>
      <w:r w:rsidR="00CD2DE6" w:rsidRPr="00C72AB5">
        <w:rPr>
          <w:rFonts w:ascii="GHEA Grapalat" w:hAnsi="GHEA Grapalat" w:cs="Sylfaen"/>
          <w:sz w:val="24"/>
          <w:szCs w:val="24"/>
        </w:rPr>
        <w:t xml:space="preserve">մեկնարկել է </w:t>
      </w:r>
      <w:r w:rsidR="001726F9" w:rsidRPr="00C72AB5">
        <w:rPr>
          <w:rFonts w:ascii="GHEA Grapalat" w:hAnsi="GHEA Grapalat" w:cs="Sylfaen"/>
          <w:sz w:val="24"/>
          <w:szCs w:val="24"/>
        </w:rPr>
        <w:t>պետական բյուջեով հետազոտությունների</w:t>
      </w:r>
      <w:r w:rsidR="001726F9" w:rsidRPr="00C72AB5">
        <w:rPr>
          <w:rFonts w:ascii="GHEA Grapalat" w:hAnsi="GHEA Grapalat" w:cs="Arial"/>
          <w:sz w:val="24"/>
          <w:szCs w:val="24"/>
        </w:rPr>
        <w:t xml:space="preserve"> և մշակումների</w:t>
      </w:r>
      <w:r w:rsidR="00F36F23">
        <w:rPr>
          <w:rFonts w:ascii="GHEA Grapalat" w:hAnsi="GHEA Grapalat" w:cs="Arial"/>
          <w:sz w:val="24"/>
          <w:szCs w:val="24"/>
        </w:rPr>
        <w:t xml:space="preserve"> </w:t>
      </w:r>
      <w:r w:rsidR="00F36F23" w:rsidRPr="00F36F23">
        <w:rPr>
          <w:rFonts w:ascii="GHEA Grapalat" w:hAnsi="GHEA Grapalat" w:cs="Arial"/>
          <w:sz w:val="24"/>
          <w:szCs w:val="24"/>
        </w:rPr>
        <w:t>(</w:t>
      </w:r>
      <w:r w:rsidR="00F36F23">
        <w:rPr>
          <w:rFonts w:ascii="GHEA Grapalat" w:hAnsi="GHEA Grapalat" w:cs="Arial"/>
          <w:sz w:val="24"/>
          <w:szCs w:val="24"/>
        </w:rPr>
        <w:t>այսուհետ՝ ՀևՄ</w:t>
      </w:r>
      <w:r w:rsidR="00F36F23" w:rsidRPr="00F36F23">
        <w:rPr>
          <w:rFonts w:ascii="GHEA Grapalat" w:hAnsi="GHEA Grapalat" w:cs="Arial"/>
          <w:sz w:val="24"/>
          <w:szCs w:val="24"/>
        </w:rPr>
        <w:t>)</w:t>
      </w:r>
      <w:r w:rsidR="001726F9" w:rsidRPr="00C72AB5">
        <w:rPr>
          <w:rFonts w:ascii="GHEA Grapalat" w:hAnsi="GHEA Grapalat" w:cs="Arial"/>
          <w:sz w:val="24"/>
          <w:szCs w:val="24"/>
        </w:rPr>
        <w:t xml:space="preserve"> ոլորտ</w:t>
      </w:r>
      <w:r w:rsidR="003424BD">
        <w:rPr>
          <w:rFonts w:ascii="GHEA Grapalat" w:hAnsi="GHEA Grapalat" w:cs="Arial"/>
          <w:sz w:val="24"/>
          <w:szCs w:val="24"/>
        </w:rPr>
        <w:t xml:space="preserve">ի </w:t>
      </w:r>
      <w:r w:rsidR="001726F9" w:rsidRPr="00C72AB5">
        <w:rPr>
          <w:rFonts w:ascii="GHEA Grapalat" w:hAnsi="GHEA Grapalat" w:cs="Arial"/>
          <w:sz w:val="24"/>
          <w:szCs w:val="24"/>
        </w:rPr>
        <w:t>ֆինանսա</w:t>
      </w:r>
      <w:r w:rsidR="003424BD">
        <w:rPr>
          <w:rFonts w:ascii="GHEA Grapalat" w:hAnsi="GHEA Grapalat" w:cs="Arial"/>
          <w:sz w:val="24"/>
          <w:szCs w:val="24"/>
        </w:rPr>
        <w:t xml:space="preserve">կան հատկացումների </w:t>
      </w:r>
      <w:r w:rsidR="00CD2DE6" w:rsidRPr="00C72AB5">
        <w:rPr>
          <w:rFonts w:ascii="GHEA Grapalat" w:hAnsi="GHEA Grapalat" w:cs="Arial"/>
          <w:sz w:val="24"/>
          <w:szCs w:val="24"/>
        </w:rPr>
        <w:t>կտրուկ ավելացման գործընթացը, որն իրականացվել է թիրախային մի շարք ուղղություններով</w:t>
      </w:r>
      <w:r w:rsidR="001E7008" w:rsidRPr="00C72AB5">
        <w:rPr>
          <w:rFonts w:ascii="GHEA Grapalat" w:hAnsi="GHEA Grapalat" w:cs="Arial"/>
          <w:sz w:val="24"/>
          <w:szCs w:val="24"/>
        </w:rPr>
        <w:t>: 2022 թվականին հատկացվ</w:t>
      </w:r>
      <w:r w:rsidR="001726F9" w:rsidRPr="00C72AB5">
        <w:rPr>
          <w:rFonts w:ascii="GHEA Grapalat" w:hAnsi="GHEA Grapalat" w:cs="Arial"/>
          <w:sz w:val="24"/>
          <w:szCs w:val="24"/>
        </w:rPr>
        <w:t xml:space="preserve">ել է 29.78 </w:t>
      </w:r>
      <w:r w:rsidR="00D357C0" w:rsidRPr="0091137B">
        <w:rPr>
          <w:rFonts w:ascii="GHEA Grapalat" w:hAnsi="GHEA Grapalat" w:cs="Arial"/>
          <w:sz w:val="24"/>
          <w:szCs w:val="24"/>
        </w:rPr>
        <w:t>մ</w:t>
      </w:r>
      <w:r w:rsidR="001726F9" w:rsidRPr="0091137B">
        <w:rPr>
          <w:rFonts w:ascii="GHEA Grapalat" w:hAnsi="GHEA Grapalat" w:cs="Arial"/>
          <w:sz w:val="24"/>
          <w:szCs w:val="24"/>
        </w:rPr>
        <w:t>լրդ</w:t>
      </w:r>
      <w:r w:rsidR="00D357C0" w:rsidRPr="0091137B">
        <w:rPr>
          <w:rFonts w:ascii="GHEA Grapalat" w:hAnsi="GHEA Grapalat" w:cs="Arial"/>
          <w:sz w:val="24"/>
          <w:szCs w:val="24"/>
        </w:rPr>
        <w:t xml:space="preserve"> ՀՀ</w:t>
      </w:r>
      <w:r w:rsidR="001726F9" w:rsidRPr="0091137B">
        <w:rPr>
          <w:rFonts w:ascii="GHEA Grapalat" w:hAnsi="GHEA Grapalat" w:cs="Arial"/>
          <w:sz w:val="24"/>
          <w:szCs w:val="24"/>
        </w:rPr>
        <w:t xml:space="preserve"> </w:t>
      </w:r>
      <w:r w:rsidR="001726F9" w:rsidRPr="00C72AB5">
        <w:rPr>
          <w:rFonts w:ascii="GHEA Grapalat" w:hAnsi="GHEA Grapalat" w:cs="Arial"/>
          <w:sz w:val="24"/>
          <w:szCs w:val="24"/>
        </w:rPr>
        <w:t>դրամ, որը նախորդ տարվա համեմատ</w:t>
      </w:r>
      <w:r w:rsidR="00B13226" w:rsidRPr="00C72AB5">
        <w:rPr>
          <w:rFonts w:ascii="GHEA Grapalat" w:hAnsi="GHEA Grapalat" w:cs="Arial"/>
          <w:sz w:val="24"/>
          <w:szCs w:val="24"/>
        </w:rPr>
        <w:t xml:space="preserve"> ընդհանուր ծրագրերի մասով աճել է 5</w:t>
      </w:r>
      <w:r w:rsidR="001726F9" w:rsidRPr="00C72AB5">
        <w:rPr>
          <w:rFonts w:ascii="GHEA Grapalat" w:hAnsi="GHEA Grapalat" w:cs="Arial"/>
          <w:sz w:val="24"/>
          <w:szCs w:val="24"/>
        </w:rPr>
        <w:t>0</w:t>
      </w:r>
      <w:r w:rsidR="00B13226" w:rsidRPr="00C72AB5">
        <w:rPr>
          <w:rFonts w:ascii="GHEA Grapalat" w:hAnsi="GHEA Grapalat" w:cs="Arial"/>
          <w:sz w:val="24"/>
          <w:szCs w:val="24"/>
        </w:rPr>
        <w:t>.4</w:t>
      </w:r>
      <w:r w:rsidR="001726F9" w:rsidRPr="00C72AB5">
        <w:rPr>
          <w:rFonts w:ascii="GHEA Grapalat" w:hAnsi="GHEA Grapalat" w:cs="Arial"/>
          <w:sz w:val="24"/>
          <w:szCs w:val="24"/>
        </w:rPr>
        <w:t>%</w:t>
      </w:r>
      <w:r w:rsidR="00B13226" w:rsidRPr="00C72AB5">
        <w:rPr>
          <w:rFonts w:ascii="GHEA Grapalat" w:hAnsi="GHEA Grapalat" w:cs="Arial"/>
          <w:sz w:val="24"/>
          <w:szCs w:val="24"/>
        </w:rPr>
        <w:t>-ով</w:t>
      </w:r>
      <w:r w:rsidR="006C1B89" w:rsidRPr="00C72AB5">
        <w:rPr>
          <w:rFonts w:ascii="GHEA Grapalat" w:hAnsi="GHEA Grapalat" w:cs="Arial"/>
          <w:sz w:val="24"/>
          <w:szCs w:val="24"/>
        </w:rPr>
        <w:t>` տվյալ տարվա համար կ</w:t>
      </w:r>
      <w:r w:rsidR="00D07242" w:rsidRPr="00C72AB5">
        <w:rPr>
          <w:rFonts w:ascii="GHEA Grapalat" w:hAnsi="GHEA Grapalat" w:cs="Arial"/>
          <w:sz w:val="24"/>
          <w:szCs w:val="24"/>
        </w:rPr>
        <w:t>ազմ</w:t>
      </w:r>
      <w:r w:rsidR="006C1B89" w:rsidRPr="00C72AB5">
        <w:rPr>
          <w:rFonts w:ascii="GHEA Grapalat" w:hAnsi="GHEA Grapalat" w:cs="Arial"/>
          <w:sz w:val="24"/>
          <w:szCs w:val="24"/>
        </w:rPr>
        <w:t xml:space="preserve">ելով </w:t>
      </w:r>
      <w:r w:rsidR="00B8465B" w:rsidRPr="00C72AB5">
        <w:rPr>
          <w:rFonts w:ascii="GHEA Grapalat" w:hAnsi="GHEA Grapalat" w:cs="Arial"/>
          <w:sz w:val="24"/>
          <w:szCs w:val="24"/>
        </w:rPr>
        <w:t xml:space="preserve">ՀՆԱ </w:t>
      </w:r>
      <w:r w:rsidR="003B07DC" w:rsidRPr="00C72AB5">
        <w:rPr>
          <w:rFonts w:ascii="GHEA Grapalat" w:hAnsi="GHEA Grapalat" w:cs="Arial"/>
          <w:sz w:val="24"/>
          <w:szCs w:val="24"/>
        </w:rPr>
        <w:t>0.</w:t>
      </w:r>
      <w:r w:rsidR="006C1B89" w:rsidRPr="00C72AB5">
        <w:rPr>
          <w:rFonts w:ascii="GHEA Grapalat" w:hAnsi="GHEA Grapalat" w:cs="Arial"/>
          <w:sz w:val="24"/>
          <w:szCs w:val="24"/>
        </w:rPr>
        <w:t>38</w:t>
      </w:r>
      <w:r w:rsidR="003B07DC" w:rsidRPr="00C72AB5">
        <w:rPr>
          <w:rFonts w:ascii="GHEA Grapalat" w:hAnsi="GHEA Grapalat" w:cs="Arial"/>
          <w:sz w:val="24"/>
          <w:szCs w:val="24"/>
        </w:rPr>
        <w:t>%</w:t>
      </w:r>
      <w:r w:rsidR="006C1B89" w:rsidRPr="00C72AB5">
        <w:rPr>
          <w:rFonts w:ascii="GHEA Grapalat" w:hAnsi="GHEA Grapalat" w:cs="Arial"/>
          <w:sz w:val="24"/>
          <w:szCs w:val="24"/>
        </w:rPr>
        <w:t>: 2023 և 2024 թվականներին ոլորտում պետական ներդրումնե</w:t>
      </w:r>
      <w:r w:rsidR="00C11292">
        <w:rPr>
          <w:rFonts w:ascii="GHEA Grapalat" w:hAnsi="GHEA Grapalat" w:cs="Arial"/>
          <w:sz w:val="24"/>
          <w:szCs w:val="24"/>
        </w:rPr>
        <w:t>րի ծավալը շարունակել է ավելանալ,</w:t>
      </w:r>
      <w:r w:rsidR="006C1B89" w:rsidRPr="00C72AB5">
        <w:rPr>
          <w:rFonts w:ascii="GHEA Grapalat" w:hAnsi="GHEA Grapalat" w:cs="Arial"/>
          <w:sz w:val="24"/>
          <w:szCs w:val="24"/>
        </w:rPr>
        <w:t xml:space="preserve"> այդ թվում</w:t>
      </w:r>
      <w:r w:rsidR="00C11292">
        <w:rPr>
          <w:rFonts w:ascii="GHEA Grapalat" w:hAnsi="GHEA Grapalat" w:cs="Arial"/>
          <w:sz w:val="24"/>
          <w:szCs w:val="24"/>
        </w:rPr>
        <w:t>՝</w:t>
      </w:r>
      <w:r w:rsidR="006C1B89" w:rsidRPr="00C72AB5">
        <w:rPr>
          <w:rFonts w:ascii="GHEA Grapalat" w:hAnsi="GHEA Grapalat" w:cs="Arial"/>
          <w:sz w:val="24"/>
          <w:szCs w:val="24"/>
        </w:rPr>
        <w:t xml:space="preserve"> 2023 թվականից առաջին անգամ առանձին միջոցառումներով ոլորտում կապիտալ ներդրումների իրականացմամբ</w:t>
      </w:r>
      <w:r w:rsidR="008A319A">
        <w:rPr>
          <w:rFonts w:ascii="GHEA Grapalat" w:hAnsi="GHEA Grapalat" w:cs="Arial"/>
          <w:sz w:val="24"/>
          <w:szCs w:val="24"/>
        </w:rPr>
        <w:t>՝</w:t>
      </w:r>
      <w:r w:rsidR="00CD2EC7" w:rsidRPr="00C72AB5">
        <w:rPr>
          <w:rFonts w:ascii="GHEA Grapalat" w:hAnsi="GHEA Grapalat" w:cs="Arial"/>
          <w:sz w:val="24"/>
          <w:szCs w:val="24"/>
        </w:rPr>
        <w:t xml:space="preserve"> այդպիսով 2018 թվականի նկատմամբ 2025 թվականին գրանցելով ոլորտին հատկացումների 2.8 պատիկ</w:t>
      </w:r>
      <w:r w:rsidR="0095311F">
        <w:rPr>
          <w:rFonts w:ascii="GHEA Grapalat" w:hAnsi="GHEA Grapalat" w:cs="Arial"/>
          <w:sz w:val="24"/>
          <w:szCs w:val="24"/>
        </w:rPr>
        <w:t xml:space="preserve"> </w:t>
      </w:r>
      <w:r w:rsidR="00CD2EC7" w:rsidRPr="00C72AB5">
        <w:rPr>
          <w:rFonts w:ascii="GHEA Grapalat" w:hAnsi="GHEA Grapalat" w:cs="Arial"/>
          <w:sz w:val="24"/>
          <w:szCs w:val="24"/>
        </w:rPr>
        <w:t>կամ 181% ավելացում</w:t>
      </w:r>
      <w:r w:rsidR="00BC5A1D" w:rsidRPr="00C72AB5">
        <w:rPr>
          <w:rFonts w:ascii="GHEA Grapalat" w:hAnsi="GHEA Grapalat" w:cs="Arial"/>
          <w:sz w:val="24"/>
          <w:szCs w:val="24"/>
        </w:rPr>
        <w:t xml:space="preserve">: </w:t>
      </w:r>
    </w:p>
    <w:p w14:paraId="7F312C68" w14:textId="77777777" w:rsidR="00AA5ED1" w:rsidRPr="00C72AB5" w:rsidRDefault="00AA5ED1" w:rsidP="0049437D">
      <w:pPr>
        <w:tabs>
          <w:tab w:val="left" w:pos="851"/>
          <w:tab w:val="left" w:pos="993"/>
        </w:tabs>
        <w:spacing w:line="276" w:lineRule="auto"/>
        <w:ind w:firstLine="567"/>
        <w:jc w:val="both"/>
        <w:rPr>
          <w:rFonts w:ascii="GHEA Grapalat" w:hAnsi="GHEA Grapalat" w:cs="Arial"/>
          <w:sz w:val="24"/>
          <w:szCs w:val="24"/>
        </w:rPr>
      </w:pPr>
    </w:p>
    <w:p w14:paraId="3939ADC2" w14:textId="3414D268" w:rsidR="00C82B95" w:rsidRPr="00C72AB5" w:rsidRDefault="00C93216" w:rsidP="0049437D">
      <w:pPr>
        <w:tabs>
          <w:tab w:val="left" w:pos="709"/>
          <w:tab w:val="left" w:pos="851"/>
        </w:tabs>
        <w:spacing w:line="276" w:lineRule="auto"/>
        <w:jc w:val="center"/>
        <w:rPr>
          <w:rFonts w:ascii="GHEA Grapalat" w:hAnsi="GHEA Grapalat"/>
          <w:sz w:val="24"/>
          <w:szCs w:val="24"/>
          <w:lang w:eastAsia="en-US"/>
        </w:rPr>
      </w:pPr>
      <w:r>
        <w:rPr>
          <w:noProof/>
          <w:lang w:val="en-US" w:eastAsia="en-US"/>
        </w:rPr>
        <w:drawing>
          <wp:inline distT="0" distB="0" distL="0" distR="0" wp14:anchorId="1DD8BA12" wp14:editId="0F72AD7C">
            <wp:extent cx="6119495" cy="2549525"/>
            <wp:effectExtent l="0" t="0" r="0" b="3175"/>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96DAC541-7B7A-43D3-8B79-37D633B846F1}">
                          <asvg:svgBlip xmlns:asvg="http://schemas.microsoft.com/office/drawing/2016/SVG/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9"/>
                        </a:ext>
                      </a:extLst>
                    </a:blip>
                    <a:stretch>
                      <a:fillRect/>
                    </a:stretch>
                  </pic:blipFill>
                  <pic:spPr>
                    <a:xfrm>
                      <a:off x="0" y="0"/>
                      <a:ext cx="6119495" cy="2549525"/>
                    </a:xfrm>
                    <a:prstGeom prst="rect">
                      <a:avLst/>
                    </a:prstGeom>
                  </pic:spPr>
                </pic:pic>
              </a:graphicData>
            </a:graphic>
          </wp:inline>
        </w:drawing>
      </w:r>
      <w:r w:rsidR="009F0DDB">
        <w:rPr>
          <w:noProof/>
        </w:rPr>
        <w:t xml:space="preserve"> </w:t>
      </w:r>
    </w:p>
    <w:p w14:paraId="74CBB6ED" w14:textId="074943B3" w:rsidR="008A6131" w:rsidRPr="00C72AB5" w:rsidRDefault="005F7C93" w:rsidP="00181F43">
      <w:pPr>
        <w:tabs>
          <w:tab w:val="left" w:pos="709"/>
          <w:tab w:val="left" w:pos="851"/>
        </w:tabs>
        <w:ind w:left="567" w:hanging="567"/>
        <w:jc w:val="both"/>
        <w:rPr>
          <w:rFonts w:ascii="GHEA Grapalat" w:hAnsi="GHEA Grapalat"/>
        </w:rPr>
      </w:pPr>
      <w:r w:rsidRPr="00A23279">
        <w:rPr>
          <w:rFonts w:ascii="GHEA Grapalat" w:hAnsi="GHEA Grapalat"/>
          <w:b/>
        </w:rPr>
        <w:t>Գծապատկեր</w:t>
      </w:r>
      <w:r w:rsidR="008A6131" w:rsidRPr="00A23279">
        <w:rPr>
          <w:rFonts w:ascii="GHEA Grapalat" w:hAnsi="GHEA Grapalat"/>
          <w:b/>
        </w:rPr>
        <w:t xml:space="preserve"> </w:t>
      </w:r>
      <w:r w:rsidR="001066B5" w:rsidRPr="00A23279">
        <w:rPr>
          <w:rFonts w:ascii="GHEA Grapalat" w:hAnsi="GHEA Grapalat"/>
          <w:b/>
        </w:rPr>
        <w:t>1</w:t>
      </w:r>
      <w:r w:rsidR="008A6131" w:rsidRPr="00A23279">
        <w:rPr>
          <w:rFonts w:ascii="GHEA Grapalat" w:hAnsi="GHEA Grapalat"/>
        </w:rPr>
        <w:t xml:space="preserve">. </w:t>
      </w:r>
      <w:r w:rsidR="00C93216" w:rsidRPr="00C93216">
        <w:rPr>
          <w:rFonts w:ascii="GHEA Grapalat" w:hAnsi="GHEA Grapalat"/>
        </w:rPr>
        <w:t>Գիտական և գիտատեխնիկական գործունեության ոլորտի 2010-2026</w:t>
      </w:r>
      <w:r w:rsidR="00C93216" w:rsidRPr="00C93216">
        <w:rPr>
          <w:rFonts w:ascii="Calibri" w:hAnsi="Calibri" w:cs="Calibri"/>
        </w:rPr>
        <w:t> </w:t>
      </w:r>
      <w:r w:rsidR="00C93216" w:rsidRPr="00C93216">
        <w:rPr>
          <w:rFonts w:ascii="GHEA Grapalat" w:hAnsi="GHEA Grapalat" w:cs="GHEA Grapalat"/>
        </w:rPr>
        <w:t>թվականների</w:t>
      </w:r>
      <w:r w:rsidR="00C93216" w:rsidRPr="00C93216">
        <w:rPr>
          <w:rFonts w:ascii="GHEA Grapalat" w:hAnsi="GHEA Grapalat"/>
        </w:rPr>
        <w:t xml:space="preserve"> </w:t>
      </w:r>
      <w:r w:rsidR="00C93216" w:rsidRPr="00C93216">
        <w:rPr>
          <w:rFonts w:ascii="GHEA Grapalat" w:hAnsi="GHEA Grapalat" w:cs="GHEA Grapalat"/>
        </w:rPr>
        <w:t>պետության</w:t>
      </w:r>
      <w:r w:rsidR="00C93216" w:rsidRPr="00C93216">
        <w:rPr>
          <w:rFonts w:ascii="GHEA Grapalat" w:hAnsi="GHEA Grapalat"/>
        </w:rPr>
        <w:t xml:space="preserve"> </w:t>
      </w:r>
      <w:r w:rsidR="00C93216" w:rsidRPr="00C93216">
        <w:rPr>
          <w:rFonts w:ascii="GHEA Grapalat" w:hAnsi="GHEA Grapalat" w:cs="GHEA Grapalat"/>
        </w:rPr>
        <w:t>կողմից</w:t>
      </w:r>
      <w:r w:rsidR="00C93216" w:rsidRPr="00C93216">
        <w:rPr>
          <w:rFonts w:ascii="GHEA Grapalat" w:hAnsi="GHEA Grapalat"/>
        </w:rPr>
        <w:t xml:space="preserve"> </w:t>
      </w:r>
      <w:r w:rsidR="00C93216" w:rsidRPr="00C93216">
        <w:rPr>
          <w:rFonts w:ascii="GHEA Grapalat" w:hAnsi="GHEA Grapalat" w:cs="GHEA Grapalat"/>
        </w:rPr>
        <w:t>ֆինանսական</w:t>
      </w:r>
      <w:r w:rsidR="00C93216" w:rsidRPr="00C93216">
        <w:rPr>
          <w:rFonts w:ascii="GHEA Grapalat" w:hAnsi="GHEA Grapalat"/>
        </w:rPr>
        <w:t xml:space="preserve"> </w:t>
      </w:r>
      <w:r w:rsidR="00C93216" w:rsidRPr="00C93216">
        <w:rPr>
          <w:rFonts w:ascii="GHEA Grapalat" w:hAnsi="GHEA Grapalat" w:cs="GHEA Grapalat"/>
        </w:rPr>
        <w:t>հատկացումների</w:t>
      </w:r>
      <w:r w:rsidR="00C93216" w:rsidRPr="00C93216">
        <w:rPr>
          <w:rFonts w:ascii="GHEA Grapalat" w:hAnsi="GHEA Grapalat"/>
        </w:rPr>
        <w:t xml:space="preserve"> </w:t>
      </w:r>
      <w:r w:rsidR="00C93216" w:rsidRPr="00C93216">
        <w:rPr>
          <w:rFonts w:ascii="GHEA Grapalat" w:hAnsi="GHEA Grapalat" w:cs="GHEA Grapalat"/>
        </w:rPr>
        <w:t>ծավալները</w:t>
      </w:r>
      <w:r w:rsidR="00C93216" w:rsidRPr="00C93216">
        <w:rPr>
          <w:rFonts w:ascii="GHEA Grapalat" w:hAnsi="GHEA Grapalat"/>
        </w:rPr>
        <w:t xml:space="preserve"> </w:t>
      </w:r>
      <w:r w:rsidR="00C93216" w:rsidRPr="00C93216">
        <w:rPr>
          <w:rFonts w:ascii="GHEA Grapalat" w:hAnsi="GHEA Grapalat" w:cs="GHEA Grapalat"/>
        </w:rPr>
        <w:t>բացարձակ</w:t>
      </w:r>
      <w:r w:rsidR="00C93216" w:rsidRPr="00C93216">
        <w:rPr>
          <w:rFonts w:ascii="GHEA Grapalat" w:hAnsi="GHEA Grapalat"/>
        </w:rPr>
        <w:t xml:space="preserve"> </w:t>
      </w:r>
      <w:r w:rsidR="00C93216" w:rsidRPr="00C93216">
        <w:rPr>
          <w:rFonts w:ascii="GHEA Grapalat" w:hAnsi="GHEA Grapalat" w:cs="GHEA Grapalat"/>
        </w:rPr>
        <w:t>արժեքով</w:t>
      </w:r>
      <w:r w:rsidR="00C93216" w:rsidRPr="00C93216">
        <w:rPr>
          <w:rFonts w:ascii="GHEA Grapalat" w:hAnsi="GHEA Grapalat"/>
        </w:rPr>
        <w:t xml:space="preserve"> (</w:t>
      </w:r>
      <w:r w:rsidR="00C93216" w:rsidRPr="00C93216">
        <w:rPr>
          <w:rFonts w:ascii="GHEA Grapalat" w:hAnsi="GHEA Grapalat" w:cs="GHEA Grapalat"/>
        </w:rPr>
        <w:t>մլրդ</w:t>
      </w:r>
      <w:r w:rsidR="00C93216" w:rsidRPr="00C93216">
        <w:rPr>
          <w:rFonts w:ascii="GHEA Grapalat" w:hAnsi="GHEA Grapalat"/>
        </w:rPr>
        <w:t xml:space="preserve">. </w:t>
      </w:r>
      <w:r w:rsidR="00C93216" w:rsidRPr="00C93216">
        <w:rPr>
          <w:rFonts w:ascii="GHEA Grapalat" w:hAnsi="GHEA Grapalat" w:cs="GHEA Grapalat"/>
        </w:rPr>
        <w:t>դրամ</w:t>
      </w:r>
      <w:r w:rsidR="00C93216" w:rsidRPr="00C93216">
        <w:rPr>
          <w:rFonts w:ascii="GHEA Grapalat" w:hAnsi="GHEA Grapalat"/>
        </w:rPr>
        <w:t xml:space="preserve">) </w:t>
      </w:r>
      <w:r w:rsidR="00C93216" w:rsidRPr="00C93216">
        <w:rPr>
          <w:rFonts w:ascii="GHEA Grapalat" w:hAnsi="GHEA Grapalat" w:cs="GHEA Grapalat"/>
        </w:rPr>
        <w:t>և</w:t>
      </w:r>
      <w:r w:rsidR="00C93216" w:rsidRPr="00C93216">
        <w:rPr>
          <w:rFonts w:ascii="GHEA Grapalat" w:hAnsi="GHEA Grapalat"/>
        </w:rPr>
        <w:t xml:space="preserve"> </w:t>
      </w:r>
      <w:r w:rsidR="00C93216" w:rsidRPr="00C93216">
        <w:rPr>
          <w:rFonts w:ascii="GHEA Grapalat" w:hAnsi="GHEA Grapalat" w:cs="GHEA Grapalat"/>
        </w:rPr>
        <w:t>ըստ</w:t>
      </w:r>
      <w:r w:rsidR="00C93216" w:rsidRPr="00C93216">
        <w:rPr>
          <w:rFonts w:ascii="GHEA Grapalat" w:hAnsi="GHEA Grapalat"/>
        </w:rPr>
        <w:t xml:space="preserve"> </w:t>
      </w:r>
      <w:r w:rsidR="00C93216" w:rsidRPr="00C93216">
        <w:rPr>
          <w:rFonts w:ascii="GHEA Grapalat" w:hAnsi="GHEA Grapalat" w:cs="GHEA Grapalat"/>
        </w:rPr>
        <w:t>ՀՆԱ</w:t>
      </w:r>
      <w:r w:rsidR="00C93216" w:rsidRPr="00C93216">
        <w:rPr>
          <w:rFonts w:ascii="GHEA Grapalat" w:hAnsi="GHEA Grapalat"/>
        </w:rPr>
        <w:t xml:space="preserve"> </w:t>
      </w:r>
      <w:r w:rsidR="00C93216" w:rsidRPr="00C93216">
        <w:rPr>
          <w:rFonts w:ascii="GHEA Grapalat" w:hAnsi="GHEA Grapalat" w:cs="GHEA Grapalat"/>
        </w:rPr>
        <w:t>հարաբերակցության</w:t>
      </w:r>
      <w:r w:rsidR="00C93216" w:rsidRPr="00C93216">
        <w:rPr>
          <w:rFonts w:ascii="GHEA Grapalat" w:hAnsi="GHEA Grapalat"/>
        </w:rPr>
        <w:t xml:space="preserve"> (%) 2026 </w:t>
      </w:r>
      <w:r w:rsidR="00C93216" w:rsidRPr="00C93216">
        <w:rPr>
          <w:rFonts w:ascii="GHEA Grapalat" w:hAnsi="GHEA Grapalat" w:cs="GHEA Grapalat"/>
        </w:rPr>
        <w:t>թվականի</w:t>
      </w:r>
      <w:r w:rsidR="00C93216" w:rsidRPr="00C93216">
        <w:rPr>
          <w:rFonts w:ascii="GHEA Grapalat" w:hAnsi="GHEA Grapalat"/>
        </w:rPr>
        <w:t xml:space="preserve"> </w:t>
      </w:r>
      <w:r w:rsidR="00C93216" w:rsidRPr="00C93216">
        <w:rPr>
          <w:rFonts w:ascii="GHEA Grapalat" w:hAnsi="GHEA Grapalat" w:cs="GHEA Grapalat"/>
        </w:rPr>
        <w:t>համար</w:t>
      </w:r>
      <w:r w:rsidR="00C93216" w:rsidRPr="00C93216">
        <w:rPr>
          <w:rFonts w:ascii="GHEA Grapalat" w:hAnsi="GHEA Grapalat"/>
        </w:rPr>
        <w:t xml:space="preserve"> </w:t>
      </w:r>
      <w:r w:rsidR="00C93216" w:rsidRPr="00C93216">
        <w:rPr>
          <w:rFonts w:ascii="GHEA Grapalat" w:hAnsi="GHEA Grapalat" w:cs="GHEA Grapalat"/>
        </w:rPr>
        <w:t>լրացուցիչ</w:t>
      </w:r>
      <w:r w:rsidR="00C93216" w:rsidRPr="00C93216">
        <w:rPr>
          <w:rFonts w:ascii="GHEA Grapalat" w:hAnsi="GHEA Grapalat"/>
        </w:rPr>
        <w:t xml:space="preserve"> 7</w:t>
      </w:r>
      <w:r w:rsidR="003B58AC">
        <w:rPr>
          <w:rFonts w:ascii="GHEA Grapalat" w:hAnsi="GHEA Grapalat"/>
        </w:rPr>
        <w:t>.</w:t>
      </w:r>
      <w:r w:rsidR="00C93216" w:rsidRPr="00C93216">
        <w:rPr>
          <w:rFonts w:ascii="GHEA Grapalat" w:hAnsi="GHEA Grapalat"/>
        </w:rPr>
        <w:t xml:space="preserve">4 </w:t>
      </w:r>
      <w:r w:rsidR="00C93216" w:rsidRPr="00C93216">
        <w:rPr>
          <w:rFonts w:ascii="GHEA Grapalat" w:hAnsi="GHEA Grapalat" w:cs="GHEA Grapalat"/>
        </w:rPr>
        <w:t>Մլրդ</w:t>
      </w:r>
      <w:r w:rsidR="00C93216" w:rsidRPr="00C93216">
        <w:rPr>
          <w:rFonts w:ascii="GHEA Grapalat" w:hAnsi="GHEA Grapalat"/>
        </w:rPr>
        <w:t xml:space="preserve"> </w:t>
      </w:r>
      <w:r w:rsidR="00C93216" w:rsidRPr="00C93216">
        <w:rPr>
          <w:rFonts w:ascii="GHEA Grapalat" w:hAnsi="GHEA Grapalat" w:cs="GHEA Grapalat"/>
        </w:rPr>
        <w:t>դրամ</w:t>
      </w:r>
      <w:r w:rsidR="00C93216" w:rsidRPr="00C93216">
        <w:rPr>
          <w:rFonts w:ascii="GHEA Grapalat" w:hAnsi="GHEA Grapalat"/>
        </w:rPr>
        <w:t xml:space="preserve"> </w:t>
      </w:r>
      <w:r w:rsidR="00C93216" w:rsidRPr="00C93216">
        <w:rPr>
          <w:rFonts w:ascii="GHEA Grapalat" w:hAnsi="GHEA Grapalat" w:cs="GHEA Grapalat"/>
        </w:rPr>
        <w:t>նախատեսված</w:t>
      </w:r>
      <w:r w:rsidR="00C93216" w:rsidRPr="00C93216">
        <w:rPr>
          <w:rFonts w:ascii="GHEA Grapalat" w:hAnsi="GHEA Grapalat"/>
        </w:rPr>
        <w:t xml:space="preserve"> </w:t>
      </w:r>
      <w:r w:rsidR="00C93216" w:rsidRPr="00C93216">
        <w:rPr>
          <w:rFonts w:ascii="GHEA Grapalat" w:hAnsi="GHEA Grapalat" w:cs="GHEA Grapalat"/>
        </w:rPr>
        <w:t>է</w:t>
      </w:r>
      <w:r w:rsidR="00C93216" w:rsidRPr="00C93216">
        <w:rPr>
          <w:rFonts w:ascii="GHEA Grapalat" w:hAnsi="GHEA Grapalat"/>
        </w:rPr>
        <w:t xml:space="preserve"> </w:t>
      </w:r>
      <w:r w:rsidR="00C93216" w:rsidRPr="00C93216">
        <w:rPr>
          <w:rFonts w:ascii="GHEA Grapalat" w:hAnsi="GHEA Grapalat" w:cs="GHEA Grapalat"/>
        </w:rPr>
        <w:t>առաջնահե</w:t>
      </w:r>
      <w:r w:rsidR="00C93216" w:rsidRPr="00C93216">
        <w:rPr>
          <w:rFonts w:ascii="GHEA Grapalat" w:hAnsi="GHEA Grapalat"/>
        </w:rPr>
        <w:t>րթությունների շարքում</w:t>
      </w:r>
      <w:r w:rsidR="00203640">
        <w:rPr>
          <w:rStyle w:val="FootnoteReference"/>
          <w:rFonts w:ascii="GHEA Grapalat" w:hAnsi="GHEA Grapalat"/>
        </w:rPr>
        <w:footnoteReference w:id="10"/>
      </w:r>
      <w:r w:rsidR="00C93216" w:rsidRPr="00C93216">
        <w:rPr>
          <w:rFonts w:ascii="GHEA Grapalat" w:hAnsi="GHEA Grapalat"/>
        </w:rPr>
        <w:t>:</w:t>
      </w:r>
    </w:p>
    <w:p w14:paraId="5AA56D3B" w14:textId="1C449F7E" w:rsidR="0054073B" w:rsidRDefault="0054073B" w:rsidP="0049437D">
      <w:pPr>
        <w:tabs>
          <w:tab w:val="left" w:pos="709"/>
          <w:tab w:val="left" w:pos="851"/>
        </w:tabs>
        <w:spacing w:line="276" w:lineRule="auto"/>
        <w:ind w:left="1418" w:hanging="1418"/>
        <w:jc w:val="both"/>
        <w:rPr>
          <w:rFonts w:ascii="GHEA Grapalat" w:hAnsi="GHEA Grapalat"/>
          <w:sz w:val="12"/>
          <w:szCs w:val="12"/>
        </w:rPr>
      </w:pPr>
    </w:p>
    <w:p w14:paraId="5318FD6C" w14:textId="77777777" w:rsidR="00AA5ED1" w:rsidRDefault="00AA5ED1" w:rsidP="0049437D">
      <w:pPr>
        <w:tabs>
          <w:tab w:val="left" w:pos="709"/>
          <w:tab w:val="left" w:pos="851"/>
        </w:tabs>
        <w:spacing w:line="276" w:lineRule="auto"/>
        <w:ind w:firstLine="567"/>
        <w:jc w:val="both"/>
        <w:rPr>
          <w:rFonts w:ascii="GHEA Grapalat" w:hAnsi="GHEA Grapalat" w:cs="Arial"/>
          <w:sz w:val="24"/>
          <w:szCs w:val="24"/>
        </w:rPr>
      </w:pPr>
    </w:p>
    <w:p w14:paraId="2DBF9B44" w14:textId="26A2EADE" w:rsidR="00887E3F" w:rsidRPr="00C72AB5" w:rsidRDefault="0068358C" w:rsidP="0049437D">
      <w:pPr>
        <w:tabs>
          <w:tab w:val="left" w:pos="709"/>
          <w:tab w:val="left" w:pos="851"/>
        </w:tabs>
        <w:spacing w:line="276" w:lineRule="auto"/>
        <w:ind w:firstLine="567"/>
        <w:jc w:val="both"/>
        <w:rPr>
          <w:rFonts w:ascii="GHEA Grapalat" w:hAnsi="GHEA Grapalat" w:cs="Sylfaen"/>
          <w:sz w:val="24"/>
          <w:szCs w:val="24"/>
        </w:rPr>
      </w:pPr>
      <w:r w:rsidRPr="00C72AB5">
        <w:rPr>
          <w:rFonts w:ascii="GHEA Grapalat" w:hAnsi="GHEA Grapalat" w:cs="Arial"/>
          <w:sz w:val="24"/>
          <w:szCs w:val="24"/>
        </w:rPr>
        <w:t>6</w:t>
      </w:r>
      <w:r w:rsidR="00887E3F" w:rsidRPr="00C72AB5">
        <w:rPr>
          <w:rFonts w:ascii="GHEA Grapalat" w:hAnsi="GHEA Grapalat" w:cs="Arial"/>
          <w:sz w:val="24"/>
          <w:szCs w:val="24"/>
        </w:rPr>
        <w:t>. Այսպիսով 2025 թվականին ծրագրված ՀՆԱ</w:t>
      </w:r>
      <w:r w:rsidR="00C11292">
        <w:rPr>
          <w:rFonts w:ascii="GHEA Grapalat" w:hAnsi="GHEA Grapalat" w:cs="Arial"/>
          <w:sz w:val="24"/>
          <w:szCs w:val="24"/>
        </w:rPr>
        <w:t>-ի</w:t>
      </w:r>
      <w:r w:rsidR="00887E3F" w:rsidRPr="00C72AB5">
        <w:rPr>
          <w:rFonts w:ascii="GHEA Grapalat" w:hAnsi="GHEA Grapalat" w:cs="Arial"/>
          <w:sz w:val="24"/>
          <w:szCs w:val="24"/>
        </w:rPr>
        <w:t xml:space="preserve"> նկատմամբ ոլորտի համար հատկացումների մասնաբաժինը կկազմի 0.36%, որը </w:t>
      </w:r>
      <w:r w:rsidR="00887E3F" w:rsidRPr="00C72AB5">
        <w:rPr>
          <w:rFonts w:ascii="GHEA Grapalat" w:hAnsi="GHEA Grapalat"/>
          <w:sz w:val="24"/>
          <w:szCs w:val="24"/>
        </w:rPr>
        <w:t>ՄԱԿ-ի կայուն զարգացման նպատակների 9-րդ` Արդյունաբերություն, նորարարություն և ենթակառուցվածքներ նպատակի թիրախ 9.5-ի ցուցիչ 9.5.1 շարքում</w:t>
      </w:r>
      <w:r w:rsidR="00887E3F" w:rsidRPr="00C72AB5">
        <w:rPr>
          <w:rStyle w:val="FootnoteReference"/>
          <w:rFonts w:ascii="GHEA Grapalat" w:hAnsi="GHEA Grapalat"/>
          <w:sz w:val="24"/>
          <w:szCs w:val="24"/>
        </w:rPr>
        <w:footnoteReference w:id="11"/>
      </w:r>
      <w:r w:rsidR="00887E3F" w:rsidRPr="00C72AB5">
        <w:rPr>
          <w:rFonts w:ascii="GHEA Grapalat" w:hAnsi="GHEA Grapalat"/>
          <w:sz w:val="24"/>
          <w:szCs w:val="24"/>
        </w:rPr>
        <w:t xml:space="preserve"> Հայաստանի Հանրապետության համար դեռևս հանդիսանում է ոչ բավարար</w:t>
      </w:r>
      <w:r w:rsidR="00887E3F" w:rsidRPr="00C72AB5">
        <w:rPr>
          <w:rStyle w:val="FootnoteReference"/>
          <w:rFonts w:ascii="GHEA Grapalat" w:hAnsi="GHEA Grapalat"/>
          <w:sz w:val="24"/>
          <w:szCs w:val="24"/>
        </w:rPr>
        <w:footnoteReference w:id="12"/>
      </w:r>
      <w:r w:rsidR="0095311F">
        <w:rPr>
          <w:rFonts w:ascii="GHEA Grapalat" w:hAnsi="GHEA Grapalat"/>
          <w:sz w:val="24"/>
          <w:szCs w:val="24"/>
        </w:rPr>
        <w:t xml:space="preserve"> արժեք համեմատած </w:t>
      </w:r>
      <w:r w:rsidR="0095311F" w:rsidRPr="0091137B">
        <w:rPr>
          <w:rFonts w:ascii="GHEA Grapalat" w:hAnsi="GHEA Grapalat"/>
          <w:sz w:val="24"/>
          <w:szCs w:val="24"/>
        </w:rPr>
        <w:t>Ա</w:t>
      </w:r>
      <w:r w:rsidR="00887E3F" w:rsidRPr="0091137B">
        <w:rPr>
          <w:rFonts w:ascii="GHEA Grapalat" w:hAnsi="GHEA Grapalat"/>
          <w:sz w:val="24"/>
          <w:szCs w:val="24"/>
        </w:rPr>
        <w:t xml:space="preserve">րևելյան </w:t>
      </w:r>
      <w:r w:rsidR="0095311F" w:rsidRPr="0091137B">
        <w:rPr>
          <w:rFonts w:ascii="GHEA Grapalat" w:hAnsi="GHEA Grapalat"/>
          <w:sz w:val="24"/>
          <w:szCs w:val="24"/>
        </w:rPr>
        <w:t>Ե</w:t>
      </w:r>
      <w:r w:rsidR="00887E3F" w:rsidRPr="0091137B">
        <w:rPr>
          <w:rFonts w:ascii="GHEA Grapalat" w:hAnsi="GHEA Grapalat"/>
          <w:sz w:val="24"/>
          <w:szCs w:val="24"/>
        </w:rPr>
        <w:t xml:space="preserve">վրոպայի </w:t>
      </w:r>
      <w:r w:rsidR="00887E3F" w:rsidRPr="00C72AB5">
        <w:rPr>
          <w:rFonts w:ascii="GHEA Grapalat" w:hAnsi="GHEA Grapalat"/>
          <w:sz w:val="24"/>
          <w:szCs w:val="24"/>
        </w:rPr>
        <w:t>նմանատիպ պարամետրեր ունեցող պետությունների հետ:</w:t>
      </w:r>
    </w:p>
    <w:p w14:paraId="121EDB9E" w14:textId="0DB0A5C8" w:rsidR="0008665B" w:rsidRPr="00C72AB5" w:rsidRDefault="0068358C" w:rsidP="0049437D">
      <w:pPr>
        <w:tabs>
          <w:tab w:val="left" w:pos="709"/>
          <w:tab w:val="left" w:pos="851"/>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t>7</w:t>
      </w:r>
      <w:r w:rsidR="00B13B8A" w:rsidRPr="00C72AB5">
        <w:rPr>
          <w:rFonts w:ascii="GHEA Grapalat" w:hAnsi="GHEA Grapalat" w:cs="Sylfaen"/>
          <w:sz w:val="24"/>
          <w:szCs w:val="24"/>
        </w:rPr>
        <w:t xml:space="preserve">. </w:t>
      </w:r>
      <w:r w:rsidR="008719DA" w:rsidRPr="00C72AB5">
        <w:rPr>
          <w:rFonts w:ascii="GHEA Grapalat" w:hAnsi="GHEA Grapalat" w:cs="Sylfaen"/>
          <w:sz w:val="24"/>
          <w:szCs w:val="24"/>
        </w:rPr>
        <w:t xml:space="preserve">Գիտության ոլորտի ֆինանսավորումն իրականացվում է </w:t>
      </w:r>
      <w:r w:rsidR="00A863E6" w:rsidRPr="0091137B">
        <w:rPr>
          <w:rFonts w:ascii="GHEA Grapalat" w:hAnsi="GHEA Grapalat" w:cs="Sylfaen"/>
          <w:sz w:val="24"/>
          <w:szCs w:val="24"/>
        </w:rPr>
        <w:t>«Բարձրագույն կրթության և գիտության</w:t>
      </w:r>
      <w:r w:rsidR="00A863E6" w:rsidRPr="00223C8D">
        <w:rPr>
          <w:rFonts w:ascii="GHEA Grapalat" w:hAnsi="GHEA Grapalat" w:cs="Sylfaen"/>
          <w:sz w:val="24"/>
          <w:szCs w:val="24"/>
        </w:rPr>
        <w:t xml:space="preserve"> </w:t>
      </w:r>
      <w:r w:rsidR="00A863E6" w:rsidRPr="0091137B">
        <w:rPr>
          <w:rFonts w:ascii="GHEA Grapalat" w:hAnsi="GHEA Grapalat" w:cs="Sylfaen"/>
          <w:sz w:val="24"/>
          <w:szCs w:val="24"/>
        </w:rPr>
        <w:t xml:space="preserve">մասին» </w:t>
      </w:r>
      <w:r w:rsidR="008719DA" w:rsidRPr="00C72AB5">
        <w:rPr>
          <w:rFonts w:ascii="GHEA Grapalat" w:hAnsi="GHEA Grapalat" w:cs="Sylfaen"/>
          <w:sz w:val="24"/>
          <w:szCs w:val="24"/>
        </w:rPr>
        <w:t>օրենքի</w:t>
      </w:r>
      <w:r w:rsidR="008719DA" w:rsidRPr="00C72AB5">
        <w:rPr>
          <w:rFonts w:ascii="GHEA Grapalat" w:hAnsi="GHEA Grapalat" w:cs="Sylfaen"/>
          <w:sz w:val="24"/>
          <w:szCs w:val="24"/>
          <w:vertAlign w:val="superscript"/>
        </w:rPr>
        <w:footnoteReference w:id="13"/>
      </w:r>
      <w:r w:rsidR="008719DA" w:rsidRPr="00C72AB5">
        <w:rPr>
          <w:rFonts w:ascii="GHEA Grapalat" w:hAnsi="GHEA Grapalat" w:cs="Sylfaen"/>
          <w:sz w:val="24"/>
          <w:szCs w:val="24"/>
        </w:rPr>
        <w:t xml:space="preserve"> </w:t>
      </w:r>
      <w:r w:rsidR="00EB25BF">
        <w:rPr>
          <w:rFonts w:ascii="GHEA Grapalat" w:hAnsi="GHEA Grapalat" w:cs="Sylfaen"/>
          <w:sz w:val="24"/>
          <w:szCs w:val="24"/>
        </w:rPr>
        <w:t>39</w:t>
      </w:r>
      <w:r w:rsidR="008719DA" w:rsidRPr="00C72AB5">
        <w:rPr>
          <w:rFonts w:ascii="GHEA Grapalat" w:hAnsi="GHEA Grapalat" w:cs="Sylfaen"/>
          <w:sz w:val="24"/>
          <w:szCs w:val="24"/>
        </w:rPr>
        <w:t xml:space="preserve">-րդ հոդվածի 4-րդ </w:t>
      </w:r>
      <w:r w:rsidR="00EB25BF">
        <w:rPr>
          <w:rFonts w:ascii="GHEA Grapalat" w:hAnsi="GHEA Grapalat" w:cs="Sylfaen"/>
          <w:sz w:val="24"/>
          <w:szCs w:val="24"/>
        </w:rPr>
        <w:t>մաս</w:t>
      </w:r>
      <w:r w:rsidR="008719DA" w:rsidRPr="00C72AB5">
        <w:rPr>
          <w:rFonts w:ascii="GHEA Grapalat" w:hAnsi="GHEA Grapalat" w:cs="Sylfaen"/>
          <w:sz w:val="24"/>
          <w:szCs w:val="24"/>
        </w:rPr>
        <w:t xml:space="preserve">ով սահմանված երեք ձևերով` բազային, </w:t>
      </w:r>
      <w:r w:rsidR="00FD2094">
        <w:rPr>
          <w:rFonts w:ascii="GHEA Grapalat" w:hAnsi="GHEA Grapalat" w:cs="Sylfaen"/>
          <w:sz w:val="24"/>
          <w:szCs w:val="24"/>
        </w:rPr>
        <w:t>թիրախային</w:t>
      </w:r>
      <w:r w:rsidR="008719DA" w:rsidRPr="00C72AB5">
        <w:rPr>
          <w:rFonts w:ascii="GHEA Grapalat" w:hAnsi="GHEA Grapalat" w:cs="Sylfaen"/>
          <w:sz w:val="24"/>
          <w:szCs w:val="24"/>
        </w:rPr>
        <w:t xml:space="preserve"> և </w:t>
      </w:r>
      <w:r w:rsidR="00B13B8A" w:rsidRPr="00C72AB5">
        <w:rPr>
          <w:rFonts w:ascii="GHEA Grapalat" w:hAnsi="GHEA Grapalat" w:cs="Sylfaen"/>
          <w:sz w:val="24"/>
          <w:szCs w:val="24"/>
        </w:rPr>
        <w:t>գիտական դրամաշնորհային</w:t>
      </w:r>
      <w:r w:rsidR="008719DA" w:rsidRPr="00C72AB5">
        <w:rPr>
          <w:rFonts w:ascii="GHEA Grapalat" w:hAnsi="GHEA Grapalat" w:cs="Sylfaen"/>
          <w:sz w:val="24"/>
          <w:szCs w:val="24"/>
        </w:rPr>
        <w:t>:</w:t>
      </w:r>
      <w:r w:rsidR="00A45FE0" w:rsidRPr="00C72AB5">
        <w:rPr>
          <w:rFonts w:ascii="GHEA Grapalat" w:hAnsi="GHEA Grapalat" w:cs="Sylfaen"/>
          <w:sz w:val="24"/>
          <w:szCs w:val="24"/>
        </w:rPr>
        <w:t xml:space="preserve"> </w:t>
      </w:r>
      <w:r w:rsidR="003B07DC" w:rsidRPr="00C72AB5">
        <w:rPr>
          <w:rFonts w:ascii="GHEA Grapalat" w:hAnsi="GHEA Grapalat" w:cs="Sylfaen"/>
          <w:sz w:val="24"/>
          <w:szCs w:val="24"/>
        </w:rPr>
        <w:t>201</w:t>
      </w:r>
      <w:r w:rsidR="0008665B" w:rsidRPr="00C72AB5">
        <w:rPr>
          <w:rFonts w:ascii="GHEA Grapalat" w:hAnsi="GHEA Grapalat" w:cs="Sylfaen"/>
          <w:sz w:val="24"/>
          <w:szCs w:val="24"/>
        </w:rPr>
        <w:t>0</w:t>
      </w:r>
      <w:r w:rsidR="003B07DC" w:rsidRPr="00C72AB5">
        <w:rPr>
          <w:rFonts w:ascii="GHEA Grapalat" w:hAnsi="GHEA Grapalat" w:cs="Sylfaen"/>
          <w:sz w:val="24"/>
          <w:szCs w:val="24"/>
        </w:rPr>
        <w:t>-20</w:t>
      </w:r>
      <w:r w:rsidR="0008665B" w:rsidRPr="00C72AB5">
        <w:rPr>
          <w:rFonts w:ascii="GHEA Grapalat" w:hAnsi="GHEA Grapalat" w:cs="Sylfaen"/>
          <w:sz w:val="24"/>
          <w:szCs w:val="24"/>
        </w:rPr>
        <w:t>19</w:t>
      </w:r>
      <w:r w:rsidR="003B07DC" w:rsidRPr="00C72AB5">
        <w:rPr>
          <w:rFonts w:ascii="Calibri" w:hAnsi="Calibri" w:cs="Calibri"/>
          <w:sz w:val="24"/>
          <w:szCs w:val="24"/>
        </w:rPr>
        <w:t> </w:t>
      </w:r>
      <w:r w:rsidR="00FD2094">
        <w:rPr>
          <w:rFonts w:ascii="GHEA Grapalat" w:hAnsi="GHEA Grapalat" w:cs="Sylfaen"/>
          <w:sz w:val="24"/>
          <w:szCs w:val="24"/>
        </w:rPr>
        <w:t>թվականների</w:t>
      </w:r>
      <w:r w:rsidR="003B07DC" w:rsidRPr="00C72AB5">
        <w:rPr>
          <w:rFonts w:ascii="GHEA Grapalat" w:hAnsi="GHEA Grapalat" w:cs="Sylfaen"/>
          <w:sz w:val="24"/>
          <w:szCs w:val="24"/>
        </w:rPr>
        <w:t xml:space="preserve"> կտրվածքով պետական ֆինանսավորման տարեկան ծավալների </w:t>
      </w:r>
      <w:r w:rsidR="0008665B" w:rsidRPr="00C72AB5">
        <w:rPr>
          <w:rFonts w:ascii="GHEA Grapalat" w:hAnsi="GHEA Grapalat" w:cs="Sylfaen"/>
          <w:sz w:val="24"/>
          <w:szCs w:val="24"/>
        </w:rPr>
        <w:t>70-80</w:t>
      </w:r>
      <w:r w:rsidR="0091137B">
        <w:rPr>
          <w:rFonts w:ascii="Calibri" w:hAnsi="Calibri" w:cs="Sylfaen"/>
          <w:sz w:val="24"/>
          <w:szCs w:val="24"/>
        </w:rPr>
        <w:t> </w:t>
      </w:r>
      <w:r w:rsidR="0091137B" w:rsidRPr="00C72AB5">
        <w:rPr>
          <w:rFonts w:ascii="GHEA Grapalat" w:hAnsi="GHEA Grapalat"/>
          <w:sz w:val="24"/>
          <w:szCs w:val="24"/>
        </w:rPr>
        <w:t>%</w:t>
      </w:r>
      <w:r w:rsidR="0091137B">
        <w:rPr>
          <w:rFonts w:ascii="GHEA Grapalat" w:hAnsi="GHEA Grapalat"/>
          <w:sz w:val="24"/>
          <w:szCs w:val="24"/>
        </w:rPr>
        <w:t xml:space="preserve"> </w:t>
      </w:r>
      <w:r w:rsidR="003B07DC" w:rsidRPr="00C72AB5">
        <w:rPr>
          <w:rFonts w:ascii="GHEA Grapalat" w:hAnsi="GHEA Grapalat" w:cs="Sylfaen"/>
          <w:sz w:val="24"/>
          <w:szCs w:val="24"/>
        </w:rPr>
        <w:t xml:space="preserve">հատկացվել է </w:t>
      </w:r>
      <w:r w:rsidR="00FD2094">
        <w:rPr>
          <w:rFonts w:ascii="GHEA Grapalat" w:hAnsi="GHEA Grapalat" w:cs="Sylfaen"/>
          <w:sz w:val="24"/>
          <w:szCs w:val="24"/>
        </w:rPr>
        <w:t>գիտատեխնոլոգիական</w:t>
      </w:r>
      <w:r w:rsidR="003B07DC" w:rsidRPr="00C72AB5">
        <w:rPr>
          <w:rFonts w:ascii="GHEA Grapalat" w:hAnsi="GHEA Grapalat" w:cs="Sylfaen"/>
          <w:sz w:val="24"/>
          <w:szCs w:val="24"/>
        </w:rPr>
        <w:t xml:space="preserve"> գործունեության բազային ծրագրերի ֆինանսավորման համար, ինչը, որպես ֆինանսավորման ձև, ըստ էության, գիտահետազոտական կազմակերպությունների և բուհերի գիտահետազոտական մասի </w:t>
      </w:r>
      <w:r w:rsidR="008A6131" w:rsidRPr="00C72AB5">
        <w:rPr>
          <w:rFonts w:ascii="GHEA Grapalat" w:hAnsi="GHEA Grapalat" w:cs="Sylfaen"/>
          <w:sz w:val="24"/>
          <w:szCs w:val="24"/>
        </w:rPr>
        <w:t xml:space="preserve">ինստիտուցիոնալ ֆինանսավորումն է, </w:t>
      </w:r>
      <w:r w:rsidR="0008665B" w:rsidRPr="00C72AB5">
        <w:rPr>
          <w:rFonts w:ascii="GHEA Grapalat" w:hAnsi="GHEA Grapalat" w:cs="Sylfaen"/>
          <w:sz w:val="24"/>
          <w:szCs w:val="24"/>
        </w:rPr>
        <w:t>որի</w:t>
      </w:r>
      <w:r w:rsidR="00FC45F3" w:rsidRPr="00C72AB5">
        <w:rPr>
          <w:rFonts w:ascii="GHEA Grapalat" w:hAnsi="GHEA Grapalat" w:cs="Sylfaen"/>
          <w:sz w:val="24"/>
          <w:szCs w:val="24"/>
        </w:rPr>
        <w:t xml:space="preserve">ն ավելանում են </w:t>
      </w:r>
      <w:r w:rsidR="0008665B" w:rsidRPr="00C72AB5">
        <w:rPr>
          <w:rFonts w:ascii="GHEA Grapalat" w:hAnsi="GHEA Grapalat" w:cs="Sylfaen"/>
          <w:sz w:val="24"/>
          <w:szCs w:val="24"/>
        </w:rPr>
        <w:t xml:space="preserve">նաև գիտական աստիճանի և ակադեմիայի անդամության համար տրամադրվող հավելավճարները և պատվովճարները, </w:t>
      </w:r>
      <w:r w:rsidR="00FC45F3" w:rsidRPr="00C72AB5">
        <w:rPr>
          <w:rFonts w:ascii="GHEA Grapalat" w:hAnsi="GHEA Grapalat" w:cs="Sylfaen"/>
          <w:sz w:val="24"/>
          <w:szCs w:val="24"/>
        </w:rPr>
        <w:t>գ</w:t>
      </w:r>
      <w:r w:rsidR="0008665B" w:rsidRPr="00C72AB5">
        <w:rPr>
          <w:rFonts w:ascii="GHEA Grapalat" w:hAnsi="GHEA Grapalat" w:cs="Sylfaen"/>
          <w:sz w:val="24"/>
          <w:szCs w:val="24"/>
        </w:rPr>
        <w:t>իտական սարքավորումների ձեռք բերման կամ սպասարկման համար</w:t>
      </w:r>
      <w:r w:rsidR="00B8465B" w:rsidRPr="00C72AB5">
        <w:rPr>
          <w:rFonts w:ascii="GHEA Grapalat" w:hAnsi="GHEA Grapalat" w:cs="Sylfaen"/>
          <w:sz w:val="24"/>
          <w:szCs w:val="24"/>
        </w:rPr>
        <w:t xml:space="preserve"> մրցութային եղանակով</w:t>
      </w:r>
      <w:r w:rsidR="0008665B" w:rsidRPr="00C72AB5">
        <w:rPr>
          <w:rFonts w:ascii="GHEA Grapalat" w:hAnsi="GHEA Grapalat" w:cs="Sylfaen"/>
          <w:sz w:val="24"/>
          <w:szCs w:val="24"/>
        </w:rPr>
        <w:t xml:space="preserve"> հատկացվող գումարները և միջազգային պայմանագրերով ծագած պարտավորությունների սպասարկումը: </w:t>
      </w:r>
    </w:p>
    <w:p w14:paraId="76308E67" w14:textId="729AA104" w:rsidR="009E561C" w:rsidRDefault="0068358C" w:rsidP="0049437D">
      <w:pPr>
        <w:tabs>
          <w:tab w:val="left" w:pos="709"/>
          <w:tab w:val="left" w:pos="851"/>
        </w:tabs>
        <w:spacing w:line="276" w:lineRule="auto"/>
        <w:ind w:firstLine="567"/>
        <w:jc w:val="both"/>
        <w:rPr>
          <w:rFonts w:ascii="GHEA Grapalat" w:hAnsi="GHEA Grapalat"/>
          <w:sz w:val="24"/>
          <w:szCs w:val="24"/>
        </w:rPr>
      </w:pPr>
      <w:r w:rsidRPr="00C72AB5">
        <w:rPr>
          <w:rFonts w:ascii="GHEA Grapalat" w:hAnsi="GHEA Grapalat" w:cs="Sylfaen"/>
          <w:sz w:val="24"/>
          <w:szCs w:val="24"/>
        </w:rPr>
        <w:t>8</w:t>
      </w:r>
      <w:r w:rsidR="00887E3F" w:rsidRPr="00C72AB5">
        <w:rPr>
          <w:rFonts w:ascii="GHEA Grapalat" w:hAnsi="GHEA Grapalat" w:cs="Sylfaen"/>
          <w:sz w:val="24"/>
          <w:szCs w:val="24"/>
        </w:rPr>
        <w:t xml:space="preserve">. </w:t>
      </w:r>
      <w:r w:rsidR="0008665B" w:rsidRPr="00C72AB5">
        <w:rPr>
          <w:rFonts w:ascii="GHEA Grapalat" w:hAnsi="GHEA Grapalat" w:cs="Sylfaen"/>
          <w:sz w:val="24"/>
          <w:szCs w:val="24"/>
        </w:rPr>
        <w:t>20</w:t>
      </w:r>
      <w:r w:rsidR="00D01698" w:rsidRPr="00C72AB5">
        <w:rPr>
          <w:rFonts w:ascii="GHEA Grapalat" w:hAnsi="GHEA Grapalat" w:cs="Sylfaen"/>
          <w:sz w:val="24"/>
          <w:szCs w:val="24"/>
        </w:rPr>
        <w:t>18</w:t>
      </w:r>
      <w:r w:rsidR="0008665B" w:rsidRPr="00C72AB5">
        <w:rPr>
          <w:rFonts w:ascii="GHEA Grapalat" w:hAnsi="GHEA Grapalat" w:cs="Sylfaen"/>
          <w:sz w:val="24"/>
          <w:szCs w:val="24"/>
        </w:rPr>
        <w:t xml:space="preserve"> թվականից բազային ֆինանսավորման մասնաբաժինը</w:t>
      </w:r>
      <w:r w:rsidR="00FA0B13" w:rsidRPr="00C72AB5">
        <w:rPr>
          <w:rFonts w:ascii="GHEA Grapalat" w:hAnsi="GHEA Grapalat" w:cs="Sylfaen"/>
          <w:sz w:val="24"/>
          <w:szCs w:val="24"/>
        </w:rPr>
        <w:t xml:space="preserve"> ֆինանսավորման ընդհանուր ծավալի մեջ</w:t>
      </w:r>
      <w:r w:rsidR="0008665B" w:rsidRPr="00C72AB5">
        <w:rPr>
          <w:rFonts w:ascii="GHEA Grapalat" w:hAnsi="GHEA Grapalat" w:cs="Sylfaen"/>
          <w:sz w:val="24"/>
          <w:szCs w:val="24"/>
        </w:rPr>
        <w:t xml:space="preserve"> սկսել է նվազել` ի հաշիվ </w:t>
      </w:r>
      <w:r w:rsidR="00FD2094">
        <w:rPr>
          <w:rFonts w:ascii="GHEA Grapalat" w:hAnsi="GHEA Grapalat" w:cs="Sylfaen"/>
          <w:sz w:val="24"/>
          <w:szCs w:val="24"/>
        </w:rPr>
        <w:t>թիրախային</w:t>
      </w:r>
      <w:r w:rsidR="0008665B" w:rsidRPr="00C72AB5">
        <w:rPr>
          <w:rFonts w:ascii="GHEA Grapalat" w:hAnsi="GHEA Grapalat" w:cs="Sylfaen"/>
          <w:sz w:val="24"/>
          <w:szCs w:val="24"/>
        </w:rPr>
        <w:t xml:space="preserve"> և </w:t>
      </w:r>
      <w:r w:rsidR="00FD2094">
        <w:rPr>
          <w:rFonts w:ascii="GHEA Grapalat" w:hAnsi="GHEA Grapalat" w:cs="Sylfaen"/>
          <w:sz w:val="24"/>
          <w:szCs w:val="24"/>
        </w:rPr>
        <w:t>գիտական դրամաշնորհային</w:t>
      </w:r>
      <w:r w:rsidR="0008665B" w:rsidRPr="00C72AB5">
        <w:rPr>
          <w:rFonts w:ascii="GHEA Grapalat" w:hAnsi="GHEA Grapalat" w:cs="Sylfaen"/>
          <w:sz w:val="24"/>
          <w:szCs w:val="24"/>
        </w:rPr>
        <w:t xml:space="preserve"> ֆինանսավորման ծրագրերի ծավալների ավելացման` 202</w:t>
      </w:r>
      <w:r w:rsidR="0048637D" w:rsidRPr="00C72AB5">
        <w:rPr>
          <w:rFonts w:ascii="GHEA Grapalat" w:hAnsi="GHEA Grapalat" w:cs="Sylfaen"/>
          <w:sz w:val="24"/>
          <w:szCs w:val="24"/>
        </w:rPr>
        <w:t>4</w:t>
      </w:r>
      <w:r w:rsidR="0008665B" w:rsidRPr="00C72AB5">
        <w:rPr>
          <w:rFonts w:ascii="GHEA Grapalat" w:hAnsi="GHEA Grapalat" w:cs="Sylfaen"/>
          <w:sz w:val="24"/>
          <w:szCs w:val="24"/>
        </w:rPr>
        <w:t xml:space="preserve"> թվականին դառնալով </w:t>
      </w:r>
      <w:r w:rsidR="009E3569" w:rsidRPr="00C72AB5">
        <w:rPr>
          <w:rFonts w:ascii="GHEA Grapalat" w:hAnsi="GHEA Grapalat" w:cs="Sylfaen"/>
          <w:sz w:val="24"/>
          <w:szCs w:val="24"/>
        </w:rPr>
        <w:t>4</w:t>
      </w:r>
      <w:r w:rsidR="007155B7" w:rsidRPr="00C72AB5">
        <w:rPr>
          <w:rFonts w:ascii="GHEA Grapalat" w:hAnsi="GHEA Grapalat" w:cs="Sylfaen"/>
          <w:sz w:val="24"/>
          <w:szCs w:val="24"/>
        </w:rPr>
        <w:t>6.</w:t>
      </w:r>
      <w:r w:rsidR="009E3569" w:rsidRPr="00C72AB5">
        <w:rPr>
          <w:rFonts w:ascii="GHEA Grapalat" w:hAnsi="GHEA Grapalat" w:cs="Sylfaen"/>
          <w:sz w:val="24"/>
          <w:szCs w:val="24"/>
        </w:rPr>
        <w:t>0</w:t>
      </w:r>
      <w:r w:rsidR="0008665B" w:rsidRPr="00C72AB5">
        <w:rPr>
          <w:rFonts w:ascii="GHEA Grapalat" w:hAnsi="GHEA Grapalat" w:cs="Sylfaen"/>
          <w:sz w:val="24"/>
          <w:szCs w:val="24"/>
        </w:rPr>
        <w:t>% (</w:t>
      </w:r>
      <w:r w:rsidR="009E3569" w:rsidRPr="00C72AB5">
        <w:rPr>
          <w:rFonts w:ascii="GHEA Grapalat" w:hAnsi="GHEA Grapalat" w:cs="Sylfaen"/>
          <w:sz w:val="24"/>
          <w:szCs w:val="24"/>
        </w:rPr>
        <w:t>18.5</w:t>
      </w:r>
      <w:r w:rsidR="008A319A">
        <w:rPr>
          <w:rFonts w:ascii="GHEA Grapalat" w:hAnsi="GHEA Grapalat" w:cs="Sylfaen"/>
          <w:sz w:val="24"/>
          <w:szCs w:val="24"/>
        </w:rPr>
        <w:t xml:space="preserve"> մլրդ</w:t>
      </w:r>
      <w:r w:rsidR="0008665B" w:rsidRPr="00C72AB5">
        <w:rPr>
          <w:rFonts w:ascii="GHEA Grapalat" w:hAnsi="GHEA Grapalat" w:cs="Sylfaen"/>
          <w:sz w:val="24"/>
          <w:szCs w:val="24"/>
        </w:rPr>
        <w:t xml:space="preserve"> </w:t>
      </w:r>
      <w:r w:rsidR="0095311F" w:rsidRPr="00FC4265">
        <w:rPr>
          <w:rFonts w:ascii="GHEA Grapalat" w:hAnsi="GHEA Grapalat" w:cs="Sylfaen"/>
          <w:sz w:val="24"/>
          <w:szCs w:val="24"/>
        </w:rPr>
        <w:t xml:space="preserve">ՀՀ </w:t>
      </w:r>
      <w:r w:rsidR="0008665B" w:rsidRPr="00FC4265">
        <w:rPr>
          <w:rFonts w:ascii="GHEA Grapalat" w:hAnsi="GHEA Grapalat" w:cs="Sylfaen"/>
          <w:sz w:val="24"/>
          <w:szCs w:val="24"/>
        </w:rPr>
        <w:t xml:space="preserve">դրամ), որից </w:t>
      </w:r>
      <w:r w:rsidR="009E3569" w:rsidRPr="00FC4265">
        <w:rPr>
          <w:rFonts w:ascii="GHEA Grapalat" w:hAnsi="GHEA Grapalat" w:cs="Sylfaen"/>
          <w:sz w:val="24"/>
          <w:szCs w:val="24"/>
        </w:rPr>
        <w:t>1.4</w:t>
      </w:r>
      <w:r w:rsidR="008A319A">
        <w:rPr>
          <w:rFonts w:ascii="GHEA Grapalat" w:hAnsi="GHEA Grapalat"/>
          <w:sz w:val="24"/>
          <w:szCs w:val="24"/>
        </w:rPr>
        <w:t xml:space="preserve"> մլրդ</w:t>
      </w:r>
      <w:r w:rsidR="0095311F" w:rsidRPr="00FC4265">
        <w:rPr>
          <w:rFonts w:ascii="GHEA Grapalat" w:hAnsi="GHEA Grapalat" w:cs="Sylfaen"/>
          <w:sz w:val="24"/>
          <w:szCs w:val="24"/>
        </w:rPr>
        <w:t xml:space="preserve"> ՀՀ</w:t>
      </w:r>
      <w:r w:rsidR="002E7184" w:rsidRPr="00FC4265">
        <w:rPr>
          <w:rFonts w:ascii="GHEA Grapalat" w:hAnsi="GHEA Grapalat"/>
          <w:sz w:val="24"/>
          <w:szCs w:val="24"/>
        </w:rPr>
        <w:t xml:space="preserve"> դրամը ծախսվում է </w:t>
      </w:r>
      <w:r w:rsidR="00FC45F3" w:rsidRPr="00FC4265">
        <w:rPr>
          <w:rFonts w:ascii="GHEA Grapalat" w:hAnsi="GHEA Grapalat"/>
          <w:sz w:val="24"/>
          <w:szCs w:val="24"/>
        </w:rPr>
        <w:t>գիտական ս</w:t>
      </w:r>
      <w:r w:rsidR="009E3569" w:rsidRPr="00FC4265">
        <w:rPr>
          <w:rFonts w:ascii="GHEA Grapalat" w:hAnsi="GHEA Grapalat"/>
          <w:sz w:val="24"/>
          <w:szCs w:val="24"/>
        </w:rPr>
        <w:t xml:space="preserve">տորաբաժանումների մրցութային համալրման և </w:t>
      </w:r>
      <w:r w:rsidR="00FC45F3" w:rsidRPr="00FC4265">
        <w:rPr>
          <w:rFonts w:ascii="GHEA Grapalat" w:hAnsi="GHEA Grapalat"/>
          <w:sz w:val="24"/>
          <w:szCs w:val="24"/>
        </w:rPr>
        <w:t xml:space="preserve">միջազգային </w:t>
      </w:r>
      <w:r w:rsidR="009E3569" w:rsidRPr="00FC4265">
        <w:rPr>
          <w:rFonts w:ascii="GHEA Grapalat" w:hAnsi="GHEA Grapalat"/>
          <w:sz w:val="24"/>
          <w:szCs w:val="24"/>
        </w:rPr>
        <w:t xml:space="preserve">խոշոր ծրագրերին անդամության վճարների </w:t>
      </w:r>
      <w:r w:rsidR="009A759D" w:rsidRPr="00FC4265">
        <w:rPr>
          <w:rFonts w:ascii="GHEA Grapalat" w:hAnsi="GHEA Grapalat"/>
          <w:sz w:val="24"/>
          <w:szCs w:val="24"/>
        </w:rPr>
        <w:t>սպասարկման</w:t>
      </w:r>
      <w:r w:rsidR="009E3569" w:rsidRPr="00FC4265">
        <w:rPr>
          <w:rFonts w:ascii="GHEA Grapalat" w:hAnsi="GHEA Grapalat"/>
          <w:sz w:val="24"/>
          <w:szCs w:val="24"/>
        </w:rPr>
        <w:t xml:space="preserve"> համար</w:t>
      </w:r>
      <w:r w:rsidR="0008665B" w:rsidRPr="00FC4265">
        <w:rPr>
          <w:rFonts w:ascii="GHEA Grapalat" w:hAnsi="GHEA Grapalat"/>
          <w:sz w:val="24"/>
          <w:szCs w:val="24"/>
        </w:rPr>
        <w:t>:</w:t>
      </w:r>
      <w:r w:rsidR="001F5381" w:rsidRPr="00FC4265">
        <w:rPr>
          <w:rFonts w:ascii="GHEA Grapalat" w:hAnsi="GHEA Grapalat"/>
          <w:sz w:val="24"/>
          <w:szCs w:val="24"/>
        </w:rPr>
        <w:t xml:space="preserve"> </w:t>
      </w:r>
      <w:r w:rsidR="00FD2094">
        <w:rPr>
          <w:rFonts w:ascii="GHEA Grapalat" w:hAnsi="GHEA Grapalat"/>
          <w:sz w:val="24"/>
          <w:szCs w:val="24"/>
        </w:rPr>
        <w:t>Թիրախային</w:t>
      </w:r>
      <w:r w:rsidR="008F0B27" w:rsidRPr="00FC4265">
        <w:rPr>
          <w:rFonts w:ascii="GHEA Grapalat" w:hAnsi="GHEA Grapalat"/>
          <w:sz w:val="24"/>
          <w:szCs w:val="24"/>
        </w:rPr>
        <w:t xml:space="preserve"> ֆինանսավորման ձևով</w:t>
      </w:r>
      <w:r w:rsidR="00F855C7" w:rsidRPr="00FC4265">
        <w:rPr>
          <w:rFonts w:ascii="GHEA Grapalat" w:hAnsi="GHEA Grapalat"/>
          <w:sz w:val="24"/>
          <w:szCs w:val="24"/>
        </w:rPr>
        <w:t>, մրցութային հիմունքներով</w:t>
      </w:r>
      <w:r w:rsidR="008F0B27" w:rsidRPr="00FC4265">
        <w:rPr>
          <w:rFonts w:ascii="GHEA Grapalat" w:hAnsi="GHEA Grapalat"/>
          <w:sz w:val="24"/>
          <w:szCs w:val="24"/>
        </w:rPr>
        <w:t xml:space="preserve"> ֆինանսավորվում են պետական կարիքներից բխող </w:t>
      </w:r>
      <w:r w:rsidR="00FD2094">
        <w:rPr>
          <w:rFonts w:ascii="GHEA Grapalat" w:hAnsi="GHEA Grapalat"/>
          <w:sz w:val="24"/>
          <w:szCs w:val="24"/>
        </w:rPr>
        <w:t>հետազոտական</w:t>
      </w:r>
      <w:r w:rsidR="008F0B27" w:rsidRPr="00FC4265">
        <w:rPr>
          <w:rFonts w:ascii="GHEA Grapalat" w:hAnsi="GHEA Grapalat"/>
          <w:sz w:val="24"/>
          <w:szCs w:val="24"/>
        </w:rPr>
        <w:t xml:space="preserve"> ծրագրերը, այդ թվում</w:t>
      </w:r>
      <w:r w:rsidR="005A3EEE" w:rsidRPr="00FC4265">
        <w:rPr>
          <w:rFonts w:ascii="GHEA Grapalat" w:hAnsi="GHEA Grapalat"/>
          <w:sz w:val="24"/>
          <w:szCs w:val="24"/>
        </w:rPr>
        <w:t>`</w:t>
      </w:r>
      <w:r w:rsidR="008F0B27" w:rsidRPr="00FC4265">
        <w:rPr>
          <w:rFonts w:ascii="GHEA Grapalat" w:hAnsi="GHEA Grapalat"/>
          <w:sz w:val="24"/>
          <w:szCs w:val="24"/>
        </w:rPr>
        <w:t xml:space="preserve"> </w:t>
      </w:r>
      <w:r w:rsidR="005A3EEE" w:rsidRPr="00FC4265">
        <w:rPr>
          <w:rFonts w:ascii="GHEA Grapalat" w:hAnsi="GHEA Grapalat"/>
          <w:sz w:val="24"/>
          <w:szCs w:val="24"/>
        </w:rPr>
        <w:t>հատուկ գիտահետազոտական և փորձակոնստրուկտորական ծրագրերը: 202</w:t>
      </w:r>
      <w:r w:rsidR="004B1187" w:rsidRPr="00FC4265">
        <w:rPr>
          <w:rFonts w:ascii="GHEA Grapalat" w:hAnsi="GHEA Grapalat"/>
          <w:sz w:val="24"/>
          <w:szCs w:val="24"/>
        </w:rPr>
        <w:t>4</w:t>
      </w:r>
      <w:r w:rsidR="005A3EEE" w:rsidRPr="00FC4265">
        <w:rPr>
          <w:rFonts w:ascii="GHEA Grapalat" w:hAnsi="GHEA Grapalat"/>
          <w:sz w:val="24"/>
          <w:szCs w:val="24"/>
        </w:rPr>
        <w:t xml:space="preserve"> թվականին </w:t>
      </w:r>
      <w:r w:rsidR="00FD2094">
        <w:rPr>
          <w:rFonts w:ascii="GHEA Grapalat" w:hAnsi="GHEA Grapalat"/>
          <w:sz w:val="24"/>
          <w:szCs w:val="24"/>
        </w:rPr>
        <w:t>թիրախային</w:t>
      </w:r>
      <w:r w:rsidR="00804B57" w:rsidRPr="00FC4265">
        <w:rPr>
          <w:rFonts w:ascii="GHEA Grapalat" w:hAnsi="GHEA Grapalat"/>
          <w:sz w:val="24"/>
          <w:szCs w:val="24"/>
        </w:rPr>
        <w:t xml:space="preserve"> ֆինանսավոր</w:t>
      </w:r>
      <w:r w:rsidR="000A6DC9" w:rsidRPr="00FC4265">
        <w:rPr>
          <w:rFonts w:ascii="GHEA Grapalat" w:hAnsi="GHEA Grapalat"/>
          <w:sz w:val="24"/>
          <w:szCs w:val="24"/>
        </w:rPr>
        <w:t>մա</w:t>
      </w:r>
      <w:r w:rsidR="00804B57" w:rsidRPr="00FC4265">
        <w:rPr>
          <w:rFonts w:ascii="GHEA Grapalat" w:hAnsi="GHEA Grapalat"/>
          <w:sz w:val="24"/>
          <w:szCs w:val="24"/>
        </w:rPr>
        <w:t>ն ծավալները 2018 թվականից</w:t>
      </w:r>
      <w:r w:rsidR="00421772" w:rsidRPr="00FC4265">
        <w:rPr>
          <w:rFonts w:ascii="GHEA Grapalat" w:hAnsi="GHEA Grapalat"/>
          <w:sz w:val="24"/>
          <w:szCs w:val="24"/>
        </w:rPr>
        <w:t xml:space="preserve"> (2.6 </w:t>
      </w:r>
      <w:r w:rsidR="008A319A">
        <w:rPr>
          <w:rFonts w:ascii="GHEA Grapalat" w:hAnsi="GHEA Grapalat" w:cs="Sylfaen"/>
          <w:sz w:val="24"/>
          <w:szCs w:val="24"/>
        </w:rPr>
        <w:t>մլրդ</w:t>
      </w:r>
      <w:r w:rsidR="00BF7988" w:rsidRPr="00FC4265">
        <w:rPr>
          <w:rFonts w:ascii="GHEA Grapalat" w:hAnsi="GHEA Grapalat" w:cs="Sylfaen"/>
          <w:sz w:val="24"/>
          <w:szCs w:val="24"/>
        </w:rPr>
        <w:t xml:space="preserve"> ՀՀ</w:t>
      </w:r>
      <w:r w:rsidR="00FC4265">
        <w:rPr>
          <w:rFonts w:ascii="Calibri" w:hAnsi="Calibri" w:cs="Sylfaen"/>
          <w:sz w:val="24"/>
          <w:szCs w:val="24"/>
        </w:rPr>
        <w:t> </w:t>
      </w:r>
      <w:r w:rsidR="00421772" w:rsidRPr="00FC4265">
        <w:rPr>
          <w:rFonts w:ascii="GHEA Grapalat" w:hAnsi="GHEA Grapalat" w:cs="Sylfaen"/>
          <w:sz w:val="24"/>
          <w:szCs w:val="24"/>
        </w:rPr>
        <w:t>դրամ</w:t>
      </w:r>
      <w:r w:rsidR="00421772" w:rsidRPr="00FC4265">
        <w:rPr>
          <w:rFonts w:ascii="GHEA Grapalat" w:hAnsi="GHEA Grapalat"/>
          <w:sz w:val="24"/>
          <w:szCs w:val="24"/>
        </w:rPr>
        <w:t>)</w:t>
      </w:r>
      <w:r w:rsidR="00804B57" w:rsidRPr="00FC4265">
        <w:rPr>
          <w:rFonts w:ascii="GHEA Grapalat" w:hAnsi="GHEA Grapalat"/>
          <w:sz w:val="24"/>
          <w:szCs w:val="24"/>
        </w:rPr>
        <w:t xml:space="preserve"> </w:t>
      </w:r>
      <w:r w:rsidR="00421772" w:rsidRPr="00FC4265">
        <w:rPr>
          <w:rFonts w:ascii="GHEA Grapalat" w:hAnsi="GHEA Grapalat"/>
          <w:sz w:val="24"/>
          <w:szCs w:val="24"/>
        </w:rPr>
        <w:t xml:space="preserve">բացարձակ արժեքով </w:t>
      </w:r>
      <w:r w:rsidR="00804B57" w:rsidRPr="00FC4265">
        <w:rPr>
          <w:rFonts w:ascii="GHEA Grapalat" w:hAnsi="GHEA Grapalat"/>
          <w:sz w:val="24"/>
          <w:szCs w:val="24"/>
        </w:rPr>
        <w:t xml:space="preserve">ավելացել են` </w:t>
      </w:r>
      <w:r w:rsidR="00F855C7" w:rsidRPr="00FC4265">
        <w:rPr>
          <w:rFonts w:ascii="GHEA Grapalat" w:hAnsi="GHEA Grapalat"/>
          <w:sz w:val="24"/>
          <w:szCs w:val="24"/>
        </w:rPr>
        <w:t>հասնելով 4.</w:t>
      </w:r>
      <w:r w:rsidR="00421772" w:rsidRPr="00FC4265">
        <w:rPr>
          <w:rFonts w:ascii="GHEA Grapalat" w:hAnsi="GHEA Grapalat"/>
          <w:sz w:val="24"/>
          <w:szCs w:val="24"/>
        </w:rPr>
        <w:t>3</w:t>
      </w:r>
      <w:r w:rsidR="00F855C7" w:rsidRPr="00FC4265">
        <w:rPr>
          <w:rFonts w:ascii="GHEA Grapalat" w:hAnsi="GHEA Grapalat"/>
          <w:sz w:val="24"/>
          <w:szCs w:val="24"/>
        </w:rPr>
        <w:t xml:space="preserve"> մլրդ</w:t>
      </w:r>
      <w:r w:rsidR="00BF7988" w:rsidRPr="00FC4265">
        <w:rPr>
          <w:rFonts w:ascii="GHEA Grapalat" w:hAnsi="GHEA Grapalat" w:cs="Sylfaen"/>
          <w:sz w:val="24"/>
          <w:szCs w:val="24"/>
        </w:rPr>
        <w:t xml:space="preserve"> ՀՀ</w:t>
      </w:r>
      <w:r w:rsidR="00F855C7" w:rsidRPr="00FC4265">
        <w:rPr>
          <w:rFonts w:ascii="GHEA Grapalat" w:hAnsi="GHEA Grapalat"/>
          <w:sz w:val="24"/>
          <w:szCs w:val="24"/>
        </w:rPr>
        <w:t xml:space="preserve"> դրամ</w:t>
      </w:r>
      <w:r w:rsidR="00421772" w:rsidRPr="00FC4265">
        <w:rPr>
          <w:rFonts w:ascii="GHEA Grapalat" w:hAnsi="GHEA Grapalat"/>
          <w:sz w:val="24"/>
          <w:szCs w:val="24"/>
        </w:rPr>
        <w:t>ի</w:t>
      </w:r>
      <w:r w:rsidR="00FD2094">
        <w:rPr>
          <w:rFonts w:ascii="GHEA Grapalat" w:hAnsi="GHEA Grapalat"/>
          <w:sz w:val="24"/>
          <w:szCs w:val="24"/>
        </w:rPr>
        <w:t>,</w:t>
      </w:r>
      <w:r w:rsidR="009233E8">
        <w:rPr>
          <w:rFonts w:ascii="GHEA Grapalat" w:hAnsi="GHEA Grapalat"/>
          <w:sz w:val="24"/>
          <w:szCs w:val="24"/>
        </w:rPr>
        <w:t xml:space="preserve"> որի էական մասը</w:t>
      </w:r>
      <w:r w:rsidR="00F855C7" w:rsidRPr="00FC4265">
        <w:rPr>
          <w:rFonts w:ascii="GHEA Grapalat" w:hAnsi="GHEA Grapalat"/>
          <w:sz w:val="24"/>
          <w:szCs w:val="24"/>
        </w:rPr>
        <w:t xml:space="preserve"> </w:t>
      </w:r>
      <w:r w:rsidR="00421772" w:rsidRPr="00FC4265">
        <w:rPr>
          <w:rFonts w:ascii="GHEA Grapalat" w:hAnsi="GHEA Grapalat"/>
          <w:sz w:val="24"/>
          <w:szCs w:val="24"/>
        </w:rPr>
        <w:t xml:space="preserve">հատկացվում է </w:t>
      </w:r>
      <w:r w:rsidR="00F855C7" w:rsidRPr="00FC4265">
        <w:rPr>
          <w:rFonts w:ascii="GHEA Grapalat" w:hAnsi="GHEA Grapalat"/>
          <w:sz w:val="24"/>
          <w:szCs w:val="24"/>
        </w:rPr>
        <w:t xml:space="preserve">հատուկ գիտահետազոտական և փորձակոնստրուկտորական ծրագրերի տեսքով: </w:t>
      </w:r>
      <w:r w:rsidR="00CB5D47" w:rsidRPr="00FC4265">
        <w:rPr>
          <w:rFonts w:ascii="GHEA Grapalat" w:hAnsi="GHEA Grapalat"/>
          <w:sz w:val="24"/>
          <w:szCs w:val="24"/>
        </w:rPr>
        <w:t xml:space="preserve">Գիտական դրամաշնորհային </w:t>
      </w:r>
      <w:r w:rsidR="00497B32" w:rsidRPr="00FC4265">
        <w:rPr>
          <w:rFonts w:ascii="GHEA Grapalat" w:hAnsi="GHEA Grapalat"/>
          <w:sz w:val="24"/>
          <w:szCs w:val="24"/>
        </w:rPr>
        <w:t>ձևով ֆինանսավորման մասնաբաժինը ևս աճել է 201</w:t>
      </w:r>
      <w:r w:rsidR="00D01698" w:rsidRPr="00FC4265">
        <w:rPr>
          <w:rFonts w:ascii="GHEA Grapalat" w:hAnsi="GHEA Grapalat"/>
          <w:sz w:val="24"/>
          <w:szCs w:val="24"/>
        </w:rPr>
        <w:t>8</w:t>
      </w:r>
      <w:r w:rsidR="00497B32" w:rsidRPr="00FC4265">
        <w:rPr>
          <w:rFonts w:ascii="GHEA Grapalat" w:hAnsi="GHEA Grapalat"/>
          <w:sz w:val="24"/>
          <w:szCs w:val="24"/>
        </w:rPr>
        <w:t xml:space="preserve"> թվականից` 202</w:t>
      </w:r>
      <w:r w:rsidR="00D01698" w:rsidRPr="00FC4265">
        <w:rPr>
          <w:rFonts w:ascii="GHEA Grapalat" w:hAnsi="GHEA Grapalat"/>
          <w:sz w:val="24"/>
          <w:szCs w:val="24"/>
        </w:rPr>
        <w:t>4</w:t>
      </w:r>
      <w:r w:rsidR="00497B32" w:rsidRPr="00FC4265">
        <w:rPr>
          <w:rFonts w:ascii="GHEA Grapalat" w:hAnsi="GHEA Grapalat"/>
          <w:sz w:val="24"/>
          <w:szCs w:val="24"/>
        </w:rPr>
        <w:t xml:space="preserve"> թվականին հասնելով 1</w:t>
      </w:r>
      <w:r w:rsidR="00D10FB3" w:rsidRPr="00FC4265">
        <w:rPr>
          <w:rFonts w:ascii="GHEA Grapalat" w:hAnsi="GHEA Grapalat"/>
          <w:sz w:val="24"/>
          <w:szCs w:val="24"/>
        </w:rPr>
        <w:t>8</w:t>
      </w:r>
      <w:r w:rsidR="00497B32" w:rsidRPr="00FC4265">
        <w:rPr>
          <w:rFonts w:ascii="GHEA Grapalat" w:hAnsi="GHEA Grapalat"/>
          <w:sz w:val="24"/>
          <w:szCs w:val="24"/>
        </w:rPr>
        <w:t>.</w:t>
      </w:r>
      <w:r w:rsidR="00D10FB3" w:rsidRPr="00FC4265">
        <w:rPr>
          <w:rFonts w:ascii="GHEA Grapalat" w:hAnsi="GHEA Grapalat"/>
          <w:sz w:val="24"/>
          <w:szCs w:val="24"/>
        </w:rPr>
        <w:t>0</w:t>
      </w:r>
      <w:r w:rsidR="00497B32" w:rsidRPr="00FC4265">
        <w:rPr>
          <w:rFonts w:ascii="GHEA Grapalat" w:hAnsi="GHEA Grapalat"/>
          <w:sz w:val="24"/>
          <w:szCs w:val="24"/>
        </w:rPr>
        <w:t>% (</w:t>
      </w:r>
      <w:r w:rsidR="00D10FB3" w:rsidRPr="00FC4265">
        <w:rPr>
          <w:rFonts w:ascii="GHEA Grapalat" w:hAnsi="GHEA Grapalat"/>
          <w:sz w:val="24"/>
          <w:szCs w:val="24"/>
        </w:rPr>
        <w:t>6.65</w:t>
      </w:r>
      <w:r w:rsidR="00497B32" w:rsidRPr="00FC4265">
        <w:rPr>
          <w:rFonts w:ascii="GHEA Grapalat" w:hAnsi="GHEA Grapalat"/>
          <w:sz w:val="24"/>
          <w:szCs w:val="24"/>
        </w:rPr>
        <w:t xml:space="preserve"> մլրդ</w:t>
      </w:r>
      <w:r w:rsidR="00BF7988" w:rsidRPr="00FC4265">
        <w:rPr>
          <w:rFonts w:ascii="GHEA Grapalat" w:hAnsi="GHEA Grapalat"/>
          <w:sz w:val="24"/>
          <w:szCs w:val="24"/>
        </w:rPr>
        <w:t xml:space="preserve"> </w:t>
      </w:r>
      <w:r w:rsidR="00BF7988" w:rsidRPr="00FC4265">
        <w:rPr>
          <w:rFonts w:ascii="GHEA Grapalat" w:hAnsi="GHEA Grapalat" w:cs="Sylfaen"/>
          <w:sz w:val="24"/>
          <w:szCs w:val="24"/>
        </w:rPr>
        <w:t>ՀՀ</w:t>
      </w:r>
      <w:r w:rsidR="00497B32" w:rsidRPr="00FC4265">
        <w:rPr>
          <w:rFonts w:ascii="GHEA Grapalat" w:hAnsi="GHEA Grapalat"/>
          <w:sz w:val="24"/>
          <w:szCs w:val="24"/>
        </w:rPr>
        <w:t xml:space="preserve"> դրամ)</w:t>
      </w:r>
      <w:r w:rsidR="00D10FB3" w:rsidRPr="00FC4265">
        <w:rPr>
          <w:rFonts w:ascii="GHEA Grapalat" w:hAnsi="GHEA Grapalat"/>
          <w:sz w:val="24"/>
          <w:szCs w:val="24"/>
        </w:rPr>
        <w:t xml:space="preserve"> </w:t>
      </w:r>
      <w:r w:rsidR="008A6131" w:rsidRPr="00FC4265">
        <w:rPr>
          <w:rFonts w:ascii="GHEA Grapalat" w:hAnsi="GHEA Grapalat"/>
          <w:sz w:val="24"/>
          <w:szCs w:val="24"/>
        </w:rPr>
        <w:t xml:space="preserve">(տե΄ս, </w:t>
      </w:r>
      <w:r w:rsidR="005F7C93" w:rsidRPr="00FC4265">
        <w:rPr>
          <w:rFonts w:ascii="GHEA Grapalat" w:hAnsi="GHEA Grapalat"/>
          <w:sz w:val="24"/>
          <w:szCs w:val="24"/>
        </w:rPr>
        <w:t>Գծապատկեր</w:t>
      </w:r>
      <w:r w:rsidR="003E3186" w:rsidRPr="00FC4265">
        <w:rPr>
          <w:rFonts w:ascii="GHEA Grapalat" w:hAnsi="GHEA Grapalat"/>
          <w:sz w:val="24"/>
          <w:szCs w:val="24"/>
        </w:rPr>
        <w:t xml:space="preserve"> </w:t>
      </w:r>
      <w:r w:rsidR="00D54FC0" w:rsidRPr="00FC4265">
        <w:rPr>
          <w:rFonts w:ascii="GHEA Grapalat" w:hAnsi="GHEA Grapalat"/>
          <w:sz w:val="24"/>
          <w:szCs w:val="24"/>
        </w:rPr>
        <w:t>2</w:t>
      </w:r>
      <w:r w:rsidR="008A6131" w:rsidRPr="00FC4265">
        <w:rPr>
          <w:rFonts w:ascii="GHEA Grapalat" w:hAnsi="GHEA Grapalat"/>
          <w:sz w:val="24"/>
          <w:szCs w:val="24"/>
        </w:rPr>
        <w:t>):</w:t>
      </w:r>
      <w:r w:rsidR="00887E3F" w:rsidRPr="00FC4265">
        <w:rPr>
          <w:rFonts w:ascii="GHEA Grapalat" w:hAnsi="GHEA Grapalat"/>
          <w:sz w:val="24"/>
          <w:szCs w:val="24"/>
        </w:rPr>
        <w:t xml:space="preserve"> </w:t>
      </w:r>
      <w:r w:rsidR="009E561C" w:rsidRPr="00FC4265">
        <w:rPr>
          <w:rFonts w:ascii="GHEA Grapalat" w:hAnsi="GHEA Grapalat"/>
          <w:sz w:val="24"/>
          <w:szCs w:val="24"/>
        </w:rPr>
        <w:t>2023 թվականից ոլորտում ֆինանսավորումն իրականացվում է նաև կապիտալ ծրագրերի տեսքով</w:t>
      </w:r>
      <w:r w:rsidR="00BF7988" w:rsidRPr="00FC4265">
        <w:rPr>
          <w:rFonts w:ascii="GHEA Grapalat" w:hAnsi="GHEA Grapalat"/>
          <w:sz w:val="24"/>
          <w:szCs w:val="24"/>
        </w:rPr>
        <w:t>:</w:t>
      </w:r>
    </w:p>
    <w:p w14:paraId="154AE4DD" w14:textId="77777777" w:rsidR="00FC4265" w:rsidRPr="00FC4265" w:rsidRDefault="00FC4265" w:rsidP="0049437D">
      <w:pPr>
        <w:tabs>
          <w:tab w:val="left" w:pos="709"/>
          <w:tab w:val="left" w:pos="851"/>
        </w:tabs>
        <w:spacing w:line="276" w:lineRule="auto"/>
        <w:ind w:firstLine="567"/>
        <w:jc w:val="both"/>
        <w:rPr>
          <w:rFonts w:ascii="GHEA Grapalat" w:hAnsi="GHEA Grapalat"/>
          <w:sz w:val="24"/>
          <w:szCs w:val="24"/>
        </w:rPr>
      </w:pPr>
    </w:p>
    <w:p w14:paraId="70D1AE3C" w14:textId="5FBFC634" w:rsidR="003D1650" w:rsidRPr="00C72AB5" w:rsidRDefault="009E561C" w:rsidP="0049437D">
      <w:pPr>
        <w:tabs>
          <w:tab w:val="left" w:pos="709"/>
          <w:tab w:val="left" w:pos="851"/>
        </w:tabs>
        <w:spacing w:line="276" w:lineRule="auto"/>
        <w:jc w:val="center"/>
        <w:rPr>
          <w:rFonts w:ascii="GHEA Grapalat" w:hAnsi="GHEA Grapalat"/>
          <w:sz w:val="24"/>
          <w:szCs w:val="24"/>
        </w:rPr>
      </w:pPr>
      <w:r w:rsidRPr="00C72AB5">
        <w:rPr>
          <w:rFonts w:ascii="GHEA Grapalat" w:hAnsi="GHEA Grapalat"/>
          <w:noProof/>
          <w:sz w:val="24"/>
          <w:szCs w:val="24"/>
          <w:lang w:val="en-US" w:eastAsia="en-US"/>
        </w:rPr>
        <w:lastRenderedPageBreak/>
        <w:drawing>
          <wp:inline distT="0" distB="0" distL="0" distR="0" wp14:anchorId="5B23AEFA" wp14:editId="6A34C3D9">
            <wp:extent cx="6119495" cy="2314575"/>
            <wp:effectExtent l="0" t="0" r="0" b="0"/>
            <wp:docPr id="1603100522" name="Chart 1">
              <a:extLst xmlns:a="http://schemas.openxmlformats.org/drawingml/2006/main">
                <a:ext uri="{FF2B5EF4-FFF2-40B4-BE49-F238E27FC236}">
                  <a16:creationId xmlns:a16="http://schemas.microsoft.com/office/drawing/2014/main" id="{00000000-0008-0000-02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71630A1" w14:textId="457D5C1D" w:rsidR="005D36A1" w:rsidRPr="00C72AB5" w:rsidRDefault="005F7C93" w:rsidP="00181F43">
      <w:pPr>
        <w:tabs>
          <w:tab w:val="left" w:pos="709"/>
          <w:tab w:val="left" w:pos="851"/>
        </w:tabs>
        <w:ind w:left="567" w:hanging="567"/>
        <w:jc w:val="both"/>
        <w:rPr>
          <w:rFonts w:ascii="GHEA Grapalat" w:hAnsi="GHEA Grapalat"/>
        </w:rPr>
      </w:pPr>
      <w:r w:rsidRPr="00C72AB5">
        <w:rPr>
          <w:rFonts w:ascii="GHEA Grapalat" w:hAnsi="GHEA Grapalat"/>
          <w:b/>
        </w:rPr>
        <w:t>Գծապատկեր</w:t>
      </w:r>
      <w:r w:rsidR="00EB3139" w:rsidRPr="00C72AB5">
        <w:rPr>
          <w:rFonts w:ascii="GHEA Grapalat" w:hAnsi="GHEA Grapalat"/>
          <w:b/>
        </w:rPr>
        <w:t xml:space="preserve"> </w:t>
      </w:r>
      <w:r w:rsidR="001066B5" w:rsidRPr="00C72AB5">
        <w:rPr>
          <w:rFonts w:ascii="GHEA Grapalat" w:hAnsi="GHEA Grapalat"/>
          <w:b/>
        </w:rPr>
        <w:t>2</w:t>
      </w:r>
      <w:r w:rsidR="00EB3139" w:rsidRPr="00C72AB5">
        <w:rPr>
          <w:rFonts w:ascii="GHEA Grapalat" w:hAnsi="GHEA Grapalat"/>
        </w:rPr>
        <w:t xml:space="preserve">. </w:t>
      </w:r>
      <w:r w:rsidR="002972D7">
        <w:rPr>
          <w:rFonts w:ascii="GHEA Grapalat" w:hAnsi="GHEA Grapalat"/>
        </w:rPr>
        <w:t>Գիտատեխնոլոգիական</w:t>
      </w:r>
      <w:r w:rsidR="00EB3139" w:rsidRPr="00C72AB5">
        <w:rPr>
          <w:rFonts w:ascii="GHEA Grapalat" w:hAnsi="GHEA Grapalat"/>
        </w:rPr>
        <w:t xml:space="preserve"> գործունեության </w:t>
      </w:r>
      <w:r w:rsidR="002972D7">
        <w:rPr>
          <w:rFonts w:ascii="GHEA Grapalat" w:hAnsi="GHEA Grapalat"/>
        </w:rPr>
        <w:t>ոլորտի</w:t>
      </w:r>
      <w:r w:rsidR="00EB3139" w:rsidRPr="00C72AB5">
        <w:rPr>
          <w:rFonts w:ascii="GHEA Grapalat" w:hAnsi="GHEA Grapalat"/>
        </w:rPr>
        <w:t xml:space="preserve"> 2010-202</w:t>
      </w:r>
      <w:r w:rsidR="009E561C" w:rsidRPr="00C72AB5">
        <w:rPr>
          <w:rFonts w:ascii="GHEA Grapalat" w:hAnsi="GHEA Grapalat"/>
        </w:rPr>
        <w:t>4</w:t>
      </w:r>
      <w:r w:rsidR="00EB3139" w:rsidRPr="00C72AB5">
        <w:rPr>
          <w:rFonts w:ascii="Calibri" w:hAnsi="Calibri" w:cs="Calibri"/>
        </w:rPr>
        <w:t> </w:t>
      </w:r>
      <w:r w:rsidR="00EB3139" w:rsidRPr="00C72AB5">
        <w:rPr>
          <w:rFonts w:ascii="GHEA Grapalat" w:hAnsi="GHEA Grapalat" w:cs="GHEA Grapalat"/>
        </w:rPr>
        <w:t>թվականների</w:t>
      </w:r>
      <w:r w:rsidR="00EB3139" w:rsidRPr="00C72AB5">
        <w:rPr>
          <w:rFonts w:ascii="GHEA Grapalat" w:hAnsi="GHEA Grapalat"/>
        </w:rPr>
        <w:t xml:space="preserve"> </w:t>
      </w:r>
      <w:r w:rsidR="00EB3139" w:rsidRPr="00C72AB5">
        <w:rPr>
          <w:rFonts w:ascii="GHEA Grapalat" w:hAnsi="GHEA Grapalat" w:cs="GHEA Grapalat"/>
        </w:rPr>
        <w:t>պետական</w:t>
      </w:r>
      <w:r w:rsidR="00EB3139" w:rsidRPr="00C72AB5">
        <w:rPr>
          <w:rFonts w:ascii="GHEA Grapalat" w:hAnsi="GHEA Grapalat"/>
        </w:rPr>
        <w:t xml:space="preserve"> </w:t>
      </w:r>
      <w:r w:rsidR="00EB3139" w:rsidRPr="00C72AB5">
        <w:rPr>
          <w:rFonts w:ascii="GHEA Grapalat" w:hAnsi="GHEA Grapalat" w:cs="GHEA Grapalat"/>
        </w:rPr>
        <w:t>ֆինանսավորման</w:t>
      </w:r>
      <w:r w:rsidR="00EB3139" w:rsidRPr="00C72AB5">
        <w:rPr>
          <w:rFonts w:ascii="GHEA Grapalat" w:hAnsi="GHEA Grapalat"/>
        </w:rPr>
        <w:t xml:space="preserve"> </w:t>
      </w:r>
      <w:r w:rsidR="00674C54" w:rsidRPr="00C72AB5">
        <w:rPr>
          <w:rFonts w:ascii="GHEA Grapalat" w:hAnsi="GHEA Grapalat"/>
        </w:rPr>
        <w:t>մասնաբաժինները</w:t>
      </w:r>
      <w:r w:rsidR="00A7449C" w:rsidRPr="00C72AB5">
        <w:rPr>
          <w:rFonts w:ascii="GHEA Grapalat" w:hAnsi="GHEA Grapalat"/>
        </w:rPr>
        <w:t xml:space="preserve"> </w:t>
      </w:r>
      <w:r w:rsidR="00B8465B" w:rsidRPr="00C72AB5">
        <w:rPr>
          <w:rFonts w:ascii="GHEA Grapalat" w:hAnsi="GHEA Grapalat"/>
        </w:rPr>
        <w:t xml:space="preserve">(%) </w:t>
      </w:r>
      <w:r w:rsidR="00A7449C" w:rsidRPr="00C72AB5">
        <w:rPr>
          <w:rFonts w:ascii="GHEA Grapalat" w:hAnsi="GHEA Grapalat"/>
        </w:rPr>
        <w:t>և 202</w:t>
      </w:r>
      <w:r w:rsidR="009E561C" w:rsidRPr="00C72AB5">
        <w:rPr>
          <w:rFonts w:ascii="GHEA Grapalat" w:hAnsi="GHEA Grapalat"/>
        </w:rPr>
        <w:t>5</w:t>
      </w:r>
      <w:r w:rsidR="00A7449C" w:rsidRPr="00C72AB5">
        <w:rPr>
          <w:rFonts w:ascii="GHEA Grapalat" w:hAnsi="GHEA Grapalat"/>
        </w:rPr>
        <w:t xml:space="preserve"> </w:t>
      </w:r>
      <w:r w:rsidR="002972D7">
        <w:rPr>
          <w:rFonts w:ascii="GHEA Grapalat" w:hAnsi="GHEA Grapalat"/>
        </w:rPr>
        <w:t xml:space="preserve">թվականի </w:t>
      </w:r>
      <w:r w:rsidR="00A7449C" w:rsidRPr="00C72AB5">
        <w:rPr>
          <w:rFonts w:ascii="GHEA Grapalat" w:hAnsi="GHEA Grapalat"/>
        </w:rPr>
        <w:t>պլանավորումը</w:t>
      </w:r>
      <w:r w:rsidR="002972D7">
        <w:rPr>
          <w:rFonts w:ascii="GHEA Grapalat" w:hAnsi="GHEA Grapalat"/>
        </w:rPr>
        <w:t>՝</w:t>
      </w:r>
      <w:r w:rsidR="00674C54" w:rsidRPr="00C72AB5">
        <w:rPr>
          <w:rFonts w:ascii="GHEA Grapalat" w:hAnsi="GHEA Grapalat"/>
        </w:rPr>
        <w:t xml:space="preserve"> ըստ ֆինան</w:t>
      </w:r>
      <w:r w:rsidR="009E561C" w:rsidRPr="00C72AB5">
        <w:rPr>
          <w:rFonts w:ascii="GHEA Grapalat" w:hAnsi="GHEA Grapalat"/>
        </w:rPr>
        <w:softHyphen/>
      </w:r>
      <w:r w:rsidR="00674C54" w:rsidRPr="00C72AB5">
        <w:rPr>
          <w:rFonts w:ascii="GHEA Grapalat" w:hAnsi="GHEA Grapalat"/>
        </w:rPr>
        <w:t>սա</w:t>
      </w:r>
      <w:r w:rsidR="009E561C" w:rsidRPr="00C72AB5">
        <w:rPr>
          <w:rFonts w:ascii="GHEA Grapalat" w:hAnsi="GHEA Grapalat"/>
        </w:rPr>
        <w:softHyphen/>
      </w:r>
      <w:r w:rsidR="00674C54" w:rsidRPr="00C72AB5">
        <w:rPr>
          <w:rFonts w:ascii="GHEA Grapalat" w:hAnsi="GHEA Grapalat"/>
        </w:rPr>
        <w:t>վոր</w:t>
      </w:r>
      <w:r w:rsidR="009E561C" w:rsidRPr="00C72AB5">
        <w:rPr>
          <w:rFonts w:ascii="GHEA Grapalat" w:hAnsi="GHEA Grapalat"/>
        </w:rPr>
        <w:softHyphen/>
      </w:r>
      <w:r w:rsidR="00674C54" w:rsidRPr="00C72AB5">
        <w:rPr>
          <w:rFonts w:ascii="GHEA Grapalat" w:hAnsi="GHEA Grapalat"/>
        </w:rPr>
        <w:t>ման ձևերի</w:t>
      </w:r>
      <w:r w:rsidR="00EB3139" w:rsidRPr="00C72AB5">
        <w:rPr>
          <w:rFonts w:ascii="GHEA Grapalat" w:hAnsi="GHEA Grapalat"/>
        </w:rPr>
        <w:t>:</w:t>
      </w:r>
    </w:p>
    <w:p w14:paraId="1EC7F2AB" w14:textId="77777777" w:rsidR="00B039FF" w:rsidRPr="00C72AB5" w:rsidRDefault="00B039FF" w:rsidP="0049437D">
      <w:pPr>
        <w:tabs>
          <w:tab w:val="left" w:pos="709"/>
          <w:tab w:val="left" w:pos="851"/>
        </w:tabs>
        <w:spacing w:line="276" w:lineRule="auto"/>
        <w:rPr>
          <w:rFonts w:ascii="GHEA Grapalat" w:hAnsi="GHEA Grapalat"/>
          <w:sz w:val="24"/>
          <w:szCs w:val="24"/>
        </w:rPr>
      </w:pPr>
    </w:p>
    <w:p w14:paraId="644C8389" w14:textId="214C68C2" w:rsidR="00A249B0" w:rsidRPr="00C72AB5" w:rsidRDefault="0068358C" w:rsidP="0049437D">
      <w:pPr>
        <w:tabs>
          <w:tab w:val="left" w:pos="709"/>
          <w:tab w:val="left" w:pos="851"/>
        </w:tabs>
        <w:spacing w:line="276" w:lineRule="auto"/>
        <w:ind w:firstLine="567"/>
        <w:jc w:val="both"/>
        <w:rPr>
          <w:rFonts w:ascii="GHEA Grapalat" w:hAnsi="GHEA Grapalat"/>
          <w:sz w:val="24"/>
          <w:szCs w:val="24"/>
        </w:rPr>
      </w:pPr>
      <w:r w:rsidRPr="00C72AB5">
        <w:rPr>
          <w:rFonts w:ascii="GHEA Grapalat" w:hAnsi="GHEA Grapalat"/>
          <w:sz w:val="24"/>
          <w:szCs w:val="24"/>
        </w:rPr>
        <w:t xml:space="preserve">9. </w:t>
      </w:r>
      <w:r w:rsidR="002972D7" w:rsidRPr="002972D7">
        <w:rPr>
          <w:rFonts w:ascii="GHEA Grapalat" w:hAnsi="GHEA Grapalat"/>
          <w:sz w:val="24"/>
          <w:szCs w:val="24"/>
        </w:rPr>
        <w:t>Գիտատեխնոլոգիական</w:t>
      </w:r>
      <w:r w:rsidR="00A249B0" w:rsidRPr="00C72AB5">
        <w:rPr>
          <w:rFonts w:ascii="GHEA Grapalat" w:hAnsi="GHEA Grapalat"/>
          <w:sz w:val="24"/>
          <w:szCs w:val="24"/>
        </w:rPr>
        <w:t xml:space="preserve"> գործունեության ոլորտի ֆինանսավորման մեջ</w:t>
      </w:r>
      <w:r w:rsidR="0007189C" w:rsidRPr="00C72AB5">
        <w:rPr>
          <w:rFonts w:ascii="GHEA Grapalat" w:hAnsi="GHEA Grapalat"/>
          <w:sz w:val="24"/>
          <w:szCs w:val="24"/>
        </w:rPr>
        <w:t>, անկախ ֆինանսավորման ձևերից</w:t>
      </w:r>
      <w:r w:rsidR="00B8465B" w:rsidRPr="00C72AB5">
        <w:rPr>
          <w:rFonts w:ascii="GHEA Grapalat" w:hAnsi="GHEA Grapalat"/>
          <w:sz w:val="24"/>
          <w:szCs w:val="24"/>
        </w:rPr>
        <w:t>,</w:t>
      </w:r>
      <w:r w:rsidR="0007189C" w:rsidRPr="00C72AB5">
        <w:rPr>
          <w:rFonts w:ascii="GHEA Grapalat" w:hAnsi="GHEA Grapalat"/>
          <w:sz w:val="24"/>
          <w:szCs w:val="24"/>
        </w:rPr>
        <w:t xml:space="preserve"> ֆինանսավորման մի մասը հատկացվում է </w:t>
      </w:r>
      <w:r w:rsidR="00A249B0" w:rsidRPr="00C72AB5">
        <w:rPr>
          <w:rFonts w:ascii="GHEA Grapalat" w:hAnsi="GHEA Grapalat"/>
          <w:sz w:val="24"/>
          <w:szCs w:val="24"/>
        </w:rPr>
        <w:t xml:space="preserve">մրցութային </w:t>
      </w:r>
      <w:r w:rsidR="00D10FB3" w:rsidRPr="00C72AB5">
        <w:rPr>
          <w:rFonts w:ascii="GHEA Grapalat" w:hAnsi="GHEA Grapalat"/>
          <w:sz w:val="24"/>
          <w:szCs w:val="24"/>
        </w:rPr>
        <w:t>եղանակով</w:t>
      </w:r>
      <w:r w:rsidR="0007189C" w:rsidRPr="00C72AB5">
        <w:rPr>
          <w:rFonts w:ascii="GHEA Grapalat" w:hAnsi="GHEA Grapalat"/>
          <w:sz w:val="24"/>
          <w:szCs w:val="24"/>
        </w:rPr>
        <w:t xml:space="preserve">: </w:t>
      </w:r>
      <w:r w:rsidR="007A14E3" w:rsidRPr="00C72AB5">
        <w:rPr>
          <w:rFonts w:ascii="GHEA Grapalat" w:hAnsi="GHEA Grapalat"/>
          <w:sz w:val="24"/>
          <w:szCs w:val="24"/>
        </w:rPr>
        <w:t xml:space="preserve">Մրցութային և ոչ-մրցութային </w:t>
      </w:r>
      <w:r w:rsidR="00D10FB3" w:rsidRPr="00C72AB5">
        <w:rPr>
          <w:rFonts w:ascii="GHEA Grapalat" w:hAnsi="GHEA Grapalat"/>
          <w:sz w:val="24"/>
          <w:szCs w:val="24"/>
        </w:rPr>
        <w:t>եղանակ</w:t>
      </w:r>
      <w:r w:rsidR="007A14E3" w:rsidRPr="00C72AB5">
        <w:rPr>
          <w:rFonts w:ascii="GHEA Grapalat" w:hAnsi="GHEA Grapalat"/>
          <w:sz w:val="24"/>
          <w:szCs w:val="24"/>
        </w:rPr>
        <w:t xml:space="preserve">ներով </w:t>
      </w:r>
      <w:r w:rsidR="00A249B0" w:rsidRPr="00C72AB5">
        <w:rPr>
          <w:rFonts w:ascii="GHEA Grapalat" w:hAnsi="GHEA Grapalat"/>
          <w:sz w:val="24"/>
          <w:szCs w:val="24"/>
        </w:rPr>
        <w:t xml:space="preserve">հատկացվող գումարների համամասնությունը </w:t>
      </w:r>
      <w:r w:rsidR="007A14E3" w:rsidRPr="00C72AB5">
        <w:rPr>
          <w:rFonts w:ascii="GHEA Grapalat" w:hAnsi="GHEA Grapalat"/>
          <w:sz w:val="24"/>
          <w:szCs w:val="24"/>
        </w:rPr>
        <w:t>2016-202</w:t>
      </w:r>
      <w:r w:rsidR="00A62A48" w:rsidRPr="00C72AB5">
        <w:rPr>
          <w:rFonts w:ascii="GHEA Grapalat" w:hAnsi="GHEA Grapalat"/>
          <w:sz w:val="24"/>
          <w:szCs w:val="24"/>
        </w:rPr>
        <w:t>4</w:t>
      </w:r>
      <w:r w:rsidR="007A14E3" w:rsidRPr="00C72AB5">
        <w:rPr>
          <w:rFonts w:ascii="GHEA Grapalat" w:hAnsi="GHEA Grapalat"/>
          <w:sz w:val="24"/>
          <w:szCs w:val="24"/>
        </w:rPr>
        <w:t xml:space="preserve"> թվականների ընթացքում փոփոխվել է ի օգուտ մրցութային բաղադրիչի մասնաբաժնի ավելացման, ինչին նպաստել են 20</w:t>
      </w:r>
      <w:r w:rsidR="00BD3811" w:rsidRPr="00C72AB5">
        <w:rPr>
          <w:rFonts w:ascii="GHEA Grapalat" w:hAnsi="GHEA Grapalat"/>
          <w:sz w:val="24"/>
          <w:szCs w:val="24"/>
        </w:rPr>
        <w:t>20</w:t>
      </w:r>
      <w:r w:rsidR="00B8465B" w:rsidRPr="00C72AB5">
        <w:rPr>
          <w:rFonts w:ascii="GHEA Grapalat" w:hAnsi="GHEA Grapalat"/>
          <w:sz w:val="24"/>
          <w:szCs w:val="24"/>
        </w:rPr>
        <w:t xml:space="preserve"> և 2021</w:t>
      </w:r>
      <w:r w:rsidR="00BD3811" w:rsidRPr="00C72AB5">
        <w:rPr>
          <w:rFonts w:ascii="GHEA Grapalat" w:hAnsi="GHEA Grapalat"/>
          <w:sz w:val="24"/>
          <w:szCs w:val="24"/>
        </w:rPr>
        <w:t xml:space="preserve"> </w:t>
      </w:r>
      <w:r w:rsidR="00BD3811" w:rsidRPr="00FC4265">
        <w:rPr>
          <w:rFonts w:ascii="GHEA Grapalat" w:hAnsi="GHEA Grapalat"/>
          <w:sz w:val="24"/>
          <w:szCs w:val="24"/>
        </w:rPr>
        <w:t>թվական</w:t>
      </w:r>
      <w:r w:rsidR="00BF7988" w:rsidRPr="00FC4265">
        <w:rPr>
          <w:rFonts w:ascii="GHEA Grapalat" w:hAnsi="GHEA Grapalat"/>
          <w:sz w:val="24"/>
          <w:szCs w:val="24"/>
        </w:rPr>
        <w:t>ներ</w:t>
      </w:r>
      <w:r w:rsidR="00BD3811" w:rsidRPr="00FC4265">
        <w:rPr>
          <w:rFonts w:ascii="GHEA Grapalat" w:hAnsi="GHEA Grapalat"/>
          <w:sz w:val="24"/>
          <w:szCs w:val="24"/>
        </w:rPr>
        <w:t>ի</w:t>
      </w:r>
      <w:r w:rsidR="00BD3811" w:rsidRPr="00C72AB5">
        <w:rPr>
          <w:rFonts w:ascii="GHEA Grapalat" w:hAnsi="GHEA Grapalat"/>
          <w:sz w:val="24"/>
          <w:szCs w:val="24"/>
        </w:rPr>
        <w:t xml:space="preserve"> պետական բյուջեով </w:t>
      </w:r>
      <w:r w:rsidR="002972D7">
        <w:rPr>
          <w:rFonts w:ascii="GHEA Grapalat" w:hAnsi="GHEA Grapalat"/>
          <w:sz w:val="24"/>
          <w:szCs w:val="24"/>
        </w:rPr>
        <w:t>գ</w:t>
      </w:r>
      <w:r w:rsidR="002972D7" w:rsidRPr="002972D7">
        <w:rPr>
          <w:rFonts w:ascii="GHEA Grapalat" w:hAnsi="GHEA Grapalat"/>
          <w:sz w:val="24"/>
          <w:szCs w:val="24"/>
        </w:rPr>
        <w:t>իտատեխնոլոգիական</w:t>
      </w:r>
      <w:r w:rsidR="00BD3811" w:rsidRPr="00C72AB5">
        <w:rPr>
          <w:rFonts w:ascii="GHEA Grapalat" w:hAnsi="GHEA Grapalat"/>
          <w:sz w:val="24"/>
          <w:szCs w:val="24"/>
        </w:rPr>
        <w:t xml:space="preserve"> գործունեությանը հատկացված գումարների ավելացումը </w:t>
      </w:r>
      <w:r w:rsidR="007A14E3" w:rsidRPr="00C72AB5">
        <w:rPr>
          <w:rFonts w:ascii="GHEA Grapalat" w:hAnsi="GHEA Grapalat"/>
          <w:sz w:val="24"/>
          <w:szCs w:val="24"/>
        </w:rPr>
        <w:t xml:space="preserve">և </w:t>
      </w:r>
      <w:r w:rsidR="00BF7988" w:rsidRPr="00D33BC8">
        <w:rPr>
          <w:rFonts w:ascii="GHEA Grapalat" w:hAnsi="GHEA Grapalat"/>
          <w:sz w:val="24"/>
          <w:szCs w:val="24"/>
        </w:rPr>
        <w:t xml:space="preserve">Հայաստանի Հանրապետության </w:t>
      </w:r>
      <w:r w:rsidR="00544E8C" w:rsidRPr="00C72AB5">
        <w:rPr>
          <w:rFonts w:ascii="GHEA Grapalat" w:hAnsi="GHEA Grapalat"/>
          <w:sz w:val="24"/>
          <w:szCs w:val="24"/>
        </w:rPr>
        <w:t>կա</w:t>
      </w:r>
      <w:r w:rsidR="00BD3811" w:rsidRPr="00C72AB5">
        <w:rPr>
          <w:rFonts w:ascii="GHEA Grapalat" w:hAnsi="GHEA Grapalat"/>
          <w:sz w:val="24"/>
          <w:szCs w:val="24"/>
        </w:rPr>
        <w:t xml:space="preserve">ռավարության </w:t>
      </w:r>
      <w:r w:rsidR="00FC4265">
        <w:rPr>
          <w:rFonts w:ascii="GHEA Grapalat" w:hAnsi="GHEA Grapalat"/>
          <w:sz w:val="24"/>
          <w:szCs w:val="24"/>
        </w:rPr>
        <w:t>2021 թվականի</w:t>
      </w:r>
      <w:r w:rsidR="00BD3811" w:rsidRPr="00C72AB5">
        <w:rPr>
          <w:rFonts w:ascii="GHEA Grapalat" w:hAnsi="GHEA Grapalat"/>
          <w:sz w:val="24"/>
          <w:szCs w:val="24"/>
        </w:rPr>
        <w:t xml:space="preserve"> </w:t>
      </w:r>
      <w:r w:rsidR="00D33BC8" w:rsidRPr="00D33BC8">
        <w:rPr>
          <w:rFonts w:ascii="GHEA Grapalat" w:hAnsi="GHEA Grapalat"/>
          <w:sz w:val="24"/>
          <w:szCs w:val="24"/>
        </w:rPr>
        <w:t>ապրիլի</w:t>
      </w:r>
      <w:r w:rsidR="00D33BC8" w:rsidRPr="00C72AB5">
        <w:rPr>
          <w:rFonts w:ascii="GHEA Grapalat" w:hAnsi="GHEA Grapalat"/>
          <w:sz w:val="24"/>
          <w:szCs w:val="24"/>
        </w:rPr>
        <w:t xml:space="preserve"> </w:t>
      </w:r>
      <w:r w:rsidR="00D33BC8" w:rsidRPr="00D33BC8">
        <w:rPr>
          <w:rFonts w:ascii="GHEA Grapalat" w:hAnsi="GHEA Grapalat"/>
          <w:sz w:val="24"/>
          <w:szCs w:val="24"/>
        </w:rPr>
        <w:t>8-ի</w:t>
      </w:r>
      <w:r w:rsidR="00D33BC8">
        <w:rPr>
          <w:rFonts w:ascii="Arial" w:hAnsi="Arial" w:cs="Arial"/>
          <w:color w:val="333333"/>
          <w:shd w:val="clear" w:color="auto" w:fill="FFFFFF"/>
        </w:rPr>
        <w:t xml:space="preserve"> </w:t>
      </w:r>
      <w:r w:rsidR="00BD3811" w:rsidRPr="00C72AB5">
        <w:rPr>
          <w:rFonts w:ascii="GHEA Grapalat" w:hAnsi="GHEA Grapalat"/>
          <w:sz w:val="24"/>
          <w:szCs w:val="24"/>
        </w:rPr>
        <w:t xml:space="preserve">N 524-Ն </w:t>
      </w:r>
      <w:r w:rsidR="007A14E3" w:rsidRPr="00C72AB5">
        <w:rPr>
          <w:rFonts w:ascii="GHEA Grapalat" w:hAnsi="GHEA Grapalat"/>
          <w:sz w:val="24"/>
          <w:szCs w:val="24"/>
        </w:rPr>
        <w:t>որոշում</w:t>
      </w:r>
      <w:r w:rsidR="00BD3811" w:rsidRPr="00C72AB5">
        <w:rPr>
          <w:rFonts w:ascii="GHEA Grapalat" w:hAnsi="GHEA Grapalat"/>
          <w:sz w:val="24"/>
          <w:szCs w:val="24"/>
        </w:rPr>
        <w:t>ը,</w:t>
      </w:r>
      <w:r w:rsidR="007A14E3" w:rsidRPr="00C72AB5">
        <w:rPr>
          <w:rFonts w:ascii="GHEA Grapalat" w:hAnsi="GHEA Grapalat"/>
          <w:sz w:val="24"/>
          <w:szCs w:val="24"/>
        </w:rPr>
        <w:t xml:space="preserve"> որո</w:t>
      </w:r>
      <w:r w:rsidR="00BD3811" w:rsidRPr="00C72AB5">
        <w:rPr>
          <w:rFonts w:ascii="GHEA Grapalat" w:hAnsi="GHEA Grapalat"/>
          <w:sz w:val="24"/>
          <w:szCs w:val="24"/>
        </w:rPr>
        <w:t>վ</w:t>
      </w:r>
      <w:r w:rsidR="00006D15" w:rsidRPr="00C72AB5">
        <w:rPr>
          <w:rFonts w:ascii="GHEA Grapalat" w:hAnsi="GHEA Grapalat"/>
          <w:sz w:val="24"/>
          <w:szCs w:val="24"/>
        </w:rPr>
        <w:t xml:space="preserve"> </w:t>
      </w:r>
      <w:r w:rsidR="00BD3811" w:rsidRPr="00C72AB5">
        <w:rPr>
          <w:rFonts w:ascii="GHEA Grapalat" w:hAnsi="GHEA Grapalat"/>
          <w:sz w:val="24"/>
          <w:szCs w:val="24"/>
        </w:rPr>
        <w:t xml:space="preserve">ոլորտի </w:t>
      </w:r>
      <w:r w:rsidR="00FC4265">
        <w:rPr>
          <w:rFonts w:ascii="GHEA Grapalat" w:hAnsi="GHEA Grapalat"/>
          <w:sz w:val="24"/>
          <w:szCs w:val="24"/>
        </w:rPr>
        <w:t>2021 թվականի</w:t>
      </w:r>
      <w:r w:rsidR="002972D7">
        <w:rPr>
          <w:rFonts w:ascii="GHEA Grapalat" w:hAnsi="GHEA Grapalat"/>
          <w:sz w:val="24"/>
          <w:szCs w:val="24"/>
        </w:rPr>
        <w:t xml:space="preserve"> </w:t>
      </w:r>
      <w:r w:rsidR="00BD3811" w:rsidRPr="00C72AB5">
        <w:rPr>
          <w:rFonts w:ascii="GHEA Grapalat" w:hAnsi="GHEA Grapalat"/>
          <w:sz w:val="24"/>
          <w:szCs w:val="24"/>
        </w:rPr>
        <w:t>ֆինանսավորումն ավելացվեց 2.78 մլրդ</w:t>
      </w:r>
      <w:r w:rsidR="00BF7988" w:rsidRPr="00FC4265">
        <w:rPr>
          <w:rFonts w:ascii="GHEA Grapalat" w:hAnsi="GHEA Grapalat"/>
          <w:sz w:val="24"/>
          <w:szCs w:val="24"/>
        </w:rPr>
        <w:t xml:space="preserve"> ՀՀ</w:t>
      </w:r>
      <w:r w:rsidR="00BD3811" w:rsidRPr="00FC4265">
        <w:rPr>
          <w:rFonts w:ascii="GHEA Grapalat" w:hAnsi="GHEA Grapalat"/>
          <w:sz w:val="24"/>
          <w:szCs w:val="24"/>
        </w:rPr>
        <w:t xml:space="preserve"> </w:t>
      </w:r>
      <w:r w:rsidR="00BD3811" w:rsidRPr="00C72AB5">
        <w:rPr>
          <w:rFonts w:ascii="GHEA Grapalat" w:hAnsi="GHEA Grapalat"/>
          <w:sz w:val="24"/>
          <w:szCs w:val="24"/>
        </w:rPr>
        <w:t>դրամով</w:t>
      </w:r>
      <w:r w:rsidR="00C0158A" w:rsidRPr="00C72AB5">
        <w:rPr>
          <w:rFonts w:ascii="GHEA Grapalat" w:hAnsi="GHEA Grapalat"/>
          <w:sz w:val="24"/>
          <w:szCs w:val="24"/>
        </w:rPr>
        <w:t>,</w:t>
      </w:r>
      <w:r w:rsidR="00BD3811" w:rsidRPr="00C72AB5">
        <w:rPr>
          <w:rFonts w:ascii="GHEA Grapalat" w:hAnsi="GHEA Grapalat"/>
          <w:sz w:val="24"/>
          <w:szCs w:val="24"/>
        </w:rPr>
        <w:t xml:space="preserve"> որն ամբողջությամբ հատկացվե</w:t>
      </w:r>
      <w:r w:rsidR="00973650" w:rsidRPr="00C72AB5">
        <w:rPr>
          <w:rFonts w:ascii="GHEA Grapalat" w:hAnsi="GHEA Grapalat"/>
          <w:sz w:val="24"/>
          <w:szCs w:val="24"/>
        </w:rPr>
        <w:t>լ է</w:t>
      </w:r>
      <w:r w:rsidR="00BD3811" w:rsidRPr="00C72AB5">
        <w:rPr>
          <w:rFonts w:ascii="GHEA Grapalat" w:hAnsi="GHEA Grapalat"/>
          <w:sz w:val="24"/>
          <w:szCs w:val="24"/>
        </w:rPr>
        <w:t xml:space="preserve"> </w:t>
      </w:r>
      <w:r w:rsidR="00006D15" w:rsidRPr="00C72AB5">
        <w:rPr>
          <w:rFonts w:ascii="GHEA Grapalat" w:hAnsi="GHEA Grapalat"/>
          <w:sz w:val="24"/>
          <w:szCs w:val="24"/>
        </w:rPr>
        <w:t>մրցութային ծրագրերի</w:t>
      </w:r>
      <w:r w:rsidR="00BD3811" w:rsidRPr="00C72AB5">
        <w:rPr>
          <w:rFonts w:ascii="GHEA Grapalat" w:hAnsi="GHEA Grapalat"/>
          <w:sz w:val="24"/>
          <w:szCs w:val="24"/>
        </w:rPr>
        <w:t>ն</w:t>
      </w:r>
      <w:r w:rsidR="000073A8" w:rsidRPr="00C72AB5">
        <w:rPr>
          <w:rFonts w:ascii="GHEA Grapalat" w:hAnsi="GHEA Grapalat"/>
          <w:sz w:val="24"/>
          <w:szCs w:val="24"/>
          <w:vertAlign w:val="superscript"/>
        </w:rPr>
        <w:footnoteReference w:id="14"/>
      </w:r>
      <w:r w:rsidR="00C0158A" w:rsidRPr="00C72AB5">
        <w:rPr>
          <w:rFonts w:ascii="GHEA Grapalat" w:hAnsi="GHEA Grapalat"/>
          <w:sz w:val="24"/>
          <w:szCs w:val="24"/>
          <w:vertAlign w:val="superscript"/>
        </w:rPr>
        <w:t xml:space="preserve"> </w:t>
      </w:r>
      <w:r w:rsidR="00C0158A" w:rsidRPr="00C72AB5">
        <w:rPr>
          <w:rFonts w:ascii="GHEA Grapalat" w:hAnsi="GHEA Grapalat"/>
          <w:sz w:val="24"/>
          <w:szCs w:val="24"/>
        </w:rPr>
        <w:t xml:space="preserve">(տե՛ս </w:t>
      </w:r>
      <w:r w:rsidR="005F7C93" w:rsidRPr="00C72AB5">
        <w:rPr>
          <w:rFonts w:ascii="GHEA Grapalat" w:hAnsi="GHEA Grapalat"/>
          <w:sz w:val="24"/>
          <w:szCs w:val="24"/>
        </w:rPr>
        <w:t>Գծապատկեր</w:t>
      </w:r>
      <w:r w:rsidR="00C0158A" w:rsidRPr="00C72AB5">
        <w:rPr>
          <w:rFonts w:ascii="GHEA Grapalat" w:hAnsi="GHEA Grapalat"/>
          <w:sz w:val="24"/>
          <w:szCs w:val="24"/>
        </w:rPr>
        <w:t xml:space="preserve"> </w:t>
      </w:r>
      <w:r w:rsidR="00D54FC0" w:rsidRPr="00C72AB5">
        <w:rPr>
          <w:rFonts w:ascii="GHEA Grapalat" w:hAnsi="GHEA Grapalat"/>
          <w:sz w:val="24"/>
          <w:szCs w:val="24"/>
        </w:rPr>
        <w:t>3</w:t>
      </w:r>
      <w:r w:rsidR="00C0158A" w:rsidRPr="00C72AB5">
        <w:rPr>
          <w:rFonts w:ascii="GHEA Grapalat" w:hAnsi="GHEA Grapalat"/>
          <w:sz w:val="24"/>
          <w:szCs w:val="24"/>
        </w:rPr>
        <w:t>)</w:t>
      </w:r>
      <w:r w:rsidR="001312BB" w:rsidRPr="00C72AB5">
        <w:rPr>
          <w:rFonts w:ascii="GHEA Grapalat" w:hAnsi="GHEA Grapalat"/>
          <w:sz w:val="24"/>
          <w:szCs w:val="24"/>
        </w:rPr>
        <w:t>:</w:t>
      </w:r>
    </w:p>
    <w:p w14:paraId="665EFA41" w14:textId="0E43594E" w:rsidR="0007189C" w:rsidRPr="00C72AB5" w:rsidRDefault="00F25715" w:rsidP="0049437D">
      <w:pPr>
        <w:tabs>
          <w:tab w:val="left" w:pos="709"/>
          <w:tab w:val="left" w:pos="851"/>
        </w:tabs>
        <w:spacing w:line="276" w:lineRule="auto"/>
        <w:jc w:val="center"/>
        <w:rPr>
          <w:rFonts w:ascii="GHEA Grapalat" w:hAnsi="GHEA Grapalat"/>
          <w:sz w:val="24"/>
          <w:szCs w:val="24"/>
        </w:rPr>
      </w:pPr>
      <w:r w:rsidRPr="00C72AB5">
        <w:rPr>
          <w:noProof/>
          <w:lang w:val="en-US" w:eastAsia="en-US"/>
        </w:rPr>
        <w:drawing>
          <wp:inline distT="0" distB="0" distL="0" distR="0" wp14:anchorId="48C5B8F6" wp14:editId="645594F9">
            <wp:extent cx="5686425" cy="2752725"/>
            <wp:effectExtent l="0" t="0" r="0" b="0"/>
            <wp:docPr id="1054748468" name="Chart 1">
              <a:extLst xmlns:a="http://schemas.openxmlformats.org/drawingml/2006/main">
                <a:ext uri="{FF2B5EF4-FFF2-40B4-BE49-F238E27FC236}">
                  <a16:creationId xmlns:a16="http://schemas.microsoft.com/office/drawing/2014/main" id="{00000000-0008-0000-01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4B3877F" w14:textId="67DED466" w:rsidR="00547B1C" w:rsidRPr="00C72AB5" w:rsidRDefault="005F7C93" w:rsidP="00181F43">
      <w:pPr>
        <w:tabs>
          <w:tab w:val="left" w:pos="709"/>
          <w:tab w:val="left" w:pos="1276"/>
        </w:tabs>
        <w:ind w:left="567" w:hanging="567"/>
        <w:jc w:val="both"/>
        <w:rPr>
          <w:rFonts w:ascii="GHEA Grapalat" w:hAnsi="GHEA Grapalat"/>
        </w:rPr>
      </w:pPr>
      <w:r w:rsidRPr="00C72AB5">
        <w:rPr>
          <w:rFonts w:ascii="GHEA Grapalat" w:hAnsi="GHEA Grapalat"/>
          <w:b/>
        </w:rPr>
        <w:t>Գծապատկեր</w:t>
      </w:r>
      <w:r w:rsidR="001312BB" w:rsidRPr="00C72AB5">
        <w:rPr>
          <w:rFonts w:ascii="GHEA Grapalat" w:hAnsi="GHEA Grapalat"/>
          <w:b/>
        </w:rPr>
        <w:t xml:space="preserve"> </w:t>
      </w:r>
      <w:r w:rsidR="001066B5" w:rsidRPr="00C72AB5">
        <w:rPr>
          <w:rFonts w:ascii="GHEA Grapalat" w:hAnsi="GHEA Grapalat"/>
          <w:b/>
        </w:rPr>
        <w:t>3</w:t>
      </w:r>
      <w:r w:rsidR="00547B1C" w:rsidRPr="00C72AB5">
        <w:rPr>
          <w:rFonts w:ascii="GHEA Grapalat" w:hAnsi="GHEA Grapalat"/>
        </w:rPr>
        <w:t xml:space="preserve">. Մրցութային և ոչ-մրցութային սկզբունքով ֆինանսավորման </w:t>
      </w:r>
      <w:r w:rsidR="007478A1" w:rsidRPr="00C72AB5">
        <w:rPr>
          <w:rFonts w:ascii="GHEA Grapalat" w:hAnsi="GHEA Grapalat"/>
        </w:rPr>
        <w:t>մասնաբաժինները</w:t>
      </w:r>
      <w:r w:rsidR="00547B1C" w:rsidRPr="00C72AB5">
        <w:rPr>
          <w:rFonts w:ascii="GHEA Grapalat" w:hAnsi="GHEA Grapalat"/>
        </w:rPr>
        <w:t xml:space="preserve"> (%):</w:t>
      </w:r>
    </w:p>
    <w:p w14:paraId="566204F4" w14:textId="22FBAD20" w:rsidR="00025450" w:rsidRPr="00C72AB5" w:rsidRDefault="00025450" w:rsidP="0049437D">
      <w:pPr>
        <w:tabs>
          <w:tab w:val="left" w:pos="709"/>
          <w:tab w:val="left" w:pos="851"/>
        </w:tabs>
        <w:spacing w:line="276" w:lineRule="auto"/>
        <w:ind w:firstLine="567"/>
        <w:jc w:val="center"/>
        <w:rPr>
          <w:rFonts w:ascii="GHEA Grapalat" w:hAnsi="GHEA Grapalat"/>
        </w:rPr>
      </w:pPr>
    </w:p>
    <w:p w14:paraId="70ADD9DE" w14:textId="3096094F" w:rsidR="00595285" w:rsidRDefault="0068358C" w:rsidP="0049437D">
      <w:pPr>
        <w:tabs>
          <w:tab w:val="left" w:pos="709"/>
          <w:tab w:val="left" w:pos="851"/>
        </w:tabs>
        <w:spacing w:line="276" w:lineRule="auto"/>
        <w:ind w:firstLine="567"/>
        <w:jc w:val="both"/>
        <w:rPr>
          <w:rFonts w:ascii="GHEA Grapalat" w:hAnsi="GHEA Grapalat"/>
          <w:sz w:val="24"/>
          <w:szCs w:val="24"/>
        </w:rPr>
      </w:pPr>
      <w:r w:rsidRPr="00C72AB5">
        <w:rPr>
          <w:rFonts w:ascii="GHEA Grapalat" w:hAnsi="GHEA Grapalat"/>
          <w:sz w:val="24"/>
          <w:szCs w:val="24"/>
        </w:rPr>
        <w:t>10</w:t>
      </w:r>
      <w:r w:rsidR="00F8140F" w:rsidRPr="00C72AB5">
        <w:rPr>
          <w:rFonts w:ascii="GHEA Grapalat" w:hAnsi="GHEA Grapalat"/>
          <w:sz w:val="24"/>
          <w:szCs w:val="24"/>
        </w:rPr>
        <w:t>. Հայաստանի Հանրապետության կառավարության 2021 թվականի</w:t>
      </w:r>
      <w:r w:rsidR="002972D7">
        <w:rPr>
          <w:rFonts w:ascii="GHEA Grapalat" w:hAnsi="GHEA Grapalat"/>
          <w:sz w:val="24"/>
          <w:szCs w:val="24"/>
        </w:rPr>
        <w:t xml:space="preserve"> մայիսի 13-ի</w:t>
      </w:r>
      <w:r w:rsidR="00F8140F" w:rsidRPr="00C72AB5">
        <w:rPr>
          <w:rFonts w:ascii="GHEA Grapalat" w:hAnsi="GHEA Grapalat"/>
          <w:sz w:val="24"/>
          <w:szCs w:val="24"/>
        </w:rPr>
        <w:t xml:space="preserve"> N 747-Լ որոշմամբ հաստատվել են պետական ֆինանսավորման բազային ծրագրերում </w:t>
      </w:r>
      <w:r w:rsidR="00F8140F" w:rsidRPr="00C72AB5">
        <w:rPr>
          <w:rFonts w:ascii="GHEA Grapalat" w:hAnsi="GHEA Grapalat"/>
          <w:sz w:val="24"/>
          <w:szCs w:val="24"/>
        </w:rPr>
        <w:lastRenderedPageBreak/>
        <w:t>ներգրավված գիտական կադրերի նվազագույն պաշտոնային դրույքաչափերի սանդղակը</w:t>
      </w:r>
      <w:r w:rsidR="00861E52" w:rsidRPr="00C72AB5">
        <w:rPr>
          <w:rFonts w:ascii="GHEA Grapalat" w:hAnsi="GHEA Grapalat"/>
          <w:sz w:val="24"/>
          <w:szCs w:val="24"/>
        </w:rPr>
        <w:t xml:space="preserve"> (տե՛ս Աղյուսակ </w:t>
      </w:r>
      <w:r w:rsidR="00D54FC0" w:rsidRPr="00C72AB5">
        <w:rPr>
          <w:rFonts w:ascii="GHEA Grapalat" w:hAnsi="GHEA Grapalat"/>
          <w:sz w:val="24"/>
          <w:szCs w:val="24"/>
        </w:rPr>
        <w:t>1</w:t>
      </w:r>
      <w:r w:rsidR="00861E52" w:rsidRPr="00C72AB5">
        <w:rPr>
          <w:rFonts w:ascii="GHEA Grapalat" w:hAnsi="GHEA Grapalat"/>
          <w:sz w:val="24"/>
          <w:szCs w:val="24"/>
        </w:rPr>
        <w:t xml:space="preserve">), որի համաձայն </w:t>
      </w:r>
      <w:r w:rsidR="001312BB" w:rsidRPr="00C72AB5">
        <w:rPr>
          <w:rFonts w:ascii="GHEA Grapalat" w:hAnsi="GHEA Grapalat"/>
          <w:sz w:val="24"/>
          <w:szCs w:val="24"/>
        </w:rPr>
        <w:t>2022 թվականի</w:t>
      </w:r>
      <w:r w:rsidR="00861E52" w:rsidRPr="00C72AB5">
        <w:rPr>
          <w:rFonts w:ascii="GHEA Grapalat" w:hAnsi="GHEA Grapalat"/>
          <w:sz w:val="24"/>
          <w:szCs w:val="24"/>
        </w:rPr>
        <w:t xml:space="preserve">ց </w:t>
      </w:r>
      <w:r w:rsidR="001312BB" w:rsidRPr="00C72AB5">
        <w:rPr>
          <w:rFonts w:ascii="GHEA Grapalat" w:hAnsi="GHEA Grapalat"/>
          <w:sz w:val="24"/>
          <w:szCs w:val="24"/>
        </w:rPr>
        <w:t xml:space="preserve">ոլորտի ֆինանսավորման ավելացման մի մասը </w:t>
      </w:r>
      <w:r w:rsidR="00861E52" w:rsidRPr="00C72AB5">
        <w:rPr>
          <w:rFonts w:ascii="GHEA Grapalat" w:hAnsi="GHEA Grapalat"/>
          <w:sz w:val="24"/>
          <w:szCs w:val="24"/>
        </w:rPr>
        <w:t xml:space="preserve">բազային ֆինանսավորման ոչ մրցութային եղանակով </w:t>
      </w:r>
      <w:r w:rsidR="001312BB" w:rsidRPr="00C72AB5">
        <w:rPr>
          <w:rFonts w:ascii="GHEA Grapalat" w:hAnsi="GHEA Grapalat"/>
          <w:sz w:val="24"/>
          <w:szCs w:val="24"/>
        </w:rPr>
        <w:t xml:space="preserve">ուղղվել է գիտական աշխատողների աշխատավարձերի նորմավորված բարձրացմանը` ըստ </w:t>
      </w:r>
      <w:r w:rsidR="00861E52" w:rsidRPr="00C72AB5">
        <w:rPr>
          <w:rFonts w:ascii="GHEA Grapalat" w:hAnsi="GHEA Grapalat"/>
          <w:sz w:val="24"/>
          <w:szCs w:val="24"/>
        </w:rPr>
        <w:t xml:space="preserve">2021 թվականին իրականացված </w:t>
      </w:r>
      <w:r w:rsidR="001312BB" w:rsidRPr="00C72AB5">
        <w:rPr>
          <w:rFonts w:ascii="GHEA Grapalat" w:hAnsi="GHEA Grapalat"/>
          <w:sz w:val="24"/>
          <w:szCs w:val="24"/>
        </w:rPr>
        <w:t>ատեստավորման արդյունքների</w:t>
      </w:r>
      <w:r w:rsidR="00861E52" w:rsidRPr="00C72AB5">
        <w:rPr>
          <w:rFonts w:ascii="GHEA Grapalat" w:hAnsi="GHEA Grapalat"/>
          <w:sz w:val="24"/>
          <w:szCs w:val="24"/>
        </w:rPr>
        <w:t>:</w:t>
      </w:r>
    </w:p>
    <w:p w14:paraId="65C18B8D" w14:textId="77777777" w:rsidR="00FC4265" w:rsidRPr="00C72AB5" w:rsidRDefault="00FC4265" w:rsidP="0049437D">
      <w:pPr>
        <w:tabs>
          <w:tab w:val="left" w:pos="709"/>
          <w:tab w:val="left" w:pos="851"/>
        </w:tabs>
        <w:spacing w:line="276" w:lineRule="auto"/>
        <w:ind w:firstLine="567"/>
        <w:jc w:val="both"/>
        <w:rPr>
          <w:rFonts w:ascii="GHEA Grapalat" w:hAnsi="GHEA Grapalat"/>
          <w:sz w:val="24"/>
          <w:szCs w:val="24"/>
        </w:rPr>
      </w:pPr>
    </w:p>
    <w:tbl>
      <w:tblPr>
        <w:tblW w:w="9639" w:type="dxa"/>
        <w:jc w:val="center"/>
        <w:tblLayout w:type="fixed"/>
        <w:tblLook w:val="04A0" w:firstRow="1" w:lastRow="0" w:firstColumn="1" w:lastColumn="0" w:noHBand="0" w:noVBand="1"/>
      </w:tblPr>
      <w:tblGrid>
        <w:gridCol w:w="3128"/>
        <w:gridCol w:w="1624"/>
        <w:gridCol w:w="964"/>
        <w:gridCol w:w="964"/>
        <w:gridCol w:w="964"/>
        <w:gridCol w:w="964"/>
        <w:gridCol w:w="1031"/>
      </w:tblGrid>
      <w:tr w:rsidR="00871736" w:rsidRPr="00C72AB5" w14:paraId="550DACB7" w14:textId="77777777" w:rsidTr="00125244">
        <w:trPr>
          <w:trHeight w:val="855"/>
          <w:jc w:val="center"/>
        </w:trPr>
        <w:tc>
          <w:tcPr>
            <w:tcW w:w="3128" w:type="dxa"/>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1151691" w14:textId="1BBC5F49" w:rsidR="00871736" w:rsidRPr="00C72AB5" w:rsidRDefault="00871736" w:rsidP="0049437D">
            <w:pPr>
              <w:spacing w:line="276" w:lineRule="auto"/>
              <w:jc w:val="center"/>
              <w:rPr>
                <w:rFonts w:ascii="GHEA Grapalat" w:hAnsi="GHEA Grapalat" w:cs="Calibri"/>
                <w:color w:val="000000"/>
                <w:sz w:val="22"/>
                <w:szCs w:val="22"/>
              </w:rPr>
            </w:pPr>
            <w:r w:rsidRPr="00C72AB5">
              <w:rPr>
                <w:rFonts w:ascii="GHEA Grapalat" w:hAnsi="GHEA Grapalat" w:cs="Calibri"/>
                <w:color w:val="000000"/>
                <w:sz w:val="22"/>
                <w:szCs w:val="22"/>
              </w:rPr>
              <w:t>Պաշտոն</w:t>
            </w:r>
          </w:p>
        </w:tc>
        <w:tc>
          <w:tcPr>
            <w:tcW w:w="1624"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510FB342" w14:textId="7CB27EF7" w:rsidR="00871736" w:rsidRPr="00C72AB5" w:rsidRDefault="00871736" w:rsidP="0049437D">
            <w:pPr>
              <w:spacing w:line="276" w:lineRule="auto"/>
              <w:jc w:val="center"/>
              <w:rPr>
                <w:rFonts w:ascii="GHEA Grapalat" w:hAnsi="GHEA Grapalat" w:cs="Calibri"/>
                <w:color w:val="000000"/>
                <w:sz w:val="22"/>
                <w:szCs w:val="22"/>
              </w:rPr>
            </w:pPr>
            <w:r w:rsidRPr="00C72AB5">
              <w:rPr>
                <w:rFonts w:ascii="GHEA Grapalat" w:hAnsi="GHEA Grapalat" w:cs="Calibri"/>
                <w:color w:val="000000"/>
                <w:sz w:val="22"/>
                <w:szCs w:val="22"/>
              </w:rPr>
              <w:t>Ամսական միջին աշխատա</w:t>
            </w:r>
            <w:r w:rsidR="00992464" w:rsidRPr="00C72AB5">
              <w:rPr>
                <w:rFonts w:ascii="GHEA Grapalat" w:hAnsi="GHEA Grapalat" w:cs="Calibri"/>
                <w:color w:val="000000"/>
                <w:sz w:val="22"/>
                <w:szCs w:val="22"/>
              </w:rPr>
              <w:t>-</w:t>
            </w:r>
            <w:r w:rsidRPr="00C72AB5">
              <w:rPr>
                <w:rFonts w:ascii="GHEA Grapalat" w:hAnsi="GHEA Grapalat" w:cs="Calibri"/>
                <w:color w:val="000000"/>
                <w:sz w:val="22"/>
                <w:szCs w:val="22"/>
              </w:rPr>
              <w:t>վարձ հազ.դր</w:t>
            </w:r>
          </w:p>
          <w:p w14:paraId="625CCB1C" w14:textId="54CF060C" w:rsidR="00871736" w:rsidRPr="00C72AB5" w:rsidRDefault="00871736" w:rsidP="0049437D">
            <w:pPr>
              <w:spacing w:line="276" w:lineRule="auto"/>
              <w:jc w:val="center"/>
              <w:rPr>
                <w:rFonts w:ascii="GHEA Grapalat" w:hAnsi="GHEA Grapalat" w:cs="Calibri"/>
                <w:color w:val="000000"/>
                <w:sz w:val="22"/>
                <w:szCs w:val="22"/>
              </w:rPr>
            </w:pPr>
            <w:r w:rsidRPr="00C72AB5">
              <w:rPr>
                <w:rFonts w:ascii="GHEA Grapalat" w:hAnsi="GHEA Grapalat" w:cs="Calibri"/>
                <w:b/>
                <w:bCs/>
                <w:color w:val="000000"/>
                <w:sz w:val="22"/>
                <w:szCs w:val="22"/>
              </w:rPr>
              <w:t>2021</w:t>
            </w:r>
          </w:p>
        </w:tc>
        <w:tc>
          <w:tcPr>
            <w:tcW w:w="3856" w:type="dxa"/>
            <w:gridSpan w:val="4"/>
            <w:tcBorders>
              <w:top w:val="single" w:sz="4" w:space="0" w:color="auto"/>
              <w:left w:val="nil"/>
              <w:bottom w:val="single" w:sz="4" w:space="0" w:color="auto"/>
              <w:right w:val="single" w:sz="4" w:space="0" w:color="000000"/>
            </w:tcBorders>
            <w:shd w:val="clear" w:color="000000" w:fill="D9D9D9"/>
            <w:vAlign w:val="center"/>
            <w:hideMark/>
          </w:tcPr>
          <w:p w14:paraId="6758B3BE" w14:textId="77777777" w:rsidR="00871736" w:rsidRPr="00C72AB5" w:rsidRDefault="00871736" w:rsidP="0049437D">
            <w:pPr>
              <w:spacing w:line="276" w:lineRule="auto"/>
              <w:jc w:val="center"/>
              <w:rPr>
                <w:rFonts w:ascii="GHEA Grapalat" w:hAnsi="GHEA Grapalat" w:cs="Calibri"/>
                <w:color w:val="000000"/>
                <w:sz w:val="22"/>
                <w:szCs w:val="22"/>
              </w:rPr>
            </w:pPr>
            <w:r w:rsidRPr="00C72AB5">
              <w:rPr>
                <w:rFonts w:ascii="GHEA Grapalat" w:hAnsi="GHEA Grapalat" w:cs="Calibri"/>
                <w:color w:val="000000"/>
                <w:sz w:val="22"/>
                <w:szCs w:val="22"/>
              </w:rPr>
              <w:t>Ամսական նվազագույն աշխատավարձ հազ. դրամ</w:t>
            </w:r>
            <w:r w:rsidRPr="00C72AB5">
              <w:rPr>
                <w:rFonts w:ascii="Calibri" w:hAnsi="Calibri" w:cs="Calibri"/>
                <w:color w:val="000000"/>
                <w:sz w:val="22"/>
                <w:szCs w:val="22"/>
              </w:rPr>
              <w:t> </w:t>
            </w:r>
          </w:p>
        </w:tc>
        <w:tc>
          <w:tcPr>
            <w:tcW w:w="1031" w:type="dxa"/>
            <w:vMerge w:val="restart"/>
            <w:tcBorders>
              <w:top w:val="single" w:sz="4" w:space="0" w:color="auto"/>
              <w:left w:val="nil"/>
              <w:right w:val="single" w:sz="4" w:space="0" w:color="000000"/>
            </w:tcBorders>
            <w:shd w:val="clear" w:color="auto" w:fill="FFF2CC" w:themeFill="accent4" w:themeFillTint="33"/>
            <w:vAlign w:val="center"/>
          </w:tcPr>
          <w:p w14:paraId="2A0320CA" w14:textId="03671812" w:rsidR="00871736" w:rsidRPr="00C72AB5" w:rsidRDefault="00871736" w:rsidP="0049437D">
            <w:pPr>
              <w:spacing w:line="276" w:lineRule="auto"/>
              <w:jc w:val="center"/>
              <w:rPr>
                <w:rFonts w:ascii="GHEA Grapalat" w:hAnsi="GHEA Grapalat" w:cs="Calibri"/>
                <w:color w:val="000000"/>
                <w:sz w:val="22"/>
                <w:szCs w:val="22"/>
              </w:rPr>
            </w:pPr>
            <w:r w:rsidRPr="00C72AB5">
              <w:rPr>
                <w:rFonts w:ascii="GHEA Grapalat" w:hAnsi="GHEA Grapalat" w:cs="Calibri"/>
                <w:b/>
                <w:bCs/>
                <w:color w:val="000000"/>
                <w:sz w:val="22"/>
                <w:szCs w:val="22"/>
              </w:rPr>
              <w:t>աճ%</w:t>
            </w:r>
            <w:r w:rsidRPr="00C72AB5">
              <w:rPr>
                <w:rStyle w:val="FootnoteReference"/>
                <w:rFonts w:ascii="GHEA Grapalat" w:hAnsi="GHEA Grapalat" w:cs="Calibri"/>
                <w:b/>
                <w:bCs/>
                <w:color w:val="000000"/>
                <w:sz w:val="22"/>
                <w:szCs w:val="22"/>
              </w:rPr>
              <w:footnoteReference w:id="15"/>
            </w:r>
          </w:p>
        </w:tc>
      </w:tr>
      <w:tr w:rsidR="00871736" w:rsidRPr="00C72AB5" w14:paraId="63739C13" w14:textId="77777777" w:rsidTr="00125244">
        <w:trPr>
          <w:trHeight w:val="439"/>
          <w:jc w:val="center"/>
        </w:trPr>
        <w:tc>
          <w:tcPr>
            <w:tcW w:w="3128" w:type="dxa"/>
            <w:vMerge/>
            <w:tcBorders>
              <w:top w:val="single" w:sz="4" w:space="0" w:color="auto"/>
              <w:left w:val="single" w:sz="4" w:space="0" w:color="auto"/>
              <w:bottom w:val="single" w:sz="4" w:space="0" w:color="auto"/>
              <w:right w:val="single" w:sz="4" w:space="0" w:color="auto"/>
            </w:tcBorders>
            <w:vAlign w:val="center"/>
            <w:hideMark/>
          </w:tcPr>
          <w:p w14:paraId="08A7BF53" w14:textId="057D8267" w:rsidR="00871736" w:rsidRPr="00C72AB5" w:rsidRDefault="00871736" w:rsidP="0049437D">
            <w:pPr>
              <w:spacing w:line="276" w:lineRule="auto"/>
              <w:jc w:val="center"/>
              <w:rPr>
                <w:rFonts w:ascii="GHEA Grapalat" w:hAnsi="GHEA Grapalat" w:cs="Calibri"/>
                <w:color w:val="000000"/>
                <w:sz w:val="22"/>
                <w:szCs w:val="22"/>
              </w:rPr>
            </w:pPr>
          </w:p>
        </w:tc>
        <w:tc>
          <w:tcPr>
            <w:tcW w:w="1624" w:type="dxa"/>
            <w:vMerge/>
            <w:tcBorders>
              <w:top w:val="single" w:sz="4" w:space="0" w:color="auto"/>
              <w:left w:val="single" w:sz="4" w:space="0" w:color="auto"/>
              <w:bottom w:val="single" w:sz="4" w:space="0" w:color="auto"/>
              <w:right w:val="single" w:sz="4" w:space="0" w:color="auto"/>
            </w:tcBorders>
            <w:vAlign w:val="center"/>
            <w:hideMark/>
          </w:tcPr>
          <w:p w14:paraId="26639AA3" w14:textId="77777777" w:rsidR="00871736" w:rsidRPr="00C72AB5" w:rsidRDefault="00871736" w:rsidP="0049437D">
            <w:pPr>
              <w:spacing w:line="276" w:lineRule="auto"/>
              <w:jc w:val="center"/>
              <w:rPr>
                <w:rFonts w:ascii="GHEA Grapalat" w:hAnsi="GHEA Grapalat" w:cs="Calibri"/>
                <w:color w:val="000000"/>
                <w:sz w:val="22"/>
                <w:szCs w:val="22"/>
              </w:rPr>
            </w:pPr>
          </w:p>
        </w:tc>
        <w:tc>
          <w:tcPr>
            <w:tcW w:w="964"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6301DA1" w14:textId="71F23EDF" w:rsidR="00871736" w:rsidRPr="00C72AB5" w:rsidRDefault="00871736" w:rsidP="0049437D">
            <w:pPr>
              <w:spacing w:line="276" w:lineRule="auto"/>
              <w:jc w:val="center"/>
              <w:rPr>
                <w:rFonts w:ascii="GHEA Grapalat" w:hAnsi="GHEA Grapalat" w:cs="Calibri"/>
                <w:b/>
                <w:bCs/>
                <w:color w:val="000000"/>
                <w:sz w:val="22"/>
                <w:szCs w:val="22"/>
              </w:rPr>
            </w:pPr>
            <w:r w:rsidRPr="00C72AB5">
              <w:rPr>
                <w:rFonts w:ascii="GHEA Grapalat" w:hAnsi="GHEA Grapalat" w:cs="Calibri"/>
                <w:b/>
                <w:bCs/>
                <w:color w:val="000000"/>
                <w:sz w:val="22"/>
                <w:szCs w:val="22"/>
              </w:rPr>
              <w:t>2022</w:t>
            </w:r>
          </w:p>
        </w:tc>
        <w:tc>
          <w:tcPr>
            <w:tcW w:w="964"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EED8F18" w14:textId="7562EE10" w:rsidR="00871736" w:rsidRPr="00C72AB5" w:rsidRDefault="00871736" w:rsidP="0049437D">
            <w:pPr>
              <w:spacing w:line="276" w:lineRule="auto"/>
              <w:jc w:val="center"/>
              <w:rPr>
                <w:rFonts w:ascii="GHEA Grapalat" w:hAnsi="GHEA Grapalat" w:cs="Calibri"/>
                <w:b/>
                <w:bCs/>
                <w:color w:val="000000"/>
                <w:sz w:val="22"/>
                <w:szCs w:val="22"/>
              </w:rPr>
            </w:pPr>
            <w:r w:rsidRPr="00C72AB5">
              <w:rPr>
                <w:rFonts w:ascii="GHEA Grapalat" w:hAnsi="GHEA Grapalat" w:cs="Calibri"/>
                <w:b/>
                <w:bCs/>
                <w:color w:val="000000"/>
                <w:sz w:val="22"/>
                <w:szCs w:val="22"/>
              </w:rPr>
              <w:t>2023</w:t>
            </w:r>
          </w:p>
        </w:tc>
        <w:tc>
          <w:tcPr>
            <w:tcW w:w="964"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A974AE2" w14:textId="6F53E228" w:rsidR="00871736" w:rsidRPr="00C72AB5" w:rsidRDefault="00871736" w:rsidP="0049437D">
            <w:pPr>
              <w:spacing w:line="276" w:lineRule="auto"/>
              <w:jc w:val="center"/>
              <w:rPr>
                <w:rFonts w:ascii="GHEA Grapalat" w:hAnsi="GHEA Grapalat" w:cs="Calibri"/>
                <w:b/>
                <w:bCs/>
                <w:color w:val="000000"/>
                <w:sz w:val="22"/>
                <w:szCs w:val="22"/>
              </w:rPr>
            </w:pPr>
            <w:r w:rsidRPr="00C72AB5">
              <w:rPr>
                <w:rFonts w:ascii="GHEA Grapalat" w:hAnsi="GHEA Grapalat" w:cs="Calibri"/>
                <w:b/>
                <w:bCs/>
                <w:color w:val="000000"/>
                <w:sz w:val="22"/>
                <w:szCs w:val="22"/>
              </w:rPr>
              <w:t>2024</w:t>
            </w:r>
          </w:p>
        </w:tc>
        <w:tc>
          <w:tcPr>
            <w:tcW w:w="964"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0F889E8" w14:textId="00180C99" w:rsidR="00871736" w:rsidRPr="00C72AB5" w:rsidRDefault="00871736" w:rsidP="0049437D">
            <w:pPr>
              <w:spacing w:line="276" w:lineRule="auto"/>
              <w:jc w:val="center"/>
              <w:rPr>
                <w:rFonts w:ascii="GHEA Grapalat" w:hAnsi="GHEA Grapalat" w:cs="Calibri"/>
                <w:b/>
                <w:bCs/>
                <w:color w:val="000000"/>
                <w:sz w:val="22"/>
                <w:szCs w:val="22"/>
              </w:rPr>
            </w:pPr>
            <w:r w:rsidRPr="00C72AB5">
              <w:rPr>
                <w:rFonts w:ascii="GHEA Grapalat" w:hAnsi="GHEA Grapalat" w:cs="Calibri"/>
                <w:b/>
                <w:bCs/>
                <w:color w:val="000000"/>
                <w:sz w:val="22"/>
                <w:szCs w:val="22"/>
              </w:rPr>
              <w:t>2025</w:t>
            </w:r>
          </w:p>
        </w:tc>
        <w:tc>
          <w:tcPr>
            <w:tcW w:w="1031" w:type="dxa"/>
            <w:vMerge/>
            <w:tcBorders>
              <w:left w:val="single" w:sz="4" w:space="0" w:color="auto"/>
              <w:bottom w:val="single" w:sz="4" w:space="0" w:color="auto"/>
              <w:right w:val="single" w:sz="4" w:space="0" w:color="000000"/>
            </w:tcBorders>
            <w:shd w:val="clear" w:color="auto" w:fill="FFF2CC" w:themeFill="accent4" w:themeFillTint="33"/>
            <w:vAlign w:val="center"/>
          </w:tcPr>
          <w:p w14:paraId="29209EAA" w14:textId="1DD4AFC0" w:rsidR="00871736" w:rsidRPr="00C72AB5" w:rsidRDefault="00871736" w:rsidP="0049437D">
            <w:pPr>
              <w:spacing w:line="276" w:lineRule="auto"/>
              <w:jc w:val="center"/>
              <w:rPr>
                <w:rFonts w:ascii="GHEA Grapalat" w:hAnsi="GHEA Grapalat" w:cs="Calibri"/>
                <w:b/>
                <w:bCs/>
                <w:color w:val="000000"/>
                <w:sz w:val="22"/>
                <w:szCs w:val="22"/>
              </w:rPr>
            </w:pPr>
          </w:p>
        </w:tc>
      </w:tr>
      <w:tr w:rsidR="00A932B5" w:rsidRPr="00C72AB5" w14:paraId="3C9A6562" w14:textId="77777777" w:rsidTr="00125244">
        <w:trPr>
          <w:trHeight w:val="345"/>
          <w:jc w:val="center"/>
        </w:trPr>
        <w:tc>
          <w:tcPr>
            <w:tcW w:w="3128" w:type="dxa"/>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06FC2E6A" w14:textId="77777777" w:rsidR="00F91A77" w:rsidRPr="00C72AB5" w:rsidRDefault="00F91A77" w:rsidP="0049437D">
            <w:pPr>
              <w:spacing w:line="276" w:lineRule="auto"/>
              <w:rPr>
                <w:rFonts w:ascii="GHEA Grapalat" w:hAnsi="GHEA Grapalat" w:cs="Calibri"/>
                <w:color w:val="000000"/>
                <w:sz w:val="22"/>
                <w:szCs w:val="22"/>
              </w:rPr>
            </w:pPr>
            <w:r w:rsidRPr="00C72AB5">
              <w:rPr>
                <w:rFonts w:ascii="GHEA Grapalat" w:hAnsi="GHEA Grapalat" w:cs="Calibri"/>
                <w:color w:val="000000"/>
                <w:sz w:val="22"/>
                <w:szCs w:val="22"/>
              </w:rPr>
              <w:t>Լաբորանտ / ճարտարագետ</w:t>
            </w:r>
          </w:p>
        </w:tc>
        <w:tc>
          <w:tcPr>
            <w:tcW w:w="1624" w:type="dxa"/>
            <w:tcBorders>
              <w:top w:val="single" w:sz="4" w:space="0" w:color="auto"/>
              <w:left w:val="nil"/>
              <w:bottom w:val="single" w:sz="4" w:space="0" w:color="auto"/>
              <w:right w:val="single" w:sz="4" w:space="0" w:color="auto"/>
            </w:tcBorders>
            <w:shd w:val="clear" w:color="000000" w:fill="DDEBF7"/>
            <w:noWrap/>
            <w:vAlign w:val="center"/>
            <w:hideMark/>
          </w:tcPr>
          <w:p w14:paraId="138D586D" w14:textId="77777777" w:rsidR="00F91A77" w:rsidRPr="00C72AB5" w:rsidRDefault="00F91A77" w:rsidP="0049437D">
            <w:pPr>
              <w:spacing w:line="276" w:lineRule="auto"/>
              <w:jc w:val="center"/>
              <w:rPr>
                <w:rFonts w:ascii="GHEA Grapalat" w:hAnsi="GHEA Grapalat" w:cs="Calibri"/>
                <w:color w:val="000000"/>
                <w:sz w:val="22"/>
                <w:szCs w:val="22"/>
              </w:rPr>
            </w:pPr>
            <w:r w:rsidRPr="00C72AB5">
              <w:rPr>
                <w:rFonts w:ascii="GHEA Grapalat" w:hAnsi="GHEA Grapalat" w:cs="Calibri"/>
                <w:color w:val="000000"/>
                <w:sz w:val="22"/>
                <w:szCs w:val="22"/>
              </w:rPr>
              <w:t>67.3</w:t>
            </w:r>
          </w:p>
        </w:tc>
        <w:tc>
          <w:tcPr>
            <w:tcW w:w="964" w:type="dxa"/>
            <w:tcBorders>
              <w:top w:val="single" w:sz="4" w:space="0" w:color="auto"/>
              <w:left w:val="nil"/>
              <w:bottom w:val="single" w:sz="4" w:space="0" w:color="auto"/>
              <w:right w:val="single" w:sz="4" w:space="0" w:color="auto"/>
            </w:tcBorders>
            <w:shd w:val="clear" w:color="000000" w:fill="E2EFDA"/>
            <w:noWrap/>
            <w:vAlign w:val="center"/>
            <w:hideMark/>
          </w:tcPr>
          <w:p w14:paraId="3085FEC0" w14:textId="77777777" w:rsidR="00F91A77" w:rsidRPr="00C72AB5" w:rsidRDefault="00F91A77" w:rsidP="0049437D">
            <w:pPr>
              <w:spacing w:line="276" w:lineRule="auto"/>
              <w:jc w:val="center"/>
              <w:rPr>
                <w:rFonts w:ascii="GHEA Grapalat" w:hAnsi="GHEA Grapalat" w:cs="Calibri"/>
                <w:color w:val="000000"/>
                <w:sz w:val="22"/>
                <w:szCs w:val="22"/>
              </w:rPr>
            </w:pPr>
            <w:r w:rsidRPr="00C72AB5">
              <w:rPr>
                <w:rFonts w:ascii="GHEA Grapalat" w:hAnsi="GHEA Grapalat" w:cs="Calibri"/>
                <w:color w:val="000000"/>
                <w:sz w:val="22"/>
                <w:szCs w:val="22"/>
              </w:rPr>
              <w:t>102.5</w:t>
            </w:r>
          </w:p>
        </w:tc>
        <w:tc>
          <w:tcPr>
            <w:tcW w:w="964" w:type="dxa"/>
            <w:tcBorders>
              <w:top w:val="single" w:sz="4" w:space="0" w:color="auto"/>
              <w:left w:val="nil"/>
              <w:bottom w:val="single" w:sz="4" w:space="0" w:color="auto"/>
              <w:right w:val="single" w:sz="4" w:space="0" w:color="auto"/>
            </w:tcBorders>
            <w:shd w:val="clear" w:color="000000" w:fill="E2EFDA"/>
            <w:noWrap/>
            <w:vAlign w:val="center"/>
            <w:hideMark/>
          </w:tcPr>
          <w:p w14:paraId="2F7C992F" w14:textId="77777777" w:rsidR="00F91A77" w:rsidRPr="00C72AB5" w:rsidRDefault="00F91A77" w:rsidP="0049437D">
            <w:pPr>
              <w:spacing w:line="276" w:lineRule="auto"/>
              <w:jc w:val="center"/>
              <w:rPr>
                <w:rFonts w:ascii="GHEA Grapalat" w:hAnsi="GHEA Grapalat" w:cs="Calibri"/>
                <w:color w:val="000000"/>
                <w:sz w:val="22"/>
                <w:szCs w:val="22"/>
              </w:rPr>
            </w:pPr>
            <w:r w:rsidRPr="00C72AB5">
              <w:rPr>
                <w:rFonts w:ascii="GHEA Grapalat" w:hAnsi="GHEA Grapalat" w:cs="Calibri"/>
                <w:color w:val="000000"/>
                <w:sz w:val="22"/>
                <w:szCs w:val="22"/>
              </w:rPr>
              <w:t>110.0</w:t>
            </w:r>
          </w:p>
        </w:tc>
        <w:tc>
          <w:tcPr>
            <w:tcW w:w="964" w:type="dxa"/>
            <w:tcBorders>
              <w:top w:val="single" w:sz="4" w:space="0" w:color="auto"/>
              <w:left w:val="nil"/>
              <w:bottom w:val="single" w:sz="4" w:space="0" w:color="auto"/>
              <w:right w:val="single" w:sz="4" w:space="0" w:color="auto"/>
            </w:tcBorders>
            <w:shd w:val="clear" w:color="000000" w:fill="E2EFDA"/>
            <w:noWrap/>
            <w:vAlign w:val="center"/>
            <w:hideMark/>
          </w:tcPr>
          <w:p w14:paraId="4E8FBFC5" w14:textId="77777777" w:rsidR="00F91A77" w:rsidRPr="00C72AB5" w:rsidRDefault="00F91A77" w:rsidP="0049437D">
            <w:pPr>
              <w:spacing w:line="276" w:lineRule="auto"/>
              <w:jc w:val="center"/>
              <w:rPr>
                <w:rFonts w:ascii="GHEA Grapalat" w:hAnsi="GHEA Grapalat" w:cs="Calibri"/>
                <w:color w:val="000000"/>
                <w:sz w:val="22"/>
                <w:szCs w:val="22"/>
              </w:rPr>
            </w:pPr>
            <w:r w:rsidRPr="00C72AB5">
              <w:rPr>
                <w:rFonts w:ascii="GHEA Grapalat" w:hAnsi="GHEA Grapalat" w:cs="Calibri"/>
                <w:color w:val="000000"/>
                <w:sz w:val="22"/>
                <w:szCs w:val="22"/>
              </w:rPr>
              <w:t>120.0</w:t>
            </w:r>
          </w:p>
        </w:tc>
        <w:tc>
          <w:tcPr>
            <w:tcW w:w="964" w:type="dxa"/>
            <w:tcBorders>
              <w:top w:val="single" w:sz="4" w:space="0" w:color="auto"/>
              <w:left w:val="nil"/>
              <w:bottom w:val="single" w:sz="4" w:space="0" w:color="auto"/>
              <w:right w:val="single" w:sz="4" w:space="0" w:color="auto"/>
            </w:tcBorders>
            <w:shd w:val="clear" w:color="000000" w:fill="E2EFDA"/>
            <w:noWrap/>
            <w:vAlign w:val="center"/>
            <w:hideMark/>
          </w:tcPr>
          <w:p w14:paraId="15244E51" w14:textId="77777777" w:rsidR="00F91A77" w:rsidRPr="00C72AB5" w:rsidRDefault="00F91A77" w:rsidP="0049437D">
            <w:pPr>
              <w:spacing w:line="276" w:lineRule="auto"/>
              <w:jc w:val="center"/>
              <w:rPr>
                <w:rFonts w:ascii="GHEA Grapalat" w:hAnsi="GHEA Grapalat" w:cs="Calibri"/>
                <w:color w:val="000000"/>
                <w:sz w:val="22"/>
                <w:szCs w:val="22"/>
              </w:rPr>
            </w:pPr>
            <w:r w:rsidRPr="00C72AB5">
              <w:rPr>
                <w:rFonts w:ascii="GHEA Grapalat" w:hAnsi="GHEA Grapalat" w:cs="Calibri"/>
                <w:color w:val="000000"/>
                <w:sz w:val="22"/>
                <w:szCs w:val="22"/>
              </w:rPr>
              <w:t>138.3</w:t>
            </w:r>
          </w:p>
        </w:tc>
        <w:tc>
          <w:tcPr>
            <w:tcW w:w="1031" w:type="dxa"/>
            <w:tcBorders>
              <w:top w:val="single" w:sz="4" w:space="0" w:color="auto"/>
              <w:left w:val="nil"/>
              <w:bottom w:val="single" w:sz="4" w:space="0" w:color="auto"/>
              <w:right w:val="single" w:sz="4" w:space="0" w:color="auto"/>
            </w:tcBorders>
            <w:shd w:val="clear" w:color="auto" w:fill="FFF2CC" w:themeFill="accent4" w:themeFillTint="33"/>
            <w:noWrap/>
            <w:vAlign w:val="center"/>
            <w:hideMark/>
          </w:tcPr>
          <w:p w14:paraId="2CDD3080" w14:textId="77777777" w:rsidR="00F91A77" w:rsidRPr="00C72AB5" w:rsidRDefault="00F91A77" w:rsidP="0049437D">
            <w:pPr>
              <w:spacing w:line="276" w:lineRule="auto"/>
              <w:jc w:val="center"/>
              <w:rPr>
                <w:rFonts w:ascii="GHEA Grapalat" w:hAnsi="GHEA Grapalat" w:cs="Calibri"/>
                <w:color w:val="000000"/>
                <w:sz w:val="22"/>
                <w:szCs w:val="22"/>
              </w:rPr>
            </w:pPr>
            <w:r w:rsidRPr="00C72AB5">
              <w:rPr>
                <w:rFonts w:ascii="GHEA Grapalat" w:hAnsi="GHEA Grapalat" w:cs="Calibri"/>
                <w:color w:val="000000"/>
                <w:sz w:val="22"/>
                <w:szCs w:val="22"/>
              </w:rPr>
              <w:t>105%</w:t>
            </w:r>
          </w:p>
        </w:tc>
      </w:tr>
      <w:tr w:rsidR="00871736" w:rsidRPr="00C72AB5" w14:paraId="5A12B678" w14:textId="77777777" w:rsidTr="00125244">
        <w:trPr>
          <w:trHeight w:val="345"/>
          <w:jc w:val="center"/>
        </w:trPr>
        <w:tc>
          <w:tcPr>
            <w:tcW w:w="3128" w:type="dxa"/>
            <w:tcBorders>
              <w:top w:val="nil"/>
              <w:left w:val="single" w:sz="4" w:space="0" w:color="auto"/>
              <w:bottom w:val="single" w:sz="4" w:space="0" w:color="auto"/>
              <w:right w:val="single" w:sz="4" w:space="0" w:color="auto"/>
            </w:tcBorders>
            <w:shd w:val="clear" w:color="000000" w:fill="DDEBF7"/>
            <w:noWrap/>
            <w:vAlign w:val="center"/>
            <w:hideMark/>
          </w:tcPr>
          <w:p w14:paraId="0A303400" w14:textId="77777777" w:rsidR="00F91A77" w:rsidRPr="00C72AB5" w:rsidRDefault="00F91A77" w:rsidP="0049437D">
            <w:pPr>
              <w:spacing w:line="276" w:lineRule="auto"/>
              <w:rPr>
                <w:rFonts w:ascii="GHEA Grapalat" w:hAnsi="GHEA Grapalat" w:cs="Calibri"/>
                <w:color w:val="000000"/>
                <w:sz w:val="22"/>
                <w:szCs w:val="22"/>
              </w:rPr>
            </w:pPr>
            <w:r w:rsidRPr="00C72AB5">
              <w:rPr>
                <w:rFonts w:ascii="GHEA Grapalat" w:hAnsi="GHEA Grapalat" w:cs="Calibri"/>
                <w:color w:val="000000"/>
                <w:sz w:val="22"/>
                <w:szCs w:val="22"/>
              </w:rPr>
              <w:t>Ավագ լաբորանտ/ավագ ճարտարագետ</w:t>
            </w:r>
          </w:p>
        </w:tc>
        <w:tc>
          <w:tcPr>
            <w:tcW w:w="1624" w:type="dxa"/>
            <w:tcBorders>
              <w:top w:val="nil"/>
              <w:left w:val="nil"/>
              <w:bottom w:val="single" w:sz="4" w:space="0" w:color="auto"/>
              <w:right w:val="single" w:sz="4" w:space="0" w:color="auto"/>
            </w:tcBorders>
            <w:shd w:val="clear" w:color="000000" w:fill="DDEBF7"/>
            <w:noWrap/>
            <w:vAlign w:val="center"/>
            <w:hideMark/>
          </w:tcPr>
          <w:p w14:paraId="76479DD7" w14:textId="77777777" w:rsidR="00F91A77" w:rsidRPr="00C72AB5" w:rsidRDefault="00F91A77" w:rsidP="0049437D">
            <w:pPr>
              <w:spacing w:line="276" w:lineRule="auto"/>
              <w:jc w:val="center"/>
              <w:rPr>
                <w:rFonts w:ascii="GHEA Grapalat" w:hAnsi="GHEA Grapalat" w:cs="Calibri"/>
                <w:color w:val="000000"/>
                <w:sz w:val="22"/>
                <w:szCs w:val="22"/>
              </w:rPr>
            </w:pPr>
            <w:r w:rsidRPr="00C72AB5">
              <w:rPr>
                <w:rFonts w:ascii="GHEA Grapalat" w:hAnsi="GHEA Grapalat" w:cs="Calibri"/>
                <w:color w:val="000000"/>
                <w:sz w:val="22"/>
                <w:szCs w:val="22"/>
              </w:rPr>
              <w:t>76.0</w:t>
            </w:r>
          </w:p>
        </w:tc>
        <w:tc>
          <w:tcPr>
            <w:tcW w:w="964" w:type="dxa"/>
            <w:tcBorders>
              <w:top w:val="nil"/>
              <w:left w:val="nil"/>
              <w:bottom w:val="single" w:sz="4" w:space="0" w:color="auto"/>
              <w:right w:val="single" w:sz="4" w:space="0" w:color="auto"/>
            </w:tcBorders>
            <w:shd w:val="clear" w:color="000000" w:fill="E2EFDA"/>
            <w:noWrap/>
            <w:vAlign w:val="center"/>
            <w:hideMark/>
          </w:tcPr>
          <w:p w14:paraId="347F4A00" w14:textId="77777777" w:rsidR="00F91A77" w:rsidRPr="00C72AB5" w:rsidRDefault="00F91A77" w:rsidP="0049437D">
            <w:pPr>
              <w:spacing w:line="276" w:lineRule="auto"/>
              <w:jc w:val="center"/>
              <w:rPr>
                <w:rFonts w:ascii="GHEA Grapalat" w:hAnsi="GHEA Grapalat" w:cs="Calibri"/>
                <w:color w:val="000000"/>
                <w:sz w:val="22"/>
                <w:szCs w:val="22"/>
              </w:rPr>
            </w:pPr>
            <w:r w:rsidRPr="00C72AB5">
              <w:rPr>
                <w:rFonts w:ascii="GHEA Grapalat" w:hAnsi="GHEA Grapalat" w:cs="Calibri"/>
                <w:color w:val="000000"/>
                <w:sz w:val="22"/>
                <w:szCs w:val="22"/>
              </w:rPr>
              <w:t>110.0</w:t>
            </w:r>
          </w:p>
        </w:tc>
        <w:tc>
          <w:tcPr>
            <w:tcW w:w="964" w:type="dxa"/>
            <w:tcBorders>
              <w:top w:val="nil"/>
              <w:left w:val="nil"/>
              <w:bottom w:val="single" w:sz="4" w:space="0" w:color="auto"/>
              <w:right w:val="single" w:sz="4" w:space="0" w:color="auto"/>
            </w:tcBorders>
            <w:shd w:val="clear" w:color="000000" w:fill="E2EFDA"/>
            <w:noWrap/>
            <w:vAlign w:val="center"/>
            <w:hideMark/>
          </w:tcPr>
          <w:p w14:paraId="3DD20217" w14:textId="77777777" w:rsidR="00F91A77" w:rsidRPr="00C72AB5" w:rsidRDefault="00F91A77" w:rsidP="0049437D">
            <w:pPr>
              <w:spacing w:line="276" w:lineRule="auto"/>
              <w:jc w:val="center"/>
              <w:rPr>
                <w:rFonts w:ascii="GHEA Grapalat" w:hAnsi="GHEA Grapalat" w:cs="Calibri"/>
                <w:color w:val="000000"/>
                <w:sz w:val="22"/>
                <w:szCs w:val="22"/>
              </w:rPr>
            </w:pPr>
            <w:r w:rsidRPr="00C72AB5">
              <w:rPr>
                <w:rFonts w:ascii="GHEA Grapalat" w:hAnsi="GHEA Grapalat" w:cs="Calibri"/>
                <w:color w:val="000000"/>
                <w:sz w:val="22"/>
                <w:szCs w:val="22"/>
              </w:rPr>
              <w:t>130.0</w:t>
            </w:r>
          </w:p>
        </w:tc>
        <w:tc>
          <w:tcPr>
            <w:tcW w:w="964" w:type="dxa"/>
            <w:tcBorders>
              <w:top w:val="nil"/>
              <w:left w:val="nil"/>
              <w:bottom w:val="single" w:sz="4" w:space="0" w:color="auto"/>
              <w:right w:val="single" w:sz="4" w:space="0" w:color="auto"/>
            </w:tcBorders>
            <w:shd w:val="clear" w:color="000000" w:fill="E2EFDA"/>
            <w:noWrap/>
            <w:vAlign w:val="center"/>
            <w:hideMark/>
          </w:tcPr>
          <w:p w14:paraId="6D0D5033" w14:textId="77777777" w:rsidR="00F91A77" w:rsidRPr="00C72AB5" w:rsidRDefault="00F91A77" w:rsidP="0049437D">
            <w:pPr>
              <w:spacing w:line="276" w:lineRule="auto"/>
              <w:jc w:val="center"/>
              <w:rPr>
                <w:rFonts w:ascii="GHEA Grapalat" w:hAnsi="GHEA Grapalat" w:cs="Calibri"/>
                <w:color w:val="000000"/>
                <w:sz w:val="22"/>
                <w:szCs w:val="22"/>
              </w:rPr>
            </w:pPr>
            <w:r w:rsidRPr="00C72AB5">
              <w:rPr>
                <w:rFonts w:ascii="GHEA Grapalat" w:hAnsi="GHEA Grapalat" w:cs="Calibri"/>
                <w:color w:val="000000"/>
                <w:sz w:val="22"/>
                <w:szCs w:val="22"/>
              </w:rPr>
              <w:t>156.0</w:t>
            </w:r>
          </w:p>
        </w:tc>
        <w:tc>
          <w:tcPr>
            <w:tcW w:w="964" w:type="dxa"/>
            <w:tcBorders>
              <w:top w:val="nil"/>
              <w:left w:val="nil"/>
              <w:bottom w:val="single" w:sz="4" w:space="0" w:color="auto"/>
              <w:right w:val="single" w:sz="4" w:space="0" w:color="auto"/>
            </w:tcBorders>
            <w:shd w:val="clear" w:color="000000" w:fill="E2EFDA"/>
            <w:noWrap/>
            <w:vAlign w:val="center"/>
            <w:hideMark/>
          </w:tcPr>
          <w:p w14:paraId="2128EDDC" w14:textId="77777777" w:rsidR="00F91A77" w:rsidRPr="00C72AB5" w:rsidRDefault="00F91A77" w:rsidP="0049437D">
            <w:pPr>
              <w:spacing w:line="276" w:lineRule="auto"/>
              <w:jc w:val="center"/>
              <w:rPr>
                <w:rFonts w:ascii="GHEA Grapalat" w:hAnsi="GHEA Grapalat" w:cs="Calibri"/>
                <w:color w:val="000000"/>
                <w:sz w:val="22"/>
                <w:szCs w:val="22"/>
              </w:rPr>
            </w:pPr>
            <w:r w:rsidRPr="00C72AB5">
              <w:rPr>
                <w:rFonts w:ascii="GHEA Grapalat" w:hAnsi="GHEA Grapalat" w:cs="Calibri"/>
                <w:color w:val="000000"/>
                <w:sz w:val="22"/>
                <w:szCs w:val="22"/>
              </w:rPr>
              <w:t>179.0</w:t>
            </w:r>
          </w:p>
        </w:tc>
        <w:tc>
          <w:tcPr>
            <w:tcW w:w="1031" w:type="dxa"/>
            <w:tcBorders>
              <w:top w:val="nil"/>
              <w:left w:val="nil"/>
              <w:bottom w:val="single" w:sz="4" w:space="0" w:color="auto"/>
              <w:right w:val="single" w:sz="4" w:space="0" w:color="auto"/>
            </w:tcBorders>
            <w:shd w:val="clear" w:color="auto" w:fill="FFF2CC" w:themeFill="accent4" w:themeFillTint="33"/>
            <w:noWrap/>
            <w:vAlign w:val="center"/>
            <w:hideMark/>
          </w:tcPr>
          <w:p w14:paraId="3A39E4FE" w14:textId="77777777" w:rsidR="00F91A77" w:rsidRPr="00C72AB5" w:rsidRDefault="00F91A77" w:rsidP="0049437D">
            <w:pPr>
              <w:spacing w:line="276" w:lineRule="auto"/>
              <w:jc w:val="center"/>
              <w:rPr>
                <w:rFonts w:ascii="GHEA Grapalat" w:hAnsi="GHEA Grapalat" w:cs="Calibri"/>
                <w:color w:val="000000"/>
                <w:sz w:val="22"/>
                <w:szCs w:val="22"/>
              </w:rPr>
            </w:pPr>
            <w:r w:rsidRPr="00C72AB5">
              <w:rPr>
                <w:rFonts w:ascii="GHEA Grapalat" w:hAnsi="GHEA Grapalat" w:cs="Calibri"/>
                <w:color w:val="000000"/>
                <w:sz w:val="22"/>
                <w:szCs w:val="22"/>
              </w:rPr>
              <w:t>135%</w:t>
            </w:r>
          </w:p>
        </w:tc>
      </w:tr>
      <w:tr w:rsidR="00871736" w:rsidRPr="00C72AB5" w14:paraId="75617E55" w14:textId="77777777" w:rsidTr="00125244">
        <w:trPr>
          <w:trHeight w:val="345"/>
          <w:jc w:val="center"/>
        </w:trPr>
        <w:tc>
          <w:tcPr>
            <w:tcW w:w="3128" w:type="dxa"/>
            <w:tcBorders>
              <w:top w:val="nil"/>
              <w:left w:val="single" w:sz="4" w:space="0" w:color="auto"/>
              <w:bottom w:val="single" w:sz="4" w:space="0" w:color="auto"/>
              <w:right w:val="single" w:sz="4" w:space="0" w:color="auto"/>
            </w:tcBorders>
            <w:shd w:val="clear" w:color="000000" w:fill="DDEBF7"/>
            <w:noWrap/>
            <w:vAlign w:val="center"/>
            <w:hideMark/>
          </w:tcPr>
          <w:p w14:paraId="1AEEFD67" w14:textId="77777777" w:rsidR="00F91A77" w:rsidRPr="00C72AB5" w:rsidRDefault="00F91A77" w:rsidP="0049437D">
            <w:pPr>
              <w:spacing w:line="276" w:lineRule="auto"/>
              <w:rPr>
                <w:rFonts w:ascii="GHEA Grapalat" w:hAnsi="GHEA Grapalat" w:cs="Calibri"/>
                <w:color w:val="000000"/>
                <w:sz w:val="22"/>
                <w:szCs w:val="22"/>
              </w:rPr>
            </w:pPr>
            <w:r w:rsidRPr="00C72AB5">
              <w:rPr>
                <w:rFonts w:ascii="GHEA Grapalat" w:hAnsi="GHEA Grapalat" w:cs="Calibri"/>
                <w:color w:val="000000"/>
                <w:sz w:val="22"/>
                <w:szCs w:val="22"/>
              </w:rPr>
              <w:t>Կրտսեր գիտաշխատող</w:t>
            </w:r>
          </w:p>
        </w:tc>
        <w:tc>
          <w:tcPr>
            <w:tcW w:w="1624" w:type="dxa"/>
            <w:tcBorders>
              <w:top w:val="nil"/>
              <w:left w:val="nil"/>
              <w:bottom w:val="single" w:sz="4" w:space="0" w:color="auto"/>
              <w:right w:val="single" w:sz="4" w:space="0" w:color="auto"/>
            </w:tcBorders>
            <w:shd w:val="clear" w:color="000000" w:fill="DDEBF7"/>
            <w:noWrap/>
            <w:vAlign w:val="center"/>
            <w:hideMark/>
          </w:tcPr>
          <w:p w14:paraId="5D7C09CB" w14:textId="77777777" w:rsidR="00F91A77" w:rsidRPr="00C72AB5" w:rsidRDefault="00F91A77" w:rsidP="0049437D">
            <w:pPr>
              <w:spacing w:line="276" w:lineRule="auto"/>
              <w:jc w:val="center"/>
              <w:rPr>
                <w:rFonts w:ascii="GHEA Grapalat" w:hAnsi="GHEA Grapalat" w:cs="Calibri"/>
                <w:color w:val="000000"/>
                <w:sz w:val="22"/>
                <w:szCs w:val="22"/>
              </w:rPr>
            </w:pPr>
            <w:r w:rsidRPr="00C72AB5">
              <w:rPr>
                <w:rFonts w:ascii="GHEA Grapalat" w:hAnsi="GHEA Grapalat" w:cs="Calibri"/>
                <w:color w:val="000000"/>
                <w:sz w:val="22"/>
                <w:szCs w:val="22"/>
              </w:rPr>
              <w:t>85.8</w:t>
            </w:r>
          </w:p>
        </w:tc>
        <w:tc>
          <w:tcPr>
            <w:tcW w:w="964" w:type="dxa"/>
            <w:tcBorders>
              <w:top w:val="nil"/>
              <w:left w:val="nil"/>
              <w:bottom w:val="single" w:sz="4" w:space="0" w:color="auto"/>
              <w:right w:val="single" w:sz="4" w:space="0" w:color="auto"/>
            </w:tcBorders>
            <w:shd w:val="clear" w:color="000000" w:fill="E2EFDA"/>
            <w:noWrap/>
            <w:vAlign w:val="center"/>
            <w:hideMark/>
          </w:tcPr>
          <w:p w14:paraId="7A90A57B" w14:textId="77777777" w:rsidR="00F91A77" w:rsidRPr="00C72AB5" w:rsidRDefault="00F91A77" w:rsidP="0049437D">
            <w:pPr>
              <w:spacing w:line="276" w:lineRule="auto"/>
              <w:jc w:val="center"/>
              <w:rPr>
                <w:rFonts w:ascii="GHEA Grapalat" w:hAnsi="GHEA Grapalat" w:cs="Calibri"/>
                <w:color w:val="000000"/>
                <w:sz w:val="22"/>
                <w:szCs w:val="22"/>
              </w:rPr>
            </w:pPr>
            <w:r w:rsidRPr="00C72AB5">
              <w:rPr>
                <w:rFonts w:ascii="GHEA Grapalat" w:hAnsi="GHEA Grapalat" w:cs="Calibri"/>
                <w:color w:val="000000"/>
                <w:sz w:val="22"/>
                <w:szCs w:val="22"/>
              </w:rPr>
              <w:t>120.0</w:t>
            </w:r>
          </w:p>
        </w:tc>
        <w:tc>
          <w:tcPr>
            <w:tcW w:w="964" w:type="dxa"/>
            <w:tcBorders>
              <w:top w:val="nil"/>
              <w:left w:val="nil"/>
              <w:bottom w:val="single" w:sz="4" w:space="0" w:color="auto"/>
              <w:right w:val="single" w:sz="4" w:space="0" w:color="auto"/>
            </w:tcBorders>
            <w:shd w:val="clear" w:color="000000" w:fill="E2EFDA"/>
            <w:noWrap/>
            <w:vAlign w:val="center"/>
            <w:hideMark/>
          </w:tcPr>
          <w:p w14:paraId="404A9978" w14:textId="77777777" w:rsidR="00F91A77" w:rsidRPr="00C72AB5" w:rsidRDefault="00F91A77" w:rsidP="0049437D">
            <w:pPr>
              <w:spacing w:line="276" w:lineRule="auto"/>
              <w:jc w:val="center"/>
              <w:rPr>
                <w:rFonts w:ascii="GHEA Grapalat" w:hAnsi="GHEA Grapalat" w:cs="Calibri"/>
                <w:color w:val="000000"/>
                <w:sz w:val="22"/>
                <w:szCs w:val="22"/>
              </w:rPr>
            </w:pPr>
            <w:r w:rsidRPr="00C72AB5">
              <w:rPr>
                <w:rFonts w:ascii="GHEA Grapalat" w:hAnsi="GHEA Grapalat" w:cs="Calibri"/>
                <w:color w:val="000000"/>
                <w:sz w:val="22"/>
                <w:szCs w:val="22"/>
              </w:rPr>
              <w:t>150.0</w:t>
            </w:r>
          </w:p>
        </w:tc>
        <w:tc>
          <w:tcPr>
            <w:tcW w:w="964" w:type="dxa"/>
            <w:tcBorders>
              <w:top w:val="nil"/>
              <w:left w:val="nil"/>
              <w:bottom w:val="single" w:sz="4" w:space="0" w:color="auto"/>
              <w:right w:val="single" w:sz="4" w:space="0" w:color="auto"/>
            </w:tcBorders>
            <w:shd w:val="clear" w:color="000000" w:fill="E2EFDA"/>
            <w:noWrap/>
            <w:vAlign w:val="center"/>
            <w:hideMark/>
          </w:tcPr>
          <w:p w14:paraId="3FAC3C85" w14:textId="77777777" w:rsidR="00F91A77" w:rsidRPr="00C72AB5" w:rsidRDefault="00F91A77" w:rsidP="0049437D">
            <w:pPr>
              <w:spacing w:line="276" w:lineRule="auto"/>
              <w:jc w:val="center"/>
              <w:rPr>
                <w:rFonts w:ascii="GHEA Grapalat" w:hAnsi="GHEA Grapalat" w:cs="Calibri"/>
                <w:color w:val="000000"/>
                <w:sz w:val="22"/>
                <w:szCs w:val="22"/>
              </w:rPr>
            </w:pPr>
            <w:r w:rsidRPr="00C72AB5">
              <w:rPr>
                <w:rFonts w:ascii="GHEA Grapalat" w:hAnsi="GHEA Grapalat" w:cs="Calibri"/>
                <w:color w:val="000000"/>
                <w:sz w:val="22"/>
                <w:szCs w:val="22"/>
              </w:rPr>
              <w:t>180.0</w:t>
            </w:r>
          </w:p>
        </w:tc>
        <w:tc>
          <w:tcPr>
            <w:tcW w:w="964" w:type="dxa"/>
            <w:tcBorders>
              <w:top w:val="nil"/>
              <w:left w:val="nil"/>
              <w:bottom w:val="single" w:sz="4" w:space="0" w:color="auto"/>
              <w:right w:val="single" w:sz="4" w:space="0" w:color="auto"/>
            </w:tcBorders>
            <w:shd w:val="clear" w:color="000000" w:fill="E2EFDA"/>
            <w:noWrap/>
            <w:vAlign w:val="center"/>
            <w:hideMark/>
          </w:tcPr>
          <w:p w14:paraId="3D32BFB7" w14:textId="77777777" w:rsidR="00F91A77" w:rsidRPr="00C72AB5" w:rsidRDefault="00F91A77" w:rsidP="0049437D">
            <w:pPr>
              <w:spacing w:line="276" w:lineRule="auto"/>
              <w:jc w:val="center"/>
              <w:rPr>
                <w:rFonts w:ascii="GHEA Grapalat" w:hAnsi="GHEA Grapalat" w:cs="Calibri"/>
                <w:color w:val="000000"/>
                <w:sz w:val="22"/>
                <w:szCs w:val="22"/>
              </w:rPr>
            </w:pPr>
            <w:r w:rsidRPr="00C72AB5">
              <w:rPr>
                <w:rFonts w:ascii="GHEA Grapalat" w:hAnsi="GHEA Grapalat" w:cs="Calibri"/>
                <w:color w:val="000000"/>
                <w:sz w:val="22"/>
                <w:szCs w:val="22"/>
              </w:rPr>
              <w:t>210.0</w:t>
            </w:r>
          </w:p>
        </w:tc>
        <w:tc>
          <w:tcPr>
            <w:tcW w:w="1031" w:type="dxa"/>
            <w:tcBorders>
              <w:top w:val="nil"/>
              <w:left w:val="nil"/>
              <w:bottom w:val="single" w:sz="4" w:space="0" w:color="auto"/>
              <w:right w:val="single" w:sz="4" w:space="0" w:color="auto"/>
            </w:tcBorders>
            <w:shd w:val="clear" w:color="auto" w:fill="FFF2CC" w:themeFill="accent4" w:themeFillTint="33"/>
            <w:noWrap/>
            <w:vAlign w:val="center"/>
            <w:hideMark/>
          </w:tcPr>
          <w:p w14:paraId="5EF19802" w14:textId="77777777" w:rsidR="00F91A77" w:rsidRPr="00C72AB5" w:rsidRDefault="00F91A77" w:rsidP="0049437D">
            <w:pPr>
              <w:spacing w:line="276" w:lineRule="auto"/>
              <w:jc w:val="center"/>
              <w:rPr>
                <w:rFonts w:ascii="GHEA Grapalat" w:hAnsi="GHEA Grapalat" w:cs="Calibri"/>
                <w:color w:val="000000"/>
                <w:sz w:val="22"/>
                <w:szCs w:val="22"/>
              </w:rPr>
            </w:pPr>
            <w:r w:rsidRPr="00C72AB5">
              <w:rPr>
                <w:rFonts w:ascii="GHEA Grapalat" w:hAnsi="GHEA Grapalat" w:cs="Calibri"/>
                <w:color w:val="000000"/>
                <w:sz w:val="22"/>
                <w:szCs w:val="22"/>
              </w:rPr>
              <w:t>145%</w:t>
            </w:r>
          </w:p>
        </w:tc>
      </w:tr>
      <w:tr w:rsidR="00871736" w:rsidRPr="00C72AB5" w14:paraId="2671E2AC" w14:textId="77777777" w:rsidTr="00125244">
        <w:trPr>
          <w:trHeight w:val="345"/>
          <w:jc w:val="center"/>
        </w:trPr>
        <w:tc>
          <w:tcPr>
            <w:tcW w:w="3128" w:type="dxa"/>
            <w:tcBorders>
              <w:top w:val="nil"/>
              <w:left w:val="single" w:sz="4" w:space="0" w:color="auto"/>
              <w:bottom w:val="single" w:sz="4" w:space="0" w:color="auto"/>
              <w:right w:val="single" w:sz="4" w:space="0" w:color="auto"/>
            </w:tcBorders>
            <w:shd w:val="clear" w:color="000000" w:fill="DDEBF7"/>
            <w:noWrap/>
            <w:vAlign w:val="center"/>
            <w:hideMark/>
          </w:tcPr>
          <w:p w14:paraId="38387B84" w14:textId="77777777" w:rsidR="00F91A77" w:rsidRPr="00C72AB5" w:rsidRDefault="00F91A77" w:rsidP="0049437D">
            <w:pPr>
              <w:spacing w:line="276" w:lineRule="auto"/>
              <w:rPr>
                <w:rFonts w:ascii="GHEA Grapalat" w:hAnsi="GHEA Grapalat" w:cs="Calibri"/>
                <w:color w:val="000000"/>
                <w:sz w:val="22"/>
                <w:szCs w:val="22"/>
              </w:rPr>
            </w:pPr>
            <w:r w:rsidRPr="00C72AB5">
              <w:rPr>
                <w:rFonts w:ascii="GHEA Grapalat" w:hAnsi="GHEA Grapalat" w:cs="Calibri"/>
                <w:color w:val="000000"/>
                <w:sz w:val="22"/>
                <w:szCs w:val="22"/>
              </w:rPr>
              <w:t>Գիտաշխատող</w:t>
            </w:r>
          </w:p>
        </w:tc>
        <w:tc>
          <w:tcPr>
            <w:tcW w:w="1624" w:type="dxa"/>
            <w:tcBorders>
              <w:top w:val="nil"/>
              <w:left w:val="nil"/>
              <w:bottom w:val="single" w:sz="4" w:space="0" w:color="auto"/>
              <w:right w:val="single" w:sz="4" w:space="0" w:color="auto"/>
            </w:tcBorders>
            <w:shd w:val="clear" w:color="000000" w:fill="DDEBF7"/>
            <w:noWrap/>
            <w:vAlign w:val="center"/>
            <w:hideMark/>
          </w:tcPr>
          <w:p w14:paraId="69E73B83" w14:textId="77777777" w:rsidR="00F91A77" w:rsidRPr="00C72AB5" w:rsidRDefault="00F91A77" w:rsidP="0049437D">
            <w:pPr>
              <w:spacing w:line="276" w:lineRule="auto"/>
              <w:jc w:val="center"/>
              <w:rPr>
                <w:rFonts w:ascii="GHEA Grapalat" w:hAnsi="GHEA Grapalat" w:cs="Calibri"/>
                <w:color w:val="000000"/>
                <w:sz w:val="22"/>
                <w:szCs w:val="22"/>
              </w:rPr>
            </w:pPr>
            <w:r w:rsidRPr="00C72AB5">
              <w:rPr>
                <w:rFonts w:ascii="GHEA Grapalat" w:hAnsi="GHEA Grapalat" w:cs="Calibri"/>
                <w:color w:val="000000"/>
                <w:sz w:val="22"/>
                <w:szCs w:val="22"/>
              </w:rPr>
              <w:t>90.4</w:t>
            </w:r>
          </w:p>
        </w:tc>
        <w:tc>
          <w:tcPr>
            <w:tcW w:w="964" w:type="dxa"/>
            <w:tcBorders>
              <w:top w:val="nil"/>
              <w:left w:val="nil"/>
              <w:bottom w:val="single" w:sz="4" w:space="0" w:color="auto"/>
              <w:right w:val="single" w:sz="4" w:space="0" w:color="auto"/>
            </w:tcBorders>
            <w:shd w:val="clear" w:color="000000" w:fill="E2EFDA"/>
            <w:noWrap/>
            <w:vAlign w:val="center"/>
            <w:hideMark/>
          </w:tcPr>
          <w:p w14:paraId="66E2F225" w14:textId="77777777" w:rsidR="00F91A77" w:rsidRPr="00C72AB5" w:rsidRDefault="00F91A77" w:rsidP="0049437D">
            <w:pPr>
              <w:spacing w:line="276" w:lineRule="auto"/>
              <w:jc w:val="center"/>
              <w:rPr>
                <w:rFonts w:ascii="GHEA Grapalat" w:hAnsi="GHEA Grapalat" w:cs="Calibri"/>
                <w:color w:val="000000"/>
                <w:sz w:val="22"/>
                <w:szCs w:val="22"/>
              </w:rPr>
            </w:pPr>
            <w:r w:rsidRPr="00C72AB5">
              <w:rPr>
                <w:rFonts w:ascii="GHEA Grapalat" w:hAnsi="GHEA Grapalat" w:cs="Calibri"/>
                <w:color w:val="000000"/>
                <w:sz w:val="22"/>
                <w:szCs w:val="22"/>
              </w:rPr>
              <w:t>150.0</w:t>
            </w:r>
          </w:p>
        </w:tc>
        <w:tc>
          <w:tcPr>
            <w:tcW w:w="964" w:type="dxa"/>
            <w:tcBorders>
              <w:top w:val="nil"/>
              <w:left w:val="nil"/>
              <w:bottom w:val="single" w:sz="4" w:space="0" w:color="auto"/>
              <w:right w:val="single" w:sz="4" w:space="0" w:color="auto"/>
            </w:tcBorders>
            <w:shd w:val="clear" w:color="000000" w:fill="E2EFDA"/>
            <w:noWrap/>
            <w:vAlign w:val="center"/>
            <w:hideMark/>
          </w:tcPr>
          <w:p w14:paraId="11786DFC" w14:textId="77777777" w:rsidR="00F91A77" w:rsidRPr="00C72AB5" w:rsidRDefault="00F91A77" w:rsidP="0049437D">
            <w:pPr>
              <w:spacing w:line="276" w:lineRule="auto"/>
              <w:jc w:val="center"/>
              <w:rPr>
                <w:rFonts w:ascii="GHEA Grapalat" w:hAnsi="GHEA Grapalat" w:cs="Calibri"/>
                <w:color w:val="000000"/>
                <w:sz w:val="22"/>
                <w:szCs w:val="22"/>
              </w:rPr>
            </w:pPr>
            <w:r w:rsidRPr="00C72AB5">
              <w:rPr>
                <w:rFonts w:ascii="GHEA Grapalat" w:hAnsi="GHEA Grapalat" w:cs="Calibri"/>
                <w:color w:val="000000"/>
                <w:sz w:val="22"/>
                <w:szCs w:val="22"/>
              </w:rPr>
              <w:t>200.0</w:t>
            </w:r>
          </w:p>
        </w:tc>
        <w:tc>
          <w:tcPr>
            <w:tcW w:w="964" w:type="dxa"/>
            <w:tcBorders>
              <w:top w:val="nil"/>
              <w:left w:val="nil"/>
              <w:bottom w:val="single" w:sz="4" w:space="0" w:color="auto"/>
              <w:right w:val="single" w:sz="4" w:space="0" w:color="auto"/>
            </w:tcBorders>
            <w:shd w:val="clear" w:color="000000" w:fill="E2EFDA"/>
            <w:noWrap/>
            <w:vAlign w:val="center"/>
            <w:hideMark/>
          </w:tcPr>
          <w:p w14:paraId="6B5E9B82" w14:textId="77777777" w:rsidR="00F91A77" w:rsidRPr="00C72AB5" w:rsidRDefault="00F91A77" w:rsidP="0049437D">
            <w:pPr>
              <w:spacing w:line="276" w:lineRule="auto"/>
              <w:jc w:val="center"/>
              <w:rPr>
                <w:rFonts w:ascii="GHEA Grapalat" w:hAnsi="GHEA Grapalat" w:cs="Calibri"/>
                <w:color w:val="000000"/>
                <w:sz w:val="22"/>
                <w:szCs w:val="22"/>
              </w:rPr>
            </w:pPr>
            <w:r w:rsidRPr="00C72AB5">
              <w:rPr>
                <w:rFonts w:ascii="GHEA Grapalat" w:hAnsi="GHEA Grapalat" w:cs="Calibri"/>
                <w:color w:val="000000"/>
                <w:sz w:val="22"/>
                <w:szCs w:val="22"/>
              </w:rPr>
              <w:t>230.0</w:t>
            </w:r>
          </w:p>
        </w:tc>
        <w:tc>
          <w:tcPr>
            <w:tcW w:w="964" w:type="dxa"/>
            <w:tcBorders>
              <w:top w:val="nil"/>
              <w:left w:val="nil"/>
              <w:bottom w:val="single" w:sz="4" w:space="0" w:color="auto"/>
              <w:right w:val="single" w:sz="4" w:space="0" w:color="auto"/>
            </w:tcBorders>
            <w:shd w:val="clear" w:color="000000" w:fill="E2EFDA"/>
            <w:noWrap/>
            <w:vAlign w:val="center"/>
            <w:hideMark/>
          </w:tcPr>
          <w:p w14:paraId="0EF49CFA" w14:textId="77777777" w:rsidR="00F91A77" w:rsidRPr="00C72AB5" w:rsidRDefault="00F91A77" w:rsidP="0049437D">
            <w:pPr>
              <w:spacing w:line="276" w:lineRule="auto"/>
              <w:jc w:val="center"/>
              <w:rPr>
                <w:rFonts w:ascii="GHEA Grapalat" w:hAnsi="GHEA Grapalat" w:cs="Calibri"/>
                <w:color w:val="000000"/>
                <w:sz w:val="22"/>
                <w:szCs w:val="22"/>
              </w:rPr>
            </w:pPr>
            <w:r w:rsidRPr="00C72AB5">
              <w:rPr>
                <w:rFonts w:ascii="GHEA Grapalat" w:hAnsi="GHEA Grapalat" w:cs="Calibri"/>
                <w:color w:val="000000"/>
                <w:sz w:val="22"/>
                <w:szCs w:val="22"/>
              </w:rPr>
              <w:t>276.0</w:t>
            </w:r>
          </w:p>
        </w:tc>
        <w:tc>
          <w:tcPr>
            <w:tcW w:w="1031" w:type="dxa"/>
            <w:tcBorders>
              <w:top w:val="nil"/>
              <w:left w:val="nil"/>
              <w:bottom w:val="single" w:sz="4" w:space="0" w:color="auto"/>
              <w:right w:val="single" w:sz="4" w:space="0" w:color="auto"/>
            </w:tcBorders>
            <w:shd w:val="clear" w:color="auto" w:fill="FFF2CC" w:themeFill="accent4" w:themeFillTint="33"/>
            <w:noWrap/>
            <w:vAlign w:val="center"/>
            <w:hideMark/>
          </w:tcPr>
          <w:p w14:paraId="5936CD61" w14:textId="77777777" w:rsidR="00F91A77" w:rsidRPr="00C72AB5" w:rsidRDefault="00F91A77" w:rsidP="0049437D">
            <w:pPr>
              <w:spacing w:line="276" w:lineRule="auto"/>
              <w:jc w:val="center"/>
              <w:rPr>
                <w:rFonts w:ascii="GHEA Grapalat" w:hAnsi="GHEA Grapalat" w:cs="Calibri"/>
                <w:color w:val="000000"/>
                <w:sz w:val="22"/>
                <w:szCs w:val="22"/>
              </w:rPr>
            </w:pPr>
            <w:r w:rsidRPr="00C72AB5">
              <w:rPr>
                <w:rFonts w:ascii="GHEA Grapalat" w:hAnsi="GHEA Grapalat" w:cs="Calibri"/>
                <w:color w:val="000000"/>
                <w:sz w:val="22"/>
                <w:szCs w:val="22"/>
              </w:rPr>
              <w:t>205%</w:t>
            </w:r>
          </w:p>
        </w:tc>
      </w:tr>
      <w:tr w:rsidR="00871736" w:rsidRPr="00C72AB5" w14:paraId="46B919D9" w14:textId="77777777" w:rsidTr="00125244">
        <w:trPr>
          <w:trHeight w:val="345"/>
          <w:jc w:val="center"/>
        </w:trPr>
        <w:tc>
          <w:tcPr>
            <w:tcW w:w="3128" w:type="dxa"/>
            <w:tcBorders>
              <w:top w:val="nil"/>
              <w:left w:val="single" w:sz="4" w:space="0" w:color="auto"/>
              <w:bottom w:val="single" w:sz="4" w:space="0" w:color="auto"/>
              <w:right w:val="single" w:sz="4" w:space="0" w:color="auto"/>
            </w:tcBorders>
            <w:shd w:val="clear" w:color="000000" w:fill="DDEBF7"/>
            <w:noWrap/>
            <w:vAlign w:val="center"/>
            <w:hideMark/>
          </w:tcPr>
          <w:p w14:paraId="7A11B18E" w14:textId="77777777" w:rsidR="00F91A77" w:rsidRPr="00C72AB5" w:rsidRDefault="00F91A77" w:rsidP="0049437D">
            <w:pPr>
              <w:spacing w:line="276" w:lineRule="auto"/>
              <w:rPr>
                <w:rFonts w:ascii="GHEA Grapalat" w:hAnsi="GHEA Grapalat" w:cs="Calibri"/>
                <w:color w:val="000000"/>
                <w:sz w:val="22"/>
                <w:szCs w:val="22"/>
              </w:rPr>
            </w:pPr>
            <w:r w:rsidRPr="00C72AB5">
              <w:rPr>
                <w:rFonts w:ascii="GHEA Grapalat" w:hAnsi="GHEA Grapalat" w:cs="Calibri"/>
                <w:color w:val="000000"/>
                <w:sz w:val="22"/>
                <w:szCs w:val="22"/>
              </w:rPr>
              <w:t>Ավագ գիտաշխատող</w:t>
            </w:r>
          </w:p>
        </w:tc>
        <w:tc>
          <w:tcPr>
            <w:tcW w:w="1624" w:type="dxa"/>
            <w:tcBorders>
              <w:top w:val="nil"/>
              <w:left w:val="nil"/>
              <w:bottom w:val="single" w:sz="4" w:space="0" w:color="auto"/>
              <w:right w:val="single" w:sz="4" w:space="0" w:color="auto"/>
            </w:tcBorders>
            <w:shd w:val="clear" w:color="000000" w:fill="DDEBF7"/>
            <w:noWrap/>
            <w:vAlign w:val="center"/>
            <w:hideMark/>
          </w:tcPr>
          <w:p w14:paraId="13D582F5" w14:textId="77777777" w:rsidR="00F91A77" w:rsidRPr="00C72AB5" w:rsidRDefault="00F91A77" w:rsidP="0049437D">
            <w:pPr>
              <w:spacing w:line="276" w:lineRule="auto"/>
              <w:jc w:val="center"/>
              <w:rPr>
                <w:rFonts w:ascii="GHEA Grapalat" w:hAnsi="GHEA Grapalat" w:cs="Calibri"/>
                <w:color w:val="000000"/>
                <w:sz w:val="22"/>
                <w:szCs w:val="22"/>
              </w:rPr>
            </w:pPr>
            <w:r w:rsidRPr="00C72AB5">
              <w:rPr>
                <w:rFonts w:ascii="GHEA Grapalat" w:hAnsi="GHEA Grapalat" w:cs="Calibri"/>
                <w:color w:val="000000"/>
                <w:sz w:val="22"/>
                <w:szCs w:val="22"/>
              </w:rPr>
              <w:t>99.0</w:t>
            </w:r>
          </w:p>
        </w:tc>
        <w:tc>
          <w:tcPr>
            <w:tcW w:w="964" w:type="dxa"/>
            <w:tcBorders>
              <w:top w:val="nil"/>
              <w:left w:val="nil"/>
              <w:bottom w:val="single" w:sz="4" w:space="0" w:color="auto"/>
              <w:right w:val="single" w:sz="4" w:space="0" w:color="auto"/>
            </w:tcBorders>
            <w:shd w:val="clear" w:color="000000" w:fill="E2EFDA"/>
            <w:noWrap/>
            <w:vAlign w:val="center"/>
            <w:hideMark/>
          </w:tcPr>
          <w:p w14:paraId="010DB9EA" w14:textId="77777777" w:rsidR="00F91A77" w:rsidRPr="00C72AB5" w:rsidRDefault="00F91A77" w:rsidP="0049437D">
            <w:pPr>
              <w:spacing w:line="276" w:lineRule="auto"/>
              <w:jc w:val="center"/>
              <w:rPr>
                <w:rFonts w:ascii="GHEA Grapalat" w:hAnsi="GHEA Grapalat" w:cs="Calibri"/>
                <w:color w:val="000000"/>
                <w:sz w:val="22"/>
                <w:szCs w:val="22"/>
              </w:rPr>
            </w:pPr>
            <w:r w:rsidRPr="00C72AB5">
              <w:rPr>
                <w:rFonts w:ascii="GHEA Grapalat" w:hAnsi="GHEA Grapalat" w:cs="Calibri"/>
                <w:color w:val="000000"/>
                <w:sz w:val="22"/>
                <w:szCs w:val="22"/>
              </w:rPr>
              <w:t>200.0</w:t>
            </w:r>
          </w:p>
        </w:tc>
        <w:tc>
          <w:tcPr>
            <w:tcW w:w="964" w:type="dxa"/>
            <w:tcBorders>
              <w:top w:val="nil"/>
              <w:left w:val="nil"/>
              <w:bottom w:val="single" w:sz="4" w:space="0" w:color="auto"/>
              <w:right w:val="single" w:sz="4" w:space="0" w:color="auto"/>
            </w:tcBorders>
            <w:shd w:val="clear" w:color="000000" w:fill="E2EFDA"/>
            <w:noWrap/>
            <w:vAlign w:val="center"/>
            <w:hideMark/>
          </w:tcPr>
          <w:p w14:paraId="0D68CD2F" w14:textId="77777777" w:rsidR="00F91A77" w:rsidRPr="00C72AB5" w:rsidRDefault="00F91A77" w:rsidP="0049437D">
            <w:pPr>
              <w:spacing w:line="276" w:lineRule="auto"/>
              <w:jc w:val="center"/>
              <w:rPr>
                <w:rFonts w:ascii="GHEA Grapalat" w:hAnsi="GHEA Grapalat" w:cs="Calibri"/>
                <w:color w:val="000000"/>
                <w:sz w:val="22"/>
                <w:szCs w:val="22"/>
              </w:rPr>
            </w:pPr>
            <w:r w:rsidRPr="00C72AB5">
              <w:rPr>
                <w:rFonts w:ascii="GHEA Grapalat" w:hAnsi="GHEA Grapalat" w:cs="Calibri"/>
                <w:color w:val="000000"/>
                <w:sz w:val="22"/>
                <w:szCs w:val="22"/>
              </w:rPr>
              <w:t>250.0</w:t>
            </w:r>
          </w:p>
        </w:tc>
        <w:tc>
          <w:tcPr>
            <w:tcW w:w="964" w:type="dxa"/>
            <w:tcBorders>
              <w:top w:val="nil"/>
              <w:left w:val="nil"/>
              <w:bottom w:val="single" w:sz="4" w:space="0" w:color="auto"/>
              <w:right w:val="single" w:sz="4" w:space="0" w:color="auto"/>
            </w:tcBorders>
            <w:shd w:val="clear" w:color="000000" w:fill="E2EFDA"/>
            <w:noWrap/>
            <w:vAlign w:val="center"/>
            <w:hideMark/>
          </w:tcPr>
          <w:p w14:paraId="37EEBDD0" w14:textId="77777777" w:rsidR="00F91A77" w:rsidRPr="00C72AB5" w:rsidRDefault="00F91A77" w:rsidP="0049437D">
            <w:pPr>
              <w:spacing w:line="276" w:lineRule="auto"/>
              <w:jc w:val="center"/>
              <w:rPr>
                <w:rFonts w:ascii="GHEA Grapalat" w:hAnsi="GHEA Grapalat" w:cs="Calibri"/>
                <w:color w:val="000000"/>
                <w:sz w:val="22"/>
                <w:szCs w:val="22"/>
              </w:rPr>
            </w:pPr>
            <w:r w:rsidRPr="00C72AB5">
              <w:rPr>
                <w:rFonts w:ascii="GHEA Grapalat" w:hAnsi="GHEA Grapalat" w:cs="Calibri"/>
                <w:color w:val="000000"/>
                <w:sz w:val="22"/>
                <w:szCs w:val="22"/>
              </w:rPr>
              <w:t>300.0</w:t>
            </w:r>
          </w:p>
        </w:tc>
        <w:tc>
          <w:tcPr>
            <w:tcW w:w="964" w:type="dxa"/>
            <w:tcBorders>
              <w:top w:val="nil"/>
              <w:left w:val="nil"/>
              <w:bottom w:val="single" w:sz="4" w:space="0" w:color="auto"/>
              <w:right w:val="single" w:sz="4" w:space="0" w:color="auto"/>
            </w:tcBorders>
            <w:shd w:val="clear" w:color="000000" w:fill="E2EFDA"/>
            <w:noWrap/>
            <w:vAlign w:val="center"/>
            <w:hideMark/>
          </w:tcPr>
          <w:p w14:paraId="2DD36D2F" w14:textId="77777777" w:rsidR="00F91A77" w:rsidRPr="00C72AB5" w:rsidRDefault="00F91A77" w:rsidP="0049437D">
            <w:pPr>
              <w:spacing w:line="276" w:lineRule="auto"/>
              <w:jc w:val="center"/>
              <w:rPr>
                <w:rFonts w:ascii="GHEA Grapalat" w:hAnsi="GHEA Grapalat" w:cs="Calibri"/>
                <w:color w:val="000000"/>
                <w:sz w:val="22"/>
                <w:szCs w:val="22"/>
              </w:rPr>
            </w:pPr>
            <w:r w:rsidRPr="00C72AB5">
              <w:rPr>
                <w:rFonts w:ascii="GHEA Grapalat" w:hAnsi="GHEA Grapalat" w:cs="Calibri"/>
                <w:color w:val="000000"/>
                <w:sz w:val="22"/>
                <w:szCs w:val="22"/>
              </w:rPr>
              <w:t>343.0</w:t>
            </w:r>
          </w:p>
        </w:tc>
        <w:tc>
          <w:tcPr>
            <w:tcW w:w="1031" w:type="dxa"/>
            <w:tcBorders>
              <w:top w:val="nil"/>
              <w:left w:val="nil"/>
              <w:bottom w:val="single" w:sz="4" w:space="0" w:color="auto"/>
              <w:right w:val="single" w:sz="4" w:space="0" w:color="auto"/>
            </w:tcBorders>
            <w:shd w:val="clear" w:color="auto" w:fill="FFF2CC" w:themeFill="accent4" w:themeFillTint="33"/>
            <w:noWrap/>
            <w:vAlign w:val="center"/>
            <w:hideMark/>
          </w:tcPr>
          <w:p w14:paraId="2310632A" w14:textId="77777777" w:rsidR="00F91A77" w:rsidRPr="00C72AB5" w:rsidRDefault="00F91A77" w:rsidP="0049437D">
            <w:pPr>
              <w:spacing w:line="276" w:lineRule="auto"/>
              <w:jc w:val="center"/>
              <w:rPr>
                <w:rFonts w:ascii="GHEA Grapalat" w:hAnsi="GHEA Grapalat" w:cs="Calibri"/>
                <w:color w:val="000000"/>
                <w:sz w:val="22"/>
                <w:szCs w:val="22"/>
              </w:rPr>
            </w:pPr>
            <w:r w:rsidRPr="00C72AB5">
              <w:rPr>
                <w:rFonts w:ascii="GHEA Grapalat" w:hAnsi="GHEA Grapalat" w:cs="Calibri"/>
                <w:color w:val="000000"/>
                <w:sz w:val="22"/>
                <w:szCs w:val="22"/>
              </w:rPr>
              <w:t>246%</w:t>
            </w:r>
          </w:p>
        </w:tc>
      </w:tr>
      <w:tr w:rsidR="00871736" w:rsidRPr="00C72AB5" w14:paraId="00FB2673" w14:textId="77777777" w:rsidTr="00125244">
        <w:trPr>
          <w:trHeight w:val="345"/>
          <w:jc w:val="center"/>
        </w:trPr>
        <w:tc>
          <w:tcPr>
            <w:tcW w:w="3128" w:type="dxa"/>
            <w:tcBorders>
              <w:top w:val="nil"/>
              <w:left w:val="single" w:sz="4" w:space="0" w:color="auto"/>
              <w:bottom w:val="single" w:sz="4" w:space="0" w:color="auto"/>
              <w:right w:val="single" w:sz="4" w:space="0" w:color="auto"/>
            </w:tcBorders>
            <w:shd w:val="clear" w:color="000000" w:fill="DDEBF7"/>
            <w:noWrap/>
            <w:vAlign w:val="center"/>
            <w:hideMark/>
          </w:tcPr>
          <w:p w14:paraId="462180A2" w14:textId="77777777" w:rsidR="00F91A77" w:rsidRPr="00C72AB5" w:rsidRDefault="00F91A77" w:rsidP="0049437D">
            <w:pPr>
              <w:spacing w:line="276" w:lineRule="auto"/>
              <w:rPr>
                <w:rFonts w:ascii="GHEA Grapalat" w:hAnsi="GHEA Grapalat" w:cs="Calibri"/>
                <w:color w:val="000000"/>
                <w:sz w:val="22"/>
                <w:szCs w:val="22"/>
              </w:rPr>
            </w:pPr>
            <w:r w:rsidRPr="00C72AB5">
              <w:rPr>
                <w:rFonts w:ascii="GHEA Grapalat" w:hAnsi="GHEA Grapalat" w:cs="Calibri"/>
                <w:color w:val="000000"/>
                <w:sz w:val="22"/>
                <w:szCs w:val="22"/>
              </w:rPr>
              <w:t>Առաջատար գիտաշխատող</w:t>
            </w:r>
          </w:p>
        </w:tc>
        <w:tc>
          <w:tcPr>
            <w:tcW w:w="1624" w:type="dxa"/>
            <w:tcBorders>
              <w:top w:val="nil"/>
              <w:left w:val="nil"/>
              <w:bottom w:val="single" w:sz="4" w:space="0" w:color="auto"/>
              <w:right w:val="single" w:sz="4" w:space="0" w:color="auto"/>
            </w:tcBorders>
            <w:shd w:val="clear" w:color="000000" w:fill="DDEBF7"/>
            <w:noWrap/>
            <w:vAlign w:val="center"/>
            <w:hideMark/>
          </w:tcPr>
          <w:p w14:paraId="0E50A8C9" w14:textId="77777777" w:rsidR="00F91A77" w:rsidRPr="00C72AB5" w:rsidRDefault="00F91A77" w:rsidP="0049437D">
            <w:pPr>
              <w:spacing w:line="276" w:lineRule="auto"/>
              <w:jc w:val="center"/>
              <w:rPr>
                <w:rFonts w:ascii="GHEA Grapalat" w:hAnsi="GHEA Grapalat" w:cs="Calibri"/>
                <w:color w:val="000000"/>
                <w:sz w:val="22"/>
                <w:szCs w:val="22"/>
              </w:rPr>
            </w:pPr>
            <w:r w:rsidRPr="00C72AB5">
              <w:rPr>
                <w:rFonts w:ascii="GHEA Grapalat" w:hAnsi="GHEA Grapalat" w:cs="Calibri"/>
                <w:color w:val="000000"/>
                <w:sz w:val="22"/>
                <w:szCs w:val="22"/>
              </w:rPr>
              <w:t>114.3</w:t>
            </w:r>
          </w:p>
        </w:tc>
        <w:tc>
          <w:tcPr>
            <w:tcW w:w="964" w:type="dxa"/>
            <w:tcBorders>
              <w:top w:val="nil"/>
              <w:left w:val="nil"/>
              <w:bottom w:val="single" w:sz="4" w:space="0" w:color="auto"/>
              <w:right w:val="single" w:sz="4" w:space="0" w:color="auto"/>
            </w:tcBorders>
            <w:shd w:val="clear" w:color="000000" w:fill="E2EFDA"/>
            <w:noWrap/>
            <w:vAlign w:val="center"/>
            <w:hideMark/>
          </w:tcPr>
          <w:p w14:paraId="4767EA01" w14:textId="77777777" w:rsidR="00F91A77" w:rsidRPr="00C72AB5" w:rsidRDefault="00F91A77" w:rsidP="0049437D">
            <w:pPr>
              <w:spacing w:line="276" w:lineRule="auto"/>
              <w:jc w:val="center"/>
              <w:rPr>
                <w:rFonts w:ascii="GHEA Grapalat" w:hAnsi="GHEA Grapalat" w:cs="Calibri"/>
                <w:color w:val="000000"/>
                <w:sz w:val="22"/>
                <w:szCs w:val="22"/>
              </w:rPr>
            </w:pPr>
            <w:r w:rsidRPr="00C72AB5">
              <w:rPr>
                <w:rFonts w:ascii="GHEA Grapalat" w:hAnsi="GHEA Grapalat" w:cs="Calibri"/>
                <w:color w:val="000000"/>
                <w:sz w:val="22"/>
                <w:szCs w:val="22"/>
              </w:rPr>
              <w:t>250.0</w:t>
            </w:r>
          </w:p>
        </w:tc>
        <w:tc>
          <w:tcPr>
            <w:tcW w:w="964" w:type="dxa"/>
            <w:tcBorders>
              <w:top w:val="nil"/>
              <w:left w:val="nil"/>
              <w:bottom w:val="single" w:sz="4" w:space="0" w:color="auto"/>
              <w:right w:val="single" w:sz="4" w:space="0" w:color="auto"/>
            </w:tcBorders>
            <w:shd w:val="clear" w:color="000000" w:fill="E2EFDA"/>
            <w:noWrap/>
            <w:vAlign w:val="center"/>
            <w:hideMark/>
          </w:tcPr>
          <w:p w14:paraId="3D5F7CF5" w14:textId="77777777" w:rsidR="00F91A77" w:rsidRPr="00C72AB5" w:rsidRDefault="00F91A77" w:rsidP="0049437D">
            <w:pPr>
              <w:spacing w:line="276" w:lineRule="auto"/>
              <w:jc w:val="center"/>
              <w:rPr>
                <w:rFonts w:ascii="GHEA Grapalat" w:hAnsi="GHEA Grapalat" w:cs="Calibri"/>
                <w:color w:val="000000"/>
                <w:sz w:val="22"/>
                <w:szCs w:val="22"/>
              </w:rPr>
            </w:pPr>
            <w:r w:rsidRPr="00C72AB5">
              <w:rPr>
                <w:rFonts w:ascii="GHEA Grapalat" w:hAnsi="GHEA Grapalat" w:cs="Calibri"/>
                <w:color w:val="000000"/>
                <w:sz w:val="22"/>
                <w:szCs w:val="22"/>
              </w:rPr>
              <w:t>350.0</w:t>
            </w:r>
          </w:p>
        </w:tc>
        <w:tc>
          <w:tcPr>
            <w:tcW w:w="964" w:type="dxa"/>
            <w:tcBorders>
              <w:top w:val="nil"/>
              <w:left w:val="nil"/>
              <w:bottom w:val="single" w:sz="4" w:space="0" w:color="auto"/>
              <w:right w:val="single" w:sz="4" w:space="0" w:color="auto"/>
            </w:tcBorders>
            <w:shd w:val="clear" w:color="000000" w:fill="E2EFDA"/>
            <w:noWrap/>
            <w:vAlign w:val="center"/>
            <w:hideMark/>
          </w:tcPr>
          <w:p w14:paraId="0874EEC4" w14:textId="77777777" w:rsidR="00F91A77" w:rsidRPr="00C72AB5" w:rsidRDefault="00F91A77" w:rsidP="0049437D">
            <w:pPr>
              <w:spacing w:line="276" w:lineRule="auto"/>
              <w:jc w:val="center"/>
              <w:rPr>
                <w:rFonts w:ascii="GHEA Grapalat" w:hAnsi="GHEA Grapalat" w:cs="Calibri"/>
                <w:color w:val="000000"/>
                <w:sz w:val="22"/>
                <w:szCs w:val="22"/>
              </w:rPr>
            </w:pPr>
            <w:r w:rsidRPr="00C72AB5">
              <w:rPr>
                <w:rFonts w:ascii="GHEA Grapalat" w:hAnsi="GHEA Grapalat" w:cs="Calibri"/>
                <w:color w:val="000000"/>
                <w:sz w:val="22"/>
                <w:szCs w:val="22"/>
              </w:rPr>
              <w:t>420.0</w:t>
            </w:r>
          </w:p>
        </w:tc>
        <w:tc>
          <w:tcPr>
            <w:tcW w:w="964" w:type="dxa"/>
            <w:tcBorders>
              <w:top w:val="nil"/>
              <w:left w:val="nil"/>
              <w:bottom w:val="single" w:sz="4" w:space="0" w:color="auto"/>
              <w:right w:val="single" w:sz="4" w:space="0" w:color="auto"/>
            </w:tcBorders>
            <w:shd w:val="clear" w:color="000000" w:fill="E2EFDA"/>
            <w:noWrap/>
            <w:vAlign w:val="center"/>
            <w:hideMark/>
          </w:tcPr>
          <w:p w14:paraId="4440EE9F" w14:textId="77777777" w:rsidR="00F91A77" w:rsidRPr="00C72AB5" w:rsidRDefault="00F91A77" w:rsidP="0049437D">
            <w:pPr>
              <w:spacing w:line="276" w:lineRule="auto"/>
              <w:jc w:val="center"/>
              <w:rPr>
                <w:rFonts w:ascii="GHEA Grapalat" w:hAnsi="GHEA Grapalat" w:cs="Calibri"/>
                <w:color w:val="000000"/>
                <w:sz w:val="22"/>
                <w:szCs w:val="22"/>
              </w:rPr>
            </w:pPr>
            <w:r w:rsidRPr="00C72AB5">
              <w:rPr>
                <w:rFonts w:ascii="GHEA Grapalat" w:hAnsi="GHEA Grapalat" w:cs="Calibri"/>
                <w:color w:val="000000"/>
                <w:sz w:val="22"/>
                <w:szCs w:val="22"/>
              </w:rPr>
              <w:t>443.8</w:t>
            </w:r>
          </w:p>
        </w:tc>
        <w:tc>
          <w:tcPr>
            <w:tcW w:w="1031" w:type="dxa"/>
            <w:tcBorders>
              <w:top w:val="nil"/>
              <w:left w:val="nil"/>
              <w:bottom w:val="single" w:sz="4" w:space="0" w:color="auto"/>
              <w:right w:val="single" w:sz="4" w:space="0" w:color="auto"/>
            </w:tcBorders>
            <w:shd w:val="clear" w:color="auto" w:fill="FFF2CC" w:themeFill="accent4" w:themeFillTint="33"/>
            <w:noWrap/>
            <w:vAlign w:val="center"/>
            <w:hideMark/>
          </w:tcPr>
          <w:p w14:paraId="0A0F1DE9" w14:textId="77777777" w:rsidR="00F91A77" w:rsidRPr="00C72AB5" w:rsidRDefault="00F91A77" w:rsidP="0049437D">
            <w:pPr>
              <w:spacing w:line="276" w:lineRule="auto"/>
              <w:jc w:val="center"/>
              <w:rPr>
                <w:rFonts w:ascii="GHEA Grapalat" w:hAnsi="GHEA Grapalat" w:cs="Calibri"/>
                <w:color w:val="000000"/>
                <w:sz w:val="22"/>
                <w:szCs w:val="22"/>
              </w:rPr>
            </w:pPr>
            <w:r w:rsidRPr="00C72AB5">
              <w:rPr>
                <w:rFonts w:ascii="GHEA Grapalat" w:hAnsi="GHEA Grapalat" w:cs="Calibri"/>
                <w:color w:val="000000"/>
                <w:sz w:val="22"/>
                <w:szCs w:val="22"/>
              </w:rPr>
              <w:t>288%</w:t>
            </w:r>
          </w:p>
        </w:tc>
      </w:tr>
      <w:tr w:rsidR="00871736" w:rsidRPr="00C72AB5" w14:paraId="23557E0E" w14:textId="77777777" w:rsidTr="00125244">
        <w:trPr>
          <w:trHeight w:val="345"/>
          <w:jc w:val="center"/>
        </w:trPr>
        <w:tc>
          <w:tcPr>
            <w:tcW w:w="3128" w:type="dxa"/>
            <w:tcBorders>
              <w:top w:val="nil"/>
              <w:left w:val="single" w:sz="4" w:space="0" w:color="auto"/>
              <w:bottom w:val="single" w:sz="4" w:space="0" w:color="auto"/>
              <w:right w:val="single" w:sz="4" w:space="0" w:color="auto"/>
            </w:tcBorders>
            <w:shd w:val="clear" w:color="000000" w:fill="DDEBF7"/>
            <w:noWrap/>
            <w:vAlign w:val="center"/>
            <w:hideMark/>
          </w:tcPr>
          <w:p w14:paraId="3DFEC319" w14:textId="77777777" w:rsidR="00F91A77" w:rsidRPr="00C72AB5" w:rsidRDefault="00F91A77" w:rsidP="0049437D">
            <w:pPr>
              <w:spacing w:line="276" w:lineRule="auto"/>
              <w:rPr>
                <w:rFonts w:ascii="GHEA Grapalat" w:hAnsi="GHEA Grapalat" w:cs="Calibri"/>
                <w:color w:val="000000"/>
                <w:sz w:val="22"/>
                <w:szCs w:val="22"/>
              </w:rPr>
            </w:pPr>
            <w:r w:rsidRPr="00C72AB5">
              <w:rPr>
                <w:rFonts w:ascii="GHEA Grapalat" w:hAnsi="GHEA Grapalat" w:cs="Calibri"/>
                <w:color w:val="000000"/>
                <w:sz w:val="22"/>
                <w:szCs w:val="22"/>
              </w:rPr>
              <w:t>Գլխավոր գիտաշխատող</w:t>
            </w:r>
          </w:p>
        </w:tc>
        <w:tc>
          <w:tcPr>
            <w:tcW w:w="1624" w:type="dxa"/>
            <w:tcBorders>
              <w:top w:val="nil"/>
              <w:left w:val="nil"/>
              <w:bottom w:val="single" w:sz="4" w:space="0" w:color="auto"/>
              <w:right w:val="single" w:sz="4" w:space="0" w:color="auto"/>
            </w:tcBorders>
            <w:shd w:val="clear" w:color="000000" w:fill="DDEBF7"/>
            <w:noWrap/>
            <w:vAlign w:val="center"/>
            <w:hideMark/>
          </w:tcPr>
          <w:p w14:paraId="718F6E32" w14:textId="77777777" w:rsidR="00F91A77" w:rsidRPr="00C72AB5" w:rsidRDefault="00F91A77" w:rsidP="0049437D">
            <w:pPr>
              <w:spacing w:line="276" w:lineRule="auto"/>
              <w:jc w:val="center"/>
              <w:rPr>
                <w:rFonts w:ascii="GHEA Grapalat" w:hAnsi="GHEA Grapalat" w:cs="Calibri"/>
                <w:color w:val="000000"/>
                <w:sz w:val="22"/>
                <w:szCs w:val="22"/>
              </w:rPr>
            </w:pPr>
            <w:r w:rsidRPr="00C72AB5">
              <w:rPr>
                <w:rFonts w:ascii="GHEA Grapalat" w:hAnsi="GHEA Grapalat" w:cs="Calibri"/>
                <w:color w:val="000000"/>
                <w:sz w:val="22"/>
                <w:szCs w:val="22"/>
              </w:rPr>
              <w:t>138.1</w:t>
            </w:r>
          </w:p>
        </w:tc>
        <w:tc>
          <w:tcPr>
            <w:tcW w:w="964" w:type="dxa"/>
            <w:tcBorders>
              <w:top w:val="nil"/>
              <w:left w:val="nil"/>
              <w:bottom w:val="single" w:sz="4" w:space="0" w:color="auto"/>
              <w:right w:val="single" w:sz="4" w:space="0" w:color="auto"/>
            </w:tcBorders>
            <w:shd w:val="clear" w:color="000000" w:fill="E2EFDA"/>
            <w:noWrap/>
            <w:vAlign w:val="center"/>
            <w:hideMark/>
          </w:tcPr>
          <w:p w14:paraId="268370D9" w14:textId="77777777" w:rsidR="00F91A77" w:rsidRPr="00C72AB5" w:rsidRDefault="00F91A77" w:rsidP="0049437D">
            <w:pPr>
              <w:spacing w:line="276" w:lineRule="auto"/>
              <w:jc w:val="center"/>
              <w:rPr>
                <w:rFonts w:ascii="GHEA Grapalat" w:hAnsi="GHEA Grapalat" w:cs="Calibri"/>
                <w:color w:val="000000"/>
                <w:sz w:val="22"/>
                <w:szCs w:val="22"/>
              </w:rPr>
            </w:pPr>
            <w:r w:rsidRPr="00C72AB5">
              <w:rPr>
                <w:rFonts w:ascii="GHEA Grapalat" w:hAnsi="GHEA Grapalat" w:cs="Calibri"/>
                <w:color w:val="000000"/>
                <w:sz w:val="22"/>
                <w:szCs w:val="22"/>
              </w:rPr>
              <w:t>367.1</w:t>
            </w:r>
          </w:p>
        </w:tc>
        <w:tc>
          <w:tcPr>
            <w:tcW w:w="964" w:type="dxa"/>
            <w:tcBorders>
              <w:top w:val="nil"/>
              <w:left w:val="nil"/>
              <w:bottom w:val="single" w:sz="4" w:space="0" w:color="auto"/>
              <w:right w:val="single" w:sz="4" w:space="0" w:color="auto"/>
            </w:tcBorders>
            <w:shd w:val="clear" w:color="000000" w:fill="E2EFDA"/>
            <w:noWrap/>
            <w:vAlign w:val="center"/>
            <w:hideMark/>
          </w:tcPr>
          <w:p w14:paraId="0928DFD2" w14:textId="77777777" w:rsidR="00F91A77" w:rsidRPr="00C72AB5" w:rsidRDefault="00F91A77" w:rsidP="0049437D">
            <w:pPr>
              <w:spacing w:line="276" w:lineRule="auto"/>
              <w:jc w:val="center"/>
              <w:rPr>
                <w:rFonts w:ascii="GHEA Grapalat" w:hAnsi="GHEA Grapalat" w:cs="Calibri"/>
                <w:color w:val="000000"/>
                <w:sz w:val="22"/>
                <w:szCs w:val="22"/>
              </w:rPr>
            </w:pPr>
            <w:r w:rsidRPr="00C72AB5">
              <w:rPr>
                <w:rFonts w:ascii="GHEA Grapalat" w:hAnsi="GHEA Grapalat" w:cs="Calibri"/>
                <w:color w:val="000000"/>
                <w:sz w:val="22"/>
                <w:szCs w:val="22"/>
              </w:rPr>
              <w:t>450.0</w:t>
            </w:r>
          </w:p>
        </w:tc>
        <w:tc>
          <w:tcPr>
            <w:tcW w:w="964" w:type="dxa"/>
            <w:tcBorders>
              <w:top w:val="nil"/>
              <w:left w:val="nil"/>
              <w:bottom w:val="single" w:sz="4" w:space="0" w:color="auto"/>
              <w:right w:val="single" w:sz="4" w:space="0" w:color="auto"/>
            </w:tcBorders>
            <w:shd w:val="clear" w:color="000000" w:fill="E2EFDA"/>
            <w:noWrap/>
            <w:vAlign w:val="center"/>
            <w:hideMark/>
          </w:tcPr>
          <w:p w14:paraId="48B09719" w14:textId="77777777" w:rsidR="00F91A77" w:rsidRPr="00C72AB5" w:rsidRDefault="00F91A77" w:rsidP="0049437D">
            <w:pPr>
              <w:spacing w:line="276" w:lineRule="auto"/>
              <w:jc w:val="center"/>
              <w:rPr>
                <w:rFonts w:ascii="GHEA Grapalat" w:hAnsi="GHEA Grapalat" w:cs="Calibri"/>
                <w:color w:val="000000"/>
                <w:sz w:val="22"/>
                <w:szCs w:val="22"/>
              </w:rPr>
            </w:pPr>
            <w:r w:rsidRPr="00C72AB5">
              <w:rPr>
                <w:rFonts w:ascii="GHEA Grapalat" w:hAnsi="GHEA Grapalat" w:cs="Calibri"/>
                <w:color w:val="000000"/>
                <w:sz w:val="22"/>
                <w:szCs w:val="22"/>
              </w:rPr>
              <w:t>500.0</w:t>
            </w:r>
          </w:p>
        </w:tc>
        <w:tc>
          <w:tcPr>
            <w:tcW w:w="964" w:type="dxa"/>
            <w:tcBorders>
              <w:top w:val="nil"/>
              <w:left w:val="nil"/>
              <w:bottom w:val="single" w:sz="4" w:space="0" w:color="auto"/>
              <w:right w:val="single" w:sz="4" w:space="0" w:color="auto"/>
            </w:tcBorders>
            <w:shd w:val="clear" w:color="000000" w:fill="E2EFDA"/>
            <w:noWrap/>
            <w:vAlign w:val="center"/>
            <w:hideMark/>
          </w:tcPr>
          <w:p w14:paraId="013C8C8E" w14:textId="77777777" w:rsidR="00F91A77" w:rsidRPr="00C72AB5" w:rsidRDefault="00F91A77" w:rsidP="0049437D">
            <w:pPr>
              <w:spacing w:line="276" w:lineRule="auto"/>
              <w:jc w:val="center"/>
              <w:rPr>
                <w:rFonts w:ascii="GHEA Grapalat" w:hAnsi="GHEA Grapalat" w:cs="Calibri"/>
                <w:color w:val="000000"/>
                <w:sz w:val="22"/>
                <w:szCs w:val="22"/>
              </w:rPr>
            </w:pPr>
            <w:r w:rsidRPr="00C72AB5">
              <w:rPr>
                <w:rFonts w:ascii="GHEA Grapalat" w:hAnsi="GHEA Grapalat" w:cs="Calibri"/>
                <w:color w:val="000000"/>
                <w:sz w:val="22"/>
                <w:szCs w:val="22"/>
              </w:rPr>
              <w:t>552.9</w:t>
            </w:r>
          </w:p>
        </w:tc>
        <w:tc>
          <w:tcPr>
            <w:tcW w:w="1031" w:type="dxa"/>
            <w:tcBorders>
              <w:top w:val="nil"/>
              <w:left w:val="nil"/>
              <w:bottom w:val="single" w:sz="4" w:space="0" w:color="auto"/>
              <w:right w:val="single" w:sz="4" w:space="0" w:color="auto"/>
            </w:tcBorders>
            <w:shd w:val="clear" w:color="auto" w:fill="FFF2CC" w:themeFill="accent4" w:themeFillTint="33"/>
            <w:noWrap/>
            <w:vAlign w:val="center"/>
            <w:hideMark/>
          </w:tcPr>
          <w:p w14:paraId="0AE8E2E7" w14:textId="77777777" w:rsidR="00F91A77" w:rsidRPr="00C72AB5" w:rsidRDefault="00F91A77" w:rsidP="0049437D">
            <w:pPr>
              <w:spacing w:line="276" w:lineRule="auto"/>
              <w:jc w:val="center"/>
              <w:rPr>
                <w:rFonts w:ascii="GHEA Grapalat" w:hAnsi="GHEA Grapalat" w:cs="Calibri"/>
                <w:color w:val="000000"/>
                <w:sz w:val="22"/>
                <w:szCs w:val="22"/>
              </w:rPr>
            </w:pPr>
            <w:r w:rsidRPr="00C72AB5">
              <w:rPr>
                <w:rFonts w:ascii="GHEA Grapalat" w:hAnsi="GHEA Grapalat" w:cs="Calibri"/>
                <w:color w:val="000000"/>
                <w:sz w:val="22"/>
                <w:szCs w:val="22"/>
              </w:rPr>
              <w:t>300%</w:t>
            </w:r>
          </w:p>
        </w:tc>
      </w:tr>
      <w:tr w:rsidR="00871736" w:rsidRPr="00C72AB5" w14:paraId="39C01DEF" w14:textId="77777777" w:rsidTr="00125244">
        <w:trPr>
          <w:trHeight w:val="345"/>
          <w:jc w:val="center"/>
        </w:trPr>
        <w:tc>
          <w:tcPr>
            <w:tcW w:w="3128" w:type="dxa"/>
            <w:tcBorders>
              <w:top w:val="nil"/>
              <w:left w:val="single" w:sz="4" w:space="0" w:color="auto"/>
              <w:bottom w:val="single" w:sz="4" w:space="0" w:color="auto"/>
              <w:right w:val="single" w:sz="4" w:space="0" w:color="auto"/>
            </w:tcBorders>
            <w:shd w:val="clear" w:color="000000" w:fill="DDEBF7"/>
            <w:noWrap/>
            <w:vAlign w:val="center"/>
            <w:hideMark/>
          </w:tcPr>
          <w:p w14:paraId="21D19EAA" w14:textId="77777777" w:rsidR="00F91A77" w:rsidRPr="00C72AB5" w:rsidRDefault="00F91A77" w:rsidP="0049437D">
            <w:pPr>
              <w:spacing w:line="276" w:lineRule="auto"/>
              <w:rPr>
                <w:rFonts w:ascii="GHEA Grapalat" w:hAnsi="GHEA Grapalat" w:cs="Calibri"/>
                <w:color w:val="000000"/>
                <w:sz w:val="22"/>
                <w:szCs w:val="22"/>
              </w:rPr>
            </w:pPr>
            <w:r w:rsidRPr="00C72AB5">
              <w:rPr>
                <w:rFonts w:ascii="GHEA Grapalat" w:hAnsi="GHEA Grapalat" w:cs="Calibri"/>
                <w:color w:val="000000"/>
                <w:sz w:val="22"/>
                <w:szCs w:val="22"/>
              </w:rPr>
              <w:t>Գիտական խմբի ղեկավար</w:t>
            </w:r>
          </w:p>
        </w:tc>
        <w:tc>
          <w:tcPr>
            <w:tcW w:w="1624" w:type="dxa"/>
            <w:tcBorders>
              <w:top w:val="nil"/>
              <w:left w:val="nil"/>
              <w:bottom w:val="single" w:sz="4" w:space="0" w:color="auto"/>
              <w:right w:val="single" w:sz="4" w:space="0" w:color="auto"/>
            </w:tcBorders>
            <w:shd w:val="clear" w:color="000000" w:fill="DDEBF7"/>
            <w:noWrap/>
            <w:vAlign w:val="center"/>
            <w:hideMark/>
          </w:tcPr>
          <w:p w14:paraId="01C0AB1A" w14:textId="77777777" w:rsidR="00F91A77" w:rsidRPr="00C72AB5" w:rsidRDefault="00F91A77" w:rsidP="0049437D">
            <w:pPr>
              <w:spacing w:line="276" w:lineRule="auto"/>
              <w:jc w:val="center"/>
              <w:rPr>
                <w:rFonts w:ascii="GHEA Grapalat" w:hAnsi="GHEA Grapalat" w:cs="Calibri"/>
                <w:color w:val="000000"/>
                <w:sz w:val="22"/>
                <w:szCs w:val="22"/>
              </w:rPr>
            </w:pPr>
            <w:r w:rsidRPr="00C72AB5">
              <w:rPr>
                <w:rFonts w:ascii="GHEA Grapalat" w:hAnsi="GHEA Grapalat" w:cs="Calibri"/>
                <w:color w:val="000000"/>
                <w:sz w:val="22"/>
                <w:szCs w:val="22"/>
              </w:rPr>
              <w:t>129.1</w:t>
            </w:r>
          </w:p>
        </w:tc>
        <w:tc>
          <w:tcPr>
            <w:tcW w:w="964" w:type="dxa"/>
            <w:tcBorders>
              <w:top w:val="nil"/>
              <w:left w:val="nil"/>
              <w:bottom w:val="single" w:sz="4" w:space="0" w:color="auto"/>
              <w:right w:val="single" w:sz="4" w:space="0" w:color="auto"/>
            </w:tcBorders>
            <w:shd w:val="clear" w:color="000000" w:fill="E2EFDA"/>
            <w:noWrap/>
            <w:vAlign w:val="center"/>
            <w:hideMark/>
          </w:tcPr>
          <w:p w14:paraId="5770BD47" w14:textId="77777777" w:rsidR="00F91A77" w:rsidRPr="00C72AB5" w:rsidRDefault="00F91A77" w:rsidP="0049437D">
            <w:pPr>
              <w:spacing w:line="276" w:lineRule="auto"/>
              <w:jc w:val="center"/>
              <w:rPr>
                <w:rFonts w:ascii="GHEA Grapalat" w:hAnsi="GHEA Grapalat" w:cs="Calibri"/>
                <w:color w:val="000000"/>
                <w:sz w:val="22"/>
                <w:szCs w:val="22"/>
              </w:rPr>
            </w:pPr>
            <w:r w:rsidRPr="00C72AB5">
              <w:rPr>
                <w:rFonts w:ascii="GHEA Grapalat" w:hAnsi="GHEA Grapalat" w:cs="Calibri"/>
                <w:color w:val="000000"/>
                <w:sz w:val="22"/>
                <w:szCs w:val="22"/>
              </w:rPr>
              <w:t>230.0</w:t>
            </w:r>
          </w:p>
        </w:tc>
        <w:tc>
          <w:tcPr>
            <w:tcW w:w="964" w:type="dxa"/>
            <w:tcBorders>
              <w:top w:val="nil"/>
              <w:left w:val="nil"/>
              <w:bottom w:val="single" w:sz="4" w:space="0" w:color="auto"/>
              <w:right w:val="single" w:sz="4" w:space="0" w:color="auto"/>
            </w:tcBorders>
            <w:shd w:val="clear" w:color="000000" w:fill="E2EFDA"/>
            <w:noWrap/>
            <w:vAlign w:val="center"/>
            <w:hideMark/>
          </w:tcPr>
          <w:p w14:paraId="56DCDB51" w14:textId="77777777" w:rsidR="00F91A77" w:rsidRPr="00C72AB5" w:rsidRDefault="00F91A77" w:rsidP="0049437D">
            <w:pPr>
              <w:spacing w:line="276" w:lineRule="auto"/>
              <w:jc w:val="center"/>
              <w:rPr>
                <w:rFonts w:ascii="GHEA Grapalat" w:hAnsi="GHEA Grapalat" w:cs="Calibri"/>
                <w:color w:val="000000"/>
                <w:sz w:val="22"/>
                <w:szCs w:val="22"/>
              </w:rPr>
            </w:pPr>
            <w:r w:rsidRPr="00C72AB5">
              <w:rPr>
                <w:rFonts w:ascii="GHEA Grapalat" w:hAnsi="GHEA Grapalat" w:cs="Calibri"/>
                <w:color w:val="000000"/>
                <w:sz w:val="22"/>
                <w:szCs w:val="22"/>
              </w:rPr>
              <w:t>280.0</w:t>
            </w:r>
          </w:p>
        </w:tc>
        <w:tc>
          <w:tcPr>
            <w:tcW w:w="964" w:type="dxa"/>
            <w:tcBorders>
              <w:top w:val="nil"/>
              <w:left w:val="nil"/>
              <w:bottom w:val="single" w:sz="4" w:space="0" w:color="auto"/>
              <w:right w:val="single" w:sz="4" w:space="0" w:color="auto"/>
            </w:tcBorders>
            <w:shd w:val="clear" w:color="000000" w:fill="E2EFDA"/>
            <w:noWrap/>
            <w:vAlign w:val="center"/>
            <w:hideMark/>
          </w:tcPr>
          <w:p w14:paraId="521458BE" w14:textId="77777777" w:rsidR="00F91A77" w:rsidRPr="00C72AB5" w:rsidRDefault="00F91A77" w:rsidP="0049437D">
            <w:pPr>
              <w:spacing w:line="276" w:lineRule="auto"/>
              <w:jc w:val="center"/>
              <w:rPr>
                <w:rFonts w:ascii="GHEA Grapalat" w:hAnsi="GHEA Grapalat" w:cs="Calibri"/>
                <w:color w:val="000000"/>
                <w:sz w:val="22"/>
                <w:szCs w:val="22"/>
              </w:rPr>
            </w:pPr>
            <w:r w:rsidRPr="00C72AB5">
              <w:rPr>
                <w:rFonts w:ascii="GHEA Grapalat" w:hAnsi="GHEA Grapalat" w:cs="Calibri"/>
                <w:color w:val="000000"/>
                <w:sz w:val="22"/>
                <w:szCs w:val="22"/>
              </w:rPr>
              <w:t>350.0</w:t>
            </w:r>
          </w:p>
        </w:tc>
        <w:tc>
          <w:tcPr>
            <w:tcW w:w="964" w:type="dxa"/>
            <w:tcBorders>
              <w:top w:val="nil"/>
              <w:left w:val="nil"/>
              <w:bottom w:val="single" w:sz="4" w:space="0" w:color="auto"/>
              <w:right w:val="single" w:sz="4" w:space="0" w:color="auto"/>
            </w:tcBorders>
            <w:shd w:val="clear" w:color="000000" w:fill="E2EFDA"/>
            <w:noWrap/>
            <w:vAlign w:val="center"/>
            <w:hideMark/>
          </w:tcPr>
          <w:p w14:paraId="38C123CE" w14:textId="77777777" w:rsidR="00F91A77" w:rsidRPr="00C72AB5" w:rsidRDefault="00F91A77" w:rsidP="0049437D">
            <w:pPr>
              <w:spacing w:line="276" w:lineRule="auto"/>
              <w:jc w:val="center"/>
              <w:rPr>
                <w:rFonts w:ascii="GHEA Grapalat" w:hAnsi="GHEA Grapalat" w:cs="Calibri"/>
                <w:color w:val="000000"/>
                <w:sz w:val="22"/>
                <w:szCs w:val="22"/>
              </w:rPr>
            </w:pPr>
            <w:r w:rsidRPr="00C72AB5">
              <w:rPr>
                <w:rFonts w:ascii="GHEA Grapalat" w:hAnsi="GHEA Grapalat" w:cs="Calibri"/>
                <w:color w:val="000000"/>
                <w:sz w:val="22"/>
                <w:szCs w:val="22"/>
              </w:rPr>
              <w:t>410.0</w:t>
            </w:r>
          </w:p>
        </w:tc>
        <w:tc>
          <w:tcPr>
            <w:tcW w:w="1031" w:type="dxa"/>
            <w:tcBorders>
              <w:top w:val="nil"/>
              <w:left w:val="nil"/>
              <w:bottom w:val="single" w:sz="4" w:space="0" w:color="auto"/>
              <w:right w:val="single" w:sz="4" w:space="0" w:color="auto"/>
            </w:tcBorders>
            <w:shd w:val="clear" w:color="auto" w:fill="FFF2CC" w:themeFill="accent4" w:themeFillTint="33"/>
            <w:noWrap/>
            <w:vAlign w:val="center"/>
            <w:hideMark/>
          </w:tcPr>
          <w:p w14:paraId="6487687B" w14:textId="77777777" w:rsidR="00F91A77" w:rsidRPr="00C72AB5" w:rsidRDefault="00F91A77" w:rsidP="0049437D">
            <w:pPr>
              <w:spacing w:line="276" w:lineRule="auto"/>
              <w:jc w:val="center"/>
              <w:rPr>
                <w:rFonts w:ascii="GHEA Grapalat" w:hAnsi="GHEA Grapalat" w:cs="Calibri"/>
                <w:color w:val="000000"/>
                <w:sz w:val="22"/>
                <w:szCs w:val="22"/>
              </w:rPr>
            </w:pPr>
            <w:r w:rsidRPr="00C72AB5">
              <w:rPr>
                <w:rFonts w:ascii="GHEA Grapalat" w:hAnsi="GHEA Grapalat" w:cs="Calibri"/>
                <w:color w:val="000000"/>
                <w:sz w:val="22"/>
                <w:szCs w:val="22"/>
              </w:rPr>
              <w:t>217%</w:t>
            </w:r>
          </w:p>
        </w:tc>
      </w:tr>
      <w:tr w:rsidR="00871736" w:rsidRPr="00C72AB5" w14:paraId="68876482" w14:textId="77777777" w:rsidTr="00125244">
        <w:trPr>
          <w:trHeight w:val="345"/>
          <w:jc w:val="center"/>
        </w:trPr>
        <w:tc>
          <w:tcPr>
            <w:tcW w:w="3128" w:type="dxa"/>
            <w:tcBorders>
              <w:top w:val="nil"/>
              <w:left w:val="single" w:sz="4" w:space="0" w:color="auto"/>
              <w:bottom w:val="single" w:sz="4" w:space="0" w:color="auto"/>
              <w:right w:val="single" w:sz="4" w:space="0" w:color="auto"/>
            </w:tcBorders>
            <w:shd w:val="clear" w:color="000000" w:fill="DDEBF7"/>
            <w:noWrap/>
            <w:vAlign w:val="center"/>
            <w:hideMark/>
          </w:tcPr>
          <w:p w14:paraId="1A493F34" w14:textId="77777777" w:rsidR="00F91A77" w:rsidRPr="00C72AB5" w:rsidRDefault="00F91A77" w:rsidP="0049437D">
            <w:pPr>
              <w:spacing w:line="276" w:lineRule="auto"/>
              <w:rPr>
                <w:rFonts w:ascii="GHEA Grapalat" w:hAnsi="GHEA Grapalat" w:cs="Calibri"/>
                <w:color w:val="000000"/>
                <w:sz w:val="22"/>
                <w:szCs w:val="22"/>
              </w:rPr>
            </w:pPr>
            <w:r w:rsidRPr="00C72AB5">
              <w:rPr>
                <w:rFonts w:ascii="GHEA Grapalat" w:hAnsi="GHEA Grapalat" w:cs="Calibri"/>
                <w:color w:val="000000"/>
                <w:sz w:val="22"/>
                <w:szCs w:val="22"/>
              </w:rPr>
              <w:t>Գիտական ստորաբաժանման ղեկավար</w:t>
            </w:r>
          </w:p>
        </w:tc>
        <w:tc>
          <w:tcPr>
            <w:tcW w:w="1624" w:type="dxa"/>
            <w:tcBorders>
              <w:top w:val="nil"/>
              <w:left w:val="nil"/>
              <w:bottom w:val="single" w:sz="4" w:space="0" w:color="auto"/>
              <w:right w:val="single" w:sz="4" w:space="0" w:color="auto"/>
            </w:tcBorders>
            <w:shd w:val="clear" w:color="000000" w:fill="DDEBF7"/>
            <w:noWrap/>
            <w:vAlign w:val="center"/>
            <w:hideMark/>
          </w:tcPr>
          <w:p w14:paraId="070A7E84" w14:textId="77777777" w:rsidR="00F91A77" w:rsidRPr="00C72AB5" w:rsidRDefault="00F91A77" w:rsidP="0049437D">
            <w:pPr>
              <w:spacing w:line="276" w:lineRule="auto"/>
              <w:jc w:val="center"/>
              <w:rPr>
                <w:rFonts w:ascii="GHEA Grapalat" w:hAnsi="GHEA Grapalat" w:cs="Calibri"/>
                <w:color w:val="000000"/>
                <w:sz w:val="22"/>
                <w:szCs w:val="22"/>
              </w:rPr>
            </w:pPr>
            <w:r w:rsidRPr="00C72AB5">
              <w:rPr>
                <w:rFonts w:ascii="GHEA Grapalat" w:hAnsi="GHEA Grapalat" w:cs="Calibri"/>
                <w:color w:val="000000"/>
                <w:sz w:val="22"/>
                <w:szCs w:val="22"/>
              </w:rPr>
              <w:t>141.4</w:t>
            </w:r>
          </w:p>
        </w:tc>
        <w:tc>
          <w:tcPr>
            <w:tcW w:w="964" w:type="dxa"/>
            <w:tcBorders>
              <w:top w:val="nil"/>
              <w:left w:val="nil"/>
              <w:bottom w:val="single" w:sz="4" w:space="0" w:color="auto"/>
              <w:right w:val="single" w:sz="4" w:space="0" w:color="auto"/>
            </w:tcBorders>
            <w:shd w:val="clear" w:color="000000" w:fill="E2EFDA"/>
            <w:noWrap/>
            <w:vAlign w:val="center"/>
            <w:hideMark/>
          </w:tcPr>
          <w:p w14:paraId="38A45283" w14:textId="77777777" w:rsidR="00F91A77" w:rsidRPr="00C72AB5" w:rsidRDefault="00F91A77" w:rsidP="0049437D">
            <w:pPr>
              <w:spacing w:line="276" w:lineRule="auto"/>
              <w:jc w:val="center"/>
              <w:rPr>
                <w:rFonts w:ascii="GHEA Grapalat" w:hAnsi="GHEA Grapalat" w:cs="Calibri"/>
                <w:color w:val="000000"/>
                <w:sz w:val="22"/>
                <w:szCs w:val="22"/>
              </w:rPr>
            </w:pPr>
            <w:r w:rsidRPr="00C72AB5">
              <w:rPr>
                <w:rFonts w:ascii="GHEA Grapalat" w:hAnsi="GHEA Grapalat" w:cs="Calibri"/>
                <w:color w:val="000000"/>
                <w:sz w:val="22"/>
                <w:szCs w:val="22"/>
              </w:rPr>
              <w:t>350.0</w:t>
            </w:r>
          </w:p>
        </w:tc>
        <w:tc>
          <w:tcPr>
            <w:tcW w:w="964" w:type="dxa"/>
            <w:tcBorders>
              <w:top w:val="nil"/>
              <w:left w:val="nil"/>
              <w:bottom w:val="single" w:sz="4" w:space="0" w:color="auto"/>
              <w:right w:val="single" w:sz="4" w:space="0" w:color="auto"/>
            </w:tcBorders>
            <w:shd w:val="clear" w:color="000000" w:fill="E2EFDA"/>
            <w:noWrap/>
            <w:vAlign w:val="center"/>
            <w:hideMark/>
          </w:tcPr>
          <w:p w14:paraId="40E27150" w14:textId="77777777" w:rsidR="00F91A77" w:rsidRPr="00C72AB5" w:rsidRDefault="00F91A77" w:rsidP="0049437D">
            <w:pPr>
              <w:spacing w:line="276" w:lineRule="auto"/>
              <w:jc w:val="center"/>
              <w:rPr>
                <w:rFonts w:ascii="GHEA Grapalat" w:hAnsi="GHEA Grapalat" w:cs="Calibri"/>
                <w:color w:val="000000"/>
                <w:sz w:val="22"/>
                <w:szCs w:val="22"/>
              </w:rPr>
            </w:pPr>
            <w:r w:rsidRPr="00C72AB5">
              <w:rPr>
                <w:rFonts w:ascii="GHEA Grapalat" w:hAnsi="GHEA Grapalat" w:cs="Calibri"/>
                <w:color w:val="000000"/>
                <w:sz w:val="22"/>
                <w:szCs w:val="22"/>
              </w:rPr>
              <w:t>400.0</w:t>
            </w:r>
          </w:p>
        </w:tc>
        <w:tc>
          <w:tcPr>
            <w:tcW w:w="964" w:type="dxa"/>
            <w:tcBorders>
              <w:top w:val="nil"/>
              <w:left w:val="nil"/>
              <w:bottom w:val="single" w:sz="4" w:space="0" w:color="auto"/>
              <w:right w:val="single" w:sz="4" w:space="0" w:color="auto"/>
            </w:tcBorders>
            <w:shd w:val="clear" w:color="000000" w:fill="E2EFDA"/>
            <w:noWrap/>
            <w:vAlign w:val="center"/>
            <w:hideMark/>
          </w:tcPr>
          <w:p w14:paraId="10C0CBA3" w14:textId="77777777" w:rsidR="00F91A77" w:rsidRPr="00C72AB5" w:rsidRDefault="00F91A77" w:rsidP="0049437D">
            <w:pPr>
              <w:spacing w:line="276" w:lineRule="auto"/>
              <w:jc w:val="center"/>
              <w:rPr>
                <w:rFonts w:ascii="GHEA Grapalat" w:hAnsi="GHEA Grapalat" w:cs="Calibri"/>
                <w:color w:val="000000"/>
                <w:sz w:val="22"/>
                <w:szCs w:val="22"/>
              </w:rPr>
            </w:pPr>
            <w:r w:rsidRPr="00C72AB5">
              <w:rPr>
                <w:rFonts w:ascii="GHEA Grapalat" w:hAnsi="GHEA Grapalat" w:cs="Calibri"/>
                <w:color w:val="000000"/>
                <w:sz w:val="22"/>
                <w:szCs w:val="22"/>
              </w:rPr>
              <w:t>450.0</w:t>
            </w:r>
          </w:p>
        </w:tc>
        <w:tc>
          <w:tcPr>
            <w:tcW w:w="964" w:type="dxa"/>
            <w:tcBorders>
              <w:top w:val="nil"/>
              <w:left w:val="nil"/>
              <w:bottom w:val="single" w:sz="4" w:space="0" w:color="auto"/>
              <w:right w:val="single" w:sz="4" w:space="0" w:color="auto"/>
            </w:tcBorders>
            <w:shd w:val="clear" w:color="000000" w:fill="E2EFDA"/>
            <w:noWrap/>
            <w:vAlign w:val="center"/>
            <w:hideMark/>
          </w:tcPr>
          <w:p w14:paraId="6DA7EF34" w14:textId="77777777" w:rsidR="00F91A77" w:rsidRPr="00C72AB5" w:rsidRDefault="00F91A77" w:rsidP="0049437D">
            <w:pPr>
              <w:spacing w:line="276" w:lineRule="auto"/>
              <w:jc w:val="center"/>
              <w:rPr>
                <w:rFonts w:ascii="GHEA Grapalat" w:hAnsi="GHEA Grapalat" w:cs="Calibri"/>
                <w:color w:val="000000"/>
                <w:sz w:val="22"/>
                <w:szCs w:val="22"/>
              </w:rPr>
            </w:pPr>
            <w:r w:rsidRPr="00C72AB5">
              <w:rPr>
                <w:rFonts w:ascii="GHEA Grapalat" w:hAnsi="GHEA Grapalat" w:cs="Calibri"/>
                <w:color w:val="000000"/>
                <w:sz w:val="22"/>
                <w:szCs w:val="22"/>
              </w:rPr>
              <w:t>477.2</w:t>
            </w:r>
          </w:p>
        </w:tc>
        <w:tc>
          <w:tcPr>
            <w:tcW w:w="1031" w:type="dxa"/>
            <w:tcBorders>
              <w:top w:val="nil"/>
              <w:left w:val="nil"/>
              <w:bottom w:val="single" w:sz="4" w:space="0" w:color="auto"/>
              <w:right w:val="single" w:sz="4" w:space="0" w:color="auto"/>
            </w:tcBorders>
            <w:shd w:val="clear" w:color="auto" w:fill="FFF2CC" w:themeFill="accent4" w:themeFillTint="33"/>
            <w:noWrap/>
            <w:vAlign w:val="center"/>
            <w:hideMark/>
          </w:tcPr>
          <w:p w14:paraId="5E907FE5" w14:textId="77777777" w:rsidR="00F91A77" w:rsidRPr="00C72AB5" w:rsidRDefault="00F91A77" w:rsidP="0049437D">
            <w:pPr>
              <w:spacing w:line="276" w:lineRule="auto"/>
              <w:jc w:val="center"/>
              <w:rPr>
                <w:rFonts w:ascii="GHEA Grapalat" w:hAnsi="GHEA Grapalat" w:cs="Calibri"/>
                <w:color w:val="000000"/>
                <w:sz w:val="22"/>
                <w:szCs w:val="22"/>
              </w:rPr>
            </w:pPr>
            <w:r w:rsidRPr="00C72AB5">
              <w:rPr>
                <w:rFonts w:ascii="GHEA Grapalat" w:hAnsi="GHEA Grapalat" w:cs="Calibri"/>
                <w:color w:val="000000"/>
                <w:sz w:val="22"/>
                <w:szCs w:val="22"/>
              </w:rPr>
              <w:t>238%</w:t>
            </w:r>
          </w:p>
        </w:tc>
      </w:tr>
    </w:tbl>
    <w:p w14:paraId="008C1E5F" w14:textId="727652D0" w:rsidR="00F91A77" w:rsidRPr="00C72AB5" w:rsidRDefault="00A932B5" w:rsidP="00181F43">
      <w:pPr>
        <w:tabs>
          <w:tab w:val="left" w:pos="709"/>
          <w:tab w:val="left" w:pos="1276"/>
        </w:tabs>
        <w:ind w:left="567" w:hanging="567"/>
        <w:jc w:val="both"/>
        <w:rPr>
          <w:rFonts w:ascii="GHEA Grapalat" w:hAnsi="GHEA Grapalat"/>
        </w:rPr>
      </w:pPr>
      <w:r w:rsidRPr="00C72AB5">
        <w:rPr>
          <w:rFonts w:ascii="GHEA Grapalat" w:hAnsi="GHEA Grapalat"/>
          <w:b/>
          <w:bCs/>
        </w:rPr>
        <w:t xml:space="preserve">Աղյուսակ </w:t>
      </w:r>
      <w:r w:rsidR="001066B5" w:rsidRPr="00C72AB5">
        <w:rPr>
          <w:rFonts w:ascii="GHEA Grapalat" w:hAnsi="GHEA Grapalat"/>
          <w:b/>
          <w:bCs/>
        </w:rPr>
        <w:t>1</w:t>
      </w:r>
      <w:r w:rsidRPr="00C72AB5">
        <w:rPr>
          <w:rFonts w:ascii="GHEA Grapalat" w:hAnsi="GHEA Grapalat"/>
        </w:rPr>
        <w:t>: Գիտական կադրերի նվազագույն պաշտոնային դրույքաչափերը:</w:t>
      </w:r>
    </w:p>
    <w:p w14:paraId="18CA6AAC" w14:textId="77777777" w:rsidR="00A932B5" w:rsidRPr="00C72AB5" w:rsidRDefault="00A932B5" w:rsidP="0049437D">
      <w:pPr>
        <w:tabs>
          <w:tab w:val="left" w:pos="851"/>
        </w:tabs>
        <w:spacing w:line="276" w:lineRule="auto"/>
        <w:jc w:val="both"/>
        <w:rPr>
          <w:rFonts w:ascii="GHEA Grapalat" w:hAnsi="GHEA Grapalat"/>
          <w:sz w:val="24"/>
          <w:szCs w:val="24"/>
        </w:rPr>
      </w:pPr>
    </w:p>
    <w:p w14:paraId="577C9C6F" w14:textId="7B96C147" w:rsidR="00A932B5" w:rsidRDefault="00A932B5" w:rsidP="0068358C">
      <w:pPr>
        <w:tabs>
          <w:tab w:val="left" w:pos="709"/>
          <w:tab w:val="left" w:pos="851"/>
        </w:tabs>
        <w:spacing w:line="276" w:lineRule="auto"/>
        <w:jc w:val="both"/>
        <w:rPr>
          <w:rFonts w:ascii="GHEA Grapalat" w:hAnsi="GHEA Grapalat"/>
          <w:sz w:val="24"/>
          <w:szCs w:val="24"/>
        </w:rPr>
      </w:pPr>
      <w:r w:rsidRPr="00C72AB5">
        <w:rPr>
          <w:rFonts w:ascii="GHEA Grapalat" w:hAnsi="GHEA Grapalat"/>
          <w:sz w:val="24"/>
          <w:szCs w:val="24"/>
        </w:rPr>
        <w:t xml:space="preserve">Արդյունքում յուրաքանչյուր տարակարգում ատեստավորված գիտական աշխատողի համար աշխատաժամանակի նորմալ ծանրաբեռնվածության պայմաններում երաշխավորվում է իր տարակարգին համապատասխան նվազագույն վարձատրությունը: </w:t>
      </w:r>
      <w:r w:rsidR="00BC4F53" w:rsidRPr="00C72AB5">
        <w:rPr>
          <w:rFonts w:ascii="GHEA Grapalat" w:hAnsi="GHEA Grapalat"/>
          <w:sz w:val="24"/>
          <w:szCs w:val="24"/>
        </w:rPr>
        <w:t xml:space="preserve">Գիտական պաշտոնների յուրաքանչյուր տարակարգին ներկայացվող արդյունավետության </w:t>
      </w:r>
      <w:r w:rsidR="0052506F" w:rsidRPr="00C72AB5">
        <w:rPr>
          <w:rFonts w:ascii="GHEA Grapalat" w:hAnsi="GHEA Grapalat"/>
          <w:sz w:val="24"/>
          <w:szCs w:val="24"/>
        </w:rPr>
        <w:t xml:space="preserve">չափանիշները և պաշտոնեական պարտավորությունները հստակեցնելու նպատակով 2023 թվականին </w:t>
      </w:r>
      <w:r w:rsidR="00BF7988" w:rsidRPr="00FC4265">
        <w:rPr>
          <w:rFonts w:ascii="GHEA Grapalat" w:hAnsi="GHEA Grapalat" w:cs="Sylfaen"/>
          <w:sz w:val="24"/>
          <w:szCs w:val="24"/>
        </w:rPr>
        <w:t xml:space="preserve">Հայաստանի Հանրապետության </w:t>
      </w:r>
      <w:r w:rsidR="0052506F" w:rsidRPr="00FC4265">
        <w:rPr>
          <w:rFonts w:ascii="GHEA Grapalat" w:hAnsi="GHEA Grapalat"/>
          <w:sz w:val="24"/>
          <w:szCs w:val="24"/>
        </w:rPr>
        <w:t>կառավարության</w:t>
      </w:r>
      <w:r w:rsidR="002972D7">
        <w:rPr>
          <w:rFonts w:ascii="GHEA Grapalat" w:hAnsi="GHEA Grapalat"/>
          <w:sz w:val="24"/>
          <w:szCs w:val="24"/>
        </w:rPr>
        <w:t xml:space="preserve"> 2023 թվականի դեկտեմբերի 23-ի</w:t>
      </w:r>
      <w:r w:rsidR="0052506F" w:rsidRPr="00FC4265">
        <w:rPr>
          <w:rFonts w:ascii="GHEA Grapalat" w:hAnsi="GHEA Grapalat"/>
          <w:sz w:val="24"/>
          <w:szCs w:val="24"/>
        </w:rPr>
        <w:t xml:space="preserve"> N 2298-Ն որոշմամբ հաստատվեց «</w:t>
      </w:r>
      <w:r w:rsidR="006F47EE" w:rsidRPr="00FC4265">
        <w:rPr>
          <w:rFonts w:ascii="GHEA Grapalat" w:hAnsi="GHEA Grapalat"/>
          <w:sz w:val="24"/>
          <w:szCs w:val="24"/>
        </w:rPr>
        <w:t>Գ</w:t>
      </w:r>
      <w:r w:rsidR="0052506F" w:rsidRPr="00FC4265">
        <w:rPr>
          <w:rFonts w:ascii="GHEA Grapalat" w:hAnsi="GHEA Grapalat"/>
          <w:sz w:val="24"/>
          <w:szCs w:val="24"/>
        </w:rPr>
        <w:t xml:space="preserve">իտական կադրերի ատեստավորման կարգը, գիտական պետական կազմակերպություններում գիտական </w:t>
      </w:r>
      <w:r w:rsidR="006F47EE" w:rsidRPr="00FC4265">
        <w:rPr>
          <w:rFonts w:ascii="GHEA Grapalat" w:hAnsi="GHEA Grapalat"/>
          <w:sz w:val="24"/>
          <w:szCs w:val="24"/>
        </w:rPr>
        <w:t>և</w:t>
      </w:r>
      <w:r w:rsidR="0052506F" w:rsidRPr="00FC4265">
        <w:rPr>
          <w:rFonts w:ascii="GHEA Grapalat" w:hAnsi="GHEA Grapalat"/>
          <w:sz w:val="24"/>
          <w:szCs w:val="24"/>
        </w:rPr>
        <w:t xml:space="preserve"> ճարտարագիտատեխնիկական պաշտոնները և դրանց </w:t>
      </w:r>
      <w:r w:rsidR="002972D7">
        <w:rPr>
          <w:rFonts w:ascii="GHEA Grapalat" w:hAnsi="GHEA Grapalat"/>
          <w:sz w:val="24"/>
          <w:szCs w:val="24"/>
        </w:rPr>
        <w:t>գնահատման նվազագույն չափանիշները»։ Վերջինովս</w:t>
      </w:r>
      <w:r w:rsidR="0052506F" w:rsidRPr="00C72AB5">
        <w:rPr>
          <w:rFonts w:ascii="GHEA Grapalat" w:hAnsi="GHEA Grapalat"/>
          <w:sz w:val="24"/>
          <w:szCs w:val="24"/>
        </w:rPr>
        <w:t xml:space="preserve"> նշված պաշտոնների համար սահմանվում են 5 տարվա կտրվածքով կատարողականի գնահատման նվազագույն քանակական և որակական չափանիշները</w:t>
      </w:r>
      <w:r w:rsidR="00014CC2" w:rsidRPr="00C72AB5">
        <w:rPr>
          <w:rFonts w:ascii="GHEA Grapalat" w:hAnsi="GHEA Grapalat"/>
          <w:sz w:val="24"/>
          <w:szCs w:val="24"/>
        </w:rPr>
        <w:t>, որոնց հիման վրա իրականացվում է նշված պաշտոններում աշխատանքի ընդունումն ու առաջխաղացումը</w:t>
      </w:r>
      <w:r w:rsidR="002972D7">
        <w:rPr>
          <w:rFonts w:ascii="GHEA Grapalat" w:hAnsi="GHEA Grapalat"/>
          <w:sz w:val="24"/>
          <w:szCs w:val="24"/>
        </w:rPr>
        <w:t>,</w:t>
      </w:r>
      <w:r w:rsidR="00014CC2" w:rsidRPr="00C72AB5">
        <w:rPr>
          <w:rFonts w:ascii="GHEA Grapalat" w:hAnsi="GHEA Grapalat"/>
          <w:sz w:val="24"/>
          <w:szCs w:val="24"/>
        </w:rPr>
        <w:t xml:space="preserve"> </w:t>
      </w:r>
      <w:r w:rsidR="002972D7">
        <w:rPr>
          <w:rFonts w:ascii="GHEA Grapalat" w:hAnsi="GHEA Grapalat"/>
          <w:sz w:val="24"/>
          <w:szCs w:val="24"/>
        </w:rPr>
        <w:t>ինչպես նա</w:t>
      </w:r>
      <w:r w:rsidR="00014CC2" w:rsidRPr="00C72AB5">
        <w:rPr>
          <w:rFonts w:ascii="GHEA Grapalat" w:hAnsi="GHEA Grapalat"/>
          <w:sz w:val="24"/>
          <w:szCs w:val="24"/>
        </w:rPr>
        <w:t>և իրականացվելու է 2026 թվականի համապետական ատեստավորումը:</w:t>
      </w:r>
    </w:p>
    <w:p w14:paraId="208FC0E1" w14:textId="675F4CA0" w:rsidR="00BD6616" w:rsidRPr="00FC4265" w:rsidRDefault="004956AA" w:rsidP="00BD6616">
      <w:pPr>
        <w:pStyle w:val="Heading2"/>
      </w:pPr>
      <w:bookmarkStart w:id="4" w:name="_Toc215422085"/>
      <w:r w:rsidRPr="00FC4265">
        <w:lastRenderedPageBreak/>
        <w:t xml:space="preserve">2.2 </w:t>
      </w:r>
      <w:r w:rsidR="00BD6616" w:rsidRPr="00FC4265">
        <w:t>ԿԱԴՐԱՅԻՆ ԿԱԶՄԸ</w:t>
      </w:r>
      <w:bookmarkEnd w:id="4"/>
    </w:p>
    <w:p w14:paraId="72775027" w14:textId="77777777" w:rsidR="00BD6616" w:rsidRPr="00C72AB5" w:rsidRDefault="00BD6616" w:rsidP="0073444C"/>
    <w:p w14:paraId="67B4E969" w14:textId="08CC8160" w:rsidR="00196C6D" w:rsidRPr="00C72AB5" w:rsidRDefault="0012372F" w:rsidP="0049437D">
      <w:pPr>
        <w:tabs>
          <w:tab w:val="left" w:pos="709"/>
          <w:tab w:val="left" w:pos="851"/>
        </w:tabs>
        <w:spacing w:line="276" w:lineRule="auto"/>
        <w:ind w:firstLine="567"/>
        <w:jc w:val="both"/>
        <w:rPr>
          <w:rFonts w:ascii="GHEA Grapalat" w:hAnsi="GHEA Grapalat"/>
          <w:sz w:val="24"/>
          <w:szCs w:val="24"/>
        </w:rPr>
      </w:pPr>
      <w:r w:rsidRPr="00C72AB5">
        <w:rPr>
          <w:rFonts w:ascii="GHEA Grapalat" w:hAnsi="GHEA Grapalat"/>
          <w:sz w:val="24"/>
          <w:szCs w:val="24"/>
        </w:rPr>
        <w:t>1</w:t>
      </w:r>
      <w:r w:rsidR="0068358C" w:rsidRPr="00C72AB5">
        <w:rPr>
          <w:rFonts w:ascii="GHEA Grapalat" w:hAnsi="GHEA Grapalat"/>
          <w:sz w:val="24"/>
          <w:szCs w:val="24"/>
        </w:rPr>
        <w:t>1</w:t>
      </w:r>
      <w:r w:rsidRPr="00C72AB5">
        <w:rPr>
          <w:rFonts w:ascii="GHEA Grapalat" w:hAnsi="GHEA Grapalat"/>
          <w:sz w:val="24"/>
          <w:szCs w:val="24"/>
        </w:rPr>
        <w:t>. 202</w:t>
      </w:r>
      <w:r w:rsidR="00067868" w:rsidRPr="00C72AB5">
        <w:rPr>
          <w:rFonts w:ascii="GHEA Grapalat" w:hAnsi="GHEA Grapalat"/>
          <w:sz w:val="24"/>
          <w:szCs w:val="24"/>
        </w:rPr>
        <w:t>5</w:t>
      </w:r>
      <w:r w:rsidRPr="00C72AB5">
        <w:rPr>
          <w:rFonts w:ascii="GHEA Grapalat" w:hAnsi="GHEA Grapalat"/>
          <w:sz w:val="24"/>
          <w:szCs w:val="24"/>
        </w:rPr>
        <w:t xml:space="preserve"> թվականի դրությամբ պ</w:t>
      </w:r>
      <w:r w:rsidR="00196C6D" w:rsidRPr="00C72AB5">
        <w:rPr>
          <w:rFonts w:ascii="GHEA Grapalat" w:hAnsi="GHEA Grapalat"/>
          <w:sz w:val="24"/>
          <w:szCs w:val="24"/>
        </w:rPr>
        <w:t xml:space="preserve">ետական բյուջեից բազային ֆինանսավորում ստանում են </w:t>
      </w:r>
      <w:r w:rsidR="009264C6" w:rsidRPr="00C72AB5">
        <w:rPr>
          <w:rFonts w:ascii="GHEA Grapalat" w:hAnsi="GHEA Grapalat"/>
          <w:sz w:val="24"/>
          <w:szCs w:val="24"/>
        </w:rPr>
        <w:t>5</w:t>
      </w:r>
      <w:r w:rsidR="00A45F5A" w:rsidRPr="00C72AB5">
        <w:rPr>
          <w:rFonts w:ascii="GHEA Grapalat" w:hAnsi="GHEA Grapalat"/>
          <w:sz w:val="24"/>
          <w:szCs w:val="24"/>
        </w:rPr>
        <w:t>4</w:t>
      </w:r>
      <w:r w:rsidR="00196C6D" w:rsidRPr="00C72AB5">
        <w:rPr>
          <w:rFonts w:ascii="GHEA Grapalat" w:hAnsi="GHEA Grapalat"/>
          <w:sz w:val="24"/>
          <w:szCs w:val="24"/>
        </w:rPr>
        <w:t xml:space="preserve"> գիտահետազոտական կազմակերպություններ, բարձրագույն ուսումնական հաստատություններ (այսուհետ` բուհ) և բուհերի կազմում ընդգրկված </w:t>
      </w:r>
      <w:r w:rsidR="009264C6" w:rsidRPr="00C72AB5">
        <w:rPr>
          <w:rFonts w:ascii="GHEA Grapalat" w:hAnsi="GHEA Grapalat"/>
          <w:sz w:val="24"/>
          <w:szCs w:val="24"/>
        </w:rPr>
        <w:t>գիտահետազոտական ինստիտուտներ</w:t>
      </w:r>
      <w:r w:rsidR="00196C6D" w:rsidRPr="00C72AB5">
        <w:rPr>
          <w:rFonts w:ascii="GHEA Grapalat" w:hAnsi="GHEA Grapalat"/>
          <w:sz w:val="24"/>
          <w:szCs w:val="24"/>
        </w:rPr>
        <w:t xml:space="preserve">, հիվանդանոցներ և առանձին գերատեսչություններին պատկանող կազմակերպություններ: Դրանցից </w:t>
      </w:r>
      <w:r w:rsidR="001820AF" w:rsidRPr="00C72AB5">
        <w:rPr>
          <w:rFonts w:ascii="GHEA Grapalat" w:hAnsi="GHEA Grapalat"/>
          <w:sz w:val="24"/>
          <w:szCs w:val="24"/>
        </w:rPr>
        <w:t>3</w:t>
      </w:r>
      <w:r w:rsidR="00A45F5A" w:rsidRPr="00C72AB5">
        <w:rPr>
          <w:rFonts w:ascii="GHEA Grapalat" w:hAnsi="GHEA Grapalat"/>
          <w:sz w:val="24"/>
          <w:szCs w:val="24"/>
        </w:rPr>
        <w:t>2</w:t>
      </w:r>
      <w:r w:rsidR="00196C6D" w:rsidRPr="00C72AB5">
        <w:rPr>
          <w:rFonts w:ascii="GHEA Grapalat" w:hAnsi="GHEA Grapalat"/>
          <w:sz w:val="24"/>
          <w:szCs w:val="24"/>
        </w:rPr>
        <w:t>-ը հանդիսանում են Հայաստանի Հանրապետության գիտությունների ազգային ակադեմիայի (այսուհետ` ՀՀ ԳԱԱ), 1</w:t>
      </w:r>
      <w:r w:rsidR="001820AF" w:rsidRPr="00C72AB5">
        <w:rPr>
          <w:rFonts w:ascii="GHEA Grapalat" w:hAnsi="GHEA Grapalat"/>
          <w:sz w:val="24"/>
          <w:szCs w:val="24"/>
        </w:rPr>
        <w:t>6</w:t>
      </w:r>
      <w:r w:rsidR="00196C6D" w:rsidRPr="00C72AB5">
        <w:rPr>
          <w:rFonts w:ascii="GHEA Grapalat" w:hAnsi="GHEA Grapalat"/>
          <w:sz w:val="24"/>
          <w:szCs w:val="24"/>
        </w:rPr>
        <w:t>-ը` Հայաստանի Հանրապետության կրթության, գիտության, մշակույթի և սպորտի</w:t>
      </w:r>
      <w:r w:rsidR="006F47EE">
        <w:rPr>
          <w:rFonts w:ascii="GHEA Grapalat" w:hAnsi="GHEA Grapalat"/>
          <w:sz w:val="24"/>
          <w:szCs w:val="24"/>
        </w:rPr>
        <w:t xml:space="preserve"> </w:t>
      </w:r>
      <w:r w:rsidR="006F47EE" w:rsidRPr="00FC4265">
        <w:rPr>
          <w:rFonts w:ascii="GHEA Grapalat" w:hAnsi="GHEA Grapalat"/>
          <w:sz w:val="24"/>
          <w:szCs w:val="24"/>
        </w:rPr>
        <w:t>նախարարության</w:t>
      </w:r>
      <w:r w:rsidR="0070770A" w:rsidRPr="00C72AB5">
        <w:rPr>
          <w:rFonts w:ascii="GHEA Grapalat" w:hAnsi="GHEA Grapalat"/>
          <w:sz w:val="24"/>
          <w:szCs w:val="24"/>
        </w:rPr>
        <w:t xml:space="preserve"> (այդ թվում</w:t>
      </w:r>
      <w:r w:rsidR="002972D7">
        <w:rPr>
          <w:rFonts w:ascii="GHEA Grapalat" w:hAnsi="GHEA Grapalat"/>
          <w:sz w:val="24"/>
          <w:szCs w:val="24"/>
        </w:rPr>
        <w:t>՝</w:t>
      </w:r>
      <w:r w:rsidR="0070770A" w:rsidRPr="00C72AB5">
        <w:rPr>
          <w:rFonts w:ascii="GHEA Grapalat" w:hAnsi="GHEA Grapalat"/>
          <w:sz w:val="24"/>
          <w:szCs w:val="24"/>
        </w:rPr>
        <w:t xml:space="preserve"> 8 բուհ</w:t>
      </w:r>
      <w:r w:rsidR="001820AF" w:rsidRPr="00C72AB5">
        <w:rPr>
          <w:rFonts w:ascii="GHEA Grapalat" w:hAnsi="GHEA Grapalat"/>
          <w:sz w:val="24"/>
          <w:szCs w:val="24"/>
        </w:rPr>
        <w:t xml:space="preserve"> </w:t>
      </w:r>
      <w:r w:rsidR="00A45F5A" w:rsidRPr="00C72AB5">
        <w:rPr>
          <w:rFonts w:ascii="GHEA Grapalat" w:hAnsi="GHEA Grapalat"/>
          <w:sz w:val="24"/>
          <w:szCs w:val="24"/>
        </w:rPr>
        <w:t xml:space="preserve">և </w:t>
      </w:r>
      <w:r w:rsidR="001820AF" w:rsidRPr="00C72AB5">
        <w:rPr>
          <w:rFonts w:ascii="GHEA Grapalat" w:hAnsi="GHEA Grapalat"/>
          <w:sz w:val="24"/>
          <w:szCs w:val="24"/>
        </w:rPr>
        <w:t>3 բուհական գիտա</w:t>
      </w:r>
      <w:r w:rsidR="00A45F5A" w:rsidRPr="00C72AB5">
        <w:rPr>
          <w:rFonts w:ascii="GHEA Grapalat" w:hAnsi="GHEA Grapalat"/>
          <w:sz w:val="24"/>
          <w:szCs w:val="24"/>
        </w:rPr>
        <w:t>հետազոտա</w:t>
      </w:r>
      <w:r w:rsidR="001820AF" w:rsidRPr="00C72AB5">
        <w:rPr>
          <w:rFonts w:ascii="GHEA Grapalat" w:hAnsi="GHEA Grapalat"/>
          <w:sz w:val="24"/>
          <w:szCs w:val="24"/>
        </w:rPr>
        <w:t>կան ինստիտուտ</w:t>
      </w:r>
      <w:r w:rsidR="0070770A" w:rsidRPr="00C72AB5">
        <w:rPr>
          <w:rFonts w:ascii="GHEA Grapalat" w:hAnsi="GHEA Grapalat"/>
          <w:sz w:val="24"/>
          <w:szCs w:val="24"/>
        </w:rPr>
        <w:t>, 2 թանգարան-ինստիտուտ, 3 գիտական կազմակերպություն)</w:t>
      </w:r>
      <w:r w:rsidR="00196C6D" w:rsidRPr="00C72AB5">
        <w:rPr>
          <w:rFonts w:ascii="GHEA Grapalat" w:hAnsi="GHEA Grapalat"/>
          <w:sz w:val="24"/>
          <w:szCs w:val="24"/>
        </w:rPr>
        <w:t xml:space="preserve">, </w:t>
      </w:r>
      <w:r w:rsidR="009264C6" w:rsidRPr="00C72AB5">
        <w:rPr>
          <w:rFonts w:ascii="GHEA Grapalat" w:hAnsi="GHEA Grapalat"/>
          <w:sz w:val="24"/>
          <w:szCs w:val="24"/>
        </w:rPr>
        <w:t>2</w:t>
      </w:r>
      <w:r w:rsidR="00196C6D" w:rsidRPr="00C72AB5">
        <w:rPr>
          <w:rFonts w:ascii="GHEA Grapalat" w:hAnsi="GHEA Grapalat"/>
          <w:sz w:val="24"/>
          <w:szCs w:val="24"/>
        </w:rPr>
        <w:t xml:space="preserve">-ը` </w:t>
      </w:r>
      <w:r w:rsidR="006F47EE" w:rsidRPr="00FC4265">
        <w:rPr>
          <w:rFonts w:ascii="GHEA Grapalat" w:hAnsi="GHEA Grapalat" w:cs="Sylfaen"/>
          <w:sz w:val="24"/>
          <w:szCs w:val="24"/>
        </w:rPr>
        <w:t>Հայաստանի Հանրապետության</w:t>
      </w:r>
      <w:r w:rsidR="006F47EE" w:rsidRPr="00FC4265">
        <w:rPr>
          <w:rFonts w:ascii="GHEA Grapalat" w:hAnsi="GHEA Grapalat"/>
          <w:sz w:val="24"/>
          <w:szCs w:val="24"/>
        </w:rPr>
        <w:t xml:space="preserve"> </w:t>
      </w:r>
      <w:r w:rsidR="00196C6D" w:rsidRPr="00FC4265">
        <w:rPr>
          <w:rFonts w:ascii="GHEA Grapalat" w:hAnsi="GHEA Grapalat"/>
          <w:sz w:val="24"/>
          <w:szCs w:val="24"/>
        </w:rPr>
        <w:t>առողջապահության</w:t>
      </w:r>
      <w:r w:rsidR="002972D7">
        <w:rPr>
          <w:rFonts w:ascii="GHEA Grapalat" w:hAnsi="GHEA Grapalat"/>
          <w:sz w:val="24"/>
          <w:szCs w:val="24"/>
        </w:rPr>
        <w:t xml:space="preserve"> նախարարության</w:t>
      </w:r>
      <w:r w:rsidR="00196C6D" w:rsidRPr="00FC4265">
        <w:rPr>
          <w:rFonts w:ascii="GHEA Grapalat" w:hAnsi="GHEA Grapalat"/>
          <w:sz w:val="24"/>
          <w:szCs w:val="24"/>
        </w:rPr>
        <w:t xml:space="preserve">, 3-ը` </w:t>
      </w:r>
      <w:r w:rsidR="006F47EE" w:rsidRPr="00FC4265">
        <w:rPr>
          <w:rFonts w:ascii="GHEA Grapalat" w:hAnsi="GHEA Grapalat" w:cs="Sylfaen"/>
          <w:sz w:val="24"/>
          <w:szCs w:val="24"/>
        </w:rPr>
        <w:t>Հայաստանի Հանրապետության</w:t>
      </w:r>
      <w:r w:rsidR="006F47EE" w:rsidRPr="00FC4265">
        <w:rPr>
          <w:rFonts w:ascii="GHEA Grapalat" w:hAnsi="GHEA Grapalat"/>
          <w:sz w:val="24"/>
          <w:szCs w:val="24"/>
        </w:rPr>
        <w:t xml:space="preserve"> </w:t>
      </w:r>
      <w:r w:rsidR="00EC1BE7">
        <w:rPr>
          <w:rFonts w:ascii="GHEA Grapalat" w:hAnsi="GHEA Grapalat"/>
          <w:sz w:val="24"/>
          <w:szCs w:val="24"/>
        </w:rPr>
        <w:t>էկոնոմիկայի նախարարության</w:t>
      </w:r>
      <w:r w:rsidR="00196C6D" w:rsidRPr="00FC4265">
        <w:rPr>
          <w:rFonts w:ascii="GHEA Grapalat" w:hAnsi="GHEA Grapalat"/>
          <w:sz w:val="24"/>
          <w:szCs w:val="24"/>
        </w:rPr>
        <w:t xml:space="preserve"> </w:t>
      </w:r>
      <w:r w:rsidR="00196C6D" w:rsidRPr="00C72AB5">
        <w:rPr>
          <w:rFonts w:ascii="GHEA Grapalat" w:hAnsi="GHEA Grapalat"/>
          <w:sz w:val="24"/>
          <w:szCs w:val="24"/>
        </w:rPr>
        <w:t xml:space="preserve">և </w:t>
      </w:r>
      <w:r w:rsidR="001820AF" w:rsidRPr="00C72AB5">
        <w:rPr>
          <w:rFonts w:ascii="GHEA Grapalat" w:hAnsi="GHEA Grapalat"/>
          <w:sz w:val="24"/>
          <w:szCs w:val="24"/>
        </w:rPr>
        <w:t>1</w:t>
      </w:r>
      <w:r w:rsidR="00196C6D" w:rsidRPr="00C72AB5">
        <w:rPr>
          <w:rFonts w:ascii="GHEA Grapalat" w:hAnsi="GHEA Grapalat"/>
          <w:sz w:val="24"/>
          <w:szCs w:val="24"/>
        </w:rPr>
        <w:t>-ը` Երևանի քաղաքապետարանի ենթակայության կազմակերպություններ:</w:t>
      </w:r>
      <w:r w:rsidR="00437373" w:rsidRPr="00C72AB5">
        <w:rPr>
          <w:rFonts w:ascii="GHEA Grapalat" w:hAnsi="GHEA Grapalat"/>
          <w:sz w:val="24"/>
          <w:szCs w:val="24"/>
        </w:rPr>
        <w:t xml:space="preserve"> </w:t>
      </w:r>
      <w:r w:rsidR="009264C6" w:rsidRPr="00C72AB5">
        <w:rPr>
          <w:rFonts w:ascii="GHEA Grapalat" w:hAnsi="GHEA Grapalat"/>
          <w:sz w:val="24"/>
          <w:szCs w:val="24"/>
        </w:rPr>
        <w:t>5</w:t>
      </w:r>
      <w:r w:rsidR="00A45F5A" w:rsidRPr="00C72AB5">
        <w:rPr>
          <w:rFonts w:ascii="GHEA Grapalat" w:hAnsi="GHEA Grapalat"/>
          <w:sz w:val="24"/>
          <w:szCs w:val="24"/>
        </w:rPr>
        <w:t>4</w:t>
      </w:r>
      <w:r w:rsidR="00437373" w:rsidRPr="00C72AB5">
        <w:rPr>
          <w:rFonts w:ascii="GHEA Grapalat" w:hAnsi="GHEA Grapalat"/>
          <w:sz w:val="24"/>
          <w:szCs w:val="24"/>
        </w:rPr>
        <w:t xml:space="preserve"> կազմակերպություններից 4</w:t>
      </w:r>
      <w:r w:rsidR="00A45F5A" w:rsidRPr="00C72AB5">
        <w:rPr>
          <w:rFonts w:ascii="GHEA Grapalat" w:hAnsi="GHEA Grapalat"/>
          <w:sz w:val="24"/>
          <w:szCs w:val="24"/>
        </w:rPr>
        <w:t>2</w:t>
      </w:r>
      <w:r w:rsidR="00437373" w:rsidRPr="00C72AB5">
        <w:rPr>
          <w:rFonts w:ascii="GHEA Grapalat" w:hAnsi="GHEA Grapalat"/>
          <w:sz w:val="24"/>
          <w:szCs w:val="24"/>
        </w:rPr>
        <w:t>-ի գործունեության պետական ֆինանսավորումն ամբողջությամբ</w:t>
      </w:r>
      <w:r w:rsidR="00D827DC" w:rsidRPr="00C72AB5">
        <w:rPr>
          <w:rFonts w:ascii="GHEA Grapalat" w:hAnsi="GHEA Grapalat"/>
          <w:sz w:val="24"/>
          <w:szCs w:val="24"/>
        </w:rPr>
        <w:t xml:space="preserve"> իրականացվում է բազային ֆինասավորման շրջանակներում, որոնցից միայն </w:t>
      </w:r>
      <w:r w:rsidR="00D3267B" w:rsidRPr="00C72AB5">
        <w:rPr>
          <w:rFonts w:ascii="GHEA Grapalat" w:hAnsi="GHEA Grapalat"/>
          <w:sz w:val="24"/>
          <w:szCs w:val="24"/>
        </w:rPr>
        <w:t>13</w:t>
      </w:r>
      <w:r w:rsidR="00276338" w:rsidRPr="00C72AB5">
        <w:rPr>
          <w:rFonts w:ascii="GHEA Grapalat" w:hAnsi="GHEA Grapalat"/>
          <w:sz w:val="24"/>
          <w:szCs w:val="24"/>
        </w:rPr>
        <w:t>-ում է գիտական աշխատողների թվաքանակը մեծ 100-ից</w:t>
      </w:r>
      <w:r w:rsidR="00D827DC" w:rsidRPr="00C72AB5">
        <w:rPr>
          <w:rFonts w:ascii="GHEA Grapalat" w:hAnsi="GHEA Grapalat"/>
          <w:sz w:val="24"/>
          <w:szCs w:val="24"/>
        </w:rPr>
        <w:t xml:space="preserve">: </w:t>
      </w:r>
    </w:p>
    <w:p w14:paraId="76EC5D7E" w14:textId="7B63774C" w:rsidR="006949B2" w:rsidRPr="00C72AB5" w:rsidRDefault="007C1843" w:rsidP="0049437D">
      <w:pPr>
        <w:tabs>
          <w:tab w:val="left" w:pos="709"/>
          <w:tab w:val="left" w:pos="851"/>
        </w:tabs>
        <w:spacing w:line="276" w:lineRule="auto"/>
        <w:ind w:firstLine="567"/>
        <w:jc w:val="both"/>
        <w:rPr>
          <w:rFonts w:ascii="GHEA Grapalat" w:hAnsi="GHEA Grapalat"/>
          <w:sz w:val="24"/>
          <w:szCs w:val="24"/>
        </w:rPr>
      </w:pPr>
      <w:r w:rsidRPr="00C72AB5">
        <w:rPr>
          <w:rFonts w:ascii="GHEA Grapalat" w:hAnsi="GHEA Grapalat"/>
          <w:sz w:val="24"/>
          <w:szCs w:val="24"/>
        </w:rPr>
        <w:t>1</w:t>
      </w:r>
      <w:r w:rsidR="0068358C" w:rsidRPr="00C72AB5">
        <w:rPr>
          <w:rFonts w:ascii="GHEA Grapalat" w:hAnsi="GHEA Grapalat"/>
          <w:sz w:val="24"/>
          <w:szCs w:val="24"/>
        </w:rPr>
        <w:t>2</w:t>
      </w:r>
      <w:r w:rsidRPr="00C72AB5">
        <w:rPr>
          <w:rFonts w:ascii="GHEA Grapalat" w:hAnsi="GHEA Grapalat"/>
          <w:sz w:val="24"/>
          <w:szCs w:val="24"/>
        </w:rPr>
        <w:t xml:space="preserve">. </w:t>
      </w:r>
      <w:r w:rsidR="008A6131" w:rsidRPr="00C72AB5">
        <w:rPr>
          <w:rFonts w:ascii="GHEA Grapalat" w:hAnsi="GHEA Grapalat"/>
          <w:sz w:val="24"/>
          <w:szCs w:val="24"/>
        </w:rPr>
        <w:t>Գիտ</w:t>
      </w:r>
      <w:r w:rsidR="00C002B8" w:rsidRPr="00C72AB5">
        <w:rPr>
          <w:rFonts w:ascii="GHEA Grapalat" w:hAnsi="GHEA Grapalat"/>
          <w:sz w:val="24"/>
          <w:szCs w:val="24"/>
        </w:rPr>
        <w:t>ա</w:t>
      </w:r>
      <w:r w:rsidR="00EC1BE7">
        <w:rPr>
          <w:rFonts w:ascii="GHEA Grapalat" w:hAnsi="GHEA Grapalat"/>
          <w:sz w:val="24"/>
          <w:szCs w:val="24"/>
        </w:rPr>
        <w:t>տեխնոլոգիական</w:t>
      </w:r>
      <w:r w:rsidR="00C002B8" w:rsidRPr="00C72AB5">
        <w:rPr>
          <w:rFonts w:ascii="GHEA Grapalat" w:hAnsi="GHEA Grapalat"/>
          <w:sz w:val="24"/>
          <w:szCs w:val="24"/>
        </w:rPr>
        <w:t xml:space="preserve"> գործունեության ոլորտում</w:t>
      </w:r>
      <w:r w:rsidR="008A6131" w:rsidRPr="00C72AB5">
        <w:rPr>
          <w:rFonts w:ascii="GHEA Grapalat" w:hAnsi="GHEA Grapalat"/>
          <w:sz w:val="24"/>
          <w:szCs w:val="24"/>
        </w:rPr>
        <w:t xml:space="preserve"> ընդգրկված</w:t>
      </w:r>
      <w:r w:rsidR="009620B1" w:rsidRPr="00C72AB5">
        <w:rPr>
          <w:rFonts w:ascii="GHEA Grapalat" w:hAnsi="GHEA Grapalat"/>
          <w:sz w:val="24"/>
          <w:szCs w:val="24"/>
        </w:rPr>
        <w:t xml:space="preserve"> աշխատողների ընդհանուր թվաքանակն</w:t>
      </w:r>
      <w:r w:rsidR="008A6131" w:rsidRPr="00C72AB5">
        <w:rPr>
          <w:rFonts w:ascii="GHEA Grapalat" w:hAnsi="GHEA Grapalat"/>
          <w:sz w:val="24"/>
          <w:szCs w:val="24"/>
        </w:rPr>
        <w:t xml:space="preserve"> </w:t>
      </w:r>
      <w:r w:rsidR="00B05FDE" w:rsidRPr="00C72AB5">
        <w:rPr>
          <w:rFonts w:ascii="GHEA Grapalat" w:hAnsi="GHEA Grapalat"/>
          <w:sz w:val="24"/>
          <w:szCs w:val="24"/>
        </w:rPr>
        <w:t>ըստ Հայաստանի Հանրապետության ազգային վիճակագրական կոմիտեի տվյալների</w:t>
      </w:r>
      <w:r w:rsidR="00B05FDE" w:rsidRPr="00C72AB5">
        <w:rPr>
          <w:rFonts w:ascii="GHEA Grapalat" w:hAnsi="GHEA Grapalat"/>
          <w:sz w:val="24"/>
          <w:szCs w:val="24"/>
          <w:vertAlign w:val="superscript"/>
        </w:rPr>
        <w:footnoteReference w:id="16"/>
      </w:r>
      <w:r w:rsidR="00B05FDE" w:rsidRPr="00C72AB5">
        <w:rPr>
          <w:rFonts w:ascii="GHEA Grapalat" w:hAnsi="GHEA Grapalat"/>
          <w:sz w:val="24"/>
          <w:szCs w:val="24"/>
        </w:rPr>
        <w:t xml:space="preserve"> </w:t>
      </w:r>
      <w:r w:rsidR="008A6131" w:rsidRPr="00C72AB5">
        <w:rPr>
          <w:rFonts w:ascii="GHEA Grapalat" w:hAnsi="GHEA Grapalat"/>
          <w:sz w:val="24"/>
          <w:szCs w:val="24"/>
        </w:rPr>
        <w:t>201</w:t>
      </w:r>
      <w:r w:rsidR="00D3267B" w:rsidRPr="00C72AB5">
        <w:rPr>
          <w:rFonts w:ascii="GHEA Grapalat" w:hAnsi="GHEA Grapalat"/>
          <w:sz w:val="24"/>
          <w:szCs w:val="24"/>
        </w:rPr>
        <w:t>3</w:t>
      </w:r>
      <w:r w:rsidR="008A6131" w:rsidRPr="00C72AB5">
        <w:rPr>
          <w:rFonts w:ascii="GHEA Grapalat" w:hAnsi="GHEA Grapalat"/>
          <w:sz w:val="24"/>
          <w:szCs w:val="24"/>
        </w:rPr>
        <w:t>-20</w:t>
      </w:r>
      <w:r w:rsidR="00B05FDE" w:rsidRPr="00C72AB5">
        <w:rPr>
          <w:rFonts w:ascii="GHEA Grapalat" w:hAnsi="GHEA Grapalat"/>
          <w:sz w:val="24"/>
          <w:szCs w:val="24"/>
        </w:rPr>
        <w:t>2</w:t>
      </w:r>
      <w:r w:rsidR="00D3267B" w:rsidRPr="00C72AB5">
        <w:rPr>
          <w:rFonts w:ascii="GHEA Grapalat" w:hAnsi="GHEA Grapalat"/>
          <w:sz w:val="24"/>
          <w:szCs w:val="24"/>
        </w:rPr>
        <w:t>2</w:t>
      </w:r>
      <w:r w:rsidR="00EC1BE7">
        <w:rPr>
          <w:rFonts w:ascii="GHEA Grapalat" w:hAnsi="GHEA Grapalat"/>
          <w:sz w:val="24"/>
          <w:szCs w:val="24"/>
        </w:rPr>
        <w:t xml:space="preserve"> թվականներին</w:t>
      </w:r>
      <w:r w:rsidR="008A6131" w:rsidRPr="00C72AB5">
        <w:rPr>
          <w:rFonts w:ascii="GHEA Grapalat" w:hAnsi="GHEA Grapalat"/>
          <w:sz w:val="24"/>
          <w:szCs w:val="24"/>
        </w:rPr>
        <w:t xml:space="preserve"> </w:t>
      </w:r>
      <w:r w:rsidR="00B05FDE" w:rsidRPr="00C72AB5">
        <w:rPr>
          <w:rFonts w:ascii="GHEA Grapalat" w:hAnsi="GHEA Grapalat"/>
          <w:sz w:val="24"/>
          <w:szCs w:val="24"/>
        </w:rPr>
        <w:t xml:space="preserve">աստիճանաբար նվազել է` </w:t>
      </w:r>
      <w:r w:rsidR="00A337D5" w:rsidRPr="00C72AB5">
        <w:rPr>
          <w:rFonts w:ascii="GHEA Grapalat" w:hAnsi="GHEA Grapalat"/>
          <w:sz w:val="24"/>
          <w:szCs w:val="24"/>
        </w:rPr>
        <w:t>571</w:t>
      </w:r>
      <w:r w:rsidR="00B05FDE" w:rsidRPr="00C72AB5">
        <w:rPr>
          <w:rFonts w:ascii="GHEA Grapalat" w:hAnsi="GHEA Grapalat"/>
          <w:sz w:val="24"/>
          <w:szCs w:val="24"/>
        </w:rPr>
        <w:t>8-ից (201</w:t>
      </w:r>
      <w:r w:rsidR="00A337D5" w:rsidRPr="00C72AB5">
        <w:rPr>
          <w:rFonts w:ascii="GHEA Grapalat" w:hAnsi="GHEA Grapalat"/>
          <w:sz w:val="24"/>
          <w:szCs w:val="24"/>
        </w:rPr>
        <w:t>1</w:t>
      </w:r>
      <w:r w:rsidR="00B05FDE" w:rsidRPr="00C72AB5">
        <w:rPr>
          <w:rFonts w:ascii="GHEA Grapalat" w:hAnsi="GHEA Grapalat"/>
          <w:sz w:val="24"/>
          <w:szCs w:val="24"/>
        </w:rPr>
        <w:t>թ.) հասնելով 4</w:t>
      </w:r>
      <w:r w:rsidR="005A49D2" w:rsidRPr="00C72AB5">
        <w:rPr>
          <w:rFonts w:ascii="GHEA Grapalat" w:hAnsi="GHEA Grapalat"/>
          <w:sz w:val="24"/>
          <w:szCs w:val="24"/>
        </w:rPr>
        <w:t>864</w:t>
      </w:r>
      <w:r w:rsidR="00B05FDE" w:rsidRPr="00C72AB5">
        <w:rPr>
          <w:rFonts w:ascii="GHEA Grapalat" w:hAnsi="GHEA Grapalat"/>
          <w:sz w:val="24"/>
          <w:szCs w:val="24"/>
        </w:rPr>
        <w:t>-ի</w:t>
      </w:r>
      <w:r w:rsidR="00AF37A9" w:rsidRPr="00C72AB5">
        <w:rPr>
          <w:rFonts w:ascii="GHEA Grapalat" w:hAnsi="GHEA Grapalat"/>
          <w:sz w:val="24"/>
          <w:szCs w:val="24"/>
        </w:rPr>
        <w:t xml:space="preserve"> (20</w:t>
      </w:r>
      <w:r w:rsidR="00A337D5" w:rsidRPr="00C72AB5">
        <w:rPr>
          <w:rFonts w:ascii="GHEA Grapalat" w:hAnsi="GHEA Grapalat"/>
          <w:sz w:val="24"/>
          <w:szCs w:val="24"/>
        </w:rPr>
        <w:t>2</w:t>
      </w:r>
      <w:r w:rsidR="005A49D2" w:rsidRPr="00C72AB5">
        <w:rPr>
          <w:rFonts w:ascii="GHEA Grapalat" w:hAnsi="GHEA Grapalat"/>
          <w:sz w:val="24"/>
          <w:szCs w:val="24"/>
        </w:rPr>
        <w:t>2</w:t>
      </w:r>
      <w:r w:rsidR="00AF37A9" w:rsidRPr="00C72AB5">
        <w:rPr>
          <w:rFonts w:ascii="GHEA Grapalat" w:hAnsi="GHEA Grapalat"/>
          <w:sz w:val="24"/>
          <w:szCs w:val="24"/>
        </w:rPr>
        <w:t>թ.)</w:t>
      </w:r>
      <w:r w:rsidR="008A6131" w:rsidRPr="00C72AB5">
        <w:rPr>
          <w:rFonts w:ascii="GHEA Grapalat" w:hAnsi="GHEA Grapalat"/>
          <w:sz w:val="24"/>
          <w:szCs w:val="24"/>
        </w:rPr>
        <w:t xml:space="preserve"> (տե΄ս, Աղյուսակ </w:t>
      </w:r>
      <w:r w:rsidR="00D54FC0" w:rsidRPr="00C72AB5">
        <w:rPr>
          <w:rFonts w:ascii="GHEA Grapalat" w:hAnsi="GHEA Grapalat"/>
          <w:sz w:val="24"/>
          <w:szCs w:val="24"/>
        </w:rPr>
        <w:t>2</w:t>
      </w:r>
      <w:r w:rsidR="008A6131" w:rsidRPr="00C72AB5">
        <w:rPr>
          <w:rFonts w:ascii="GHEA Grapalat" w:hAnsi="GHEA Grapalat"/>
          <w:sz w:val="24"/>
          <w:szCs w:val="24"/>
        </w:rPr>
        <w:t>):</w:t>
      </w:r>
    </w:p>
    <w:p w14:paraId="03955FFD" w14:textId="77777777" w:rsidR="00887E3F" w:rsidRPr="00C72AB5" w:rsidRDefault="00887E3F" w:rsidP="0049437D">
      <w:pPr>
        <w:tabs>
          <w:tab w:val="left" w:pos="709"/>
          <w:tab w:val="left" w:pos="851"/>
        </w:tabs>
        <w:spacing w:line="276" w:lineRule="auto"/>
        <w:ind w:firstLine="567"/>
        <w:jc w:val="both"/>
        <w:rPr>
          <w:rFonts w:ascii="GHEA Grapalat" w:hAnsi="GHEA Grapalat"/>
          <w:sz w:val="24"/>
          <w:szCs w:val="24"/>
        </w:rPr>
      </w:pPr>
    </w:p>
    <w:tbl>
      <w:tblPr>
        <w:tblW w:w="8293" w:type="dxa"/>
        <w:tblLook w:val="04A0" w:firstRow="1" w:lastRow="0" w:firstColumn="1" w:lastColumn="0" w:noHBand="0" w:noVBand="1"/>
      </w:tblPr>
      <w:tblGrid>
        <w:gridCol w:w="1986"/>
        <w:gridCol w:w="737"/>
        <w:gridCol w:w="727"/>
        <w:gridCol w:w="752"/>
        <w:gridCol w:w="743"/>
        <w:gridCol w:w="754"/>
        <w:gridCol w:w="737"/>
        <w:gridCol w:w="751"/>
        <w:gridCol w:w="759"/>
        <w:gridCol w:w="784"/>
        <w:gridCol w:w="770"/>
      </w:tblGrid>
      <w:tr w:rsidR="00F2241F" w:rsidRPr="00C72AB5" w14:paraId="1D053CC5" w14:textId="77777777" w:rsidTr="00F2241F">
        <w:trPr>
          <w:trHeight w:val="300"/>
        </w:trPr>
        <w:tc>
          <w:tcPr>
            <w:tcW w:w="1687"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557A8CEA" w14:textId="77777777" w:rsidR="00F2241F" w:rsidRPr="00C72AB5" w:rsidRDefault="00F2241F" w:rsidP="0049437D">
            <w:pPr>
              <w:spacing w:line="276" w:lineRule="auto"/>
              <w:jc w:val="center"/>
              <w:rPr>
                <w:rFonts w:ascii="GHEA Grapalat" w:hAnsi="GHEA Grapalat" w:cs="Calibri"/>
                <w:color w:val="000000"/>
                <w:sz w:val="22"/>
                <w:szCs w:val="22"/>
                <w:lang w:eastAsia="en-US"/>
              </w:rPr>
            </w:pPr>
            <w:r w:rsidRPr="00C72AB5">
              <w:rPr>
                <w:rFonts w:ascii="Calibri" w:hAnsi="Calibri" w:cs="Calibri"/>
                <w:color w:val="000000"/>
                <w:sz w:val="22"/>
                <w:szCs w:val="22"/>
                <w:lang w:eastAsia="en-US"/>
              </w:rPr>
              <w:t> </w:t>
            </w:r>
          </w:p>
        </w:tc>
        <w:tc>
          <w:tcPr>
            <w:tcW w:w="649" w:type="dxa"/>
            <w:tcBorders>
              <w:top w:val="single" w:sz="4" w:space="0" w:color="auto"/>
              <w:left w:val="nil"/>
              <w:bottom w:val="single" w:sz="4" w:space="0" w:color="auto"/>
              <w:right w:val="single" w:sz="4" w:space="0" w:color="auto"/>
            </w:tcBorders>
            <w:shd w:val="clear" w:color="000000" w:fill="DDEBF7"/>
            <w:noWrap/>
            <w:vAlign w:val="center"/>
            <w:hideMark/>
          </w:tcPr>
          <w:p w14:paraId="5FB902C3" w14:textId="77777777" w:rsidR="00F2241F" w:rsidRPr="00C72AB5" w:rsidRDefault="00F2241F" w:rsidP="0049437D">
            <w:pPr>
              <w:spacing w:line="276" w:lineRule="auto"/>
              <w:rPr>
                <w:rFonts w:ascii="GHEA Grapalat" w:hAnsi="GHEA Grapalat" w:cs="Calibri"/>
                <w:b/>
                <w:bCs/>
                <w:color w:val="000000"/>
                <w:sz w:val="22"/>
                <w:szCs w:val="22"/>
                <w:lang w:eastAsia="en-US"/>
              </w:rPr>
            </w:pPr>
            <w:r w:rsidRPr="00C72AB5">
              <w:rPr>
                <w:rFonts w:ascii="GHEA Grapalat" w:hAnsi="GHEA Grapalat" w:cs="Calibri"/>
                <w:b/>
                <w:bCs/>
                <w:color w:val="000000"/>
                <w:sz w:val="22"/>
                <w:szCs w:val="22"/>
                <w:lang w:eastAsia="en-US"/>
              </w:rPr>
              <w:t>2013</w:t>
            </w:r>
          </w:p>
        </w:tc>
        <w:tc>
          <w:tcPr>
            <w:tcW w:w="640" w:type="dxa"/>
            <w:tcBorders>
              <w:top w:val="single" w:sz="4" w:space="0" w:color="auto"/>
              <w:left w:val="nil"/>
              <w:bottom w:val="single" w:sz="4" w:space="0" w:color="auto"/>
              <w:right w:val="single" w:sz="4" w:space="0" w:color="auto"/>
            </w:tcBorders>
            <w:shd w:val="clear" w:color="000000" w:fill="DDEBF7"/>
            <w:noWrap/>
            <w:vAlign w:val="center"/>
            <w:hideMark/>
          </w:tcPr>
          <w:p w14:paraId="57ABE03C" w14:textId="77777777" w:rsidR="00F2241F" w:rsidRPr="00C72AB5" w:rsidRDefault="00F2241F" w:rsidP="0049437D">
            <w:pPr>
              <w:spacing w:line="276" w:lineRule="auto"/>
              <w:rPr>
                <w:rFonts w:ascii="GHEA Grapalat" w:hAnsi="GHEA Grapalat" w:cs="Calibri"/>
                <w:b/>
                <w:bCs/>
                <w:color w:val="000000"/>
                <w:sz w:val="22"/>
                <w:szCs w:val="22"/>
                <w:lang w:eastAsia="en-US"/>
              </w:rPr>
            </w:pPr>
            <w:r w:rsidRPr="00C72AB5">
              <w:rPr>
                <w:rFonts w:ascii="GHEA Grapalat" w:hAnsi="GHEA Grapalat" w:cs="Calibri"/>
                <w:b/>
                <w:bCs/>
                <w:color w:val="000000"/>
                <w:sz w:val="22"/>
                <w:szCs w:val="22"/>
                <w:lang w:eastAsia="en-US"/>
              </w:rPr>
              <w:t>2014</w:t>
            </w:r>
          </w:p>
        </w:tc>
        <w:tc>
          <w:tcPr>
            <w:tcW w:w="661" w:type="dxa"/>
            <w:tcBorders>
              <w:top w:val="single" w:sz="4" w:space="0" w:color="auto"/>
              <w:left w:val="nil"/>
              <w:bottom w:val="single" w:sz="4" w:space="0" w:color="auto"/>
              <w:right w:val="single" w:sz="4" w:space="0" w:color="auto"/>
            </w:tcBorders>
            <w:shd w:val="clear" w:color="000000" w:fill="DDEBF7"/>
            <w:noWrap/>
            <w:vAlign w:val="center"/>
            <w:hideMark/>
          </w:tcPr>
          <w:p w14:paraId="77C63F20" w14:textId="77777777" w:rsidR="00F2241F" w:rsidRPr="00C72AB5" w:rsidRDefault="00F2241F" w:rsidP="0049437D">
            <w:pPr>
              <w:spacing w:line="276" w:lineRule="auto"/>
              <w:rPr>
                <w:rFonts w:ascii="GHEA Grapalat" w:hAnsi="GHEA Grapalat" w:cs="Calibri"/>
                <w:b/>
                <w:bCs/>
                <w:color w:val="000000"/>
                <w:sz w:val="22"/>
                <w:szCs w:val="22"/>
                <w:lang w:eastAsia="en-US"/>
              </w:rPr>
            </w:pPr>
            <w:r w:rsidRPr="00C72AB5">
              <w:rPr>
                <w:rFonts w:ascii="GHEA Grapalat" w:hAnsi="GHEA Grapalat" w:cs="Calibri"/>
                <w:b/>
                <w:bCs/>
                <w:color w:val="000000"/>
                <w:sz w:val="22"/>
                <w:szCs w:val="22"/>
                <w:lang w:eastAsia="en-US"/>
              </w:rPr>
              <w:t>2015</w:t>
            </w:r>
          </w:p>
        </w:tc>
        <w:tc>
          <w:tcPr>
            <w:tcW w:w="654" w:type="dxa"/>
            <w:tcBorders>
              <w:top w:val="single" w:sz="4" w:space="0" w:color="auto"/>
              <w:left w:val="nil"/>
              <w:bottom w:val="single" w:sz="4" w:space="0" w:color="auto"/>
              <w:right w:val="single" w:sz="4" w:space="0" w:color="auto"/>
            </w:tcBorders>
            <w:shd w:val="clear" w:color="000000" w:fill="DDEBF7"/>
            <w:noWrap/>
            <w:vAlign w:val="center"/>
            <w:hideMark/>
          </w:tcPr>
          <w:p w14:paraId="0B70ACF5" w14:textId="77777777" w:rsidR="00F2241F" w:rsidRPr="00C72AB5" w:rsidRDefault="00F2241F" w:rsidP="0049437D">
            <w:pPr>
              <w:spacing w:line="276" w:lineRule="auto"/>
              <w:rPr>
                <w:rFonts w:ascii="GHEA Grapalat" w:hAnsi="GHEA Grapalat" w:cs="Calibri"/>
                <w:b/>
                <w:bCs/>
                <w:color w:val="000000"/>
                <w:sz w:val="22"/>
                <w:szCs w:val="22"/>
                <w:lang w:eastAsia="en-US"/>
              </w:rPr>
            </w:pPr>
            <w:r w:rsidRPr="00C72AB5">
              <w:rPr>
                <w:rFonts w:ascii="GHEA Grapalat" w:hAnsi="GHEA Grapalat" w:cs="Calibri"/>
                <w:b/>
                <w:bCs/>
                <w:color w:val="000000"/>
                <w:sz w:val="22"/>
                <w:szCs w:val="22"/>
                <w:lang w:eastAsia="en-US"/>
              </w:rPr>
              <w:t>2016</w:t>
            </w:r>
          </w:p>
        </w:tc>
        <w:tc>
          <w:tcPr>
            <w:tcW w:w="662" w:type="dxa"/>
            <w:tcBorders>
              <w:top w:val="single" w:sz="4" w:space="0" w:color="auto"/>
              <w:left w:val="nil"/>
              <w:bottom w:val="single" w:sz="4" w:space="0" w:color="auto"/>
              <w:right w:val="single" w:sz="4" w:space="0" w:color="auto"/>
            </w:tcBorders>
            <w:shd w:val="clear" w:color="000000" w:fill="DDEBF7"/>
            <w:noWrap/>
            <w:vAlign w:val="center"/>
            <w:hideMark/>
          </w:tcPr>
          <w:p w14:paraId="7CA7F011" w14:textId="77777777" w:rsidR="00F2241F" w:rsidRPr="00C72AB5" w:rsidRDefault="00F2241F" w:rsidP="0049437D">
            <w:pPr>
              <w:spacing w:line="276" w:lineRule="auto"/>
              <w:rPr>
                <w:rFonts w:ascii="GHEA Grapalat" w:hAnsi="GHEA Grapalat" w:cs="Calibri"/>
                <w:b/>
                <w:bCs/>
                <w:color w:val="000000"/>
                <w:sz w:val="22"/>
                <w:szCs w:val="22"/>
                <w:lang w:eastAsia="en-US"/>
              </w:rPr>
            </w:pPr>
            <w:r w:rsidRPr="00C72AB5">
              <w:rPr>
                <w:rFonts w:ascii="GHEA Grapalat" w:hAnsi="GHEA Grapalat" w:cs="Calibri"/>
                <w:b/>
                <w:bCs/>
                <w:color w:val="000000"/>
                <w:sz w:val="22"/>
                <w:szCs w:val="22"/>
                <w:lang w:eastAsia="en-US"/>
              </w:rPr>
              <w:t>2017</w:t>
            </w:r>
          </w:p>
        </w:tc>
        <w:tc>
          <w:tcPr>
            <w:tcW w:w="649" w:type="dxa"/>
            <w:tcBorders>
              <w:top w:val="single" w:sz="4" w:space="0" w:color="auto"/>
              <w:left w:val="nil"/>
              <w:bottom w:val="single" w:sz="4" w:space="0" w:color="auto"/>
              <w:right w:val="single" w:sz="4" w:space="0" w:color="auto"/>
            </w:tcBorders>
            <w:shd w:val="clear" w:color="000000" w:fill="DDEBF7"/>
            <w:noWrap/>
            <w:vAlign w:val="center"/>
            <w:hideMark/>
          </w:tcPr>
          <w:p w14:paraId="51B1BDCD" w14:textId="77777777" w:rsidR="00F2241F" w:rsidRPr="00C72AB5" w:rsidRDefault="00F2241F" w:rsidP="0049437D">
            <w:pPr>
              <w:spacing w:line="276" w:lineRule="auto"/>
              <w:rPr>
                <w:rFonts w:ascii="GHEA Grapalat" w:hAnsi="GHEA Grapalat" w:cs="Calibri"/>
                <w:b/>
                <w:bCs/>
                <w:color w:val="000000"/>
                <w:sz w:val="22"/>
                <w:szCs w:val="22"/>
                <w:lang w:eastAsia="en-US"/>
              </w:rPr>
            </w:pPr>
            <w:r w:rsidRPr="00C72AB5">
              <w:rPr>
                <w:rFonts w:ascii="GHEA Grapalat" w:hAnsi="GHEA Grapalat" w:cs="Calibri"/>
                <w:b/>
                <w:bCs/>
                <w:color w:val="000000"/>
                <w:sz w:val="22"/>
                <w:szCs w:val="22"/>
                <w:lang w:eastAsia="en-US"/>
              </w:rPr>
              <w:t>2018</w:t>
            </w:r>
          </w:p>
        </w:tc>
        <w:tc>
          <w:tcPr>
            <w:tcW w:w="660" w:type="dxa"/>
            <w:tcBorders>
              <w:top w:val="single" w:sz="4" w:space="0" w:color="auto"/>
              <w:left w:val="nil"/>
              <w:bottom w:val="single" w:sz="4" w:space="0" w:color="auto"/>
              <w:right w:val="single" w:sz="4" w:space="0" w:color="auto"/>
            </w:tcBorders>
            <w:shd w:val="clear" w:color="000000" w:fill="DDEBF7"/>
            <w:noWrap/>
            <w:vAlign w:val="center"/>
            <w:hideMark/>
          </w:tcPr>
          <w:p w14:paraId="2ACB449B" w14:textId="77777777" w:rsidR="00F2241F" w:rsidRPr="00C72AB5" w:rsidRDefault="00F2241F" w:rsidP="0049437D">
            <w:pPr>
              <w:spacing w:line="276" w:lineRule="auto"/>
              <w:rPr>
                <w:rFonts w:ascii="GHEA Grapalat" w:hAnsi="GHEA Grapalat" w:cs="Calibri"/>
                <w:b/>
                <w:bCs/>
                <w:color w:val="000000"/>
                <w:sz w:val="22"/>
                <w:szCs w:val="22"/>
                <w:lang w:eastAsia="en-US"/>
              </w:rPr>
            </w:pPr>
            <w:r w:rsidRPr="00C72AB5">
              <w:rPr>
                <w:rFonts w:ascii="GHEA Grapalat" w:hAnsi="GHEA Grapalat" w:cs="Calibri"/>
                <w:b/>
                <w:bCs/>
                <w:color w:val="000000"/>
                <w:sz w:val="22"/>
                <w:szCs w:val="22"/>
                <w:lang w:eastAsia="en-US"/>
              </w:rPr>
              <w:t>2019</w:t>
            </w:r>
          </w:p>
        </w:tc>
        <w:tc>
          <w:tcPr>
            <w:tcW w:w="667" w:type="dxa"/>
            <w:tcBorders>
              <w:top w:val="single" w:sz="4" w:space="0" w:color="auto"/>
              <w:left w:val="nil"/>
              <w:bottom w:val="single" w:sz="4" w:space="0" w:color="auto"/>
              <w:right w:val="single" w:sz="4" w:space="0" w:color="auto"/>
            </w:tcBorders>
            <w:shd w:val="clear" w:color="000000" w:fill="DDEBF7"/>
            <w:noWrap/>
            <w:vAlign w:val="center"/>
            <w:hideMark/>
          </w:tcPr>
          <w:p w14:paraId="5313ADB2" w14:textId="77777777" w:rsidR="00F2241F" w:rsidRPr="00C72AB5" w:rsidRDefault="00F2241F" w:rsidP="0049437D">
            <w:pPr>
              <w:spacing w:line="276" w:lineRule="auto"/>
              <w:rPr>
                <w:rFonts w:ascii="GHEA Grapalat" w:hAnsi="GHEA Grapalat" w:cs="Calibri"/>
                <w:b/>
                <w:bCs/>
                <w:color w:val="000000"/>
                <w:sz w:val="22"/>
                <w:szCs w:val="22"/>
                <w:lang w:eastAsia="en-US"/>
              </w:rPr>
            </w:pPr>
            <w:r w:rsidRPr="00C72AB5">
              <w:rPr>
                <w:rFonts w:ascii="GHEA Grapalat" w:hAnsi="GHEA Grapalat" w:cs="Calibri"/>
                <w:b/>
                <w:bCs/>
                <w:color w:val="000000"/>
                <w:sz w:val="22"/>
                <w:szCs w:val="22"/>
                <w:lang w:eastAsia="en-US"/>
              </w:rPr>
              <w:t>2020</w:t>
            </w:r>
          </w:p>
        </w:tc>
        <w:tc>
          <w:tcPr>
            <w:tcW w:w="688" w:type="dxa"/>
            <w:tcBorders>
              <w:top w:val="single" w:sz="4" w:space="0" w:color="auto"/>
              <w:left w:val="nil"/>
              <w:bottom w:val="single" w:sz="4" w:space="0" w:color="auto"/>
              <w:right w:val="single" w:sz="4" w:space="0" w:color="auto"/>
            </w:tcBorders>
            <w:shd w:val="clear" w:color="000000" w:fill="DDEBF7"/>
            <w:noWrap/>
            <w:vAlign w:val="center"/>
            <w:hideMark/>
          </w:tcPr>
          <w:p w14:paraId="34FB7921" w14:textId="77777777" w:rsidR="00F2241F" w:rsidRPr="00C72AB5" w:rsidRDefault="00F2241F" w:rsidP="0049437D">
            <w:pPr>
              <w:spacing w:line="276" w:lineRule="auto"/>
              <w:rPr>
                <w:rFonts w:ascii="GHEA Grapalat" w:hAnsi="GHEA Grapalat" w:cs="Calibri"/>
                <w:b/>
                <w:bCs/>
                <w:color w:val="000000"/>
                <w:sz w:val="22"/>
                <w:szCs w:val="22"/>
                <w:lang w:eastAsia="en-US"/>
              </w:rPr>
            </w:pPr>
            <w:r w:rsidRPr="00C72AB5">
              <w:rPr>
                <w:rFonts w:ascii="GHEA Grapalat" w:hAnsi="GHEA Grapalat" w:cs="Calibri"/>
                <w:b/>
                <w:bCs/>
                <w:color w:val="000000"/>
                <w:sz w:val="22"/>
                <w:szCs w:val="22"/>
                <w:lang w:eastAsia="en-US"/>
              </w:rPr>
              <w:t>2021</w:t>
            </w:r>
          </w:p>
        </w:tc>
        <w:tc>
          <w:tcPr>
            <w:tcW w:w="676" w:type="dxa"/>
            <w:tcBorders>
              <w:top w:val="single" w:sz="4" w:space="0" w:color="auto"/>
              <w:left w:val="nil"/>
              <w:bottom w:val="single" w:sz="4" w:space="0" w:color="auto"/>
              <w:right w:val="single" w:sz="4" w:space="0" w:color="auto"/>
            </w:tcBorders>
            <w:shd w:val="clear" w:color="000000" w:fill="DDEBF7"/>
            <w:noWrap/>
            <w:vAlign w:val="center"/>
            <w:hideMark/>
          </w:tcPr>
          <w:p w14:paraId="2E62BD4F" w14:textId="77777777" w:rsidR="00F2241F" w:rsidRPr="00C72AB5" w:rsidRDefault="00F2241F" w:rsidP="0049437D">
            <w:pPr>
              <w:spacing w:line="276" w:lineRule="auto"/>
              <w:rPr>
                <w:rFonts w:ascii="GHEA Grapalat" w:hAnsi="GHEA Grapalat" w:cs="Calibri"/>
                <w:b/>
                <w:bCs/>
                <w:color w:val="000000"/>
                <w:sz w:val="22"/>
                <w:szCs w:val="22"/>
                <w:lang w:eastAsia="en-US"/>
              </w:rPr>
            </w:pPr>
            <w:r w:rsidRPr="00C72AB5">
              <w:rPr>
                <w:rFonts w:ascii="GHEA Grapalat" w:hAnsi="GHEA Grapalat" w:cs="Calibri"/>
                <w:b/>
                <w:bCs/>
                <w:color w:val="000000"/>
                <w:sz w:val="22"/>
                <w:szCs w:val="22"/>
                <w:lang w:eastAsia="en-US"/>
              </w:rPr>
              <w:t>2022</w:t>
            </w:r>
          </w:p>
        </w:tc>
      </w:tr>
      <w:tr w:rsidR="00F2241F" w:rsidRPr="00C72AB5" w14:paraId="64331203" w14:textId="77777777" w:rsidTr="00F2241F">
        <w:trPr>
          <w:trHeight w:val="340"/>
        </w:trPr>
        <w:tc>
          <w:tcPr>
            <w:tcW w:w="1687" w:type="dxa"/>
            <w:tcBorders>
              <w:top w:val="nil"/>
              <w:left w:val="single" w:sz="4" w:space="0" w:color="auto"/>
              <w:bottom w:val="single" w:sz="4" w:space="0" w:color="auto"/>
              <w:right w:val="single" w:sz="4" w:space="0" w:color="auto"/>
            </w:tcBorders>
            <w:noWrap/>
            <w:vAlign w:val="center"/>
            <w:hideMark/>
          </w:tcPr>
          <w:p w14:paraId="6CF90677" w14:textId="77777777" w:rsidR="00F2241F" w:rsidRPr="00C72AB5" w:rsidRDefault="00F2241F" w:rsidP="0049437D">
            <w:pPr>
              <w:spacing w:line="276" w:lineRule="auto"/>
              <w:rPr>
                <w:rFonts w:ascii="GHEA Grapalat" w:hAnsi="GHEA Grapalat" w:cs="Calibri"/>
                <w:color w:val="000000"/>
                <w:sz w:val="22"/>
                <w:szCs w:val="22"/>
                <w:lang w:eastAsia="en-US"/>
              </w:rPr>
            </w:pPr>
            <w:r w:rsidRPr="00C72AB5">
              <w:rPr>
                <w:rFonts w:ascii="GHEA Grapalat" w:hAnsi="GHEA Grapalat" w:cs="Calibri"/>
                <w:color w:val="000000"/>
                <w:sz w:val="22"/>
                <w:szCs w:val="22"/>
                <w:lang w:eastAsia="en-US"/>
              </w:rPr>
              <w:t>հետազոտողներ և տեխնիկներ</w:t>
            </w:r>
          </w:p>
        </w:tc>
        <w:tc>
          <w:tcPr>
            <w:tcW w:w="649" w:type="dxa"/>
            <w:tcBorders>
              <w:top w:val="nil"/>
              <w:left w:val="nil"/>
              <w:bottom w:val="single" w:sz="4" w:space="0" w:color="auto"/>
              <w:right w:val="single" w:sz="4" w:space="0" w:color="auto"/>
            </w:tcBorders>
            <w:noWrap/>
            <w:vAlign w:val="center"/>
            <w:hideMark/>
          </w:tcPr>
          <w:p w14:paraId="6DB8C089" w14:textId="77777777" w:rsidR="00F2241F" w:rsidRPr="00C72AB5" w:rsidRDefault="00F2241F" w:rsidP="0049437D">
            <w:pPr>
              <w:spacing w:line="276" w:lineRule="auto"/>
              <w:jc w:val="center"/>
              <w:rPr>
                <w:rFonts w:ascii="GHEA Grapalat" w:hAnsi="GHEA Grapalat" w:cs="Calibri"/>
                <w:b/>
                <w:bCs/>
                <w:color w:val="000000"/>
                <w:sz w:val="22"/>
                <w:szCs w:val="22"/>
                <w:lang w:eastAsia="en-US"/>
              </w:rPr>
            </w:pPr>
            <w:r w:rsidRPr="00C72AB5">
              <w:rPr>
                <w:rFonts w:ascii="GHEA Grapalat" w:hAnsi="GHEA Grapalat" w:cs="Calibri"/>
                <w:b/>
                <w:bCs/>
                <w:color w:val="000000"/>
                <w:sz w:val="22"/>
                <w:szCs w:val="22"/>
                <w:lang w:eastAsia="en-US"/>
              </w:rPr>
              <w:t>4234</w:t>
            </w:r>
          </w:p>
        </w:tc>
        <w:tc>
          <w:tcPr>
            <w:tcW w:w="640" w:type="dxa"/>
            <w:tcBorders>
              <w:top w:val="nil"/>
              <w:left w:val="nil"/>
              <w:bottom w:val="single" w:sz="4" w:space="0" w:color="auto"/>
              <w:right w:val="single" w:sz="4" w:space="0" w:color="auto"/>
            </w:tcBorders>
            <w:noWrap/>
            <w:vAlign w:val="center"/>
            <w:hideMark/>
          </w:tcPr>
          <w:p w14:paraId="63BF3F94" w14:textId="77777777" w:rsidR="00F2241F" w:rsidRPr="00C72AB5" w:rsidRDefault="00F2241F" w:rsidP="0049437D">
            <w:pPr>
              <w:spacing w:line="276" w:lineRule="auto"/>
              <w:jc w:val="center"/>
              <w:rPr>
                <w:rFonts w:ascii="GHEA Grapalat" w:hAnsi="GHEA Grapalat" w:cs="Calibri"/>
                <w:b/>
                <w:bCs/>
                <w:color w:val="000000"/>
                <w:sz w:val="22"/>
                <w:szCs w:val="22"/>
                <w:lang w:eastAsia="en-US"/>
              </w:rPr>
            </w:pPr>
            <w:r w:rsidRPr="00C72AB5">
              <w:rPr>
                <w:rFonts w:ascii="GHEA Grapalat" w:hAnsi="GHEA Grapalat" w:cs="Calibri"/>
                <w:b/>
                <w:bCs/>
                <w:color w:val="000000"/>
                <w:sz w:val="22"/>
                <w:szCs w:val="22"/>
                <w:lang w:eastAsia="en-US"/>
              </w:rPr>
              <w:t>4514</w:t>
            </w:r>
          </w:p>
        </w:tc>
        <w:tc>
          <w:tcPr>
            <w:tcW w:w="661" w:type="dxa"/>
            <w:tcBorders>
              <w:top w:val="nil"/>
              <w:left w:val="nil"/>
              <w:bottom w:val="single" w:sz="4" w:space="0" w:color="auto"/>
              <w:right w:val="single" w:sz="4" w:space="0" w:color="auto"/>
            </w:tcBorders>
            <w:noWrap/>
            <w:vAlign w:val="center"/>
            <w:hideMark/>
          </w:tcPr>
          <w:p w14:paraId="3AF6FBB0" w14:textId="77777777" w:rsidR="00F2241F" w:rsidRPr="00C72AB5" w:rsidRDefault="00F2241F" w:rsidP="0049437D">
            <w:pPr>
              <w:spacing w:line="276" w:lineRule="auto"/>
              <w:jc w:val="center"/>
              <w:rPr>
                <w:rFonts w:ascii="GHEA Grapalat" w:hAnsi="GHEA Grapalat" w:cs="Calibri"/>
                <w:b/>
                <w:bCs/>
                <w:color w:val="000000"/>
                <w:sz w:val="22"/>
                <w:szCs w:val="22"/>
                <w:lang w:eastAsia="en-US"/>
              </w:rPr>
            </w:pPr>
            <w:r w:rsidRPr="00C72AB5">
              <w:rPr>
                <w:rFonts w:ascii="GHEA Grapalat" w:hAnsi="GHEA Grapalat" w:cs="Calibri"/>
                <w:b/>
                <w:bCs/>
                <w:color w:val="000000"/>
                <w:sz w:val="22"/>
                <w:szCs w:val="22"/>
                <w:lang w:eastAsia="en-US"/>
              </w:rPr>
              <w:t>4164</w:t>
            </w:r>
          </w:p>
        </w:tc>
        <w:tc>
          <w:tcPr>
            <w:tcW w:w="654" w:type="dxa"/>
            <w:tcBorders>
              <w:top w:val="nil"/>
              <w:left w:val="nil"/>
              <w:bottom w:val="single" w:sz="4" w:space="0" w:color="auto"/>
              <w:right w:val="single" w:sz="4" w:space="0" w:color="auto"/>
            </w:tcBorders>
            <w:noWrap/>
            <w:vAlign w:val="center"/>
            <w:hideMark/>
          </w:tcPr>
          <w:p w14:paraId="3022707F" w14:textId="77777777" w:rsidR="00F2241F" w:rsidRPr="00C72AB5" w:rsidRDefault="00F2241F" w:rsidP="0049437D">
            <w:pPr>
              <w:spacing w:line="276" w:lineRule="auto"/>
              <w:jc w:val="center"/>
              <w:rPr>
                <w:rFonts w:ascii="GHEA Grapalat" w:hAnsi="GHEA Grapalat" w:cs="Calibri"/>
                <w:b/>
                <w:bCs/>
                <w:color w:val="000000"/>
                <w:sz w:val="22"/>
                <w:szCs w:val="22"/>
                <w:lang w:eastAsia="en-US"/>
              </w:rPr>
            </w:pPr>
            <w:r w:rsidRPr="00C72AB5">
              <w:rPr>
                <w:rFonts w:ascii="GHEA Grapalat" w:hAnsi="GHEA Grapalat" w:cs="Calibri"/>
                <w:b/>
                <w:bCs/>
                <w:color w:val="000000"/>
                <w:sz w:val="22"/>
                <w:szCs w:val="22"/>
                <w:lang w:eastAsia="en-US"/>
              </w:rPr>
              <w:t>4002</w:t>
            </w:r>
          </w:p>
        </w:tc>
        <w:tc>
          <w:tcPr>
            <w:tcW w:w="662" w:type="dxa"/>
            <w:tcBorders>
              <w:top w:val="nil"/>
              <w:left w:val="nil"/>
              <w:bottom w:val="single" w:sz="4" w:space="0" w:color="auto"/>
              <w:right w:val="single" w:sz="4" w:space="0" w:color="auto"/>
            </w:tcBorders>
            <w:noWrap/>
            <w:vAlign w:val="center"/>
            <w:hideMark/>
          </w:tcPr>
          <w:p w14:paraId="34427EA5" w14:textId="77777777" w:rsidR="00F2241F" w:rsidRPr="00C72AB5" w:rsidRDefault="00F2241F" w:rsidP="0049437D">
            <w:pPr>
              <w:spacing w:line="276" w:lineRule="auto"/>
              <w:jc w:val="center"/>
              <w:rPr>
                <w:rFonts w:ascii="GHEA Grapalat" w:hAnsi="GHEA Grapalat" w:cs="Calibri"/>
                <w:b/>
                <w:bCs/>
                <w:color w:val="000000"/>
                <w:sz w:val="22"/>
                <w:szCs w:val="22"/>
                <w:lang w:eastAsia="en-US"/>
              </w:rPr>
            </w:pPr>
            <w:r w:rsidRPr="00C72AB5">
              <w:rPr>
                <w:rFonts w:ascii="GHEA Grapalat" w:hAnsi="GHEA Grapalat" w:cs="Calibri"/>
                <w:b/>
                <w:bCs/>
                <w:color w:val="000000"/>
                <w:sz w:val="22"/>
                <w:szCs w:val="22"/>
                <w:lang w:eastAsia="en-US"/>
              </w:rPr>
              <w:t>3807</w:t>
            </w:r>
          </w:p>
        </w:tc>
        <w:tc>
          <w:tcPr>
            <w:tcW w:w="649" w:type="dxa"/>
            <w:tcBorders>
              <w:top w:val="nil"/>
              <w:left w:val="nil"/>
              <w:bottom w:val="single" w:sz="4" w:space="0" w:color="auto"/>
              <w:right w:val="single" w:sz="4" w:space="0" w:color="auto"/>
            </w:tcBorders>
            <w:noWrap/>
            <w:vAlign w:val="center"/>
            <w:hideMark/>
          </w:tcPr>
          <w:p w14:paraId="760156DB" w14:textId="77777777" w:rsidR="00F2241F" w:rsidRPr="00C72AB5" w:rsidRDefault="00F2241F" w:rsidP="0049437D">
            <w:pPr>
              <w:spacing w:line="276" w:lineRule="auto"/>
              <w:jc w:val="center"/>
              <w:rPr>
                <w:rFonts w:ascii="GHEA Grapalat" w:hAnsi="GHEA Grapalat" w:cs="Calibri"/>
                <w:b/>
                <w:bCs/>
                <w:color w:val="000000"/>
                <w:sz w:val="22"/>
                <w:szCs w:val="22"/>
                <w:lang w:eastAsia="en-US"/>
              </w:rPr>
            </w:pPr>
            <w:r w:rsidRPr="00C72AB5">
              <w:rPr>
                <w:rFonts w:ascii="GHEA Grapalat" w:hAnsi="GHEA Grapalat" w:cs="Calibri"/>
                <w:b/>
                <w:bCs/>
                <w:color w:val="000000"/>
                <w:sz w:val="22"/>
                <w:szCs w:val="22"/>
                <w:lang w:eastAsia="en-US"/>
              </w:rPr>
              <w:t>3552</w:t>
            </w:r>
          </w:p>
        </w:tc>
        <w:tc>
          <w:tcPr>
            <w:tcW w:w="660" w:type="dxa"/>
            <w:tcBorders>
              <w:top w:val="nil"/>
              <w:left w:val="nil"/>
              <w:bottom w:val="single" w:sz="4" w:space="0" w:color="auto"/>
              <w:right w:val="single" w:sz="4" w:space="0" w:color="auto"/>
            </w:tcBorders>
            <w:noWrap/>
            <w:vAlign w:val="center"/>
            <w:hideMark/>
          </w:tcPr>
          <w:p w14:paraId="2C6E0460" w14:textId="77777777" w:rsidR="00F2241F" w:rsidRPr="00C72AB5" w:rsidRDefault="00F2241F" w:rsidP="0049437D">
            <w:pPr>
              <w:spacing w:line="276" w:lineRule="auto"/>
              <w:jc w:val="center"/>
              <w:rPr>
                <w:rFonts w:ascii="GHEA Grapalat" w:hAnsi="GHEA Grapalat" w:cs="Calibri"/>
                <w:b/>
                <w:bCs/>
                <w:color w:val="000000"/>
                <w:sz w:val="22"/>
                <w:szCs w:val="22"/>
                <w:lang w:eastAsia="en-US"/>
              </w:rPr>
            </w:pPr>
            <w:r w:rsidRPr="00C72AB5">
              <w:rPr>
                <w:rFonts w:ascii="GHEA Grapalat" w:hAnsi="GHEA Grapalat" w:cs="Calibri"/>
                <w:b/>
                <w:bCs/>
                <w:color w:val="000000"/>
                <w:sz w:val="22"/>
                <w:szCs w:val="22"/>
                <w:lang w:eastAsia="en-US"/>
              </w:rPr>
              <w:t>3512</w:t>
            </w:r>
          </w:p>
        </w:tc>
        <w:tc>
          <w:tcPr>
            <w:tcW w:w="667" w:type="dxa"/>
            <w:tcBorders>
              <w:top w:val="nil"/>
              <w:left w:val="nil"/>
              <w:bottom w:val="single" w:sz="4" w:space="0" w:color="auto"/>
              <w:right w:val="single" w:sz="4" w:space="0" w:color="auto"/>
            </w:tcBorders>
            <w:noWrap/>
            <w:vAlign w:val="center"/>
            <w:hideMark/>
          </w:tcPr>
          <w:p w14:paraId="13AA913F" w14:textId="77777777" w:rsidR="00F2241F" w:rsidRPr="00C72AB5" w:rsidRDefault="00F2241F" w:rsidP="0049437D">
            <w:pPr>
              <w:spacing w:line="276" w:lineRule="auto"/>
              <w:jc w:val="center"/>
              <w:rPr>
                <w:rFonts w:ascii="GHEA Grapalat" w:hAnsi="GHEA Grapalat" w:cs="Calibri"/>
                <w:b/>
                <w:bCs/>
                <w:color w:val="000000"/>
                <w:sz w:val="22"/>
                <w:szCs w:val="22"/>
                <w:lang w:eastAsia="en-US"/>
              </w:rPr>
            </w:pPr>
            <w:r w:rsidRPr="00C72AB5">
              <w:rPr>
                <w:rFonts w:ascii="GHEA Grapalat" w:hAnsi="GHEA Grapalat" w:cs="Calibri"/>
                <w:b/>
                <w:bCs/>
                <w:color w:val="000000"/>
                <w:sz w:val="22"/>
                <w:szCs w:val="22"/>
                <w:lang w:eastAsia="en-US"/>
              </w:rPr>
              <w:t>3657</w:t>
            </w:r>
          </w:p>
        </w:tc>
        <w:tc>
          <w:tcPr>
            <w:tcW w:w="688" w:type="dxa"/>
            <w:tcBorders>
              <w:top w:val="nil"/>
              <w:left w:val="nil"/>
              <w:bottom w:val="single" w:sz="4" w:space="0" w:color="auto"/>
              <w:right w:val="single" w:sz="4" w:space="0" w:color="auto"/>
            </w:tcBorders>
            <w:noWrap/>
            <w:vAlign w:val="center"/>
            <w:hideMark/>
          </w:tcPr>
          <w:p w14:paraId="1192E479" w14:textId="77777777" w:rsidR="00F2241F" w:rsidRPr="00C72AB5" w:rsidRDefault="00F2241F" w:rsidP="0049437D">
            <w:pPr>
              <w:spacing w:line="276" w:lineRule="auto"/>
              <w:jc w:val="center"/>
              <w:rPr>
                <w:rFonts w:ascii="GHEA Grapalat" w:hAnsi="GHEA Grapalat" w:cs="Calibri"/>
                <w:b/>
                <w:bCs/>
                <w:color w:val="000000"/>
                <w:sz w:val="22"/>
                <w:szCs w:val="22"/>
                <w:lang w:eastAsia="en-US"/>
              </w:rPr>
            </w:pPr>
            <w:r w:rsidRPr="00C72AB5">
              <w:rPr>
                <w:rFonts w:ascii="GHEA Grapalat" w:hAnsi="GHEA Grapalat" w:cs="Calibri"/>
                <w:b/>
                <w:bCs/>
                <w:color w:val="000000"/>
                <w:sz w:val="22"/>
                <w:szCs w:val="22"/>
                <w:lang w:eastAsia="en-US"/>
              </w:rPr>
              <w:t>3949</w:t>
            </w:r>
          </w:p>
        </w:tc>
        <w:tc>
          <w:tcPr>
            <w:tcW w:w="676" w:type="dxa"/>
            <w:tcBorders>
              <w:top w:val="nil"/>
              <w:left w:val="nil"/>
              <w:bottom w:val="single" w:sz="4" w:space="0" w:color="auto"/>
              <w:right w:val="single" w:sz="4" w:space="0" w:color="auto"/>
            </w:tcBorders>
            <w:noWrap/>
            <w:vAlign w:val="center"/>
            <w:hideMark/>
          </w:tcPr>
          <w:p w14:paraId="4B53AD7B" w14:textId="77777777" w:rsidR="00F2241F" w:rsidRPr="00C72AB5" w:rsidRDefault="00F2241F" w:rsidP="0049437D">
            <w:pPr>
              <w:spacing w:line="276" w:lineRule="auto"/>
              <w:jc w:val="center"/>
              <w:rPr>
                <w:rFonts w:ascii="GHEA Grapalat" w:hAnsi="GHEA Grapalat" w:cs="Calibri"/>
                <w:b/>
                <w:bCs/>
                <w:color w:val="000000"/>
                <w:sz w:val="22"/>
                <w:szCs w:val="22"/>
                <w:lang w:eastAsia="en-US"/>
              </w:rPr>
            </w:pPr>
            <w:r w:rsidRPr="00C72AB5">
              <w:rPr>
                <w:rFonts w:ascii="GHEA Grapalat" w:hAnsi="GHEA Grapalat" w:cs="Calibri"/>
                <w:b/>
                <w:bCs/>
                <w:color w:val="000000"/>
                <w:sz w:val="22"/>
                <w:szCs w:val="22"/>
                <w:lang w:eastAsia="en-US"/>
              </w:rPr>
              <w:t>4003</w:t>
            </w:r>
          </w:p>
        </w:tc>
      </w:tr>
      <w:tr w:rsidR="00F2241F" w:rsidRPr="00C72AB5" w14:paraId="4BCB91D3" w14:textId="77777777" w:rsidTr="00F2241F">
        <w:trPr>
          <w:trHeight w:val="340"/>
        </w:trPr>
        <w:tc>
          <w:tcPr>
            <w:tcW w:w="1687" w:type="dxa"/>
            <w:tcBorders>
              <w:top w:val="nil"/>
              <w:left w:val="single" w:sz="4" w:space="0" w:color="auto"/>
              <w:bottom w:val="single" w:sz="4" w:space="0" w:color="auto"/>
              <w:right w:val="single" w:sz="4" w:space="0" w:color="auto"/>
            </w:tcBorders>
            <w:noWrap/>
            <w:vAlign w:val="center"/>
            <w:hideMark/>
          </w:tcPr>
          <w:p w14:paraId="1646DE20" w14:textId="77777777" w:rsidR="00F2241F" w:rsidRPr="00C72AB5" w:rsidRDefault="00F2241F" w:rsidP="0049437D">
            <w:pPr>
              <w:spacing w:line="276" w:lineRule="auto"/>
              <w:rPr>
                <w:rFonts w:ascii="GHEA Grapalat" w:hAnsi="GHEA Grapalat" w:cs="Calibri"/>
                <w:color w:val="000000"/>
                <w:sz w:val="22"/>
                <w:szCs w:val="22"/>
                <w:lang w:eastAsia="en-US"/>
              </w:rPr>
            </w:pPr>
            <w:r w:rsidRPr="00C72AB5">
              <w:rPr>
                <w:rFonts w:ascii="GHEA Grapalat" w:hAnsi="GHEA Grapalat" w:cs="Calibri"/>
                <w:color w:val="000000"/>
                <w:sz w:val="22"/>
                <w:szCs w:val="22"/>
                <w:lang w:eastAsia="en-US"/>
              </w:rPr>
              <w:t>հետազոտողների մասնաբաժինը</w:t>
            </w:r>
          </w:p>
        </w:tc>
        <w:tc>
          <w:tcPr>
            <w:tcW w:w="649" w:type="dxa"/>
            <w:tcBorders>
              <w:top w:val="nil"/>
              <w:left w:val="nil"/>
              <w:bottom w:val="single" w:sz="4" w:space="0" w:color="auto"/>
              <w:right w:val="single" w:sz="4" w:space="0" w:color="auto"/>
            </w:tcBorders>
            <w:noWrap/>
            <w:vAlign w:val="center"/>
            <w:hideMark/>
          </w:tcPr>
          <w:p w14:paraId="284171B7" w14:textId="77777777" w:rsidR="00F2241F" w:rsidRPr="00C72AB5" w:rsidRDefault="00F2241F" w:rsidP="0049437D">
            <w:pPr>
              <w:spacing w:line="276" w:lineRule="auto"/>
              <w:jc w:val="center"/>
              <w:rPr>
                <w:rFonts w:ascii="GHEA Grapalat" w:hAnsi="GHEA Grapalat" w:cs="Calibri"/>
                <w:color w:val="000000"/>
                <w:sz w:val="22"/>
                <w:szCs w:val="22"/>
                <w:lang w:eastAsia="en-US"/>
              </w:rPr>
            </w:pPr>
            <w:r w:rsidRPr="00C72AB5">
              <w:rPr>
                <w:rFonts w:ascii="GHEA Grapalat" w:hAnsi="GHEA Grapalat" w:cs="Calibri"/>
                <w:color w:val="000000"/>
                <w:sz w:val="22"/>
                <w:szCs w:val="22"/>
                <w:lang w:eastAsia="en-US"/>
              </w:rPr>
              <w:t>81%</w:t>
            </w:r>
          </w:p>
        </w:tc>
        <w:tc>
          <w:tcPr>
            <w:tcW w:w="640" w:type="dxa"/>
            <w:tcBorders>
              <w:top w:val="nil"/>
              <w:left w:val="nil"/>
              <w:bottom w:val="single" w:sz="4" w:space="0" w:color="auto"/>
              <w:right w:val="single" w:sz="4" w:space="0" w:color="auto"/>
            </w:tcBorders>
            <w:noWrap/>
            <w:vAlign w:val="center"/>
            <w:hideMark/>
          </w:tcPr>
          <w:p w14:paraId="71B44C6C" w14:textId="77777777" w:rsidR="00F2241F" w:rsidRPr="00C72AB5" w:rsidRDefault="00F2241F" w:rsidP="0049437D">
            <w:pPr>
              <w:spacing w:line="276" w:lineRule="auto"/>
              <w:jc w:val="center"/>
              <w:rPr>
                <w:rFonts w:ascii="GHEA Grapalat" w:hAnsi="GHEA Grapalat" w:cs="Calibri"/>
                <w:color w:val="000000"/>
                <w:sz w:val="22"/>
                <w:szCs w:val="22"/>
                <w:lang w:eastAsia="en-US"/>
              </w:rPr>
            </w:pPr>
            <w:r w:rsidRPr="00C72AB5">
              <w:rPr>
                <w:rFonts w:ascii="GHEA Grapalat" w:hAnsi="GHEA Grapalat" w:cs="Calibri"/>
                <w:color w:val="000000"/>
                <w:sz w:val="22"/>
                <w:szCs w:val="22"/>
                <w:lang w:eastAsia="en-US"/>
              </w:rPr>
              <w:t>80%</w:t>
            </w:r>
          </w:p>
        </w:tc>
        <w:tc>
          <w:tcPr>
            <w:tcW w:w="661" w:type="dxa"/>
            <w:tcBorders>
              <w:top w:val="nil"/>
              <w:left w:val="nil"/>
              <w:bottom w:val="single" w:sz="4" w:space="0" w:color="auto"/>
              <w:right w:val="single" w:sz="4" w:space="0" w:color="auto"/>
            </w:tcBorders>
            <w:noWrap/>
            <w:vAlign w:val="center"/>
            <w:hideMark/>
          </w:tcPr>
          <w:p w14:paraId="2CE4CE5C" w14:textId="77777777" w:rsidR="00F2241F" w:rsidRPr="00C72AB5" w:rsidRDefault="00F2241F" w:rsidP="0049437D">
            <w:pPr>
              <w:spacing w:line="276" w:lineRule="auto"/>
              <w:jc w:val="center"/>
              <w:rPr>
                <w:rFonts w:ascii="GHEA Grapalat" w:hAnsi="GHEA Grapalat" w:cs="Calibri"/>
                <w:color w:val="000000"/>
                <w:sz w:val="22"/>
                <w:szCs w:val="22"/>
                <w:lang w:eastAsia="en-US"/>
              </w:rPr>
            </w:pPr>
            <w:r w:rsidRPr="00C72AB5">
              <w:rPr>
                <w:rFonts w:ascii="GHEA Grapalat" w:hAnsi="GHEA Grapalat" w:cs="Calibri"/>
                <w:color w:val="000000"/>
                <w:sz w:val="22"/>
                <w:szCs w:val="22"/>
                <w:lang w:eastAsia="en-US"/>
              </w:rPr>
              <w:t>83%</w:t>
            </w:r>
          </w:p>
        </w:tc>
        <w:tc>
          <w:tcPr>
            <w:tcW w:w="654" w:type="dxa"/>
            <w:tcBorders>
              <w:top w:val="nil"/>
              <w:left w:val="nil"/>
              <w:bottom w:val="single" w:sz="4" w:space="0" w:color="auto"/>
              <w:right w:val="single" w:sz="4" w:space="0" w:color="auto"/>
            </w:tcBorders>
            <w:noWrap/>
            <w:vAlign w:val="center"/>
            <w:hideMark/>
          </w:tcPr>
          <w:p w14:paraId="60CD7477" w14:textId="77777777" w:rsidR="00F2241F" w:rsidRPr="00C72AB5" w:rsidRDefault="00F2241F" w:rsidP="0049437D">
            <w:pPr>
              <w:spacing w:line="276" w:lineRule="auto"/>
              <w:jc w:val="center"/>
              <w:rPr>
                <w:rFonts w:ascii="GHEA Grapalat" w:hAnsi="GHEA Grapalat" w:cs="Calibri"/>
                <w:color w:val="000000"/>
                <w:sz w:val="22"/>
                <w:szCs w:val="22"/>
                <w:lang w:eastAsia="en-US"/>
              </w:rPr>
            </w:pPr>
            <w:r w:rsidRPr="00C72AB5">
              <w:rPr>
                <w:rFonts w:ascii="GHEA Grapalat" w:hAnsi="GHEA Grapalat" w:cs="Calibri"/>
                <w:color w:val="000000"/>
                <w:sz w:val="22"/>
                <w:szCs w:val="22"/>
                <w:lang w:eastAsia="en-US"/>
              </w:rPr>
              <w:t>82%</w:t>
            </w:r>
          </w:p>
        </w:tc>
        <w:tc>
          <w:tcPr>
            <w:tcW w:w="662" w:type="dxa"/>
            <w:tcBorders>
              <w:top w:val="nil"/>
              <w:left w:val="nil"/>
              <w:bottom w:val="single" w:sz="4" w:space="0" w:color="auto"/>
              <w:right w:val="single" w:sz="4" w:space="0" w:color="auto"/>
            </w:tcBorders>
            <w:noWrap/>
            <w:vAlign w:val="center"/>
            <w:hideMark/>
          </w:tcPr>
          <w:p w14:paraId="44F9D94A" w14:textId="77777777" w:rsidR="00F2241F" w:rsidRPr="00C72AB5" w:rsidRDefault="00F2241F" w:rsidP="0049437D">
            <w:pPr>
              <w:spacing w:line="276" w:lineRule="auto"/>
              <w:jc w:val="center"/>
              <w:rPr>
                <w:rFonts w:ascii="GHEA Grapalat" w:hAnsi="GHEA Grapalat" w:cs="Calibri"/>
                <w:color w:val="000000"/>
                <w:sz w:val="22"/>
                <w:szCs w:val="22"/>
                <w:lang w:eastAsia="en-US"/>
              </w:rPr>
            </w:pPr>
            <w:r w:rsidRPr="00C72AB5">
              <w:rPr>
                <w:rFonts w:ascii="GHEA Grapalat" w:hAnsi="GHEA Grapalat" w:cs="Calibri"/>
                <w:color w:val="000000"/>
                <w:sz w:val="22"/>
                <w:szCs w:val="22"/>
                <w:lang w:eastAsia="en-US"/>
              </w:rPr>
              <w:t>79%</w:t>
            </w:r>
          </w:p>
        </w:tc>
        <w:tc>
          <w:tcPr>
            <w:tcW w:w="649" w:type="dxa"/>
            <w:tcBorders>
              <w:top w:val="nil"/>
              <w:left w:val="nil"/>
              <w:bottom w:val="single" w:sz="4" w:space="0" w:color="auto"/>
              <w:right w:val="single" w:sz="4" w:space="0" w:color="auto"/>
            </w:tcBorders>
            <w:noWrap/>
            <w:vAlign w:val="center"/>
            <w:hideMark/>
          </w:tcPr>
          <w:p w14:paraId="4011C07A" w14:textId="77777777" w:rsidR="00F2241F" w:rsidRPr="00C72AB5" w:rsidRDefault="00F2241F" w:rsidP="0049437D">
            <w:pPr>
              <w:spacing w:line="276" w:lineRule="auto"/>
              <w:jc w:val="center"/>
              <w:rPr>
                <w:rFonts w:ascii="GHEA Grapalat" w:hAnsi="GHEA Grapalat" w:cs="Calibri"/>
                <w:color w:val="000000"/>
                <w:sz w:val="22"/>
                <w:szCs w:val="22"/>
                <w:lang w:eastAsia="en-US"/>
              </w:rPr>
            </w:pPr>
            <w:r w:rsidRPr="00C72AB5">
              <w:rPr>
                <w:rFonts w:ascii="GHEA Grapalat" w:hAnsi="GHEA Grapalat" w:cs="Calibri"/>
                <w:color w:val="000000"/>
                <w:sz w:val="22"/>
                <w:szCs w:val="22"/>
                <w:lang w:eastAsia="en-US"/>
              </w:rPr>
              <w:t>80%</w:t>
            </w:r>
          </w:p>
        </w:tc>
        <w:tc>
          <w:tcPr>
            <w:tcW w:w="660" w:type="dxa"/>
            <w:tcBorders>
              <w:top w:val="nil"/>
              <w:left w:val="nil"/>
              <w:bottom w:val="single" w:sz="4" w:space="0" w:color="auto"/>
              <w:right w:val="single" w:sz="4" w:space="0" w:color="auto"/>
            </w:tcBorders>
            <w:noWrap/>
            <w:vAlign w:val="center"/>
            <w:hideMark/>
          </w:tcPr>
          <w:p w14:paraId="0411E4F0" w14:textId="77777777" w:rsidR="00F2241F" w:rsidRPr="00C72AB5" w:rsidRDefault="00F2241F" w:rsidP="0049437D">
            <w:pPr>
              <w:spacing w:line="276" w:lineRule="auto"/>
              <w:jc w:val="center"/>
              <w:rPr>
                <w:rFonts w:ascii="GHEA Grapalat" w:hAnsi="GHEA Grapalat" w:cs="Calibri"/>
                <w:color w:val="000000"/>
                <w:sz w:val="22"/>
                <w:szCs w:val="22"/>
                <w:lang w:eastAsia="en-US"/>
              </w:rPr>
            </w:pPr>
            <w:r w:rsidRPr="00C72AB5">
              <w:rPr>
                <w:rFonts w:ascii="GHEA Grapalat" w:hAnsi="GHEA Grapalat" w:cs="Calibri"/>
                <w:color w:val="000000"/>
                <w:sz w:val="22"/>
                <w:szCs w:val="22"/>
                <w:lang w:eastAsia="en-US"/>
              </w:rPr>
              <w:t>77%</w:t>
            </w:r>
          </w:p>
        </w:tc>
        <w:tc>
          <w:tcPr>
            <w:tcW w:w="667" w:type="dxa"/>
            <w:tcBorders>
              <w:top w:val="nil"/>
              <w:left w:val="nil"/>
              <w:bottom w:val="single" w:sz="4" w:space="0" w:color="auto"/>
              <w:right w:val="single" w:sz="4" w:space="0" w:color="auto"/>
            </w:tcBorders>
            <w:noWrap/>
            <w:vAlign w:val="center"/>
            <w:hideMark/>
          </w:tcPr>
          <w:p w14:paraId="3D886BC8" w14:textId="77777777" w:rsidR="00F2241F" w:rsidRPr="00C72AB5" w:rsidRDefault="00F2241F" w:rsidP="0049437D">
            <w:pPr>
              <w:spacing w:line="276" w:lineRule="auto"/>
              <w:jc w:val="center"/>
              <w:rPr>
                <w:rFonts w:ascii="GHEA Grapalat" w:hAnsi="GHEA Grapalat" w:cs="Calibri"/>
                <w:color w:val="000000"/>
                <w:sz w:val="22"/>
                <w:szCs w:val="22"/>
                <w:lang w:eastAsia="en-US"/>
              </w:rPr>
            </w:pPr>
            <w:r w:rsidRPr="00C72AB5">
              <w:rPr>
                <w:rFonts w:ascii="GHEA Grapalat" w:hAnsi="GHEA Grapalat" w:cs="Calibri"/>
                <w:color w:val="000000"/>
                <w:sz w:val="22"/>
                <w:szCs w:val="22"/>
                <w:lang w:eastAsia="en-US"/>
              </w:rPr>
              <w:t>81%</w:t>
            </w:r>
          </w:p>
        </w:tc>
        <w:tc>
          <w:tcPr>
            <w:tcW w:w="688" w:type="dxa"/>
            <w:tcBorders>
              <w:top w:val="nil"/>
              <w:left w:val="nil"/>
              <w:bottom w:val="single" w:sz="4" w:space="0" w:color="auto"/>
              <w:right w:val="single" w:sz="4" w:space="0" w:color="auto"/>
            </w:tcBorders>
            <w:noWrap/>
            <w:vAlign w:val="center"/>
            <w:hideMark/>
          </w:tcPr>
          <w:p w14:paraId="359BB205" w14:textId="77777777" w:rsidR="00F2241F" w:rsidRPr="00C72AB5" w:rsidRDefault="00F2241F" w:rsidP="0049437D">
            <w:pPr>
              <w:spacing w:line="276" w:lineRule="auto"/>
              <w:jc w:val="center"/>
              <w:rPr>
                <w:rFonts w:ascii="GHEA Grapalat" w:hAnsi="GHEA Grapalat" w:cs="Calibri"/>
                <w:color w:val="000000"/>
                <w:sz w:val="22"/>
                <w:szCs w:val="22"/>
                <w:lang w:eastAsia="en-US"/>
              </w:rPr>
            </w:pPr>
            <w:r w:rsidRPr="00C72AB5">
              <w:rPr>
                <w:rFonts w:ascii="GHEA Grapalat" w:hAnsi="GHEA Grapalat" w:cs="Calibri"/>
                <w:color w:val="000000"/>
                <w:sz w:val="22"/>
                <w:szCs w:val="22"/>
                <w:lang w:eastAsia="en-US"/>
              </w:rPr>
              <w:t>81%</w:t>
            </w:r>
          </w:p>
        </w:tc>
        <w:tc>
          <w:tcPr>
            <w:tcW w:w="676" w:type="dxa"/>
            <w:tcBorders>
              <w:top w:val="nil"/>
              <w:left w:val="nil"/>
              <w:bottom w:val="single" w:sz="4" w:space="0" w:color="auto"/>
              <w:right w:val="single" w:sz="4" w:space="0" w:color="auto"/>
            </w:tcBorders>
            <w:noWrap/>
            <w:vAlign w:val="center"/>
            <w:hideMark/>
          </w:tcPr>
          <w:p w14:paraId="310945E8" w14:textId="77777777" w:rsidR="00F2241F" w:rsidRPr="00C72AB5" w:rsidRDefault="00F2241F" w:rsidP="0049437D">
            <w:pPr>
              <w:spacing w:line="276" w:lineRule="auto"/>
              <w:jc w:val="center"/>
              <w:rPr>
                <w:rFonts w:ascii="GHEA Grapalat" w:hAnsi="GHEA Grapalat" w:cs="Calibri"/>
                <w:color w:val="000000"/>
                <w:sz w:val="22"/>
                <w:szCs w:val="22"/>
                <w:lang w:eastAsia="en-US"/>
              </w:rPr>
            </w:pPr>
            <w:r w:rsidRPr="00C72AB5">
              <w:rPr>
                <w:rFonts w:ascii="GHEA Grapalat" w:hAnsi="GHEA Grapalat" w:cs="Calibri"/>
                <w:color w:val="000000"/>
                <w:sz w:val="22"/>
                <w:szCs w:val="22"/>
                <w:lang w:eastAsia="en-US"/>
              </w:rPr>
              <w:t>82%</w:t>
            </w:r>
          </w:p>
        </w:tc>
      </w:tr>
      <w:tr w:rsidR="00F2241F" w:rsidRPr="00C72AB5" w14:paraId="723F3AB3" w14:textId="77777777" w:rsidTr="00F2241F">
        <w:trPr>
          <w:trHeight w:val="340"/>
        </w:trPr>
        <w:tc>
          <w:tcPr>
            <w:tcW w:w="1687" w:type="dxa"/>
            <w:tcBorders>
              <w:top w:val="nil"/>
              <w:left w:val="single" w:sz="4" w:space="0" w:color="auto"/>
              <w:bottom w:val="single" w:sz="4" w:space="0" w:color="auto"/>
              <w:right w:val="single" w:sz="4" w:space="0" w:color="auto"/>
            </w:tcBorders>
            <w:noWrap/>
            <w:vAlign w:val="center"/>
            <w:hideMark/>
          </w:tcPr>
          <w:p w14:paraId="5BA61C80" w14:textId="77777777" w:rsidR="00F2241F" w:rsidRPr="00C72AB5" w:rsidRDefault="00F2241F" w:rsidP="0049437D">
            <w:pPr>
              <w:spacing w:line="276" w:lineRule="auto"/>
              <w:rPr>
                <w:rFonts w:ascii="GHEA Grapalat" w:hAnsi="GHEA Grapalat" w:cs="Calibri"/>
                <w:color w:val="000000"/>
                <w:sz w:val="22"/>
                <w:szCs w:val="22"/>
                <w:lang w:eastAsia="en-US"/>
              </w:rPr>
            </w:pPr>
            <w:r w:rsidRPr="00C72AB5">
              <w:rPr>
                <w:rFonts w:ascii="GHEA Grapalat" w:hAnsi="GHEA Grapalat" w:cs="Calibri"/>
                <w:color w:val="000000"/>
                <w:sz w:val="22"/>
                <w:szCs w:val="22"/>
                <w:lang w:eastAsia="en-US"/>
              </w:rPr>
              <w:t>օժանդակ անձնակազմ</w:t>
            </w:r>
          </w:p>
        </w:tc>
        <w:tc>
          <w:tcPr>
            <w:tcW w:w="649" w:type="dxa"/>
            <w:tcBorders>
              <w:top w:val="nil"/>
              <w:left w:val="nil"/>
              <w:bottom w:val="single" w:sz="4" w:space="0" w:color="auto"/>
              <w:right w:val="single" w:sz="4" w:space="0" w:color="auto"/>
            </w:tcBorders>
            <w:noWrap/>
            <w:vAlign w:val="center"/>
            <w:hideMark/>
          </w:tcPr>
          <w:p w14:paraId="30CACEBB" w14:textId="77777777" w:rsidR="00F2241F" w:rsidRPr="00C72AB5" w:rsidRDefault="00F2241F" w:rsidP="0049437D">
            <w:pPr>
              <w:spacing w:line="276" w:lineRule="auto"/>
              <w:jc w:val="center"/>
              <w:rPr>
                <w:rFonts w:ascii="GHEA Grapalat" w:hAnsi="GHEA Grapalat" w:cs="Calibri"/>
                <w:color w:val="000000"/>
                <w:sz w:val="22"/>
                <w:szCs w:val="22"/>
                <w:lang w:eastAsia="en-US"/>
              </w:rPr>
            </w:pPr>
            <w:r w:rsidRPr="00C72AB5">
              <w:rPr>
                <w:rFonts w:ascii="GHEA Grapalat" w:hAnsi="GHEA Grapalat" w:cs="Calibri"/>
                <w:color w:val="000000"/>
                <w:sz w:val="22"/>
                <w:szCs w:val="22"/>
                <w:lang w:eastAsia="en-US"/>
              </w:rPr>
              <w:t>605</w:t>
            </w:r>
          </w:p>
        </w:tc>
        <w:tc>
          <w:tcPr>
            <w:tcW w:w="640" w:type="dxa"/>
            <w:tcBorders>
              <w:top w:val="nil"/>
              <w:left w:val="nil"/>
              <w:bottom w:val="single" w:sz="4" w:space="0" w:color="auto"/>
              <w:right w:val="single" w:sz="4" w:space="0" w:color="auto"/>
            </w:tcBorders>
            <w:noWrap/>
            <w:vAlign w:val="center"/>
            <w:hideMark/>
          </w:tcPr>
          <w:p w14:paraId="6F69A848" w14:textId="77777777" w:rsidR="00F2241F" w:rsidRPr="00C72AB5" w:rsidRDefault="00F2241F" w:rsidP="0049437D">
            <w:pPr>
              <w:spacing w:line="276" w:lineRule="auto"/>
              <w:jc w:val="center"/>
              <w:rPr>
                <w:rFonts w:ascii="GHEA Grapalat" w:hAnsi="GHEA Grapalat" w:cs="Calibri"/>
                <w:color w:val="000000"/>
                <w:sz w:val="22"/>
                <w:szCs w:val="22"/>
                <w:lang w:eastAsia="en-US"/>
              </w:rPr>
            </w:pPr>
            <w:r w:rsidRPr="00C72AB5">
              <w:rPr>
                <w:rFonts w:ascii="GHEA Grapalat" w:hAnsi="GHEA Grapalat" w:cs="Calibri"/>
                <w:color w:val="000000"/>
                <w:sz w:val="22"/>
                <w:szCs w:val="22"/>
                <w:lang w:eastAsia="en-US"/>
              </w:rPr>
              <w:t>673</w:t>
            </w:r>
          </w:p>
        </w:tc>
        <w:tc>
          <w:tcPr>
            <w:tcW w:w="661" w:type="dxa"/>
            <w:tcBorders>
              <w:top w:val="nil"/>
              <w:left w:val="nil"/>
              <w:bottom w:val="single" w:sz="4" w:space="0" w:color="auto"/>
              <w:right w:val="single" w:sz="4" w:space="0" w:color="auto"/>
            </w:tcBorders>
            <w:noWrap/>
            <w:vAlign w:val="center"/>
            <w:hideMark/>
          </w:tcPr>
          <w:p w14:paraId="4369D5E1" w14:textId="77777777" w:rsidR="00F2241F" w:rsidRPr="00C72AB5" w:rsidRDefault="00F2241F" w:rsidP="0049437D">
            <w:pPr>
              <w:spacing w:line="276" w:lineRule="auto"/>
              <w:jc w:val="center"/>
              <w:rPr>
                <w:rFonts w:ascii="GHEA Grapalat" w:hAnsi="GHEA Grapalat" w:cs="Calibri"/>
                <w:color w:val="000000"/>
                <w:sz w:val="22"/>
                <w:szCs w:val="22"/>
                <w:lang w:eastAsia="en-US"/>
              </w:rPr>
            </w:pPr>
            <w:r w:rsidRPr="00C72AB5">
              <w:rPr>
                <w:rFonts w:ascii="GHEA Grapalat" w:hAnsi="GHEA Grapalat" w:cs="Calibri"/>
                <w:color w:val="000000"/>
                <w:sz w:val="22"/>
                <w:szCs w:val="22"/>
                <w:lang w:eastAsia="en-US"/>
              </w:rPr>
              <w:t>503</w:t>
            </w:r>
          </w:p>
        </w:tc>
        <w:tc>
          <w:tcPr>
            <w:tcW w:w="654" w:type="dxa"/>
            <w:tcBorders>
              <w:top w:val="nil"/>
              <w:left w:val="nil"/>
              <w:bottom w:val="single" w:sz="4" w:space="0" w:color="auto"/>
              <w:right w:val="single" w:sz="4" w:space="0" w:color="auto"/>
            </w:tcBorders>
            <w:noWrap/>
            <w:vAlign w:val="center"/>
            <w:hideMark/>
          </w:tcPr>
          <w:p w14:paraId="4E3EFF2A" w14:textId="77777777" w:rsidR="00F2241F" w:rsidRPr="00C72AB5" w:rsidRDefault="00F2241F" w:rsidP="0049437D">
            <w:pPr>
              <w:spacing w:line="276" w:lineRule="auto"/>
              <w:jc w:val="center"/>
              <w:rPr>
                <w:rFonts w:ascii="GHEA Grapalat" w:hAnsi="GHEA Grapalat" w:cs="Calibri"/>
                <w:color w:val="000000"/>
                <w:sz w:val="22"/>
                <w:szCs w:val="22"/>
                <w:lang w:eastAsia="en-US"/>
              </w:rPr>
            </w:pPr>
            <w:r w:rsidRPr="00C72AB5">
              <w:rPr>
                <w:rFonts w:ascii="GHEA Grapalat" w:hAnsi="GHEA Grapalat" w:cs="Calibri"/>
                <w:color w:val="000000"/>
                <w:sz w:val="22"/>
                <w:szCs w:val="22"/>
                <w:lang w:eastAsia="en-US"/>
              </w:rPr>
              <w:t>537</w:t>
            </w:r>
          </w:p>
        </w:tc>
        <w:tc>
          <w:tcPr>
            <w:tcW w:w="662" w:type="dxa"/>
            <w:tcBorders>
              <w:top w:val="nil"/>
              <w:left w:val="nil"/>
              <w:bottom w:val="single" w:sz="4" w:space="0" w:color="auto"/>
              <w:right w:val="single" w:sz="4" w:space="0" w:color="auto"/>
            </w:tcBorders>
            <w:noWrap/>
            <w:vAlign w:val="center"/>
            <w:hideMark/>
          </w:tcPr>
          <w:p w14:paraId="61CFD3B5" w14:textId="77777777" w:rsidR="00F2241F" w:rsidRPr="00C72AB5" w:rsidRDefault="00F2241F" w:rsidP="0049437D">
            <w:pPr>
              <w:spacing w:line="276" w:lineRule="auto"/>
              <w:jc w:val="center"/>
              <w:rPr>
                <w:rFonts w:ascii="GHEA Grapalat" w:hAnsi="GHEA Grapalat" w:cs="Calibri"/>
                <w:color w:val="000000"/>
                <w:sz w:val="22"/>
                <w:szCs w:val="22"/>
                <w:lang w:eastAsia="en-US"/>
              </w:rPr>
            </w:pPr>
            <w:r w:rsidRPr="00C72AB5">
              <w:rPr>
                <w:rFonts w:ascii="GHEA Grapalat" w:hAnsi="GHEA Grapalat" w:cs="Calibri"/>
                <w:color w:val="000000"/>
                <w:sz w:val="22"/>
                <w:szCs w:val="22"/>
                <w:lang w:eastAsia="en-US"/>
              </w:rPr>
              <w:t>527</w:t>
            </w:r>
          </w:p>
        </w:tc>
        <w:tc>
          <w:tcPr>
            <w:tcW w:w="649" w:type="dxa"/>
            <w:tcBorders>
              <w:top w:val="nil"/>
              <w:left w:val="nil"/>
              <w:bottom w:val="single" w:sz="4" w:space="0" w:color="auto"/>
              <w:right w:val="single" w:sz="4" w:space="0" w:color="auto"/>
            </w:tcBorders>
            <w:noWrap/>
            <w:vAlign w:val="center"/>
            <w:hideMark/>
          </w:tcPr>
          <w:p w14:paraId="7CF9C4B4" w14:textId="77777777" w:rsidR="00F2241F" w:rsidRPr="00C72AB5" w:rsidRDefault="00F2241F" w:rsidP="0049437D">
            <w:pPr>
              <w:spacing w:line="276" w:lineRule="auto"/>
              <w:jc w:val="center"/>
              <w:rPr>
                <w:rFonts w:ascii="GHEA Grapalat" w:hAnsi="GHEA Grapalat" w:cs="Calibri"/>
                <w:color w:val="000000"/>
                <w:sz w:val="22"/>
                <w:szCs w:val="22"/>
                <w:lang w:eastAsia="en-US"/>
              </w:rPr>
            </w:pPr>
            <w:r w:rsidRPr="00C72AB5">
              <w:rPr>
                <w:rFonts w:ascii="GHEA Grapalat" w:hAnsi="GHEA Grapalat" w:cs="Calibri"/>
                <w:color w:val="000000"/>
                <w:sz w:val="22"/>
                <w:szCs w:val="22"/>
                <w:lang w:eastAsia="en-US"/>
              </w:rPr>
              <w:t>453</w:t>
            </w:r>
          </w:p>
        </w:tc>
        <w:tc>
          <w:tcPr>
            <w:tcW w:w="660" w:type="dxa"/>
            <w:tcBorders>
              <w:top w:val="nil"/>
              <w:left w:val="nil"/>
              <w:bottom w:val="single" w:sz="4" w:space="0" w:color="auto"/>
              <w:right w:val="single" w:sz="4" w:space="0" w:color="auto"/>
            </w:tcBorders>
            <w:noWrap/>
            <w:vAlign w:val="center"/>
            <w:hideMark/>
          </w:tcPr>
          <w:p w14:paraId="14FC3A8F" w14:textId="77777777" w:rsidR="00F2241F" w:rsidRPr="00C72AB5" w:rsidRDefault="00F2241F" w:rsidP="0049437D">
            <w:pPr>
              <w:spacing w:line="276" w:lineRule="auto"/>
              <w:jc w:val="center"/>
              <w:rPr>
                <w:rFonts w:ascii="GHEA Grapalat" w:hAnsi="GHEA Grapalat" w:cs="Calibri"/>
                <w:color w:val="000000"/>
                <w:sz w:val="22"/>
                <w:szCs w:val="22"/>
                <w:lang w:eastAsia="en-US"/>
              </w:rPr>
            </w:pPr>
            <w:r w:rsidRPr="00C72AB5">
              <w:rPr>
                <w:rFonts w:ascii="GHEA Grapalat" w:hAnsi="GHEA Grapalat" w:cs="Calibri"/>
                <w:color w:val="000000"/>
                <w:sz w:val="22"/>
                <w:szCs w:val="22"/>
                <w:lang w:eastAsia="en-US"/>
              </w:rPr>
              <w:t>457</w:t>
            </w:r>
          </w:p>
        </w:tc>
        <w:tc>
          <w:tcPr>
            <w:tcW w:w="667" w:type="dxa"/>
            <w:tcBorders>
              <w:top w:val="nil"/>
              <w:left w:val="nil"/>
              <w:bottom w:val="single" w:sz="4" w:space="0" w:color="auto"/>
              <w:right w:val="single" w:sz="4" w:space="0" w:color="auto"/>
            </w:tcBorders>
            <w:noWrap/>
            <w:vAlign w:val="center"/>
            <w:hideMark/>
          </w:tcPr>
          <w:p w14:paraId="2B5F3B85" w14:textId="77777777" w:rsidR="00F2241F" w:rsidRPr="00C72AB5" w:rsidRDefault="00F2241F" w:rsidP="0049437D">
            <w:pPr>
              <w:spacing w:line="276" w:lineRule="auto"/>
              <w:jc w:val="center"/>
              <w:rPr>
                <w:rFonts w:ascii="GHEA Grapalat" w:hAnsi="GHEA Grapalat" w:cs="Calibri"/>
                <w:color w:val="000000"/>
                <w:sz w:val="22"/>
                <w:szCs w:val="22"/>
                <w:lang w:eastAsia="en-US"/>
              </w:rPr>
            </w:pPr>
            <w:r w:rsidRPr="00C72AB5">
              <w:rPr>
                <w:rFonts w:ascii="GHEA Grapalat" w:hAnsi="GHEA Grapalat" w:cs="Calibri"/>
                <w:color w:val="000000"/>
                <w:sz w:val="22"/>
                <w:szCs w:val="22"/>
                <w:lang w:eastAsia="en-US"/>
              </w:rPr>
              <w:t>485</w:t>
            </w:r>
          </w:p>
        </w:tc>
        <w:tc>
          <w:tcPr>
            <w:tcW w:w="688" w:type="dxa"/>
            <w:tcBorders>
              <w:top w:val="nil"/>
              <w:left w:val="nil"/>
              <w:bottom w:val="single" w:sz="4" w:space="0" w:color="auto"/>
              <w:right w:val="single" w:sz="4" w:space="0" w:color="auto"/>
            </w:tcBorders>
            <w:noWrap/>
            <w:vAlign w:val="center"/>
            <w:hideMark/>
          </w:tcPr>
          <w:p w14:paraId="7F7B204C" w14:textId="77777777" w:rsidR="00F2241F" w:rsidRPr="00C72AB5" w:rsidRDefault="00F2241F" w:rsidP="0049437D">
            <w:pPr>
              <w:spacing w:line="276" w:lineRule="auto"/>
              <w:jc w:val="center"/>
              <w:rPr>
                <w:rFonts w:ascii="GHEA Grapalat" w:hAnsi="GHEA Grapalat" w:cs="Calibri"/>
                <w:color w:val="000000"/>
                <w:sz w:val="22"/>
                <w:szCs w:val="22"/>
                <w:lang w:eastAsia="en-US"/>
              </w:rPr>
            </w:pPr>
            <w:r w:rsidRPr="00C72AB5">
              <w:rPr>
                <w:rFonts w:ascii="GHEA Grapalat" w:hAnsi="GHEA Grapalat" w:cs="Calibri"/>
                <w:color w:val="000000"/>
                <w:sz w:val="22"/>
                <w:szCs w:val="22"/>
                <w:lang w:eastAsia="en-US"/>
              </w:rPr>
              <w:t>510</w:t>
            </w:r>
          </w:p>
        </w:tc>
        <w:tc>
          <w:tcPr>
            <w:tcW w:w="676" w:type="dxa"/>
            <w:tcBorders>
              <w:top w:val="nil"/>
              <w:left w:val="nil"/>
              <w:bottom w:val="single" w:sz="4" w:space="0" w:color="auto"/>
              <w:right w:val="single" w:sz="4" w:space="0" w:color="auto"/>
            </w:tcBorders>
            <w:noWrap/>
            <w:vAlign w:val="center"/>
            <w:hideMark/>
          </w:tcPr>
          <w:p w14:paraId="319312A6" w14:textId="77777777" w:rsidR="00F2241F" w:rsidRPr="00C72AB5" w:rsidRDefault="00F2241F" w:rsidP="0049437D">
            <w:pPr>
              <w:spacing w:line="276" w:lineRule="auto"/>
              <w:jc w:val="center"/>
              <w:rPr>
                <w:rFonts w:ascii="GHEA Grapalat" w:hAnsi="GHEA Grapalat" w:cs="Calibri"/>
                <w:color w:val="000000"/>
                <w:sz w:val="22"/>
                <w:szCs w:val="22"/>
                <w:lang w:eastAsia="en-US"/>
              </w:rPr>
            </w:pPr>
            <w:r w:rsidRPr="00C72AB5">
              <w:rPr>
                <w:rFonts w:ascii="GHEA Grapalat" w:hAnsi="GHEA Grapalat" w:cs="Calibri"/>
                <w:color w:val="000000"/>
                <w:sz w:val="22"/>
                <w:szCs w:val="22"/>
                <w:lang w:eastAsia="en-US"/>
              </w:rPr>
              <w:t>861</w:t>
            </w:r>
          </w:p>
        </w:tc>
      </w:tr>
      <w:tr w:rsidR="00F2241F" w:rsidRPr="00C72AB5" w14:paraId="0600E596" w14:textId="77777777" w:rsidTr="00F2241F">
        <w:trPr>
          <w:trHeight w:val="340"/>
        </w:trPr>
        <w:tc>
          <w:tcPr>
            <w:tcW w:w="1687" w:type="dxa"/>
            <w:tcBorders>
              <w:top w:val="nil"/>
              <w:left w:val="single" w:sz="4" w:space="0" w:color="auto"/>
              <w:bottom w:val="single" w:sz="4" w:space="0" w:color="auto"/>
              <w:right w:val="single" w:sz="4" w:space="0" w:color="auto"/>
            </w:tcBorders>
            <w:noWrap/>
            <w:vAlign w:val="center"/>
            <w:hideMark/>
          </w:tcPr>
          <w:p w14:paraId="7EBBE168" w14:textId="73F0D39C" w:rsidR="00F2241F" w:rsidRPr="00C72AB5" w:rsidRDefault="008A1CF0" w:rsidP="0049437D">
            <w:pPr>
              <w:spacing w:line="276" w:lineRule="auto"/>
              <w:rPr>
                <w:rFonts w:ascii="GHEA Grapalat" w:hAnsi="GHEA Grapalat" w:cs="Calibri"/>
                <w:color w:val="000000"/>
                <w:sz w:val="22"/>
                <w:szCs w:val="22"/>
                <w:lang w:eastAsia="en-US"/>
              </w:rPr>
            </w:pPr>
            <w:r w:rsidRPr="00C72AB5">
              <w:rPr>
                <w:rFonts w:ascii="GHEA Grapalat" w:hAnsi="GHEA Grapalat" w:cs="Calibri"/>
                <w:color w:val="000000"/>
                <w:sz w:val="22"/>
                <w:szCs w:val="22"/>
                <w:lang w:eastAsia="en-US"/>
              </w:rPr>
              <w:t>Ա</w:t>
            </w:r>
            <w:r w:rsidR="00F2241F" w:rsidRPr="00C72AB5">
              <w:rPr>
                <w:rFonts w:ascii="GHEA Grapalat" w:hAnsi="GHEA Grapalat" w:cs="Calibri"/>
                <w:color w:val="000000"/>
                <w:sz w:val="22"/>
                <w:szCs w:val="22"/>
                <w:lang w:eastAsia="en-US"/>
              </w:rPr>
              <w:t>յլ</w:t>
            </w:r>
          </w:p>
        </w:tc>
        <w:tc>
          <w:tcPr>
            <w:tcW w:w="649" w:type="dxa"/>
            <w:tcBorders>
              <w:top w:val="nil"/>
              <w:left w:val="nil"/>
              <w:bottom w:val="single" w:sz="4" w:space="0" w:color="auto"/>
              <w:right w:val="single" w:sz="4" w:space="0" w:color="auto"/>
            </w:tcBorders>
            <w:noWrap/>
            <w:vAlign w:val="center"/>
            <w:hideMark/>
          </w:tcPr>
          <w:p w14:paraId="265EB349" w14:textId="77777777" w:rsidR="00F2241F" w:rsidRPr="00C72AB5" w:rsidRDefault="00F2241F" w:rsidP="0049437D">
            <w:pPr>
              <w:spacing w:line="276" w:lineRule="auto"/>
              <w:jc w:val="center"/>
              <w:rPr>
                <w:rFonts w:ascii="GHEA Grapalat" w:hAnsi="GHEA Grapalat" w:cs="Calibri"/>
                <w:color w:val="000000"/>
                <w:sz w:val="22"/>
                <w:szCs w:val="22"/>
                <w:lang w:eastAsia="en-US"/>
              </w:rPr>
            </w:pPr>
            <w:r w:rsidRPr="00C72AB5">
              <w:rPr>
                <w:rFonts w:ascii="GHEA Grapalat" w:hAnsi="GHEA Grapalat" w:cs="Calibri"/>
                <w:color w:val="000000"/>
                <w:sz w:val="22"/>
                <w:szCs w:val="22"/>
                <w:lang w:eastAsia="en-US"/>
              </w:rPr>
              <w:t>391</w:t>
            </w:r>
          </w:p>
        </w:tc>
        <w:tc>
          <w:tcPr>
            <w:tcW w:w="640" w:type="dxa"/>
            <w:tcBorders>
              <w:top w:val="nil"/>
              <w:left w:val="nil"/>
              <w:bottom w:val="single" w:sz="4" w:space="0" w:color="auto"/>
              <w:right w:val="single" w:sz="4" w:space="0" w:color="auto"/>
            </w:tcBorders>
            <w:noWrap/>
            <w:vAlign w:val="center"/>
            <w:hideMark/>
          </w:tcPr>
          <w:p w14:paraId="1A10B2F1" w14:textId="77777777" w:rsidR="00F2241F" w:rsidRPr="00C72AB5" w:rsidRDefault="00F2241F" w:rsidP="0049437D">
            <w:pPr>
              <w:spacing w:line="276" w:lineRule="auto"/>
              <w:jc w:val="center"/>
              <w:rPr>
                <w:rFonts w:ascii="GHEA Grapalat" w:hAnsi="GHEA Grapalat" w:cs="Calibri"/>
                <w:color w:val="000000"/>
                <w:sz w:val="22"/>
                <w:szCs w:val="22"/>
                <w:lang w:eastAsia="en-US"/>
              </w:rPr>
            </w:pPr>
            <w:r w:rsidRPr="00C72AB5">
              <w:rPr>
                <w:rFonts w:ascii="GHEA Grapalat" w:hAnsi="GHEA Grapalat" w:cs="Calibri"/>
                <w:color w:val="000000"/>
                <w:sz w:val="22"/>
                <w:szCs w:val="22"/>
                <w:lang w:eastAsia="en-US"/>
              </w:rPr>
              <w:t>440</w:t>
            </w:r>
          </w:p>
        </w:tc>
        <w:tc>
          <w:tcPr>
            <w:tcW w:w="661" w:type="dxa"/>
            <w:tcBorders>
              <w:top w:val="nil"/>
              <w:left w:val="nil"/>
              <w:bottom w:val="single" w:sz="4" w:space="0" w:color="auto"/>
              <w:right w:val="single" w:sz="4" w:space="0" w:color="auto"/>
            </w:tcBorders>
            <w:noWrap/>
            <w:vAlign w:val="center"/>
            <w:hideMark/>
          </w:tcPr>
          <w:p w14:paraId="0DAD7C9A" w14:textId="77777777" w:rsidR="00F2241F" w:rsidRPr="00C72AB5" w:rsidRDefault="00F2241F" w:rsidP="0049437D">
            <w:pPr>
              <w:spacing w:line="276" w:lineRule="auto"/>
              <w:jc w:val="center"/>
              <w:rPr>
                <w:rFonts w:ascii="GHEA Grapalat" w:hAnsi="GHEA Grapalat" w:cs="Calibri"/>
                <w:color w:val="000000"/>
                <w:sz w:val="22"/>
                <w:szCs w:val="22"/>
                <w:lang w:eastAsia="en-US"/>
              </w:rPr>
            </w:pPr>
            <w:r w:rsidRPr="00C72AB5">
              <w:rPr>
                <w:rFonts w:ascii="GHEA Grapalat" w:hAnsi="GHEA Grapalat" w:cs="Calibri"/>
                <w:color w:val="000000"/>
                <w:sz w:val="22"/>
                <w:szCs w:val="22"/>
                <w:lang w:eastAsia="en-US"/>
              </w:rPr>
              <w:t>377</w:t>
            </w:r>
          </w:p>
        </w:tc>
        <w:tc>
          <w:tcPr>
            <w:tcW w:w="654" w:type="dxa"/>
            <w:tcBorders>
              <w:top w:val="nil"/>
              <w:left w:val="nil"/>
              <w:bottom w:val="single" w:sz="4" w:space="0" w:color="auto"/>
              <w:right w:val="single" w:sz="4" w:space="0" w:color="auto"/>
            </w:tcBorders>
            <w:noWrap/>
            <w:vAlign w:val="center"/>
            <w:hideMark/>
          </w:tcPr>
          <w:p w14:paraId="5391EA80" w14:textId="77777777" w:rsidR="00F2241F" w:rsidRPr="00C72AB5" w:rsidRDefault="00F2241F" w:rsidP="0049437D">
            <w:pPr>
              <w:spacing w:line="276" w:lineRule="auto"/>
              <w:jc w:val="center"/>
              <w:rPr>
                <w:rFonts w:ascii="GHEA Grapalat" w:hAnsi="GHEA Grapalat" w:cs="Calibri"/>
                <w:color w:val="000000"/>
                <w:sz w:val="22"/>
                <w:szCs w:val="22"/>
                <w:lang w:eastAsia="en-US"/>
              </w:rPr>
            </w:pPr>
            <w:r w:rsidRPr="00C72AB5">
              <w:rPr>
                <w:rFonts w:ascii="GHEA Grapalat" w:hAnsi="GHEA Grapalat" w:cs="Calibri"/>
                <w:color w:val="000000"/>
                <w:sz w:val="22"/>
                <w:szCs w:val="22"/>
                <w:lang w:eastAsia="en-US"/>
              </w:rPr>
              <w:t>342</w:t>
            </w:r>
          </w:p>
        </w:tc>
        <w:tc>
          <w:tcPr>
            <w:tcW w:w="662" w:type="dxa"/>
            <w:tcBorders>
              <w:top w:val="nil"/>
              <w:left w:val="nil"/>
              <w:bottom w:val="single" w:sz="4" w:space="0" w:color="auto"/>
              <w:right w:val="single" w:sz="4" w:space="0" w:color="auto"/>
            </w:tcBorders>
            <w:noWrap/>
            <w:vAlign w:val="center"/>
            <w:hideMark/>
          </w:tcPr>
          <w:p w14:paraId="1FDE0013" w14:textId="77777777" w:rsidR="00F2241F" w:rsidRPr="00C72AB5" w:rsidRDefault="00F2241F" w:rsidP="0049437D">
            <w:pPr>
              <w:spacing w:line="276" w:lineRule="auto"/>
              <w:jc w:val="center"/>
              <w:rPr>
                <w:rFonts w:ascii="GHEA Grapalat" w:hAnsi="GHEA Grapalat" w:cs="Calibri"/>
                <w:color w:val="000000"/>
                <w:sz w:val="22"/>
                <w:szCs w:val="22"/>
                <w:lang w:eastAsia="en-US"/>
              </w:rPr>
            </w:pPr>
            <w:r w:rsidRPr="00C72AB5">
              <w:rPr>
                <w:rFonts w:ascii="GHEA Grapalat" w:hAnsi="GHEA Grapalat" w:cs="Calibri"/>
                <w:color w:val="000000"/>
                <w:sz w:val="22"/>
                <w:szCs w:val="22"/>
                <w:lang w:eastAsia="en-US"/>
              </w:rPr>
              <w:t>488</w:t>
            </w:r>
          </w:p>
        </w:tc>
        <w:tc>
          <w:tcPr>
            <w:tcW w:w="649" w:type="dxa"/>
            <w:tcBorders>
              <w:top w:val="nil"/>
              <w:left w:val="nil"/>
              <w:bottom w:val="single" w:sz="4" w:space="0" w:color="auto"/>
              <w:right w:val="single" w:sz="4" w:space="0" w:color="auto"/>
            </w:tcBorders>
            <w:noWrap/>
            <w:vAlign w:val="center"/>
            <w:hideMark/>
          </w:tcPr>
          <w:p w14:paraId="22B5AEFF" w14:textId="77777777" w:rsidR="00F2241F" w:rsidRPr="00C72AB5" w:rsidRDefault="00F2241F" w:rsidP="0049437D">
            <w:pPr>
              <w:spacing w:line="276" w:lineRule="auto"/>
              <w:jc w:val="center"/>
              <w:rPr>
                <w:rFonts w:ascii="GHEA Grapalat" w:hAnsi="GHEA Grapalat" w:cs="Calibri"/>
                <w:color w:val="000000"/>
                <w:sz w:val="22"/>
                <w:szCs w:val="22"/>
                <w:lang w:eastAsia="en-US"/>
              </w:rPr>
            </w:pPr>
            <w:r w:rsidRPr="00C72AB5">
              <w:rPr>
                <w:rFonts w:ascii="GHEA Grapalat" w:hAnsi="GHEA Grapalat" w:cs="Calibri"/>
                <w:color w:val="000000"/>
                <w:sz w:val="22"/>
                <w:szCs w:val="22"/>
                <w:lang w:eastAsia="en-US"/>
              </w:rPr>
              <w:t>447</w:t>
            </w:r>
          </w:p>
        </w:tc>
        <w:tc>
          <w:tcPr>
            <w:tcW w:w="660" w:type="dxa"/>
            <w:tcBorders>
              <w:top w:val="nil"/>
              <w:left w:val="nil"/>
              <w:bottom w:val="single" w:sz="4" w:space="0" w:color="auto"/>
              <w:right w:val="single" w:sz="4" w:space="0" w:color="auto"/>
            </w:tcBorders>
            <w:noWrap/>
            <w:vAlign w:val="center"/>
            <w:hideMark/>
          </w:tcPr>
          <w:p w14:paraId="2F073B2A" w14:textId="77777777" w:rsidR="00F2241F" w:rsidRPr="00C72AB5" w:rsidRDefault="00F2241F" w:rsidP="0049437D">
            <w:pPr>
              <w:spacing w:line="276" w:lineRule="auto"/>
              <w:jc w:val="center"/>
              <w:rPr>
                <w:rFonts w:ascii="GHEA Grapalat" w:hAnsi="GHEA Grapalat" w:cs="Calibri"/>
                <w:color w:val="000000"/>
                <w:sz w:val="22"/>
                <w:szCs w:val="22"/>
                <w:lang w:eastAsia="en-US"/>
              </w:rPr>
            </w:pPr>
            <w:r w:rsidRPr="00C72AB5">
              <w:rPr>
                <w:rFonts w:ascii="GHEA Grapalat" w:hAnsi="GHEA Grapalat" w:cs="Calibri"/>
                <w:color w:val="000000"/>
                <w:sz w:val="22"/>
                <w:szCs w:val="22"/>
                <w:lang w:eastAsia="en-US"/>
              </w:rPr>
              <w:t>570</w:t>
            </w:r>
          </w:p>
        </w:tc>
        <w:tc>
          <w:tcPr>
            <w:tcW w:w="667" w:type="dxa"/>
            <w:tcBorders>
              <w:top w:val="nil"/>
              <w:left w:val="nil"/>
              <w:bottom w:val="single" w:sz="4" w:space="0" w:color="auto"/>
              <w:right w:val="single" w:sz="4" w:space="0" w:color="auto"/>
            </w:tcBorders>
            <w:noWrap/>
            <w:vAlign w:val="center"/>
            <w:hideMark/>
          </w:tcPr>
          <w:p w14:paraId="43757B85" w14:textId="77777777" w:rsidR="00F2241F" w:rsidRPr="00C72AB5" w:rsidRDefault="00F2241F" w:rsidP="0049437D">
            <w:pPr>
              <w:spacing w:line="276" w:lineRule="auto"/>
              <w:jc w:val="center"/>
              <w:rPr>
                <w:rFonts w:ascii="GHEA Grapalat" w:hAnsi="GHEA Grapalat" w:cs="Calibri"/>
                <w:color w:val="000000"/>
                <w:sz w:val="22"/>
                <w:szCs w:val="22"/>
                <w:lang w:eastAsia="en-US"/>
              </w:rPr>
            </w:pPr>
            <w:r w:rsidRPr="00C72AB5">
              <w:rPr>
                <w:rFonts w:ascii="GHEA Grapalat" w:hAnsi="GHEA Grapalat" w:cs="Calibri"/>
                <w:color w:val="000000"/>
                <w:sz w:val="22"/>
                <w:szCs w:val="22"/>
                <w:lang w:eastAsia="en-US"/>
              </w:rPr>
              <w:t>357</w:t>
            </w:r>
          </w:p>
        </w:tc>
        <w:tc>
          <w:tcPr>
            <w:tcW w:w="688" w:type="dxa"/>
            <w:tcBorders>
              <w:top w:val="nil"/>
              <w:left w:val="nil"/>
              <w:bottom w:val="single" w:sz="4" w:space="0" w:color="auto"/>
              <w:right w:val="single" w:sz="4" w:space="0" w:color="auto"/>
            </w:tcBorders>
            <w:noWrap/>
            <w:vAlign w:val="center"/>
            <w:hideMark/>
          </w:tcPr>
          <w:p w14:paraId="0D107F2D" w14:textId="77777777" w:rsidR="00F2241F" w:rsidRPr="00C72AB5" w:rsidRDefault="00F2241F" w:rsidP="0049437D">
            <w:pPr>
              <w:spacing w:line="276" w:lineRule="auto"/>
              <w:jc w:val="center"/>
              <w:rPr>
                <w:rFonts w:ascii="GHEA Grapalat" w:hAnsi="GHEA Grapalat" w:cs="Calibri"/>
                <w:color w:val="000000"/>
                <w:sz w:val="22"/>
                <w:szCs w:val="22"/>
                <w:lang w:eastAsia="en-US"/>
              </w:rPr>
            </w:pPr>
            <w:r w:rsidRPr="00C72AB5">
              <w:rPr>
                <w:rFonts w:ascii="GHEA Grapalat" w:hAnsi="GHEA Grapalat" w:cs="Calibri"/>
                <w:color w:val="000000"/>
                <w:sz w:val="22"/>
                <w:szCs w:val="22"/>
                <w:lang w:eastAsia="en-US"/>
              </w:rPr>
              <w:t>430</w:t>
            </w:r>
          </w:p>
        </w:tc>
        <w:tc>
          <w:tcPr>
            <w:tcW w:w="676" w:type="dxa"/>
            <w:tcBorders>
              <w:top w:val="nil"/>
              <w:left w:val="nil"/>
              <w:bottom w:val="single" w:sz="4" w:space="0" w:color="auto"/>
              <w:right w:val="single" w:sz="4" w:space="0" w:color="auto"/>
            </w:tcBorders>
            <w:noWrap/>
            <w:vAlign w:val="center"/>
            <w:hideMark/>
          </w:tcPr>
          <w:p w14:paraId="4CEB9D5D" w14:textId="77777777" w:rsidR="00F2241F" w:rsidRPr="00C72AB5" w:rsidRDefault="00F2241F" w:rsidP="0049437D">
            <w:pPr>
              <w:spacing w:line="276" w:lineRule="auto"/>
              <w:jc w:val="center"/>
              <w:rPr>
                <w:rFonts w:ascii="GHEA Grapalat" w:hAnsi="GHEA Grapalat" w:cs="Calibri"/>
                <w:color w:val="000000"/>
                <w:sz w:val="22"/>
                <w:szCs w:val="22"/>
                <w:lang w:eastAsia="en-US"/>
              </w:rPr>
            </w:pPr>
            <w:r w:rsidRPr="00C72AB5">
              <w:rPr>
                <w:rFonts w:ascii="GHEA Grapalat" w:hAnsi="GHEA Grapalat" w:cs="Calibri"/>
                <w:color w:val="000000"/>
                <w:sz w:val="22"/>
                <w:szCs w:val="22"/>
                <w:lang w:eastAsia="en-US"/>
              </w:rPr>
              <w:t>--</w:t>
            </w:r>
          </w:p>
        </w:tc>
      </w:tr>
      <w:tr w:rsidR="00F2241F" w:rsidRPr="00C72AB5" w14:paraId="0860331D" w14:textId="77777777" w:rsidTr="00F2241F">
        <w:trPr>
          <w:trHeight w:val="340"/>
        </w:trPr>
        <w:tc>
          <w:tcPr>
            <w:tcW w:w="1687" w:type="dxa"/>
            <w:tcBorders>
              <w:top w:val="nil"/>
              <w:left w:val="single" w:sz="4" w:space="0" w:color="auto"/>
              <w:bottom w:val="single" w:sz="4" w:space="0" w:color="auto"/>
              <w:right w:val="single" w:sz="4" w:space="0" w:color="auto"/>
            </w:tcBorders>
            <w:noWrap/>
            <w:vAlign w:val="center"/>
            <w:hideMark/>
          </w:tcPr>
          <w:p w14:paraId="6B745513" w14:textId="4EEF31B3" w:rsidR="00F2241F" w:rsidRPr="00C72AB5" w:rsidRDefault="00A02F10" w:rsidP="0049437D">
            <w:pPr>
              <w:spacing w:line="276" w:lineRule="auto"/>
              <w:rPr>
                <w:rFonts w:ascii="GHEA Grapalat" w:hAnsi="GHEA Grapalat" w:cs="Calibri"/>
                <w:color w:val="000000"/>
                <w:sz w:val="22"/>
                <w:szCs w:val="22"/>
                <w:lang w:eastAsia="en-US"/>
              </w:rPr>
            </w:pPr>
            <w:r>
              <w:rPr>
                <w:rFonts w:ascii="GHEA Grapalat" w:hAnsi="GHEA Grapalat" w:cs="Calibri"/>
                <w:color w:val="000000"/>
                <w:sz w:val="22"/>
                <w:szCs w:val="22"/>
                <w:lang w:eastAsia="en-US"/>
              </w:rPr>
              <w:t>Ընդ</w:t>
            </w:r>
            <w:r w:rsidR="00F2241F" w:rsidRPr="00C72AB5">
              <w:rPr>
                <w:rFonts w:ascii="GHEA Grapalat" w:hAnsi="GHEA Grapalat" w:cs="Calibri"/>
                <w:color w:val="000000"/>
                <w:sz w:val="22"/>
                <w:szCs w:val="22"/>
                <w:lang w:eastAsia="en-US"/>
              </w:rPr>
              <w:t>ամենը</w:t>
            </w:r>
          </w:p>
        </w:tc>
        <w:tc>
          <w:tcPr>
            <w:tcW w:w="649" w:type="dxa"/>
            <w:tcBorders>
              <w:top w:val="nil"/>
              <w:left w:val="nil"/>
              <w:bottom w:val="single" w:sz="4" w:space="0" w:color="auto"/>
              <w:right w:val="single" w:sz="4" w:space="0" w:color="auto"/>
            </w:tcBorders>
            <w:noWrap/>
            <w:vAlign w:val="center"/>
            <w:hideMark/>
          </w:tcPr>
          <w:p w14:paraId="0CB93B6C" w14:textId="77777777" w:rsidR="00F2241F" w:rsidRPr="00C72AB5" w:rsidRDefault="00F2241F" w:rsidP="0049437D">
            <w:pPr>
              <w:spacing w:line="276" w:lineRule="auto"/>
              <w:jc w:val="center"/>
              <w:rPr>
                <w:rFonts w:ascii="GHEA Grapalat" w:hAnsi="GHEA Grapalat" w:cs="Calibri"/>
                <w:b/>
                <w:bCs/>
                <w:color w:val="000000"/>
                <w:sz w:val="22"/>
                <w:szCs w:val="22"/>
                <w:lang w:eastAsia="en-US"/>
              </w:rPr>
            </w:pPr>
            <w:r w:rsidRPr="00C72AB5">
              <w:rPr>
                <w:rFonts w:ascii="GHEA Grapalat" w:hAnsi="GHEA Grapalat" w:cs="Calibri"/>
                <w:b/>
                <w:bCs/>
                <w:color w:val="000000"/>
                <w:sz w:val="22"/>
                <w:szCs w:val="22"/>
                <w:lang w:eastAsia="en-US"/>
              </w:rPr>
              <w:t>5230</w:t>
            </w:r>
          </w:p>
        </w:tc>
        <w:tc>
          <w:tcPr>
            <w:tcW w:w="640" w:type="dxa"/>
            <w:tcBorders>
              <w:top w:val="nil"/>
              <w:left w:val="nil"/>
              <w:bottom w:val="single" w:sz="4" w:space="0" w:color="auto"/>
              <w:right w:val="single" w:sz="4" w:space="0" w:color="auto"/>
            </w:tcBorders>
            <w:noWrap/>
            <w:vAlign w:val="center"/>
            <w:hideMark/>
          </w:tcPr>
          <w:p w14:paraId="39296664" w14:textId="77777777" w:rsidR="00F2241F" w:rsidRPr="00C72AB5" w:rsidRDefault="00F2241F" w:rsidP="0049437D">
            <w:pPr>
              <w:spacing w:line="276" w:lineRule="auto"/>
              <w:jc w:val="center"/>
              <w:rPr>
                <w:rFonts w:ascii="GHEA Grapalat" w:hAnsi="GHEA Grapalat" w:cs="Calibri"/>
                <w:b/>
                <w:bCs/>
                <w:color w:val="000000"/>
                <w:sz w:val="22"/>
                <w:szCs w:val="22"/>
                <w:lang w:eastAsia="en-US"/>
              </w:rPr>
            </w:pPr>
            <w:r w:rsidRPr="00C72AB5">
              <w:rPr>
                <w:rFonts w:ascii="GHEA Grapalat" w:hAnsi="GHEA Grapalat" w:cs="Calibri"/>
                <w:b/>
                <w:bCs/>
                <w:color w:val="000000"/>
                <w:sz w:val="22"/>
                <w:szCs w:val="22"/>
                <w:lang w:eastAsia="en-US"/>
              </w:rPr>
              <w:t>5627</w:t>
            </w:r>
          </w:p>
        </w:tc>
        <w:tc>
          <w:tcPr>
            <w:tcW w:w="661" w:type="dxa"/>
            <w:tcBorders>
              <w:top w:val="nil"/>
              <w:left w:val="nil"/>
              <w:bottom w:val="single" w:sz="4" w:space="0" w:color="auto"/>
              <w:right w:val="single" w:sz="4" w:space="0" w:color="auto"/>
            </w:tcBorders>
            <w:noWrap/>
            <w:vAlign w:val="center"/>
            <w:hideMark/>
          </w:tcPr>
          <w:p w14:paraId="0449E119" w14:textId="77777777" w:rsidR="00F2241F" w:rsidRPr="00C72AB5" w:rsidRDefault="00F2241F" w:rsidP="0049437D">
            <w:pPr>
              <w:spacing w:line="276" w:lineRule="auto"/>
              <w:jc w:val="center"/>
              <w:rPr>
                <w:rFonts w:ascii="GHEA Grapalat" w:hAnsi="GHEA Grapalat" w:cs="Calibri"/>
                <w:b/>
                <w:bCs/>
                <w:color w:val="000000"/>
                <w:sz w:val="22"/>
                <w:szCs w:val="22"/>
                <w:lang w:eastAsia="en-US"/>
              </w:rPr>
            </w:pPr>
            <w:r w:rsidRPr="00C72AB5">
              <w:rPr>
                <w:rFonts w:ascii="GHEA Grapalat" w:hAnsi="GHEA Grapalat" w:cs="Calibri"/>
                <w:b/>
                <w:bCs/>
                <w:color w:val="000000"/>
                <w:sz w:val="22"/>
                <w:szCs w:val="22"/>
                <w:lang w:eastAsia="en-US"/>
              </w:rPr>
              <w:t>5044</w:t>
            </w:r>
          </w:p>
        </w:tc>
        <w:tc>
          <w:tcPr>
            <w:tcW w:w="654" w:type="dxa"/>
            <w:tcBorders>
              <w:top w:val="nil"/>
              <w:left w:val="nil"/>
              <w:bottom w:val="single" w:sz="4" w:space="0" w:color="auto"/>
              <w:right w:val="single" w:sz="4" w:space="0" w:color="auto"/>
            </w:tcBorders>
            <w:noWrap/>
            <w:vAlign w:val="center"/>
            <w:hideMark/>
          </w:tcPr>
          <w:p w14:paraId="214D3C99" w14:textId="77777777" w:rsidR="00F2241F" w:rsidRPr="00C72AB5" w:rsidRDefault="00F2241F" w:rsidP="0049437D">
            <w:pPr>
              <w:spacing w:line="276" w:lineRule="auto"/>
              <w:jc w:val="center"/>
              <w:rPr>
                <w:rFonts w:ascii="GHEA Grapalat" w:hAnsi="GHEA Grapalat" w:cs="Calibri"/>
                <w:b/>
                <w:bCs/>
                <w:color w:val="000000"/>
                <w:sz w:val="22"/>
                <w:szCs w:val="22"/>
                <w:lang w:eastAsia="en-US"/>
              </w:rPr>
            </w:pPr>
            <w:r w:rsidRPr="00C72AB5">
              <w:rPr>
                <w:rFonts w:ascii="GHEA Grapalat" w:hAnsi="GHEA Grapalat" w:cs="Calibri"/>
                <w:b/>
                <w:bCs/>
                <w:color w:val="000000"/>
                <w:sz w:val="22"/>
                <w:szCs w:val="22"/>
                <w:lang w:eastAsia="en-US"/>
              </w:rPr>
              <w:t>4881</w:t>
            </w:r>
          </w:p>
        </w:tc>
        <w:tc>
          <w:tcPr>
            <w:tcW w:w="662" w:type="dxa"/>
            <w:tcBorders>
              <w:top w:val="nil"/>
              <w:left w:val="nil"/>
              <w:bottom w:val="single" w:sz="4" w:space="0" w:color="auto"/>
              <w:right w:val="single" w:sz="4" w:space="0" w:color="auto"/>
            </w:tcBorders>
            <w:noWrap/>
            <w:vAlign w:val="center"/>
            <w:hideMark/>
          </w:tcPr>
          <w:p w14:paraId="2B1A7C1F" w14:textId="77777777" w:rsidR="00F2241F" w:rsidRPr="00C72AB5" w:rsidRDefault="00F2241F" w:rsidP="0049437D">
            <w:pPr>
              <w:spacing w:line="276" w:lineRule="auto"/>
              <w:jc w:val="center"/>
              <w:rPr>
                <w:rFonts w:ascii="GHEA Grapalat" w:hAnsi="GHEA Grapalat" w:cs="Calibri"/>
                <w:b/>
                <w:bCs/>
                <w:color w:val="000000"/>
                <w:sz w:val="22"/>
                <w:szCs w:val="22"/>
                <w:lang w:eastAsia="en-US"/>
              </w:rPr>
            </w:pPr>
            <w:r w:rsidRPr="00C72AB5">
              <w:rPr>
                <w:rFonts w:ascii="GHEA Grapalat" w:hAnsi="GHEA Grapalat" w:cs="Calibri"/>
                <w:b/>
                <w:bCs/>
                <w:color w:val="000000"/>
                <w:sz w:val="22"/>
                <w:szCs w:val="22"/>
                <w:lang w:eastAsia="en-US"/>
              </w:rPr>
              <w:t>4822</w:t>
            </w:r>
          </w:p>
        </w:tc>
        <w:tc>
          <w:tcPr>
            <w:tcW w:w="649" w:type="dxa"/>
            <w:tcBorders>
              <w:top w:val="nil"/>
              <w:left w:val="nil"/>
              <w:bottom w:val="single" w:sz="4" w:space="0" w:color="auto"/>
              <w:right w:val="single" w:sz="4" w:space="0" w:color="auto"/>
            </w:tcBorders>
            <w:noWrap/>
            <w:vAlign w:val="center"/>
            <w:hideMark/>
          </w:tcPr>
          <w:p w14:paraId="32187021" w14:textId="77777777" w:rsidR="00F2241F" w:rsidRPr="00C72AB5" w:rsidRDefault="00F2241F" w:rsidP="0049437D">
            <w:pPr>
              <w:spacing w:line="276" w:lineRule="auto"/>
              <w:jc w:val="center"/>
              <w:rPr>
                <w:rFonts w:ascii="GHEA Grapalat" w:hAnsi="GHEA Grapalat" w:cs="Calibri"/>
                <w:b/>
                <w:bCs/>
                <w:color w:val="000000"/>
                <w:sz w:val="22"/>
                <w:szCs w:val="22"/>
                <w:lang w:eastAsia="en-US"/>
              </w:rPr>
            </w:pPr>
            <w:r w:rsidRPr="00C72AB5">
              <w:rPr>
                <w:rFonts w:ascii="GHEA Grapalat" w:hAnsi="GHEA Grapalat" w:cs="Calibri"/>
                <w:b/>
                <w:bCs/>
                <w:color w:val="000000"/>
                <w:sz w:val="22"/>
                <w:szCs w:val="22"/>
                <w:lang w:eastAsia="en-US"/>
              </w:rPr>
              <w:t>4452</w:t>
            </w:r>
          </w:p>
        </w:tc>
        <w:tc>
          <w:tcPr>
            <w:tcW w:w="660" w:type="dxa"/>
            <w:tcBorders>
              <w:top w:val="nil"/>
              <w:left w:val="nil"/>
              <w:bottom w:val="single" w:sz="4" w:space="0" w:color="auto"/>
              <w:right w:val="single" w:sz="4" w:space="0" w:color="auto"/>
            </w:tcBorders>
            <w:noWrap/>
            <w:vAlign w:val="center"/>
            <w:hideMark/>
          </w:tcPr>
          <w:p w14:paraId="6E9264AC" w14:textId="77777777" w:rsidR="00F2241F" w:rsidRPr="00C72AB5" w:rsidRDefault="00F2241F" w:rsidP="0049437D">
            <w:pPr>
              <w:spacing w:line="276" w:lineRule="auto"/>
              <w:jc w:val="center"/>
              <w:rPr>
                <w:rFonts w:ascii="GHEA Grapalat" w:hAnsi="GHEA Grapalat" w:cs="Calibri"/>
                <w:b/>
                <w:bCs/>
                <w:color w:val="000000"/>
                <w:sz w:val="22"/>
                <w:szCs w:val="22"/>
                <w:lang w:eastAsia="en-US"/>
              </w:rPr>
            </w:pPr>
            <w:r w:rsidRPr="00C72AB5">
              <w:rPr>
                <w:rFonts w:ascii="GHEA Grapalat" w:hAnsi="GHEA Grapalat" w:cs="Calibri"/>
                <w:b/>
                <w:bCs/>
                <w:color w:val="000000"/>
                <w:sz w:val="22"/>
                <w:szCs w:val="22"/>
                <w:lang w:eastAsia="en-US"/>
              </w:rPr>
              <w:t>4539</w:t>
            </w:r>
          </w:p>
        </w:tc>
        <w:tc>
          <w:tcPr>
            <w:tcW w:w="667" w:type="dxa"/>
            <w:tcBorders>
              <w:top w:val="nil"/>
              <w:left w:val="nil"/>
              <w:bottom w:val="single" w:sz="4" w:space="0" w:color="auto"/>
              <w:right w:val="single" w:sz="4" w:space="0" w:color="auto"/>
            </w:tcBorders>
            <w:noWrap/>
            <w:vAlign w:val="center"/>
            <w:hideMark/>
          </w:tcPr>
          <w:p w14:paraId="012D0DA7" w14:textId="77777777" w:rsidR="00F2241F" w:rsidRPr="00C72AB5" w:rsidRDefault="00F2241F" w:rsidP="0049437D">
            <w:pPr>
              <w:spacing w:line="276" w:lineRule="auto"/>
              <w:jc w:val="center"/>
              <w:rPr>
                <w:rFonts w:ascii="GHEA Grapalat" w:hAnsi="GHEA Grapalat" w:cs="Calibri"/>
                <w:b/>
                <w:bCs/>
                <w:color w:val="000000"/>
                <w:sz w:val="22"/>
                <w:szCs w:val="22"/>
                <w:lang w:eastAsia="en-US"/>
              </w:rPr>
            </w:pPr>
            <w:r w:rsidRPr="00C72AB5">
              <w:rPr>
                <w:rFonts w:ascii="GHEA Grapalat" w:hAnsi="GHEA Grapalat" w:cs="Calibri"/>
                <w:b/>
                <w:bCs/>
                <w:color w:val="000000"/>
                <w:sz w:val="22"/>
                <w:szCs w:val="22"/>
                <w:lang w:eastAsia="en-US"/>
              </w:rPr>
              <w:t>4499</w:t>
            </w:r>
          </w:p>
        </w:tc>
        <w:tc>
          <w:tcPr>
            <w:tcW w:w="688" w:type="dxa"/>
            <w:tcBorders>
              <w:top w:val="nil"/>
              <w:left w:val="nil"/>
              <w:bottom w:val="single" w:sz="4" w:space="0" w:color="auto"/>
              <w:right w:val="single" w:sz="4" w:space="0" w:color="auto"/>
            </w:tcBorders>
            <w:noWrap/>
            <w:vAlign w:val="center"/>
            <w:hideMark/>
          </w:tcPr>
          <w:p w14:paraId="38717A30" w14:textId="77777777" w:rsidR="00F2241F" w:rsidRPr="00C72AB5" w:rsidRDefault="00F2241F" w:rsidP="0049437D">
            <w:pPr>
              <w:spacing w:line="276" w:lineRule="auto"/>
              <w:jc w:val="center"/>
              <w:rPr>
                <w:rFonts w:ascii="GHEA Grapalat" w:hAnsi="GHEA Grapalat" w:cs="Calibri"/>
                <w:b/>
                <w:bCs/>
                <w:color w:val="000000"/>
                <w:sz w:val="22"/>
                <w:szCs w:val="22"/>
                <w:lang w:eastAsia="en-US"/>
              </w:rPr>
            </w:pPr>
            <w:r w:rsidRPr="00C72AB5">
              <w:rPr>
                <w:rFonts w:ascii="GHEA Grapalat" w:hAnsi="GHEA Grapalat" w:cs="Calibri"/>
                <w:b/>
                <w:bCs/>
                <w:color w:val="000000"/>
                <w:sz w:val="22"/>
                <w:szCs w:val="22"/>
                <w:lang w:eastAsia="en-US"/>
              </w:rPr>
              <w:t>4889</w:t>
            </w:r>
          </w:p>
        </w:tc>
        <w:tc>
          <w:tcPr>
            <w:tcW w:w="676" w:type="dxa"/>
            <w:tcBorders>
              <w:top w:val="nil"/>
              <w:left w:val="nil"/>
              <w:bottom w:val="single" w:sz="4" w:space="0" w:color="auto"/>
              <w:right w:val="single" w:sz="4" w:space="0" w:color="auto"/>
            </w:tcBorders>
            <w:noWrap/>
            <w:vAlign w:val="center"/>
            <w:hideMark/>
          </w:tcPr>
          <w:p w14:paraId="746957F4" w14:textId="77777777" w:rsidR="00F2241F" w:rsidRPr="00C72AB5" w:rsidRDefault="00F2241F" w:rsidP="0049437D">
            <w:pPr>
              <w:spacing w:line="276" w:lineRule="auto"/>
              <w:jc w:val="center"/>
              <w:rPr>
                <w:rFonts w:ascii="GHEA Grapalat" w:hAnsi="GHEA Grapalat" w:cs="Calibri"/>
                <w:b/>
                <w:bCs/>
                <w:color w:val="000000"/>
                <w:sz w:val="22"/>
                <w:szCs w:val="22"/>
                <w:lang w:eastAsia="en-US"/>
              </w:rPr>
            </w:pPr>
            <w:r w:rsidRPr="00C72AB5">
              <w:rPr>
                <w:rFonts w:ascii="GHEA Grapalat" w:hAnsi="GHEA Grapalat" w:cs="Calibri"/>
                <w:b/>
                <w:bCs/>
                <w:color w:val="000000"/>
                <w:sz w:val="22"/>
                <w:szCs w:val="22"/>
                <w:lang w:eastAsia="en-US"/>
              </w:rPr>
              <w:t>4864</w:t>
            </w:r>
          </w:p>
        </w:tc>
      </w:tr>
    </w:tbl>
    <w:p w14:paraId="48ADE594" w14:textId="1178E16D" w:rsidR="008A6131" w:rsidRPr="00C72AB5" w:rsidRDefault="008A6131" w:rsidP="00181F43">
      <w:pPr>
        <w:tabs>
          <w:tab w:val="left" w:pos="709"/>
          <w:tab w:val="left" w:pos="1276"/>
        </w:tabs>
        <w:ind w:left="567" w:hanging="567"/>
        <w:jc w:val="both"/>
        <w:rPr>
          <w:rFonts w:ascii="GHEA Grapalat" w:hAnsi="GHEA Grapalat"/>
        </w:rPr>
      </w:pPr>
      <w:r w:rsidRPr="00C72AB5">
        <w:rPr>
          <w:rFonts w:ascii="GHEA Grapalat" w:hAnsi="GHEA Grapalat"/>
          <w:b/>
          <w:bCs/>
        </w:rPr>
        <w:t>Աղյուսակ</w:t>
      </w:r>
      <w:r w:rsidR="001066B5" w:rsidRPr="00C72AB5">
        <w:rPr>
          <w:rFonts w:ascii="GHEA Grapalat" w:hAnsi="GHEA Grapalat"/>
          <w:b/>
          <w:bCs/>
        </w:rPr>
        <w:t xml:space="preserve"> 2</w:t>
      </w:r>
      <w:r w:rsidRPr="00C72AB5">
        <w:rPr>
          <w:rFonts w:ascii="GHEA Grapalat" w:hAnsi="GHEA Grapalat"/>
          <w:b/>
          <w:bCs/>
        </w:rPr>
        <w:t>.</w:t>
      </w:r>
      <w:r w:rsidRPr="00C72AB5">
        <w:rPr>
          <w:rFonts w:ascii="GHEA Grapalat" w:hAnsi="GHEA Grapalat"/>
        </w:rPr>
        <w:t xml:space="preserve"> Գիտական հետազոտություններ և մշակումներ կատարող կազմակերպություններում աշխատողների թվաքանակ</w:t>
      </w:r>
      <w:r w:rsidR="00D07242" w:rsidRPr="00C72AB5">
        <w:rPr>
          <w:rFonts w:ascii="GHEA Grapalat" w:hAnsi="GHEA Grapalat"/>
        </w:rPr>
        <w:t>ը և մասնաբաժին</w:t>
      </w:r>
      <w:r w:rsidR="005C02BD" w:rsidRPr="00C72AB5">
        <w:rPr>
          <w:rFonts w:ascii="GHEA Grapalat" w:hAnsi="GHEA Grapalat"/>
        </w:rPr>
        <w:t>ն</w:t>
      </w:r>
      <w:r w:rsidR="00D07242" w:rsidRPr="00C72AB5">
        <w:rPr>
          <w:rFonts w:ascii="GHEA Grapalat" w:hAnsi="GHEA Grapalat"/>
        </w:rPr>
        <w:t xml:space="preserve"> ը</w:t>
      </w:r>
      <w:r w:rsidRPr="00C72AB5">
        <w:rPr>
          <w:rFonts w:ascii="GHEA Grapalat" w:hAnsi="GHEA Grapalat"/>
        </w:rPr>
        <w:t xml:space="preserve">ստ </w:t>
      </w:r>
      <w:r w:rsidR="00D07242" w:rsidRPr="00C72AB5">
        <w:rPr>
          <w:rFonts w:ascii="GHEA Grapalat" w:hAnsi="GHEA Grapalat"/>
        </w:rPr>
        <w:t>աշխատանքի տեսակի</w:t>
      </w:r>
      <w:r w:rsidRPr="00C72AB5">
        <w:rPr>
          <w:rFonts w:ascii="GHEA Grapalat" w:hAnsi="GHEA Grapalat"/>
        </w:rPr>
        <w:t>:</w:t>
      </w:r>
    </w:p>
    <w:p w14:paraId="05FFBEF4" w14:textId="77777777" w:rsidR="007C15B0" w:rsidRPr="00C72AB5" w:rsidRDefault="007C15B0" w:rsidP="0049437D">
      <w:pPr>
        <w:tabs>
          <w:tab w:val="left" w:pos="709"/>
          <w:tab w:val="left" w:pos="851"/>
        </w:tabs>
        <w:spacing w:line="276" w:lineRule="auto"/>
        <w:ind w:firstLine="567"/>
        <w:jc w:val="center"/>
        <w:rPr>
          <w:rFonts w:ascii="GHEA Grapalat" w:eastAsia="Calibri" w:hAnsi="GHEA Grapalat"/>
          <w:sz w:val="24"/>
          <w:szCs w:val="24"/>
          <w:lang w:eastAsia="en-US"/>
        </w:rPr>
      </w:pPr>
    </w:p>
    <w:p w14:paraId="77A6C24C" w14:textId="0DE4C711" w:rsidR="00E9679B" w:rsidRPr="00C72AB5" w:rsidRDefault="009210A8" w:rsidP="0049437D">
      <w:pPr>
        <w:tabs>
          <w:tab w:val="left" w:pos="851"/>
        </w:tabs>
        <w:spacing w:line="276" w:lineRule="auto"/>
        <w:ind w:firstLine="567"/>
        <w:jc w:val="both"/>
        <w:rPr>
          <w:rFonts w:ascii="GHEA Grapalat" w:hAnsi="GHEA Grapalat"/>
          <w:sz w:val="24"/>
          <w:szCs w:val="24"/>
        </w:rPr>
      </w:pPr>
      <w:r w:rsidRPr="00C72AB5">
        <w:rPr>
          <w:rFonts w:ascii="GHEA Grapalat" w:hAnsi="GHEA Grapalat"/>
          <w:sz w:val="24"/>
          <w:szCs w:val="24"/>
        </w:rPr>
        <w:t>1</w:t>
      </w:r>
      <w:r w:rsidR="0068358C" w:rsidRPr="00C72AB5">
        <w:rPr>
          <w:rFonts w:ascii="GHEA Grapalat" w:hAnsi="GHEA Grapalat"/>
          <w:sz w:val="24"/>
          <w:szCs w:val="24"/>
        </w:rPr>
        <w:t>3</w:t>
      </w:r>
      <w:r w:rsidRPr="00C72AB5">
        <w:rPr>
          <w:rFonts w:ascii="GHEA Grapalat" w:hAnsi="GHEA Grapalat"/>
          <w:sz w:val="24"/>
          <w:szCs w:val="24"/>
        </w:rPr>
        <w:t xml:space="preserve">. </w:t>
      </w:r>
      <w:r w:rsidR="006028FC" w:rsidRPr="00C72AB5">
        <w:rPr>
          <w:rFonts w:ascii="GHEA Grapalat" w:hAnsi="GHEA Grapalat"/>
          <w:sz w:val="24"/>
          <w:szCs w:val="24"/>
        </w:rPr>
        <w:t xml:space="preserve">Գիտական կազմակերպությունների </w:t>
      </w:r>
      <w:r w:rsidR="008A6131" w:rsidRPr="00C72AB5">
        <w:rPr>
          <w:rFonts w:ascii="GHEA Grapalat" w:hAnsi="GHEA Grapalat"/>
          <w:sz w:val="24"/>
          <w:szCs w:val="24"/>
        </w:rPr>
        <w:t>202</w:t>
      </w:r>
      <w:r w:rsidR="006119FA" w:rsidRPr="00C72AB5">
        <w:rPr>
          <w:rFonts w:ascii="GHEA Grapalat" w:hAnsi="GHEA Grapalat"/>
          <w:sz w:val="24"/>
          <w:szCs w:val="24"/>
        </w:rPr>
        <w:t>4</w:t>
      </w:r>
      <w:r w:rsidR="00E9679B" w:rsidRPr="00C72AB5">
        <w:rPr>
          <w:rFonts w:ascii="GHEA Grapalat" w:hAnsi="GHEA Grapalat"/>
          <w:sz w:val="24"/>
          <w:szCs w:val="24"/>
        </w:rPr>
        <w:t xml:space="preserve"> </w:t>
      </w:r>
      <w:r w:rsidR="008A6131" w:rsidRPr="00C72AB5">
        <w:rPr>
          <w:rFonts w:ascii="GHEA Grapalat" w:hAnsi="GHEA Grapalat" w:cs="GHEA Grapalat"/>
          <w:sz w:val="24"/>
          <w:szCs w:val="24"/>
        </w:rPr>
        <w:t>թվականի</w:t>
      </w:r>
      <w:r w:rsidR="006028FC" w:rsidRPr="00C72AB5">
        <w:rPr>
          <w:rFonts w:ascii="GHEA Grapalat" w:hAnsi="GHEA Grapalat" w:cs="GHEA Grapalat"/>
          <w:sz w:val="24"/>
          <w:szCs w:val="24"/>
        </w:rPr>
        <w:t xml:space="preserve"> հաշվետվությունների համաձայն` </w:t>
      </w:r>
      <w:r w:rsidR="00EC1BE7">
        <w:rPr>
          <w:rFonts w:ascii="GHEA Grapalat" w:hAnsi="GHEA Grapalat"/>
          <w:sz w:val="24"/>
          <w:szCs w:val="24"/>
        </w:rPr>
        <w:t>գիտատեխնոլոգիական</w:t>
      </w:r>
      <w:r w:rsidR="00E9679B" w:rsidRPr="00C72AB5">
        <w:rPr>
          <w:rFonts w:ascii="GHEA Grapalat" w:hAnsi="GHEA Grapalat"/>
          <w:sz w:val="24"/>
          <w:szCs w:val="24"/>
        </w:rPr>
        <w:t xml:space="preserve"> գործունեության բազային ֆինանսավորման ծրագրերում ներգրավված գիտաշխատողների քանակը կազմում է </w:t>
      </w:r>
      <w:r w:rsidR="006119FA" w:rsidRPr="00C72AB5">
        <w:rPr>
          <w:rFonts w:ascii="GHEA Grapalat" w:hAnsi="GHEA Grapalat"/>
          <w:sz w:val="24"/>
          <w:szCs w:val="24"/>
        </w:rPr>
        <w:t>3</w:t>
      </w:r>
      <w:r w:rsidR="00403153" w:rsidRPr="00C72AB5">
        <w:rPr>
          <w:rFonts w:ascii="GHEA Grapalat" w:hAnsi="GHEA Grapalat"/>
          <w:sz w:val="24"/>
          <w:szCs w:val="24"/>
        </w:rPr>
        <w:t>7</w:t>
      </w:r>
      <w:r w:rsidR="006119FA" w:rsidRPr="00C72AB5">
        <w:rPr>
          <w:rFonts w:ascii="GHEA Grapalat" w:hAnsi="GHEA Grapalat"/>
          <w:sz w:val="24"/>
          <w:szCs w:val="24"/>
        </w:rPr>
        <w:t>6</w:t>
      </w:r>
      <w:r w:rsidR="00403153" w:rsidRPr="00C72AB5">
        <w:rPr>
          <w:rFonts w:ascii="GHEA Grapalat" w:hAnsi="GHEA Grapalat"/>
          <w:sz w:val="24"/>
          <w:szCs w:val="24"/>
        </w:rPr>
        <w:t>1</w:t>
      </w:r>
      <w:r w:rsidR="006119FA" w:rsidRPr="00C72AB5">
        <w:rPr>
          <w:rFonts w:ascii="GHEA Grapalat" w:hAnsi="GHEA Grapalat"/>
          <w:sz w:val="24"/>
          <w:szCs w:val="24"/>
        </w:rPr>
        <w:t xml:space="preserve"> </w:t>
      </w:r>
      <w:r w:rsidR="00E9679B" w:rsidRPr="00C72AB5">
        <w:rPr>
          <w:rFonts w:ascii="GHEA Grapalat" w:hAnsi="GHEA Grapalat"/>
          <w:sz w:val="24"/>
          <w:szCs w:val="24"/>
        </w:rPr>
        <w:t>մարդ</w:t>
      </w:r>
      <w:r w:rsidR="00CD3A1F" w:rsidRPr="00C72AB5">
        <w:rPr>
          <w:rFonts w:ascii="GHEA Grapalat" w:hAnsi="GHEA Grapalat"/>
          <w:sz w:val="24"/>
          <w:szCs w:val="24"/>
        </w:rPr>
        <w:t xml:space="preserve"> (</w:t>
      </w:r>
      <w:r w:rsidR="006119FA" w:rsidRPr="00C72AB5">
        <w:rPr>
          <w:rFonts w:ascii="GHEA Grapalat" w:hAnsi="GHEA Grapalat"/>
          <w:sz w:val="24"/>
          <w:szCs w:val="24"/>
        </w:rPr>
        <w:t>որոնցից 2</w:t>
      </w:r>
      <w:r w:rsidR="00403153" w:rsidRPr="00C72AB5">
        <w:rPr>
          <w:rFonts w:ascii="GHEA Grapalat" w:hAnsi="GHEA Grapalat"/>
          <w:sz w:val="24"/>
          <w:szCs w:val="24"/>
        </w:rPr>
        <w:t>071</w:t>
      </w:r>
      <w:r w:rsidR="006119FA" w:rsidRPr="00C72AB5">
        <w:rPr>
          <w:rFonts w:ascii="GHEA Grapalat" w:hAnsi="GHEA Grapalat"/>
          <w:sz w:val="24"/>
          <w:szCs w:val="24"/>
        </w:rPr>
        <w:t xml:space="preserve"> ունեն գիտական աստիճան</w:t>
      </w:r>
      <w:r w:rsidR="00CD3A1F" w:rsidRPr="00C72AB5">
        <w:rPr>
          <w:rFonts w:ascii="GHEA Grapalat" w:hAnsi="GHEA Grapalat"/>
          <w:sz w:val="24"/>
          <w:szCs w:val="24"/>
        </w:rPr>
        <w:t>)</w:t>
      </w:r>
      <w:r w:rsidR="00E9679B" w:rsidRPr="00C72AB5">
        <w:rPr>
          <w:rFonts w:ascii="GHEA Grapalat" w:hAnsi="GHEA Grapalat"/>
          <w:sz w:val="24"/>
          <w:szCs w:val="24"/>
        </w:rPr>
        <w:t>:</w:t>
      </w:r>
      <w:r w:rsidR="00992464" w:rsidRPr="00C72AB5">
        <w:rPr>
          <w:rFonts w:ascii="GHEA Grapalat" w:hAnsi="GHEA Grapalat"/>
          <w:sz w:val="24"/>
          <w:szCs w:val="24"/>
        </w:rPr>
        <w:t xml:space="preserve"> </w:t>
      </w:r>
      <w:r w:rsidR="00E9679B" w:rsidRPr="00C72AB5">
        <w:rPr>
          <w:rFonts w:ascii="GHEA Grapalat" w:hAnsi="GHEA Grapalat"/>
          <w:sz w:val="24"/>
          <w:szCs w:val="24"/>
        </w:rPr>
        <w:t>Բազային ֆինանսավորման ծրագրերում ն</w:t>
      </w:r>
      <w:r w:rsidR="00463483" w:rsidRPr="00C72AB5">
        <w:rPr>
          <w:rFonts w:ascii="GHEA Grapalat" w:hAnsi="GHEA Grapalat"/>
          <w:sz w:val="24"/>
          <w:szCs w:val="24"/>
        </w:rPr>
        <w:t>ե</w:t>
      </w:r>
      <w:r w:rsidR="00E9679B" w:rsidRPr="00C72AB5">
        <w:rPr>
          <w:rFonts w:ascii="GHEA Grapalat" w:hAnsi="GHEA Grapalat"/>
          <w:sz w:val="24"/>
          <w:szCs w:val="24"/>
        </w:rPr>
        <w:t>րգրավված գիտական աշխատողների թվաքանակ</w:t>
      </w:r>
      <w:r w:rsidR="00992464" w:rsidRPr="00C72AB5">
        <w:rPr>
          <w:rFonts w:ascii="GHEA Grapalat" w:hAnsi="GHEA Grapalat"/>
          <w:sz w:val="24"/>
          <w:szCs w:val="24"/>
        </w:rPr>
        <w:t xml:space="preserve">ը գրանցում էր տարեկան կայուն </w:t>
      </w:r>
      <w:r w:rsidR="00992464" w:rsidRPr="00C72AB5">
        <w:rPr>
          <w:rFonts w:ascii="GHEA Grapalat" w:hAnsi="GHEA Grapalat"/>
          <w:sz w:val="24"/>
          <w:szCs w:val="24"/>
        </w:rPr>
        <w:lastRenderedPageBreak/>
        <w:t>նվազում</w:t>
      </w:r>
      <w:r w:rsidR="00992464" w:rsidRPr="00C72AB5">
        <w:rPr>
          <w:rStyle w:val="FootnoteReference"/>
          <w:rFonts w:ascii="GHEA Grapalat" w:hAnsi="GHEA Grapalat"/>
          <w:sz w:val="24"/>
          <w:szCs w:val="24"/>
        </w:rPr>
        <w:footnoteReference w:id="17"/>
      </w:r>
      <w:r w:rsidR="00992464" w:rsidRPr="00C72AB5">
        <w:rPr>
          <w:rFonts w:ascii="GHEA Grapalat" w:hAnsi="GHEA Grapalat"/>
          <w:sz w:val="24"/>
          <w:szCs w:val="24"/>
        </w:rPr>
        <w:t xml:space="preserve"> մինչև 2022 թվականը, երբ մեկնարկեց 2021 թվականի </w:t>
      </w:r>
      <w:r w:rsidR="00EC1BE7">
        <w:rPr>
          <w:rFonts w:ascii="GHEA Grapalat" w:hAnsi="GHEA Grapalat"/>
          <w:sz w:val="24"/>
          <w:szCs w:val="24"/>
        </w:rPr>
        <w:t xml:space="preserve">մայիսի 13-ի </w:t>
      </w:r>
      <w:r w:rsidR="00992464" w:rsidRPr="00C72AB5">
        <w:rPr>
          <w:rFonts w:ascii="GHEA Grapalat" w:hAnsi="GHEA Grapalat"/>
          <w:sz w:val="24"/>
          <w:szCs w:val="24"/>
        </w:rPr>
        <w:t>N</w:t>
      </w:r>
      <w:r w:rsidR="007A0E0A">
        <w:rPr>
          <w:rFonts w:ascii="Calibri" w:hAnsi="Calibri" w:cs="Calibri"/>
          <w:sz w:val="24"/>
          <w:szCs w:val="24"/>
        </w:rPr>
        <w:t> </w:t>
      </w:r>
      <w:r w:rsidR="00992464" w:rsidRPr="00C72AB5">
        <w:rPr>
          <w:rFonts w:ascii="GHEA Grapalat" w:hAnsi="GHEA Grapalat"/>
          <w:sz w:val="24"/>
          <w:szCs w:val="24"/>
        </w:rPr>
        <w:t xml:space="preserve"> 747-Լ որոշմամբ </w:t>
      </w:r>
      <w:r w:rsidR="00992464" w:rsidRPr="00FC4265">
        <w:rPr>
          <w:rFonts w:ascii="GHEA Grapalat" w:hAnsi="GHEA Grapalat"/>
          <w:sz w:val="24"/>
          <w:szCs w:val="24"/>
        </w:rPr>
        <w:t xml:space="preserve">հաստատված պետական </w:t>
      </w:r>
      <w:r w:rsidR="00992464" w:rsidRPr="00C72AB5">
        <w:rPr>
          <w:rFonts w:ascii="GHEA Grapalat" w:hAnsi="GHEA Grapalat"/>
          <w:sz w:val="24"/>
          <w:szCs w:val="24"/>
        </w:rPr>
        <w:t>ֆինանսավորման բազային ծրագրերում ներգրավված գիտական կադրերի նվազագույն պաշտոնային դրույքաչափերի սանդղակի կիրարկումը (</w:t>
      </w:r>
      <w:r w:rsidR="00D54FC0" w:rsidRPr="00C72AB5">
        <w:rPr>
          <w:rFonts w:ascii="GHEA Grapalat" w:hAnsi="GHEA Grapalat"/>
          <w:sz w:val="24"/>
          <w:szCs w:val="24"/>
        </w:rPr>
        <w:t xml:space="preserve">տե՛ս </w:t>
      </w:r>
      <w:r w:rsidR="00992464" w:rsidRPr="00C72AB5">
        <w:rPr>
          <w:rFonts w:ascii="GHEA Grapalat" w:hAnsi="GHEA Grapalat"/>
          <w:sz w:val="24"/>
          <w:szCs w:val="24"/>
        </w:rPr>
        <w:t xml:space="preserve">Աղյուսակ </w:t>
      </w:r>
      <w:r w:rsidR="00D54FC0" w:rsidRPr="00C72AB5">
        <w:rPr>
          <w:rFonts w:ascii="GHEA Grapalat" w:hAnsi="GHEA Grapalat"/>
          <w:sz w:val="24"/>
          <w:szCs w:val="24"/>
        </w:rPr>
        <w:t>3, Գծապատկեր 4</w:t>
      </w:r>
      <w:r w:rsidR="00992464" w:rsidRPr="00C72AB5">
        <w:rPr>
          <w:rFonts w:ascii="GHEA Grapalat" w:hAnsi="GHEA Grapalat"/>
          <w:sz w:val="24"/>
          <w:szCs w:val="24"/>
        </w:rPr>
        <w:t xml:space="preserve">): </w:t>
      </w:r>
      <w:r w:rsidR="00EC1BE7">
        <w:rPr>
          <w:rFonts w:ascii="GHEA Grapalat" w:hAnsi="GHEA Grapalat"/>
          <w:sz w:val="24"/>
          <w:szCs w:val="24"/>
        </w:rPr>
        <w:t>Սակայն հ</w:t>
      </w:r>
      <w:r w:rsidR="00992464" w:rsidRPr="00C72AB5">
        <w:rPr>
          <w:rFonts w:ascii="GHEA Grapalat" w:hAnsi="GHEA Grapalat"/>
          <w:sz w:val="24"/>
          <w:szCs w:val="24"/>
        </w:rPr>
        <w:t>ա</w:t>
      </w:r>
      <w:r w:rsidR="004C3B7B" w:rsidRPr="00C72AB5">
        <w:rPr>
          <w:rFonts w:ascii="GHEA Grapalat" w:hAnsi="GHEA Grapalat"/>
          <w:sz w:val="24"/>
          <w:szCs w:val="24"/>
        </w:rPr>
        <w:t xml:space="preserve">րկ է նկատի ունենալ, որ 2019 թվականին 55-ից բարձր տարիքային խմբում գտնվող գիտական աշխատողների թվաքանակը 5 տարվա կտրվածքով տեղափոխվում է 60-ից բարձր տարիքային խումբ` նվազելով 274-ով, այսինքն միջինից բարձր տարիքային խմբում առկա են </w:t>
      </w:r>
      <w:r w:rsidR="00FC4265" w:rsidRPr="00FC4265">
        <w:rPr>
          <w:rFonts w:ascii="GHEA Grapalat" w:hAnsi="GHEA Grapalat"/>
          <w:sz w:val="24"/>
          <w:szCs w:val="24"/>
        </w:rPr>
        <w:t>ան</w:t>
      </w:r>
      <w:r w:rsidR="004C3B7B" w:rsidRPr="00FC4265">
        <w:rPr>
          <w:rFonts w:ascii="GHEA Grapalat" w:hAnsi="GHEA Grapalat"/>
          <w:sz w:val="24"/>
          <w:szCs w:val="24"/>
        </w:rPr>
        <w:t>ասելի դ</w:t>
      </w:r>
      <w:r w:rsidR="004C3B7B" w:rsidRPr="00C72AB5">
        <w:rPr>
          <w:rFonts w:ascii="GHEA Grapalat" w:hAnsi="GHEA Grapalat"/>
          <w:sz w:val="24"/>
          <w:szCs w:val="24"/>
        </w:rPr>
        <w:t>եմոգրաֆիկական պրոցեսներ:</w:t>
      </w:r>
      <w:r w:rsidR="004379A3" w:rsidRPr="00C72AB5">
        <w:rPr>
          <w:rFonts w:ascii="GHEA Grapalat" w:hAnsi="GHEA Grapalat"/>
          <w:sz w:val="24"/>
          <w:szCs w:val="24"/>
        </w:rPr>
        <w:t xml:space="preserve"> </w:t>
      </w:r>
      <w:r w:rsidR="00544C39" w:rsidRPr="00C72AB5">
        <w:rPr>
          <w:rFonts w:ascii="GHEA Grapalat" w:hAnsi="GHEA Grapalat"/>
          <w:sz w:val="24"/>
          <w:szCs w:val="24"/>
        </w:rPr>
        <w:t>Կ</w:t>
      </w:r>
      <w:r w:rsidR="004379A3" w:rsidRPr="00C72AB5">
        <w:rPr>
          <w:rFonts w:ascii="GHEA Grapalat" w:hAnsi="GHEA Grapalat"/>
          <w:sz w:val="24"/>
          <w:szCs w:val="24"/>
        </w:rPr>
        <w:t>ադրերի համալրումը կատարվում է հիմնականում երիտասարդ գիտաշխատողների ներհոսքով</w:t>
      </w:r>
      <w:r w:rsidR="004C3B7B" w:rsidRPr="00C72AB5">
        <w:rPr>
          <w:rFonts w:ascii="GHEA Grapalat" w:hAnsi="GHEA Grapalat"/>
          <w:sz w:val="24"/>
          <w:szCs w:val="24"/>
        </w:rPr>
        <w:t xml:space="preserve">, այս դեպքում սակայն առկա է </w:t>
      </w:r>
      <w:r w:rsidR="00242041" w:rsidRPr="00C72AB5">
        <w:rPr>
          <w:rFonts w:ascii="GHEA Grapalat" w:hAnsi="GHEA Grapalat"/>
          <w:sz w:val="24"/>
          <w:szCs w:val="24"/>
        </w:rPr>
        <w:t xml:space="preserve">կադրերի </w:t>
      </w:r>
      <w:r w:rsidR="004C3B7B" w:rsidRPr="00C72AB5">
        <w:rPr>
          <w:rFonts w:ascii="GHEA Grapalat" w:hAnsi="GHEA Grapalat"/>
          <w:sz w:val="24"/>
          <w:szCs w:val="24"/>
        </w:rPr>
        <w:t>պատրաստվածության հիմ</w:t>
      </w:r>
      <w:r w:rsidR="00242041" w:rsidRPr="00C72AB5">
        <w:rPr>
          <w:rFonts w:ascii="GHEA Grapalat" w:hAnsi="GHEA Grapalat"/>
          <w:sz w:val="24"/>
          <w:szCs w:val="24"/>
        </w:rPr>
        <w:t>նախնդիրը, որն ունի առանձին հասցեագրման կարիք, քանի որ ներկայիս բուհական համակարգը չի ապահովում բավարար գիտելիքների և հմտությունների շրջանակ` հետազոտությունների ոլորտում աշխատանքի պատրաստ լինելու համար:</w:t>
      </w:r>
    </w:p>
    <w:p w14:paraId="50EDC272" w14:textId="548302EC" w:rsidR="006D2E17" w:rsidRPr="00C72AB5" w:rsidRDefault="006D2E17" w:rsidP="0049437D">
      <w:pPr>
        <w:tabs>
          <w:tab w:val="left" w:pos="709"/>
          <w:tab w:val="left" w:pos="851"/>
        </w:tabs>
        <w:spacing w:line="276" w:lineRule="auto"/>
        <w:ind w:firstLine="567"/>
        <w:jc w:val="both"/>
        <w:rPr>
          <w:rFonts w:ascii="GHEA Grapalat" w:hAnsi="GHEA Grapalat"/>
          <w:sz w:val="24"/>
          <w:szCs w:val="24"/>
        </w:rPr>
      </w:pPr>
    </w:p>
    <w:tbl>
      <w:tblPr>
        <w:tblW w:w="9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2"/>
        <w:gridCol w:w="823"/>
        <w:gridCol w:w="823"/>
        <w:gridCol w:w="823"/>
        <w:gridCol w:w="823"/>
        <w:gridCol w:w="823"/>
        <w:gridCol w:w="823"/>
        <w:gridCol w:w="703"/>
        <w:gridCol w:w="823"/>
        <w:gridCol w:w="1666"/>
      </w:tblGrid>
      <w:tr w:rsidR="00272379" w:rsidRPr="00C72AB5" w14:paraId="25975B0C" w14:textId="77777777" w:rsidTr="00272379">
        <w:trPr>
          <w:trHeight w:val="330"/>
        </w:trPr>
        <w:tc>
          <w:tcPr>
            <w:tcW w:w="1332" w:type="dxa"/>
            <w:vMerge w:val="restart"/>
            <w:shd w:val="clear" w:color="000000" w:fill="E2EFDA"/>
            <w:noWrap/>
            <w:vAlign w:val="center"/>
            <w:hideMark/>
          </w:tcPr>
          <w:p w14:paraId="287CF794" w14:textId="72D4FF94" w:rsidR="00272379" w:rsidRPr="00C72AB5" w:rsidRDefault="00272379" w:rsidP="00992464">
            <w:pPr>
              <w:jc w:val="center"/>
              <w:rPr>
                <w:rFonts w:ascii="GHEA Grapalat" w:hAnsi="GHEA Grapalat" w:cs="Calibri"/>
                <w:b/>
                <w:bCs/>
                <w:color w:val="000000"/>
                <w:lang w:eastAsia="en-US"/>
              </w:rPr>
            </w:pPr>
            <w:r w:rsidRPr="00C72AB5">
              <w:rPr>
                <w:rFonts w:ascii="GHEA Grapalat" w:hAnsi="GHEA Grapalat" w:cs="Calibri"/>
                <w:b/>
                <w:bCs/>
                <w:color w:val="000000"/>
                <w:lang w:eastAsia="en-US"/>
              </w:rPr>
              <w:t>Տարիքային խումբ</w:t>
            </w:r>
          </w:p>
        </w:tc>
        <w:tc>
          <w:tcPr>
            <w:tcW w:w="8130" w:type="dxa"/>
            <w:gridSpan w:val="9"/>
            <w:shd w:val="clear" w:color="000000" w:fill="E2EFDA"/>
            <w:vAlign w:val="center"/>
          </w:tcPr>
          <w:p w14:paraId="6AD5C299" w14:textId="1D9E37B8" w:rsidR="00272379" w:rsidRPr="00C72AB5" w:rsidRDefault="00272379" w:rsidP="00272379">
            <w:pPr>
              <w:jc w:val="center"/>
              <w:rPr>
                <w:rFonts w:ascii="GHEA Grapalat" w:hAnsi="GHEA Grapalat" w:cs="Calibri"/>
                <w:b/>
                <w:bCs/>
                <w:color w:val="000000"/>
                <w:sz w:val="22"/>
                <w:szCs w:val="22"/>
                <w:lang w:eastAsia="en-US"/>
              </w:rPr>
            </w:pPr>
            <w:r w:rsidRPr="00C72AB5">
              <w:rPr>
                <w:rFonts w:ascii="GHEA Grapalat" w:hAnsi="GHEA Grapalat" w:cs="Calibri"/>
                <w:b/>
                <w:bCs/>
                <w:color w:val="000000"/>
                <w:lang w:eastAsia="en-US"/>
              </w:rPr>
              <w:t>Գիտական աշխատողներ</w:t>
            </w:r>
          </w:p>
        </w:tc>
      </w:tr>
      <w:tr w:rsidR="00272379" w:rsidRPr="00C72AB5" w14:paraId="7359CECD" w14:textId="77777777" w:rsidTr="00992464">
        <w:trPr>
          <w:trHeight w:val="641"/>
        </w:trPr>
        <w:tc>
          <w:tcPr>
            <w:tcW w:w="1332" w:type="dxa"/>
            <w:vMerge/>
            <w:shd w:val="clear" w:color="000000" w:fill="E2EFDA"/>
            <w:noWrap/>
            <w:vAlign w:val="center"/>
            <w:hideMark/>
          </w:tcPr>
          <w:p w14:paraId="3A8CB1C1" w14:textId="5F87175D" w:rsidR="00272379" w:rsidRPr="00C72AB5" w:rsidRDefault="00272379" w:rsidP="00272379">
            <w:pPr>
              <w:jc w:val="center"/>
              <w:rPr>
                <w:rFonts w:ascii="GHEA Grapalat" w:hAnsi="GHEA Grapalat" w:cs="Calibri"/>
                <w:b/>
                <w:bCs/>
                <w:color w:val="000000"/>
                <w:lang w:eastAsia="en-US"/>
              </w:rPr>
            </w:pPr>
          </w:p>
        </w:tc>
        <w:tc>
          <w:tcPr>
            <w:tcW w:w="823" w:type="dxa"/>
            <w:shd w:val="clear" w:color="000000" w:fill="E2EFDA"/>
            <w:vAlign w:val="center"/>
            <w:hideMark/>
          </w:tcPr>
          <w:p w14:paraId="0DCF3446" w14:textId="77777777" w:rsidR="00272379" w:rsidRPr="00C72AB5" w:rsidRDefault="00272379" w:rsidP="00272379">
            <w:pPr>
              <w:jc w:val="center"/>
              <w:rPr>
                <w:rFonts w:ascii="GHEA Grapalat" w:hAnsi="GHEA Grapalat" w:cs="Calibri"/>
                <w:b/>
                <w:bCs/>
                <w:color w:val="000000"/>
                <w:lang w:eastAsia="en-US"/>
              </w:rPr>
            </w:pPr>
            <w:r w:rsidRPr="00C72AB5">
              <w:rPr>
                <w:rFonts w:ascii="GHEA Grapalat" w:hAnsi="GHEA Grapalat" w:cs="Calibri"/>
                <w:b/>
                <w:bCs/>
                <w:color w:val="000000"/>
                <w:lang w:eastAsia="en-US"/>
              </w:rPr>
              <w:t>2017</w:t>
            </w:r>
          </w:p>
        </w:tc>
        <w:tc>
          <w:tcPr>
            <w:tcW w:w="823" w:type="dxa"/>
            <w:shd w:val="clear" w:color="000000" w:fill="E2EFDA"/>
            <w:vAlign w:val="center"/>
            <w:hideMark/>
          </w:tcPr>
          <w:p w14:paraId="61150F5C" w14:textId="77777777" w:rsidR="00272379" w:rsidRPr="00C72AB5" w:rsidRDefault="00272379" w:rsidP="00272379">
            <w:pPr>
              <w:jc w:val="center"/>
              <w:rPr>
                <w:rFonts w:ascii="GHEA Grapalat" w:hAnsi="GHEA Grapalat" w:cs="Calibri"/>
                <w:b/>
                <w:bCs/>
                <w:color w:val="000000"/>
                <w:lang w:eastAsia="en-US"/>
              </w:rPr>
            </w:pPr>
            <w:r w:rsidRPr="00C72AB5">
              <w:rPr>
                <w:rFonts w:ascii="GHEA Grapalat" w:hAnsi="GHEA Grapalat" w:cs="Calibri"/>
                <w:b/>
                <w:bCs/>
                <w:color w:val="000000"/>
                <w:lang w:eastAsia="en-US"/>
              </w:rPr>
              <w:t>2018</w:t>
            </w:r>
          </w:p>
        </w:tc>
        <w:tc>
          <w:tcPr>
            <w:tcW w:w="823" w:type="dxa"/>
            <w:shd w:val="clear" w:color="000000" w:fill="E2EFDA"/>
            <w:vAlign w:val="center"/>
            <w:hideMark/>
          </w:tcPr>
          <w:p w14:paraId="7FFB2385" w14:textId="77777777" w:rsidR="00272379" w:rsidRPr="00C72AB5" w:rsidRDefault="00272379" w:rsidP="00272379">
            <w:pPr>
              <w:jc w:val="center"/>
              <w:rPr>
                <w:rFonts w:ascii="GHEA Grapalat" w:hAnsi="GHEA Grapalat" w:cs="Calibri"/>
                <w:b/>
                <w:bCs/>
                <w:color w:val="000000"/>
                <w:lang w:eastAsia="en-US"/>
              </w:rPr>
            </w:pPr>
            <w:r w:rsidRPr="00C72AB5">
              <w:rPr>
                <w:rFonts w:ascii="GHEA Grapalat" w:hAnsi="GHEA Grapalat" w:cs="Calibri"/>
                <w:b/>
                <w:bCs/>
                <w:color w:val="000000"/>
                <w:lang w:eastAsia="en-US"/>
              </w:rPr>
              <w:t>2019</w:t>
            </w:r>
          </w:p>
        </w:tc>
        <w:tc>
          <w:tcPr>
            <w:tcW w:w="823" w:type="dxa"/>
            <w:shd w:val="clear" w:color="000000" w:fill="E2EFDA"/>
            <w:vAlign w:val="center"/>
            <w:hideMark/>
          </w:tcPr>
          <w:p w14:paraId="608EA31F" w14:textId="77777777" w:rsidR="00272379" w:rsidRPr="00C72AB5" w:rsidRDefault="00272379" w:rsidP="00272379">
            <w:pPr>
              <w:jc w:val="center"/>
              <w:rPr>
                <w:rFonts w:ascii="GHEA Grapalat" w:hAnsi="GHEA Grapalat" w:cs="Calibri"/>
                <w:b/>
                <w:bCs/>
                <w:color w:val="000000"/>
                <w:lang w:eastAsia="en-US"/>
              </w:rPr>
            </w:pPr>
            <w:r w:rsidRPr="00C72AB5">
              <w:rPr>
                <w:rFonts w:ascii="GHEA Grapalat" w:hAnsi="GHEA Grapalat" w:cs="Calibri"/>
                <w:b/>
                <w:bCs/>
                <w:color w:val="000000"/>
                <w:lang w:eastAsia="en-US"/>
              </w:rPr>
              <w:t>2020</w:t>
            </w:r>
          </w:p>
        </w:tc>
        <w:tc>
          <w:tcPr>
            <w:tcW w:w="823" w:type="dxa"/>
            <w:shd w:val="clear" w:color="000000" w:fill="E2EFDA"/>
            <w:vAlign w:val="center"/>
            <w:hideMark/>
          </w:tcPr>
          <w:p w14:paraId="5B14B533" w14:textId="77777777" w:rsidR="00272379" w:rsidRPr="00C72AB5" w:rsidRDefault="00272379" w:rsidP="00272379">
            <w:pPr>
              <w:jc w:val="center"/>
              <w:rPr>
                <w:rFonts w:ascii="GHEA Grapalat" w:hAnsi="GHEA Grapalat" w:cs="Calibri"/>
                <w:b/>
                <w:bCs/>
                <w:color w:val="000000"/>
                <w:lang w:eastAsia="en-US"/>
              </w:rPr>
            </w:pPr>
            <w:r w:rsidRPr="00C72AB5">
              <w:rPr>
                <w:rFonts w:ascii="GHEA Grapalat" w:hAnsi="GHEA Grapalat" w:cs="Calibri"/>
                <w:b/>
                <w:bCs/>
                <w:color w:val="000000"/>
                <w:lang w:eastAsia="en-US"/>
              </w:rPr>
              <w:t>2021</w:t>
            </w:r>
          </w:p>
        </w:tc>
        <w:tc>
          <w:tcPr>
            <w:tcW w:w="823" w:type="dxa"/>
            <w:shd w:val="clear" w:color="000000" w:fill="E2EFDA"/>
            <w:vAlign w:val="center"/>
            <w:hideMark/>
          </w:tcPr>
          <w:p w14:paraId="447856AB" w14:textId="77777777" w:rsidR="00272379" w:rsidRPr="00C72AB5" w:rsidRDefault="00272379" w:rsidP="00272379">
            <w:pPr>
              <w:jc w:val="center"/>
              <w:rPr>
                <w:rFonts w:ascii="GHEA Grapalat" w:hAnsi="GHEA Grapalat" w:cs="Calibri"/>
                <w:b/>
                <w:bCs/>
                <w:color w:val="000000"/>
                <w:lang w:eastAsia="en-US"/>
              </w:rPr>
            </w:pPr>
            <w:r w:rsidRPr="00C72AB5">
              <w:rPr>
                <w:rFonts w:ascii="GHEA Grapalat" w:hAnsi="GHEA Grapalat" w:cs="Calibri"/>
                <w:b/>
                <w:bCs/>
                <w:color w:val="000000"/>
                <w:lang w:eastAsia="en-US"/>
              </w:rPr>
              <w:t>2022</w:t>
            </w:r>
          </w:p>
        </w:tc>
        <w:tc>
          <w:tcPr>
            <w:tcW w:w="703" w:type="dxa"/>
            <w:shd w:val="clear" w:color="000000" w:fill="E2EFDA"/>
            <w:vAlign w:val="center"/>
            <w:hideMark/>
          </w:tcPr>
          <w:p w14:paraId="57A1C299" w14:textId="77777777" w:rsidR="00272379" w:rsidRPr="00C72AB5" w:rsidRDefault="00272379" w:rsidP="00272379">
            <w:pPr>
              <w:jc w:val="center"/>
              <w:rPr>
                <w:rFonts w:ascii="GHEA Grapalat" w:hAnsi="GHEA Grapalat" w:cs="Calibri"/>
                <w:b/>
                <w:bCs/>
                <w:color w:val="000000"/>
                <w:lang w:eastAsia="en-US"/>
              </w:rPr>
            </w:pPr>
            <w:r w:rsidRPr="00C72AB5">
              <w:rPr>
                <w:rFonts w:ascii="GHEA Grapalat" w:hAnsi="GHEA Grapalat" w:cs="Calibri"/>
                <w:b/>
                <w:bCs/>
                <w:color w:val="000000"/>
                <w:lang w:eastAsia="en-US"/>
              </w:rPr>
              <w:t>2023</w:t>
            </w:r>
          </w:p>
        </w:tc>
        <w:tc>
          <w:tcPr>
            <w:tcW w:w="823" w:type="dxa"/>
            <w:shd w:val="clear" w:color="000000" w:fill="E2EFDA"/>
            <w:vAlign w:val="center"/>
            <w:hideMark/>
          </w:tcPr>
          <w:p w14:paraId="73B357AC" w14:textId="77777777" w:rsidR="00272379" w:rsidRPr="00C72AB5" w:rsidRDefault="00272379" w:rsidP="00272379">
            <w:pPr>
              <w:jc w:val="center"/>
              <w:rPr>
                <w:rFonts w:ascii="GHEA Grapalat" w:hAnsi="GHEA Grapalat" w:cs="Calibri"/>
                <w:b/>
                <w:bCs/>
                <w:color w:val="000000"/>
                <w:lang w:eastAsia="en-US"/>
              </w:rPr>
            </w:pPr>
            <w:r w:rsidRPr="00C72AB5">
              <w:rPr>
                <w:rFonts w:ascii="GHEA Grapalat" w:hAnsi="GHEA Grapalat" w:cs="Calibri"/>
                <w:b/>
                <w:bCs/>
                <w:color w:val="000000"/>
                <w:lang w:eastAsia="en-US"/>
              </w:rPr>
              <w:t>2024</w:t>
            </w:r>
          </w:p>
        </w:tc>
        <w:tc>
          <w:tcPr>
            <w:tcW w:w="1666" w:type="dxa"/>
            <w:shd w:val="clear" w:color="000000" w:fill="FFF2CC"/>
            <w:vAlign w:val="center"/>
            <w:hideMark/>
          </w:tcPr>
          <w:p w14:paraId="0FE96AD0" w14:textId="77777777" w:rsidR="00272379" w:rsidRPr="00C72AB5" w:rsidRDefault="00272379" w:rsidP="00272379">
            <w:pPr>
              <w:jc w:val="center"/>
              <w:rPr>
                <w:rFonts w:ascii="GHEA Grapalat" w:hAnsi="GHEA Grapalat" w:cs="Calibri"/>
                <w:b/>
                <w:bCs/>
                <w:color w:val="000000"/>
                <w:lang w:eastAsia="en-US"/>
              </w:rPr>
            </w:pPr>
            <w:r w:rsidRPr="00C72AB5">
              <w:rPr>
                <w:rFonts w:ascii="GHEA Grapalat" w:hAnsi="GHEA Grapalat" w:cs="Calibri"/>
                <w:b/>
                <w:bCs/>
                <w:color w:val="000000"/>
                <w:lang w:eastAsia="en-US"/>
              </w:rPr>
              <w:t>2029</w:t>
            </w:r>
          </w:p>
          <w:p w14:paraId="60248045" w14:textId="418E2B0B" w:rsidR="00272379" w:rsidRPr="00C72AB5" w:rsidRDefault="00272379" w:rsidP="00272379">
            <w:pPr>
              <w:jc w:val="center"/>
              <w:rPr>
                <w:rFonts w:ascii="GHEA Grapalat" w:hAnsi="GHEA Grapalat" w:cs="Calibri"/>
                <w:b/>
                <w:bCs/>
                <w:color w:val="000000"/>
                <w:lang w:eastAsia="en-US"/>
              </w:rPr>
            </w:pPr>
            <w:r w:rsidRPr="00C72AB5">
              <w:rPr>
                <w:rFonts w:ascii="GHEA Grapalat" w:hAnsi="GHEA Grapalat" w:cs="Calibri"/>
                <w:b/>
                <w:bCs/>
                <w:color w:val="000000"/>
                <w:lang w:eastAsia="en-US"/>
              </w:rPr>
              <w:t>կանխատեսում</w:t>
            </w:r>
          </w:p>
        </w:tc>
      </w:tr>
      <w:tr w:rsidR="00272379" w:rsidRPr="00C72AB5" w14:paraId="0172C0D1" w14:textId="77777777" w:rsidTr="00272379">
        <w:trPr>
          <w:trHeight w:val="330"/>
        </w:trPr>
        <w:tc>
          <w:tcPr>
            <w:tcW w:w="1332" w:type="dxa"/>
            <w:shd w:val="clear" w:color="000000" w:fill="E2EFDA"/>
            <w:noWrap/>
            <w:vAlign w:val="center"/>
            <w:hideMark/>
          </w:tcPr>
          <w:p w14:paraId="575F725A" w14:textId="77777777" w:rsidR="00272379" w:rsidRPr="00C72AB5" w:rsidRDefault="00272379" w:rsidP="00272379">
            <w:pPr>
              <w:jc w:val="center"/>
              <w:rPr>
                <w:rFonts w:ascii="GHEA Grapalat" w:hAnsi="GHEA Grapalat" w:cs="Calibri"/>
                <w:b/>
                <w:bCs/>
                <w:color w:val="000000"/>
                <w:lang w:eastAsia="en-US"/>
              </w:rPr>
            </w:pPr>
            <w:r w:rsidRPr="00C72AB5">
              <w:rPr>
                <w:rFonts w:ascii="Calibri" w:hAnsi="Calibri" w:cs="Calibri"/>
                <w:b/>
                <w:bCs/>
                <w:color w:val="000000"/>
                <w:lang w:eastAsia="en-US"/>
              </w:rPr>
              <w:t>≤</w:t>
            </w:r>
            <w:r w:rsidRPr="00C72AB5">
              <w:rPr>
                <w:rFonts w:ascii="GHEA Grapalat" w:hAnsi="GHEA Grapalat" w:cs="Calibri"/>
                <w:b/>
                <w:bCs/>
                <w:color w:val="000000"/>
                <w:lang w:eastAsia="en-US"/>
              </w:rPr>
              <w:t>24</w:t>
            </w:r>
          </w:p>
        </w:tc>
        <w:tc>
          <w:tcPr>
            <w:tcW w:w="823" w:type="dxa"/>
            <w:vAlign w:val="center"/>
            <w:hideMark/>
          </w:tcPr>
          <w:p w14:paraId="76B12A39"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81</w:t>
            </w:r>
          </w:p>
        </w:tc>
        <w:tc>
          <w:tcPr>
            <w:tcW w:w="823" w:type="dxa"/>
            <w:vAlign w:val="center"/>
            <w:hideMark/>
          </w:tcPr>
          <w:p w14:paraId="05ADB3BD"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81</w:t>
            </w:r>
          </w:p>
        </w:tc>
        <w:tc>
          <w:tcPr>
            <w:tcW w:w="823" w:type="dxa"/>
            <w:vAlign w:val="center"/>
            <w:hideMark/>
          </w:tcPr>
          <w:p w14:paraId="73D503D8" w14:textId="417C5230" w:rsidR="00272379" w:rsidRPr="00C72AB5" w:rsidRDefault="0046583F" w:rsidP="00272379">
            <w:pPr>
              <w:jc w:val="center"/>
              <w:rPr>
                <w:rFonts w:ascii="Calibri" w:hAnsi="Calibri" w:cs="Calibri"/>
                <w:color w:val="000000"/>
                <w:sz w:val="22"/>
                <w:szCs w:val="22"/>
                <w:lang w:eastAsia="en-US"/>
              </w:rPr>
            </w:pPr>
            <w:r w:rsidRPr="00C72AB5">
              <w:rPr>
                <w:rFonts w:ascii="GHEA Grapalat" w:hAnsi="GHEA Grapalat"/>
                <w:noProof/>
                <w:sz w:val="24"/>
                <w:szCs w:val="24"/>
                <w:highlight w:val="red"/>
                <w:lang w:val="en-US" w:eastAsia="en-US"/>
              </w:rPr>
              <mc:AlternateContent>
                <mc:Choice Requires="wps">
                  <w:drawing>
                    <wp:anchor distT="0" distB="0" distL="114300" distR="114300" simplePos="0" relativeHeight="251684352" behindDoc="0" locked="0" layoutInCell="1" allowOverlap="1" wp14:anchorId="171AC02A" wp14:editId="290D66CD">
                      <wp:simplePos x="0" y="0"/>
                      <wp:positionH relativeFrom="column">
                        <wp:posOffset>398780</wp:posOffset>
                      </wp:positionH>
                      <wp:positionV relativeFrom="paragraph">
                        <wp:posOffset>60960</wp:posOffset>
                      </wp:positionV>
                      <wp:extent cx="2171700" cy="238125"/>
                      <wp:effectExtent l="19050" t="19050" r="57150" b="85725"/>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238125"/>
                              </a:xfrm>
                              <a:prstGeom prst="straightConnector1">
                                <a:avLst/>
                              </a:prstGeom>
                              <a:noFill/>
                              <a:ln w="9525">
                                <a:solidFill>
                                  <a:srgbClr val="FF0000"/>
                                </a:solidFill>
                                <a:round/>
                                <a:headEnd type="oval" w="sm" len="sm"/>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63B07E5D" id="_x0000_t32" coordsize="21600,21600" o:spt="32" o:oned="t" path="m,l21600,21600e" filled="f">
                      <v:path arrowok="t" fillok="f" o:connecttype="none"/>
                      <o:lock v:ext="edit" shapetype="t"/>
                    </v:shapetype>
                    <v:shape id="AutoShape 2" o:spid="_x0000_s1026" type="#_x0000_t32" style="position:absolute;margin-left:31.4pt;margin-top:4.8pt;width:171pt;height:18.75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" strokecolor="red">
                      <v:stroke startarrow="oval" startarrowwidth="narrow" startarrowlength="short" endarrow="classic" endarrowlength="long"/>
                    </v:shape>
                  </w:pict>
                </mc:Fallback>
              </mc:AlternateContent>
            </w:r>
            <w:r w:rsidR="00272379" w:rsidRPr="00C72AB5">
              <w:rPr>
                <w:rFonts w:ascii="Calibri" w:hAnsi="Calibri" w:cs="Calibri"/>
                <w:color w:val="000000"/>
                <w:sz w:val="22"/>
                <w:szCs w:val="22"/>
                <w:lang w:eastAsia="en-US"/>
              </w:rPr>
              <w:t>96</w:t>
            </w:r>
          </w:p>
        </w:tc>
        <w:tc>
          <w:tcPr>
            <w:tcW w:w="823" w:type="dxa"/>
            <w:vAlign w:val="center"/>
            <w:hideMark/>
          </w:tcPr>
          <w:p w14:paraId="4E01596C"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132</w:t>
            </w:r>
          </w:p>
        </w:tc>
        <w:tc>
          <w:tcPr>
            <w:tcW w:w="823" w:type="dxa"/>
            <w:vAlign w:val="center"/>
            <w:hideMark/>
          </w:tcPr>
          <w:p w14:paraId="24D06A10"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83</w:t>
            </w:r>
          </w:p>
        </w:tc>
        <w:tc>
          <w:tcPr>
            <w:tcW w:w="823" w:type="dxa"/>
            <w:vAlign w:val="center"/>
            <w:hideMark/>
          </w:tcPr>
          <w:p w14:paraId="6A81BBE1"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191</w:t>
            </w:r>
          </w:p>
        </w:tc>
        <w:tc>
          <w:tcPr>
            <w:tcW w:w="703" w:type="dxa"/>
            <w:vAlign w:val="center"/>
            <w:hideMark/>
          </w:tcPr>
          <w:p w14:paraId="0E119F4D"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210</w:t>
            </w:r>
          </w:p>
        </w:tc>
        <w:tc>
          <w:tcPr>
            <w:tcW w:w="823" w:type="dxa"/>
            <w:vAlign w:val="center"/>
            <w:hideMark/>
          </w:tcPr>
          <w:p w14:paraId="55190A6A"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201</w:t>
            </w:r>
          </w:p>
        </w:tc>
        <w:tc>
          <w:tcPr>
            <w:tcW w:w="1666" w:type="dxa"/>
            <w:shd w:val="clear" w:color="000000" w:fill="FFF2CC"/>
            <w:vAlign w:val="center"/>
            <w:hideMark/>
          </w:tcPr>
          <w:p w14:paraId="7B2CD19F"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201</w:t>
            </w:r>
          </w:p>
        </w:tc>
      </w:tr>
      <w:tr w:rsidR="00272379" w:rsidRPr="00C72AB5" w14:paraId="012A01E4" w14:textId="77777777" w:rsidTr="00272379">
        <w:trPr>
          <w:trHeight w:val="330"/>
        </w:trPr>
        <w:tc>
          <w:tcPr>
            <w:tcW w:w="1332" w:type="dxa"/>
            <w:shd w:val="clear" w:color="000000" w:fill="E2EFDA"/>
            <w:noWrap/>
            <w:vAlign w:val="center"/>
            <w:hideMark/>
          </w:tcPr>
          <w:p w14:paraId="2A5BD5BD" w14:textId="77777777" w:rsidR="00272379" w:rsidRPr="00C72AB5" w:rsidRDefault="00272379" w:rsidP="00272379">
            <w:pPr>
              <w:jc w:val="center"/>
              <w:rPr>
                <w:rFonts w:ascii="GHEA Grapalat" w:hAnsi="GHEA Grapalat" w:cs="Calibri"/>
                <w:b/>
                <w:bCs/>
                <w:color w:val="000000"/>
                <w:lang w:eastAsia="en-US"/>
              </w:rPr>
            </w:pPr>
            <w:r w:rsidRPr="00C72AB5">
              <w:rPr>
                <w:rFonts w:ascii="GHEA Grapalat" w:hAnsi="GHEA Grapalat" w:cs="Calibri"/>
                <w:b/>
                <w:bCs/>
                <w:color w:val="000000"/>
                <w:lang w:eastAsia="en-US"/>
              </w:rPr>
              <w:t>25-29</w:t>
            </w:r>
          </w:p>
        </w:tc>
        <w:tc>
          <w:tcPr>
            <w:tcW w:w="823" w:type="dxa"/>
            <w:vAlign w:val="center"/>
            <w:hideMark/>
          </w:tcPr>
          <w:p w14:paraId="34CB16F7"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352</w:t>
            </w:r>
          </w:p>
        </w:tc>
        <w:tc>
          <w:tcPr>
            <w:tcW w:w="823" w:type="dxa"/>
            <w:vAlign w:val="center"/>
            <w:hideMark/>
          </w:tcPr>
          <w:p w14:paraId="6E3CCD71"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364</w:t>
            </w:r>
          </w:p>
        </w:tc>
        <w:tc>
          <w:tcPr>
            <w:tcW w:w="823" w:type="dxa"/>
            <w:vAlign w:val="center"/>
            <w:hideMark/>
          </w:tcPr>
          <w:p w14:paraId="2DA26A17" w14:textId="0A9B1D0D" w:rsidR="00272379" w:rsidRPr="00C72AB5" w:rsidRDefault="0046583F" w:rsidP="00272379">
            <w:pPr>
              <w:jc w:val="center"/>
              <w:rPr>
                <w:rFonts w:ascii="Calibri" w:hAnsi="Calibri" w:cs="Calibri"/>
                <w:color w:val="000000"/>
                <w:sz w:val="22"/>
                <w:szCs w:val="22"/>
                <w:lang w:eastAsia="en-US"/>
              </w:rPr>
            </w:pPr>
            <w:r w:rsidRPr="00C72AB5">
              <w:rPr>
                <w:rFonts w:ascii="GHEA Grapalat" w:hAnsi="GHEA Grapalat"/>
                <w:noProof/>
                <w:sz w:val="24"/>
                <w:szCs w:val="24"/>
                <w:highlight w:val="red"/>
                <w:lang w:val="en-US" w:eastAsia="en-US"/>
              </w:rPr>
              <mc:AlternateContent>
                <mc:Choice Requires="wps">
                  <w:drawing>
                    <wp:anchor distT="0" distB="0" distL="114300" distR="114300" simplePos="0" relativeHeight="251686400" behindDoc="0" locked="0" layoutInCell="1" allowOverlap="1" wp14:anchorId="6BC7B282" wp14:editId="7EA68296">
                      <wp:simplePos x="0" y="0"/>
                      <wp:positionH relativeFrom="column">
                        <wp:posOffset>397510</wp:posOffset>
                      </wp:positionH>
                      <wp:positionV relativeFrom="paragraph">
                        <wp:posOffset>47625</wp:posOffset>
                      </wp:positionV>
                      <wp:extent cx="2171700" cy="238125"/>
                      <wp:effectExtent l="19050" t="19050" r="57150" b="85725"/>
                      <wp:wrapNone/>
                      <wp:docPr id="168769991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238125"/>
                              </a:xfrm>
                              <a:prstGeom prst="straightConnector1">
                                <a:avLst/>
                              </a:prstGeom>
                              <a:noFill/>
                              <a:ln w="9525">
                                <a:solidFill>
                                  <a:srgbClr val="FF0000"/>
                                </a:solidFill>
                                <a:round/>
                                <a:headEnd type="oval" w="sm" len="sm"/>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95FF84D" id="AutoShape 2" o:spid="_x0000_s1026" type="#_x0000_t32" style="position:absolute;margin-left:31.3pt;margin-top:3.75pt;width:171pt;height:18.75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" strokecolor="red">
                      <v:stroke startarrow="oval" startarrowwidth="narrow" startarrowlength="short" endarrow="classic" endarrowlength="long"/>
                    </v:shape>
                  </w:pict>
                </mc:Fallback>
              </mc:AlternateContent>
            </w:r>
            <w:r w:rsidR="00272379" w:rsidRPr="00C72AB5">
              <w:rPr>
                <w:rFonts w:ascii="Calibri" w:hAnsi="Calibri" w:cs="Calibri"/>
                <w:color w:val="000000"/>
                <w:sz w:val="22"/>
                <w:szCs w:val="22"/>
                <w:lang w:eastAsia="en-US"/>
              </w:rPr>
              <w:t>320</w:t>
            </w:r>
          </w:p>
        </w:tc>
        <w:tc>
          <w:tcPr>
            <w:tcW w:w="823" w:type="dxa"/>
            <w:vAlign w:val="center"/>
            <w:hideMark/>
          </w:tcPr>
          <w:p w14:paraId="4ACCC427" w14:textId="6964F7E5"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315</w:t>
            </w:r>
          </w:p>
        </w:tc>
        <w:tc>
          <w:tcPr>
            <w:tcW w:w="823" w:type="dxa"/>
            <w:vAlign w:val="center"/>
            <w:hideMark/>
          </w:tcPr>
          <w:p w14:paraId="2C8DF72B" w14:textId="27D0A6C8"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271</w:t>
            </w:r>
          </w:p>
        </w:tc>
        <w:tc>
          <w:tcPr>
            <w:tcW w:w="823" w:type="dxa"/>
            <w:vAlign w:val="center"/>
            <w:hideMark/>
          </w:tcPr>
          <w:p w14:paraId="5D4FEEC8" w14:textId="462DC18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314</w:t>
            </w:r>
          </w:p>
        </w:tc>
        <w:tc>
          <w:tcPr>
            <w:tcW w:w="703" w:type="dxa"/>
            <w:vAlign w:val="center"/>
            <w:hideMark/>
          </w:tcPr>
          <w:p w14:paraId="5E885768" w14:textId="373D308D"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342</w:t>
            </w:r>
          </w:p>
        </w:tc>
        <w:tc>
          <w:tcPr>
            <w:tcW w:w="823" w:type="dxa"/>
            <w:vAlign w:val="center"/>
            <w:hideMark/>
          </w:tcPr>
          <w:p w14:paraId="2F8E0813"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354</w:t>
            </w:r>
          </w:p>
        </w:tc>
        <w:tc>
          <w:tcPr>
            <w:tcW w:w="1666" w:type="dxa"/>
            <w:shd w:val="clear" w:color="000000" w:fill="FFF2CC"/>
            <w:vAlign w:val="center"/>
            <w:hideMark/>
          </w:tcPr>
          <w:p w14:paraId="6C79366E"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354</w:t>
            </w:r>
          </w:p>
        </w:tc>
      </w:tr>
      <w:tr w:rsidR="00272379" w:rsidRPr="00C72AB5" w14:paraId="2E810C77" w14:textId="77777777" w:rsidTr="00272379">
        <w:trPr>
          <w:trHeight w:val="330"/>
        </w:trPr>
        <w:tc>
          <w:tcPr>
            <w:tcW w:w="1332" w:type="dxa"/>
            <w:shd w:val="clear" w:color="000000" w:fill="E2EFDA"/>
            <w:noWrap/>
            <w:vAlign w:val="center"/>
            <w:hideMark/>
          </w:tcPr>
          <w:p w14:paraId="439738E8" w14:textId="77777777" w:rsidR="00272379" w:rsidRPr="00C72AB5" w:rsidRDefault="00272379" w:rsidP="00272379">
            <w:pPr>
              <w:jc w:val="center"/>
              <w:rPr>
                <w:rFonts w:ascii="GHEA Grapalat" w:hAnsi="GHEA Grapalat" w:cs="Calibri"/>
                <w:b/>
                <w:bCs/>
                <w:color w:val="000000"/>
                <w:lang w:eastAsia="en-US"/>
              </w:rPr>
            </w:pPr>
            <w:r w:rsidRPr="00C72AB5">
              <w:rPr>
                <w:rFonts w:ascii="GHEA Grapalat" w:hAnsi="GHEA Grapalat" w:cs="Calibri"/>
                <w:b/>
                <w:bCs/>
                <w:color w:val="000000"/>
                <w:lang w:eastAsia="en-US"/>
              </w:rPr>
              <w:t>30-34</w:t>
            </w:r>
          </w:p>
        </w:tc>
        <w:tc>
          <w:tcPr>
            <w:tcW w:w="823" w:type="dxa"/>
            <w:vAlign w:val="center"/>
            <w:hideMark/>
          </w:tcPr>
          <w:p w14:paraId="6FEE19D8"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408</w:t>
            </w:r>
          </w:p>
        </w:tc>
        <w:tc>
          <w:tcPr>
            <w:tcW w:w="823" w:type="dxa"/>
            <w:vAlign w:val="center"/>
            <w:hideMark/>
          </w:tcPr>
          <w:p w14:paraId="1C6278D8"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407</w:t>
            </w:r>
          </w:p>
        </w:tc>
        <w:tc>
          <w:tcPr>
            <w:tcW w:w="823" w:type="dxa"/>
            <w:vAlign w:val="center"/>
            <w:hideMark/>
          </w:tcPr>
          <w:p w14:paraId="08C2B63D" w14:textId="2394BAD5"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386</w:t>
            </w:r>
          </w:p>
        </w:tc>
        <w:tc>
          <w:tcPr>
            <w:tcW w:w="823" w:type="dxa"/>
            <w:vAlign w:val="center"/>
            <w:hideMark/>
          </w:tcPr>
          <w:p w14:paraId="30D5E561" w14:textId="6F52C910"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404</w:t>
            </w:r>
          </w:p>
        </w:tc>
        <w:tc>
          <w:tcPr>
            <w:tcW w:w="823" w:type="dxa"/>
            <w:vAlign w:val="center"/>
            <w:hideMark/>
          </w:tcPr>
          <w:p w14:paraId="18CD7BF4" w14:textId="1F043E06"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350</w:t>
            </w:r>
          </w:p>
        </w:tc>
        <w:tc>
          <w:tcPr>
            <w:tcW w:w="823" w:type="dxa"/>
            <w:vAlign w:val="center"/>
            <w:hideMark/>
          </w:tcPr>
          <w:p w14:paraId="1E18FE95"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374</w:t>
            </w:r>
          </w:p>
        </w:tc>
        <w:tc>
          <w:tcPr>
            <w:tcW w:w="703" w:type="dxa"/>
            <w:vAlign w:val="center"/>
            <w:hideMark/>
          </w:tcPr>
          <w:p w14:paraId="3FEB63C9"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375</w:t>
            </w:r>
          </w:p>
        </w:tc>
        <w:tc>
          <w:tcPr>
            <w:tcW w:w="823" w:type="dxa"/>
            <w:vAlign w:val="center"/>
            <w:hideMark/>
          </w:tcPr>
          <w:p w14:paraId="445FDEB3"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360</w:t>
            </w:r>
          </w:p>
        </w:tc>
        <w:tc>
          <w:tcPr>
            <w:tcW w:w="1666" w:type="dxa"/>
            <w:shd w:val="clear" w:color="000000" w:fill="FFF2CC"/>
            <w:vAlign w:val="center"/>
            <w:hideMark/>
          </w:tcPr>
          <w:p w14:paraId="756493A5"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394</w:t>
            </w:r>
          </w:p>
        </w:tc>
      </w:tr>
      <w:tr w:rsidR="00272379" w:rsidRPr="00C72AB5" w14:paraId="58BF4A23" w14:textId="77777777" w:rsidTr="00272379">
        <w:trPr>
          <w:trHeight w:val="330"/>
        </w:trPr>
        <w:tc>
          <w:tcPr>
            <w:tcW w:w="1332" w:type="dxa"/>
            <w:shd w:val="clear" w:color="000000" w:fill="E2EFDA"/>
            <w:noWrap/>
            <w:vAlign w:val="center"/>
            <w:hideMark/>
          </w:tcPr>
          <w:p w14:paraId="27C7FDE2" w14:textId="77777777" w:rsidR="00272379" w:rsidRPr="00C72AB5" w:rsidRDefault="00272379" w:rsidP="00272379">
            <w:pPr>
              <w:jc w:val="center"/>
              <w:rPr>
                <w:rFonts w:ascii="GHEA Grapalat" w:hAnsi="GHEA Grapalat" w:cs="Calibri"/>
                <w:b/>
                <w:bCs/>
                <w:color w:val="000000"/>
                <w:lang w:eastAsia="en-US"/>
              </w:rPr>
            </w:pPr>
            <w:r w:rsidRPr="00C72AB5">
              <w:rPr>
                <w:rFonts w:ascii="GHEA Grapalat" w:hAnsi="GHEA Grapalat" w:cs="Calibri"/>
                <w:b/>
                <w:bCs/>
                <w:color w:val="000000"/>
                <w:lang w:eastAsia="en-US"/>
              </w:rPr>
              <w:t>35-39</w:t>
            </w:r>
          </w:p>
        </w:tc>
        <w:tc>
          <w:tcPr>
            <w:tcW w:w="823" w:type="dxa"/>
            <w:vAlign w:val="center"/>
            <w:hideMark/>
          </w:tcPr>
          <w:p w14:paraId="191A5F44"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337</w:t>
            </w:r>
          </w:p>
        </w:tc>
        <w:tc>
          <w:tcPr>
            <w:tcW w:w="823" w:type="dxa"/>
            <w:vAlign w:val="center"/>
            <w:hideMark/>
          </w:tcPr>
          <w:p w14:paraId="23C58574"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338</w:t>
            </w:r>
          </w:p>
        </w:tc>
        <w:tc>
          <w:tcPr>
            <w:tcW w:w="823" w:type="dxa"/>
            <w:vAlign w:val="center"/>
            <w:hideMark/>
          </w:tcPr>
          <w:p w14:paraId="6B9D6D22" w14:textId="389341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350</w:t>
            </w:r>
          </w:p>
        </w:tc>
        <w:tc>
          <w:tcPr>
            <w:tcW w:w="823" w:type="dxa"/>
            <w:vAlign w:val="center"/>
            <w:hideMark/>
          </w:tcPr>
          <w:p w14:paraId="1170A1D2" w14:textId="3ACCE2D0"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355</w:t>
            </w:r>
          </w:p>
        </w:tc>
        <w:tc>
          <w:tcPr>
            <w:tcW w:w="823" w:type="dxa"/>
            <w:vAlign w:val="center"/>
            <w:hideMark/>
          </w:tcPr>
          <w:p w14:paraId="28FCC17E" w14:textId="2501A17F"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387</w:t>
            </w:r>
          </w:p>
        </w:tc>
        <w:tc>
          <w:tcPr>
            <w:tcW w:w="823" w:type="dxa"/>
            <w:vAlign w:val="center"/>
            <w:hideMark/>
          </w:tcPr>
          <w:p w14:paraId="0397CE34" w14:textId="182D3E81"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420</w:t>
            </w:r>
          </w:p>
        </w:tc>
        <w:tc>
          <w:tcPr>
            <w:tcW w:w="703" w:type="dxa"/>
            <w:vAlign w:val="center"/>
            <w:hideMark/>
          </w:tcPr>
          <w:p w14:paraId="71CE42AE" w14:textId="7B617BAC" w:rsidR="00272379" w:rsidRPr="00C72AB5" w:rsidRDefault="0046583F" w:rsidP="00272379">
            <w:pPr>
              <w:jc w:val="center"/>
              <w:rPr>
                <w:rFonts w:ascii="Calibri" w:hAnsi="Calibri" w:cs="Calibri"/>
                <w:color w:val="000000"/>
                <w:sz w:val="22"/>
                <w:szCs w:val="22"/>
                <w:lang w:eastAsia="en-US"/>
              </w:rPr>
            </w:pPr>
            <w:r w:rsidRPr="00C72AB5">
              <w:rPr>
                <w:rFonts w:ascii="GHEA Grapalat" w:hAnsi="GHEA Grapalat"/>
                <w:noProof/>
                <w:sz w:val="24"/>
                <w:szCs w:val="24"/>
                <w:highlight w:val="red"/>
                <w:lang w:val="en-US" w:eastAsia="en-US"/>
              </w:rPr>
              <mc:AlternateContent>
                <mc:Choice Requires="wps">
                  <w:drawing>
                    <wp:anchor distT="0" distB="0" distL="114300" distR="114300" simplePos="0" relativeHeight="251688448" behindDoc="0" locked="0" layoutInCell="1" allowOverlap="1" wp14:anchorId="349109DE" wp14:editId="7E592CBF">
                      <wp:simplePos x="0" y="0"/>
                      <wp:positionH relativeFrom="column">
                        <wp:posOffset>-1708150</wp:posOffset>
                      </wp:positionH>
                      <wp:positionV relativeFrom="paragraph">
                        <wp:posOffset>-156210</wp:posOffset>
                      </wp:positionV>
                      <wp:extent cx="2171700" cy="238125"/>
                      <wp:effectExtent l="19050" t="19050" r="57150" b="85725"/>
                      <wp:wrapNone/>
                      <wp:docPr id="1017050089"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238125"/>
                              </a:xfrm>
                              <a:prstGeom prst="straightConnector1">
                                <a:avLst/>
                              </a:prstGeom>
                              <a:noFill/>
                              <a:ln w="9525">
                                <a:solidFill>
                                  <a:srgbClr val="FF0000"/>
                                </a:solidFill>
                                <a:round/>
                                <a:headEnd type="oval" w="sm" len="sm"/>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97F485C" id="AutoShape 2" o:spid="_x0000_s1026" type="#_x0000_t32" style="position:absolute;margin-left:-134.5pt;margin-top:-12.3pt;width:171pt;height:18.75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" strokecolor="red">
                      <v:stroke startarrow="oval" startarrowwidth="narrow" startarrowlength="short" endarrow="classic" endarrowlength="long"/>
                    </v:shape>
                  </w:pict>
                </mc:Fallback>
              </mc:AlternateContent>
            </w:r>
            <w:r w:rsidRPr="00C72AB5">
              <w:rPr>
                <w:rFonts w:ascii="GHEA Grapalat" w:hAnsi="GHEA Grapalat"/>
                <w:noProof/>
                <w:sz w:val="24"/>
                <w:szCs w:val="24"/>
                <w:highlight w:val="red"/>
                <w:lang w:val="en-US" w:eastAsia="en-US"/>
              </w:rPr>
              <mc:AlternateContent>
                <mc:Choice Requires="wps">
                  <w:drawing>
                    <wp:anchor distT="0" distB="0" distL="114300" distR="114300" simplePos="0" relativeHeight="251690496" behindDoc="0" locked="0" layoutInCell="1" allowOverlap="1" wp14:anchorId="5B59B6F7" wp14:editId="3CDF7295">
                      <wp:simplePos x="0" y="0"/>
                      <wp:positionH relativeFrom="column">
                        <wp:posOffset>-1708150</wp:posOffset>
                      </wp:positionH>
                      <wp:positionV relativeFrom="paragraph">
                        <wp:posOffset>53340</wp:posOffset>
                      </wp:positionV>
                      <wp:extent cx="2171700" cy="238125"/>
                      <wp:effectExtent l="19050" t="19050" r="57150" b="85725"/>
                      <wp:wrapNone/>
                      <wp:docPr id="1480843978"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238125"/>
                              </a:xfrm>
                              <a:prstGeom prst="straightConnector1">
                                <a:avLst/>
                              </a:prstGeom>
                              <a:noFill/>
                              <a:ln w="9525">
                                <a:solidFill>
                                  <a:srgbClr val="FF0000"/>
                                </a:solidFill>
                                <a:round/>
                                <a:headEnd type="oval" w="sm" len="sm"/>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4E4A1E1" id="AutoShape 2" o:spid="_x0000_s1026" type="#_x0000_t32" style="position:absolute;margin-left:-134.5pt;margin-top:4.2pt;width:171pt;height:18.75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" strokecolor="red">
                      <v:stroke startarrow="oval" startarrowwidth="narrow" startarrowlength="short" endarrow="classic" endarrowlength="long"/>
                    </v:shape>
                  </w:pict>
                </mc:Fallback>
              </mc:AlternateContent>
            </w:r>
            <w:r w:rsidRPr="00C72AB5">
              <w:rPr>
                <w:rFonts w:ascii="GHEA Grapalat" w:hAnsi="GHEA Grapalat"/>
                <w:noProof/>
                <w:sz w:val="24"/>
                <w:szCs w:val="24"/>
                <w:highlight w:val="red"/>
                <w:lang w:val="en-US" w:eastAsia="en-US"/>
              </w:rPr>
              <mc:AlternateContent>
                <mc:Choice Requires="wps">
                  <w:drawing>
                    <wp:anchor distT="0" distB="0" distL="114300" distR="114300" simplePos="0" relativeHeight="251692544" behindDoc="0" locked="0" layoutInCell="1" allowOverlap="1" wp14:anchorId="2726851B" wp14:editId="5976249F">
                      <wp:simplePos x="0" y="0"/>
                      <wp:positionH relativeFrom="column">
                        <wp:posOffset>-1708150</wp:posOffset>
                      </wp:positionH>
                      <wp:positionV relativeFrom="paragraph">
                        <wp:posOffset>272415</wp:posOffset>
                      </wp:positionV>
                      <wp:extent cx="2171700" cy="238125"/>
                      <wp:effectExtent l="19050" t="19050" r="57150" b="85725"/>
                      <wp:wrapNone/>
                      <wp:docPr id="45691896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238125"/>
                              </a:xfrm>
                              <a:prstGeom prst="straightConnector1">
                                <a:avLst/>
                              </a:prstGeom>
                              <a:noFill/>
                              <a:ln w="9525">
                                <a:solidFill>
                                  <a:srgbClr val="FF0000"/>
                                </a:solidFill>
                                <a:round/>
                                <a:headEnd type="oval" w="sm" len="sm"/>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2F88E4C" id="AutoShape 2" o:spid="_x0000_s1026" type="#_x0000_t32" style="position:absolute;margin-left:-134.5pt;margin-top:21.45pt;width:171pt;height:18.75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" strokecolor="red">
                      <v:stroke startarrow="oval" startarrowwidth="narrow" startarrowlength="short" endarrow="classic" endarrowlength="long"/>
                    </v:shape>
                  </w:pict>
                </mc:Fallback>
              </mc:AlternateContent>
            </w:r>
            <w:r w:rsidRPr="00C72AB5">
              <w:rPr>
                <w:rFonts w:ascii="GHEA Grapalat" w:hAnsi="GHEA Grapalat"/>
                <w:noProof/>
                <w:sz w:val="24"/>
                <w:szCs w:val="24"/>
                <w:highlight w:val="red"/>
                <w:lang w:val="en-US" w:eastAsia="en-US"/>
              </w:rPr>
              <mc:AlternateContent>
                <mc:Choice Requires="wps">
                  <w:drawing>
                    <wp:anchor distT="0" distB="0" distL="114300" distR="114300" simplePos="0" relativeHeight="251694592" behindDoc="0" locked="0" layoutInCell="1" allowOverlap="1" wp14:anchorId="5EF9274A" wp14:editId="2629F923">
                      <wp:simplePos x="0" y="0"/>
                      <wp:positionH relativeFrom="column">
                        <wp:posOffset>-1708150</wp:posOffset>
                      </wp:positionH>
                      <wp:positionV relativeFrom="paragraph">
                        <wp:posOffset>491490</wp:posOffset>
                      </wp:positionV>
                      <wp:extent cx="2171700" cy="238125"/>
                      <wp:effectExtent l="19050" t="19050" r="57150" b="85725"/>
                      <wp:wrapNone/>
                      <wp:docPr id="1356212997"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238125"/>
                              </a:xfrm>
                              <a:prstGeom prst="straightConnector1">
                                <a:avLst/>
                              </a:prstGeom>
                              <a:noFill/>
                              <a:ln w="9525">
                                <a:solidFill>
                                  <a:srgbClr val="FF0000"/>
                                </a:solidFill>
                                <a:round/>
                                <a:headEnd type="oval" w="sm" len="sm"/>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D29A1FA" id="AutoShape 2" o:spid="_x0000_s1026" type="#_x0000_t32" style="position:absolute;margin-left:-134.5pt;margin-top:38.7pt;width:171pt;height:18.75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" strokecolor="red">
                      <v:stroke startarrow="oval" startarrowwidth="narrow" startarrowlength="short" endarrow="classic" endarrowlength="long"/>
                    </v:shape>
                  </w:pict>
                </mc:Fallback>
              </mc:AlternateContent>
            </w:r>
            <w:r w:rsidRPr="00C72AB5">
              <w:rPr>
                <w:rFonts w:ascii="GHEA Grapalat" w:hAnsi="GHEA Grapalat"/>
                <w:noProof/>
                <w:sz w:val="24"/>
                <w:szCs w:val="24"/>
                <w:highlight w:val="red"/>
                <w:lang w:val="en-US" w:eastAsia="en-US"/>
              </w:rPr>
              <mc:AlternateContent>
                <mc:Choice Requires="wps">
                  <w:drawing>
                    <wp:anchor distT="0" distB="0" distL="114300" distR="114300" simplePos="0" relativeHeight="251696640" behindDoc="0" locked="0" layoutInCell="1" allowOverlap="1" wp14:anchorId="337B514D" wp14:editId="090A1EAD">
                      <wp:simplePos x="0" y="0"/>
                      <wp:positionH relativeFrom="column">
                        <wp:posOffset>-1708150</wp:posOffset>
                      </wp:positionH>
                      <wp:positionV relativeFrom="paragraph">
                        <wp:posOffset>701040</wp:posOffset>
                      </wp:positionV>
                      <wp:extent cx="2171700" cy="238125"/>
                      <wp:effectExtent l="19050" t="19050" r="57150" b="85725"/>
                      <wp:wrapNone/>
                      <wp:docPr id="2356698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238125"/>
                              </a:xfrm>
                              <a:prstGeom prst="straightConnector1">
                                <a:avLst/>
                              </a:prstGeom>
                              <a:noFill/>
                              <a:ln w="9525">
                                <a:solidFill>
                                  <a:srgbClr val="FF0000"/>
                                </a:solidFill>
                                <a:round/>
                                <a:headEnd type="oval" w="sm" len="sm"/>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E64BC57" id="AutoShape 2" o:spid="_x0000_s1026" type="#_x0000_t32" style="position:absolute;margin-left:-134.5pt;margin-top:55.2pt;width:171pt;height:18.75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" strokecolor="red">
                      <v:stroke startarrow="oval" startarrowwidth="narrow" startarrowlength="short" endarrow="classic" endarrowlength="long"/>
                    </v:shape>
                  </w:pict>
                </mc:Fallback>
              </mc:AlternateContent>
            </w:r>
            <w:r w:rsidRPr="00C72AB5">
              <w:rPr>
                <w:rFonts w:ascii="GHEA Grapalat" w:hAnsi="GHEA Grapalat"/>
                <w:noProof/>
                <w:sz w:val="24"/>
                <w:szCs w:val="24"/>
                <w:highlight w:val="red"/>
                <w:lang w:val="en-US" w:eastAsia="en-US"/>
              </w:rPr>
              <mc:AlternateContent>
                <mc:Choice Requires="wps">
                  <w:drawing>
                    <wp:anchor distT="0" distB="0" distL="114300" distR="114300" simplePos="0" relativeHeight="251698688" behindDoc="0" locked="0" layoutInCell="1" allowOverlap="1" wp14:anchorId="5B45C03D" wp14:editId="5023DE4A">
                      <wp:simplePos x="0" y="0"/>
                      <wp:positionH relativeFrom="column">
                        <wp:posOffset>-1708150</wp:posOffset>
                      </wp:positionH>
                      <wp:positionV relativeFrom="paragraph">
                        <wp:posOffset>920115</wp:posOffset>
                      </wp:positionV>
                      <wp:extent cx="2171700" cy="238125"/>
                      <wp:effectExtent l="19050" t="19050" r="57150" b="85725"/>
                      <wp:wrapNone/>
                      <wp:docPr id="693438564"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238125"/>
                              </a:xfrm>
                              <a:prstGeom prst="straightConnector1">
                                <a:avLst/>
                              </a:prstGeom>
                              <a:noFill/>
                              <a:ln w="9525">
                                <a:solidFill>
                                  <a:srgbClr val="FF0000"/>
                                </a:solidFill>
                                <a:round/>
                                <a:headEnd type="oval" w="sm" len="sm"/>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F70648E" id="AutoShape 2" o:spid="_x0000_s1026" type="#_x0000_t32" style="position:absolute;margin-left:-134.5pt;margin-top:72.45pt;width:171pt;height:18.75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" strokecolor="red">
                      <v:stroke startarrow="oval" startarrowwidth="narrow" startarrowlength="short" endarrow="classic" endarrowlength="long"/>
                    </v:shape>
                  </w:pict>
                </mc:Fallback>
              </mc:AlternateContent>
            </w:r>
            <w:r w:rsidRPr="00C72AB5">
              <w:rPr>
                <w:rFonts w:ascii="GHEA Grapalat" w:hAnsi="GHEA Grapalat"/>
                <w:noProof/>
                <w:sz w:val="24"/>
                <w:szCs w:val="24"/>
                <w:highlight w:val="red"/>
                <w:lang w:val="en-US" w:eastAsia="en-US"/>
              </w:rPr>
              <mc:AlternateContent>
                <mc:Choice Requires="wps">
                  <w:drawing>
                    <wp:anchor distT="0" distB="0" distL="114300" distR="114300" simplePos="0" relativeHeight="251702784" behindDoc="0" locked="0" layoutInCell="1" allowOverlap="1" wp14:anchorId="09A8F52A" wp14:editId="0096703F">
                      <wp:simplePos x="0" y="0"/>
                      <wp:positionH relativeFrom="column">
                        <wp:posOffset>-1708150</wp:posOffset>
                      </wp:positionH>
                      <wp:positionV relativeFrom="paragraph">
                        <wp:posOffset>1119505</wp:posOffset>
                      </wp:positionV>
                      <wp:extent cx="2171700" cy="238125"/>
                      <wp:effectExtent l="19050" t="19050" r="57150" b="85725"/>
                      <wp:wrapNone/>
                      <wp:docPr id="1845732829"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238125"/>
                              </a:xfrm>
                              <a:prstGeom prst="straightConnector1">
                                <a:avLst/>
                              </a:prstGeom>
                              <a:noFill/>
                              <a:ln w="9525">
                                <a:solidFill>
                                  <a:srgbClr val="FF0000"/>
                                </a:solidFill>
                                <a:round/>
                                <a:headEnd type="oval" w="sm" len="sm"/>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84E6B84" id="AutoShape 2" o:spid="_x0000_s1026" type="#_x0000_t32" style="position:absolute;margin-left:-134.5pt;margin-top:88.15pt;width:171pt;height:18.75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" strokecolor="red">
                      <v:stroke startarrow="oval" startarrowwidth="narrow" startarrowlength="short" endarrow="classic" endarrowlength="long"/>
                    </v:shape>
                  </w:pict>
                </mc:Fallback>
              </mc:AlternateContent>
            </w:r>
            <w:r w:rsidRPr="00C72AB5">
              <w:rPr>
                <w:rFonts w:ascii="GHEA Grapalat" w:hAnsi="GHEA Grapalat"/>
                <w:noProof/>
                <w:sz w:val="24"/>
                <w:szCs w:val="24"/>
                <w:highlight w:val="red"/>
                <w:lang w:val="en-US" w:eastAsia="en-US"/>
              </w:rPr>
              <mc:AlternateContent>
                <mc:Choice Requires="wps">
                  <w:drawing>
                    <wp:anchor distT="0" distB="0" distL="114300" distR="114300" simplePos="0" relativeHeight="251704832" behindDoc="0" locked="0" layoutInCell="1" allowOverlap="1" wp14:anchorId="149EAED0" wp14:editId="1667AD58">
                      <wp:simplePos x="0" y="0"/>
                      <wp:positionH relativeFrom="column">
                        <wp:posOffset>-1708150</wp:posOffset>
                      </wp:positionH>
                      <wp:positionV relativeFrom="paragraph">
                        <wp:posOffset>1348740</wp:posOffset>
                      </wp:positionV>
                      <wp:extent cx="2171700" cy="238125"/>
                      <wp:effectExtent l="19050" t="19050" r="57150" b="85725"/>
                      <wp:wrapNone/>
                      <wp:docPr id="109002240"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238125"/>
                              </a:xfrm>
                              <a:prstGeom prst="straightConnector1">
                                <a:avLst/>
                              </a:prstGeom>
                              <a:noFill/>
                              <a:ln w="9525">
                                <a:solidFill>
                                  <a:srgbClr val="FF0000"/>
                                </a:solidFill>
                                <a:round/>
                                <a:headEnd type="oval" w="sm" len="sm"/>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B334C39" id="AutoShape 2" o:spid="_x0000_s1026" type="#_x0000_t32" style="position:absolute;margin-left:-134.5pt;margin-top:106.2pt;width:171pt;height:18.75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" strokecolor="red">
                      <v:stroke startarrow="oval" startarrowwidth="narrow" startarrowlength="short" endarrow="classic" endarrowlength="long"/>
                    </v:shape>
                  </w:pict>
                </mc:Fallback>
              </mc:AlternateContent>
            </w:r>
            <w:r w:rsidRPr="00C72AB5">
              <w:rPr>
                <w:rFonts w:ascii="GHEA Grapalat" w:hAnsi="GHEA Grapalat"/>
                <w:noProof/>
                <w:sz w:val="24"/>
                <w:szCs w:val="24"/>
                <w:highlight w:val="red"/>
                <w:lang w:val="en-US" w:eastAsia="en-US"/>
              </w:rPr>
              <mc:AlternateContent>
                <mc:Choice Requires="wps">
                  <w:drawing>
                    <wp:anchor distT="0" distB="0" distL="114300" distR="114300" simplePos="0" relativeHeight="251706880" behindDoc="0" locked="0" layoutInCell="1" allowOverlap="1" wp14:anchorId="0574BCDE" wp14:editId="5162DAFE">
                      <wp:simplePos x="0" y="0"/>
                      <wp:positionH relativeFrom="column">
                        <wp:posOffset>-1708150</wp:posOffset>
                      </wp:positionH>
                      <wp:positionV relativeFrom="paragraph">
                        <wp:posOffset>1567815</wp:posOffset>
                      </wp:positionV>
                      <wp:extent cx="2171700" cy="238125"/>
                      <wp:effectExtent l="19050" t="19050" r="57150" b="85725"/>
                      <wp:wrapNone/>
                      <wp:docPr id="1032679383"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238125"/>
                              </a:xfrm>
                              <a:prstGeom prst="straightConnector1">
                                <a:avLst/>
                              </a:prstGeom>
                              <a:noFill/>
                              <a:ln w="9525">
                                <a:solidFill>
                                  <a:srgbClr val="FF0000"/>
                                </a:solidFill>
                                <a:round/>
                                <a:headEnd type="oval" w="sm" len="sm"/>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60E1214" id="AutoShape 2" o:spid="_x0000_s1026" type="#_x0000_t32" style="position:absolute;margin-left:-134.5pt;margin-top:123.45pt;width:171pt;height:18.75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" strokecolor="red">
                      <v:stroke startarrow="oval" startarrowwidth="narrow" startarrowlength="short" endarrow="classic" endarrowlength="long"/>
                    </v:shape>
                  </w:pict>
                </mc:Fallback>
              </mc:AlternateContent>
            </w:r>
            <w:r w:rsidRPr="00C72AB5">
              <w:rPr>
                <w:rFonts w:ascii="GHEA Grapalat" w:hAnsi="GHEA Grapalat"/>
                <w:noProof/>
                <w:sz w:val="24"/>
                <w:szCs w:val="24"/>
                <w:highlight w:val="red"/>
                <w:lang w:val="en-US" w:eastAsia="en-US"/>
              </w:rPr>
              <mc:AlternateContent>
                <mc:Choice Requires="wps">
                  <w:drawing>
                    <wp:anchor distT="0" distB="0" distL="114300" distR="114300" simplePos="0" relativeHeight="251708928" behindDoc="0" locked="0" layoutInCell="1" allowOverlap="1" wp14:anchorId="576E6856" wp14:editId="367BD8B7">
                      <wp:simplePos x="0" y="0"/>
                      <wp:positionH relativeFrom="column">
                        <wp:posOffset>-1708150</wp:posOffset>
                      </wp:positionH>
                      <wp:positionV relativeFrom="paragraph">
                        <wp:posOffset>1786890</wp:posOffset>
                      </wp:positionV>
                      <wp:extent cx="2171700" cy="238125"/>
                      <wp:effectExtent l="19050" t="19050" r="57150" b="85725"/>
                      <wp:wrapNone/>
                      <wp:docPr id="1862354244"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238125"/>
                              </a:xfrm>
                              <a:prstGeom prst="straightConnector1">
                                <a:avLst/>
                              </a:prstGeom>
                              <a:noFill/>
                              <a:ln w="9525">
                                <a:solidFill>
                                  <a:srgbClr val="FF0000"/>
                                </a:solidFill>
                                <a:round/>
                                <a:headEnd type="oval" w="sm" len="sm"/>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FC18EDD" id="AutoShape 2" o:spid="_x0000_s1026" type="#_x0000_t32" style="position:absolute;margin-left:-134.5pt;margin-top:140.7pt;width:171pt;height:18.75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" strokecolor="red">
                      <v:stroke startarrow="oval" startarrowwidth="narrow" startarrowlength="short" endarrow="classic" endarrowlength="long"/>
                    </v:shape>
                  </w:pict>
                </mc:Fallback>
              </mc:AlternateContent>
            </w:r>
            <w:r w:rsidRPr="00C72AB5">
              <w:rPr>
                <w:rFonts w:ascii="GHEA Grapalat" w:hAnsi="GHEA Grapalat"/>
                <w:noProof/>
                <w:sz w:val="24"/>
                <w:szCs w:val="24"/>
                <w:highlight w:val="red"/>
                <w:lang w:val="en-US" w:eastAsia="en-US"/>
              </w:rPr>
              <mc:AlternateContent>
                <mc:Choice Requires="wps">
                  <w:drawing>
                    <wp:anchor distT="0" distB="0" distL="114300" distR="114300" simplePos="0" relativeHeight="251710976" behindDoc="0" locked="0" layoutInCell="1" allowOverlap="1" wp14:anchorId="5A04BE28" wp14:editId="458B544D">
                      <wp:simplePos x="0" y="0"/>
                      <wp:positionH relativeFrom="column">
                        <wp:posOffset>-1708150</wp:posOffset>
                      </wp:positionH>
                      <wp:positionV relativeFrom="paragraph">
                        <wp:posOffset>1996440</wp:posOffset>
                      </wp:positionV>
                      <wp:extent cx="2171700" cy="238125"/>
                      <wp:effectExtent l="19050" t="19050" r="57150" b="85725"/>
                      <wp:wrapNone/>
                      <wp:docPr id="832550899"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238125"/>
                              </a:xfrm>
                              <a:prstGeom prst="straightConnector1">
                                <a:avLst/>
                              </a:prstGeom>
                              <a:noFill/>
                              <a:ln w="9525">
                                <a:solidFill>
                                  <a:srgbClr val="FF0000"/>
                                </a:solidFill>
                                <a:round/>
                                <a:headEnd type="oval" w="sm" len="sm"/>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FF696C4" id="AutoShape 2" o:spid="_x0000_s1026" type="#_x0000_t32" style="position:absolute;margin-left:-134.5pt;margin-top:157.2pt;width:171pt;height:18.75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" strokecolor="red">
                      <v:stroke startarrow="oval" startarrowwidth="narrow" startarrowlength="short" endarrow="classic" endarrowlength="long"/>
                    </v:shape>
                  </w:pict>
                </mc:Fallback>
              </mc:AlternateContent>
            </w:r>
            <w:r w:rsidRPr="00C72AB5">
              <w:rPr>
                <w:rFonts w:ascii="GHEA Grapalat" w:hAnsi="GHEA Grapalat"/>
                <w:noProof/>
                <w:sz w:val="24"/>
                <w:szCs w:val="24"/>
                <w:highlight w:val="red"/>
                <w:lang w:val="en-US" w:eastAsia="en-US"/>
              </w:rPr>
              <mc:AlternateContent>
                <mc:Choice Requires="wps">
                  <w:drawing>
                    <wp:anchor distT="0" distB="0" distL="114300" distR="114300" simplePos="0" relativeHeight="251713024" behindDoc="0" locked="0" layoutInCell="1" allowOverlap="1" wp14:anchorId="6632D06B" wp14:editId="4B78999B">
                      <wp:simplePos x="0" y="0"/>
                      <wp:positionH relativeFrom="column">
                        <wp:posOffset>-1708150</wp:posOffset>
                      </wp:positionH>
                      <wp:positionV relativeFrom="paragraph">
                        <wp:posOffset>2215515</wp:posOffset>
                      </wp:positionV>
                      <wp:extent cx="2171700" cy="238125"/>
                      <wp:effectExtent l="19050" t="19050" r="57150" b="85725"/>
                      <wp:wrapNone/>
                      <wp:docPr id="137210139"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238125"/>
                              </a:xfrm>
                              <a:prstGeom prst="straightConnector1">
                                <a:avLst/>
                              </a:prstGeom>
                              <a:noFill/>
                              <a:ln w="9525">
                                <a:solidFill>
                                  <a:srgbClr val="FF0000"/>
                                </a:solidFill>
                                <a:round/>
                                <a:headEnd type="oval" w="sm" len="sm"/>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93249FA" id="AutoShape 2" o:spid="_x0000_s1026" type="#_x0000_t32" style="position:absolute;margin-left:-134.5pt;margin-top:174.45pt;width:171pt;height:18.75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" strokecolor="red">
                      <v:stroke startarrow="oval" startarrowwidth="narrow" startarrowlength="short" endarrow="classic" endarrowlength="long"/>
                    </v:shape>
                  </w:pict>
                </mc:Fallback>
              </mc:AlternateContent>
            </w:r>
            <w:r w:rsidR="00272379" w:rsidRPr="00C72AB5">
              <w:rPr>
                <w:rFonts w:ascii="Calibri" w:hAnsi="Calibri" w:cs="Calibri"/>
                <w:color w:val="000000"/>
                <w:sz w:val="22"/>
                <w:szCs w:val="22"/>
                <w:lang w:eastAsia="en-US"/>
              </w:rPr>
              <w:t>436</w:t>
            </w:r>
          </w:p>
        </w:tc>
        <w:tc>
          <w:tcPr>
            <w:tcW w:w="823" w:type="dxa"/>
            <w:vAlign w:val="center"/>
            <w:hideMark/>
          </w:tcPr>
          <w:p w14:paraId="10E10A58"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461</w:t>
            </w:r>
          </w:p>
        </w:tc>
        <w:tc>
          <w:tcPr>
            <w:tcW w:w="1666" w:type="dxa"/>
            <w:shd w:val="clear" w:color="000000" w:fill="FFF2CC"/>
            <w:vAlign w:val="center"/>
            <w:hideMark/>
          </w:tcPr>
          <w:p w14:paraId="28442154"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435</w:t>
            </w:r>
          </w:p>
        </w:tc>
      </w:tr>
      <w:tr w:rsidR="00272379" w:rsidRPr="00C72AB5" w14:paraId="1D0614B0" w14:textId="77777777" w:rsidTr="00272379">
        <w:trPr>
          <w:trHeight w:val="330"/>
        </w:trPr>
        <w:tc>
          <w:tcPr>
            <w:tcW w:w="1332" w:type="dxa"/>
            <w:shd w:val="clear" w:color="000000" w:fill="E2EFDA"/>
            <w:noWrap/>
            <w:vAlign w:val="center"/>
            <w:hideMark/>
          </w:tcPr>
          <w:p w14:paraId="3D8C0A84" w14:textId="77777777" w:rsidR="00272379" w:rsidRPr="00C72AB5" w:rsidRDefault="00272379" w:rsidP="00272379">
            <w:pPr>
              <w:jc w:val="center"/>
              <w:rPr>
                <w:rFonts w:ascii="GHEA Grapalat" w:hAnsi="GHEA Grapalat" w:cs="Calibri"/>
                <w:b/>
                <w:bCs/>
                <w:color w:val="000000"/>
                <w:lang w:eastAsia="en-US"/>
              </w:rPr>
            </w:pPr>
            <w:r w:rsidRPr="00C72AB5">
              <w:rPr>
                <w:rFonts w:ascii="GHEA Grapalat" w:hAnsi="GHEA Grapalat" w:cs="Calibri"/>
                <w:b/>
                <w:bCs/>
                <w:color w:val="000000"/>
                <w:lang w:eastAsia="en-US"/>
              </w:rPr>
              <w:t>40-44</w:t>
            </w:r>
          </w:p>
        </w:tc>
        <w:tc>
          <w:tcPr>
            <w:tcW w:w="823" w:type="dxa"/>
            <w:vAlign w:val="center"/>
            <w:hideMark/>
          </w:tcPr>
          <w:p w14:paraId="4F30CB90"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240</w:t>
            </w:r>
          </w:p>
        </w:tc>
        <w:tc>
          <w:tcPr>
            <w:tcW w:w="823" w:type="dxa"/>
            <w:vAlign w:val="center"/>
            <w:hideMark/>
          </w:tcPr>
          <w:p w14:paraId="1DFE304D"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246</w:t>
            </w:r>
          </w:p>
        </w:tc>
        <w:tc>
          <w:tcPr>
            <w:tcW w:w="823" w:type="dxa"/>
            <w:vAlign w:val="center"/>
            <w:hideMark/>
          </w:tcPr>
          <w:p w14:paraId="3B8FBD69" w14:textId="26FB9A89"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252</w:t>
            </w:r>
          </w:p>
        </w:tc>
        <w:tc>
          <w:tcPr>
            <w:tcW w:w="823" w:type="dxa"/>
            <w:vAlign w:val="center"/>
            <w:hideMark/>
          </w:tcPr>
          <w:p w14:paraId="14622AE8"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252</w:t>
            </w:r>
          </w:p>
        </w:tc>
        <w:tc>
          <w:tcPr>
            <w:tcW w:w="823" w:type="dxa"/>
            <w:vAlign w:val="center"/>
            <w:hideMark/>
          </w:tcPr>
          <w:p w14:paraId="1514BDE2" w14:textId="4F18A580"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279</w:t>
            </w:r>
          </w:p>
        </w:tc>
        <w:tc>
          <w:tcPr>
            <w:tcW w:w="823" w:type="dxa"/>
            <w:vAlign w:val="center"/>
            <w:hideMark/>
          </w:tcPr>
          <w:p w14:paraId="57C53209"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292</w:t>
            </w:r>
          </w:p>
        </w:tc>
        <w:tc>
          <w:tcPr>
            <w:tcW w:w="703" w:type="dxa"/>
            <w:vAlign w:val="center"/>
            <w:hideMark/>
          </w:tcPr>
          <w:p w14:paraId="431D602E"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327</w:t>
            </w:r>
          </w:p>
        </w:tc>
        <w:tc>
          <w:tcPr>
            <w:tcW w:w="823" w:type="dxa"/>
            <w:vAlign w:val="center"/>
            <w:hideMark/>
          </w:tcPr>
          <w:p w14:paraId="58FFA78A"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391</w:t>
            </w:r>
          </w:p>
        </w:tc>
        <w:tc>
          <w:tcPr>
            <w:tcW w:w="1666" w:type="dxa"/>
            <w:shd w:val="clear" w:color="000000" w:fill="FFF2CC"/>
            <w:vAlign w:val="center"/>
            <w:hideMark/>
          </w:tcPr>
          <w:p w14:paraId="2BCAC576"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502</w:t>
            </w:r>
          </w:p>
        </w:tc>
      </w:tr>
      <w:tr w:rsidR="00272379" w:rsidRPr="00C72AB5" w14:paraId="75798045" w14:textId="77777777" w:rsidTr="00272379">
        <w:trPr>
          <w:trHeight w:val="330"/>
        </w:trPr>
        <w:tc>
          <w:tcPr>
            <w:tcW w:w="1332" w:type="dxa"/>
            <w:shd w:val="clear" w:color="000000" w:fill="E2EFDA"/>
            <w:noWrap/>
            <w:vAlign w:val="center"/>
            <w:hideMark/>
          </w:tcPr>
          <w:p w14:paraId="0D546F18" w14:textId="77777777" w:rsidR="00272379" w:rsidRPr="00C72AB5" w:rsidRDefault="00272379" w:rsidP="00272379">
            <w:pPr>
              <w:jc w:val="center"/>
              <w:rPr>
                <w:rFonts w:ascii="GHEA Grapalat" w:hAnsi="GHEA Grapalat" w:cs="Calibri"/>
                <w:b/>
                <w:bCs/>
                <w:color w:val="000000"/>
                <w:lang w:eastAsia="en-US"/>
              </w:rPr>
            </w:pPr>
            <w:r w:rsidRPr="00C72AB5">
              <w:rPr>
                <w:rFonts w:ascii="GHEA Grapalat" w:hAnsi="GHEA Grapalat" w:cs="Calibri"/>
                <w:b/>
                <w:bCs/>
                <w:color w:val="000000"/>
                <w:lang w:eastAsia="en-US"/>
              </w:rPr>
              <w:t>45-49</w:t>
            </w:r>
          </w:p>
        </w:tc>
        <w:tc>
          <w:tcPr>
            <w:tcW w:w="823" w:type="dxa"/>
            <w:vAlign w:val="center"/>
            <w:hideMark/>
          </w:tcPr>
          <w:p w14:paraId="13AEC0D3"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185</w:t>
            </w:r>
          </w:p>
        </w:tc>
        <w:tc>
          <w:tcPr>
            <w:tcW w:w="823" w:type="dxa"/>
            <w:vAlign w:val="center"/>
            <w:hideMark/>
          </w:tcPr>
          <w:p w14:paraId="32280AC9"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187</w:t>
            </w:r>
          </w:p>
        </w:tc>
        <w:tc>
          <w:tcPr>
            <w:tcW w:w="823" w:type="dxa"/>
            <w:vAlign w:val="center"/>
            <w:hideMark/>
          </w:tcPr>
          <w:p w14:paraId="45329A56" w14:textId="6CB6B3FA"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196</w:t>
            </w:r>
          </w:p>
        </w:tc>
        <w:tc>
          <w:tcPr>
            <w:tcW w:w="823" w:type="dxa"/>
            <w:vAlign w:val="center"/>
            <w:hideMark/>
          </w:tcPr>
          <w:p w14:paraId="41579C80"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200</w:t>
            </w:r>
          </w:p>
        </w:tc>
        <w:tc>
          <w:tcPr>
            <w:tcW w:w="823" w:type="dxa"/>
            <w:vAlign w:val="center"/>
            <w:hideMark/>
          </w:tcPr>
          <w:p w14:paraId="591BAA5F" w14:textId="71315003"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199</w:t>
            </w:r>
          </w:p>
        </w:tc>
        <w:tc>
          <w:tcPr>
            <w:tcW w:w="823" w:type="dxa"/>
            <w:vAlign w:val="center"/>
            <w:hideMark/>
          </w:tcPr>
          <w:p w14:paraId="1563F07B"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210</w:t>
            </w:r>
          </w:p>
        </w:tc>
        <w:tc>
          <w:tcPr>
            <w:tcW w:w="703" w:type="dxa"/>
            <w:vAlign w:val="center"/>
            <w:hideMark/>
          </w:tcPr>
          <w:p w14:paraId="360D5CBA"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228</w:t>
            </w:r>
          </w:p>
        </w:tc>
        <w:tc>
          <w:tcPr>
            <w:tcW w:w="823" w:type="dxa"/>
            <w:vAlign w:val="center"/>
            <w:hideMark/>
          </w:tcPr>
          <w:p w14:paraId="39AB0E55"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285</w:t>
            </w:r>
          </w:p>
        </w:tc>
        <w:tc>
          <w:tcPr>
            <w:tcW w:w="1666" w:type="dxa"/>
            <w:shd w:val="clear" w:color="000000" w:fill="FFF2CC"/>
            <w:vAlign w:val="center"/>
            <w:hideMark/>
          </w:tcPr>
          <w:p w14:paraId="41730AFE"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424</w:t>
            </w:r>
          </w:p>
        </w:tc>
      </w:tr>
      <w:tr w:rsidR="00272379" w:rsidRPr="00C72AB5" w14:paraId="0FEE1739" w14:textId="77777777" w:rsidTr="00272379">
        <w:trPr>
          <w:trHeight w:val="330"/>
        </w:trPr>
        <w:tc>
          <w:tcPr>
            <w:tcW w:w="1332" w:type="dxa"/>
            <w:shd w:val="clear" w:color="000000" w:fill="E2EFDA"/>
            <w:noWrap/>
            <w:vAlign w:val="center"/>
            <w:hideMark/>
          </w:tcPr>
          <w:p w14:paraId="513ADAA4" w14:textId="77777777" w:rsidR="00272379" w:rsidRPr="00C72AB5" w:rsidRDefault="00272379" w:rsidP="00272379">
            <w:pPr>
              <w:jc w:val="center"/>
              <w:rPr>
                <w:rFonts w:ascii="GHEA Grapalat" w:hAnsi="GHEA Grapalat" w:cs="Calibri"/>
                <w:b/>
                <w:bCs/>
                <w:color w:val="000000"/>
                <w:lang w:eastAsia="en-US"/>
              </w:rPr>
            </w:pPr>
            <w:r w:rsidRPr="00C72AB5">
              <w:rPr>
                <w:rFonts w:ascii="GHEA Grapalat" w:hAnsi="GHEA Grapalat" w:cs="Calibri"/>
                <w:b/>
                <w:bCs/>
                <w:color w:val="000000"/>
                <w:lang w:eastAsia="en-US"/>
              </w:rPr>
              <w:t>50-54</w:t>
            </w:r>
          </w:p>
        </w:tc>
        <w:tc>
          <w:tcPr>
            <w:tcW w:w="823" w:type="dxa"/>
            <w:vAlign w:val="center"/>
            <w:hideMark/>
          </w:tcPr>
          <w:p w14:paraId="22CA7113"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184</w:t>
            </w:r>
          </w:p>
        </w:tc>
        <w:tc>
          <w:tcPr>
            <w:tcW w:w="823" w:type="dxa"/>
            <w:vAlign w:val="center"/>
            <w:hideMark/>
          </w:tcPr>
          <w:p w14:paraId="4B60ACA2"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178</w:t>
            </w:r>
          </w:p>
        </w:tc>
        <w:tc>
          <w:tcPr>
            <w:tcW w:w="823" w:type="dxa"/>
            <w:vAlign w:val="center"/>
            <w:hideMark/>
          </w:tcPr>
          <w:p w14:paraId="56CBAEAC" w14:textId="02BFA48E"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158</w:t>
            </w:r>
          </w:p>
        </w:tc>
        <w:tc>
          <w:tcPr>
            <w:tcW w:w="823" w:type="dxa"/>
            <w:vAlign w:val="center"/>
            <w:hideMark/>
          </w:tcPr>
          <w:p w14:paraId="5EF8E4EF"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139</w:t>
            </w:r>
          </w:p>
        </w:tc>
        <w:tc>
          <w:tcPr>
            <w:tcW w:w="823" w:type="dxa"/>
            <w:vAlign w:val="center"/>
            <w:hideMark/>
          </w:tcPr>
          <w:p w14:paraId="0D73869C" w14:textId="0D13E23C"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157</w:t>
            </w:r>
          </w:p>
        </w:tc>
        <w:tc>
          <w:tcPr>
            <w:tcW w:w="823" w:type="dxa"/>
            <w:vAlign w:val="center"/>
            <w:hideMark/>
          </w:tcPr>
          <w:p w14:paraId="23FFC3B9"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178</w:t>
            </w:r>
          </w:p>
        </w:tc>
        <w:tc>
          <w:tcPr>
            <w:tcW w:w="703" w:type="dxa"/>
            <w:vAlign w:val="center"/>
            <w:hideMark/>
          </w:tcPr>
          <w:p w14:paraId="26045AC3"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197</w:t>
            </w:r>
          </w:p>
        </w:tc>
        <w:tc>
          <w:tcPr>
            <w:tcW w:w="823" w:type="dxa"/>
            <w:vAlign w:val="center"/>
            <w:hideMark/>
          </w:tcPr>
          <w:p w14:paraId="101ABA6B"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210</w:t>
            </w:r>
          </w:p>
        </w:tc>
        <w:tc>
          <w:tcPr>
            <w:tcW w:w="1666" w:type="dxa"/>
            <w:shd w:val="clear" w:color="000000" w:fill="FFF2CC"/>
            <w:vAlign w:val="center"/>
            <w:hideMark/>
          </w:tcPr>
          <w:p w14:paraId="5E30C478"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299</w:t>
            </w:r>
          </w:p>
        </w:tc>
      </w:tr>
      <w:tr w:rsidR="00272379" w:rsidRPr="00C72AB5" w14:paraId="4D4C47F5" w14:textId="77777777" w:rsidTr="00272379">
        <w:trPr>
          <w:trHeight w:val="330"/>
        </w:trPr>
        <w:tc>
          <w:tcPr>
            <w:tcW w:w="1332" w:type="dxa"/>
            <w:shd w:val="clear" w:color="000000" w:fill="E2EFDA"/>
            <w:noWrap/>
            <w:vAlign w:val="center"/>
            <w:hideMark/>
          </w:tcPr>
          <w:p w14:paraId="3BFDA133" w14:textId="77777777" w:rsidR="00272379" w:rsidRPr="00C72AB5" w:rsidRDefault="00272379" w:rsidP="00272379">
            <w:pPr>
              <w:jc w:val="center"/>
              <w:rPr>
                <w:rFonts w:ascii="GHEA Grapalat" w:hAnsi="GHEA Grapalat" w:cs="Calibri"/>
                <w:b/>
                <w:bCs/>
                <w:color w:val="000000"/>
                <w:lang w:eastAsia="en-US"/>
              </w:rPr>
            </w:pPr>
            <w:r w:rsidRPr="00C72AB5">
              <w:rPr>
                <w:rFonts w:ascii="GHEA Grapalat" w:hAnsi="GHEA Grapalat" w:cs="Calibri"/>
                <w:b/>
                <w:bCs/>
                <w:color w:val="000000"/>
                <w:lang w:eastAsia="en-US"/>
              </w:rPr>
              <w:t>55-59</w:t>
            </w:r>
          </w:p>
        </w:tc>
        <w:tc>
          <w:tcPr>
            <w:tcW w:w="823" w:type="dxa"/>
            <w:vAlign w:val="center"/>
            <w:hideMark/>
          </w:tcPr>
          <w:p w14:paraId="78707736"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302</w:t>
            </w:r>
          </w:p>
        </w:tc>
        <w:tc>
          <w:tcPr>
            <w:tcW w:w="823" w:type="dxa"/>
            <w:vAlign w:val="center"/>
            <w:hideMark/>
          </w:tcPr>
          <w:p w14:paraId="0D9A4BA1"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275</w:t>
            </w:r>
          </w:p>
        </w:tc>
        <w:tc>
          <w:tcPr>
            <w:tcW w:w="823" w:type="dxa"/>
            <w:vAlign w:val="center"/>
            <w:hideMark/>
          </w:tcPr>
          <w:p w14:paraId="73542073" w14:textId="14F6D9AA"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230</w:t>
            </w:r>
          </w:p>
        </w:tc>
        <w:tc>
          <w:tcPr>
            <w:tcW w:w="823" w:type="dxa"/>
            <w:vAlign w:val="center"/>
            <w:hideMark/>
          </w:tcPr>
          <w:p w14:paraId="7D6DC81F"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217</w:t>
            </w:r>
          </w:p>
        </w:tc>
        <w:tc>
          <w:tcPr>
            <w:tcW w:w="823" w:type="dxa"/>
            <w:vAlign w:val="center"/>
            <w:hideMark/>
          </w:tcPr>
          <w:p w14:paraId="77A34046"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173</w:t>
            </w:r>
          </w:p>
        </w:tc>
        <w:tc>
          <w:tcPr>
            <w:tcW w:w="823" w:type="dxa"/>
            <w:vAlign w:val="center"/>
            <w:hideMark/>
          </w:tcPr>
          <w:p w14:paraId="4CE5B6BD" w14:textId="0BDB9559"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180</w:t>
            </w:r>
          </w:p>
        </w:tc>
        <w:tc>
          <w:tcPr>
            <w:tcW w:w="703" w:type="dxa"/>
            <w:vAlign w:val="center"/>
            <w:hideMark/>
          </w:tcPr>
          <w:p w14:paraId="23A04D80"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163</w:t>
            </w:r>
          </w:p>
        </w:tc>
        <w:tc>
          <w:tcPr>
            <w:tcW w:w="823" w:type="dxa"/>
            <w:vAlign w:val="center"/>
            <w:hideMark/>
          </w:tcPr>
          <w:p w14:paraId="57C9DCFF"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153</w:t>
            </w:r>
          </w:p>
        </w:tc>
        <w:tc>
          <w:tcPr>
            <w:tcW w:w="1666" w:type="dxa"/>
            <w:shd w:val="clear" w:color="000000" w:fill="FFF2CC"/>
            <w:vAlign w:val="center"/>
            <w:hideMark/>
          </w:tcPr>
          <w:p w14:paraId="2DEF3836"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205</w:t>
            </w:r>
          </w:p>
        </w:tc>
      </w:tr>
      <w:tr w:rsidR="00272379" w:rsidRPr="00C72AB5" w14:paraId="555F4818" w14:textId="77777777" w:rsidTr="00272379">
        <w:trPr>
          <w:trHeight w:val="330"/>
        </w:trPr>
        <w:tc>
          <w:tcPr>
            <w:tcW w:w="1332" w:type="dxa"/>
            <w:shd w:val="clear" w:color="000000" w:fill="E2EFDA"/>
            <w:noWrap/>
            <w:vAlign w:val="center"/>
            <w:hideMark/>
          </w:tcPr>
          <w:p w14:paraId="027161C4" w14:textId="77777777" w:rsidR="00272379" w:rsidRPr="00C72AB5" w:rsidRDefault="00272379" w:rsidP="00272379">
            <w:pPr>
              <w:jc w:val="center"/>
              <w:rPr>
                <w:rFonts w:ascii="GHEA Grapalat" w:hAnsi="GHEA Grapalat" w:cs="Calibri"/>
                <w:b/>
                <w:bCs/>
                <w:color w:val="000000"/>
                <w:lang w:eastAsia="en-US"/>
              </w:rPr>
            </w:pPr>
            <w:r w:rsidRPr="00C72AB5">
              <w:rPr>
                <w:rFonts w:ascii="GHEA Grapalat" w:hAnsi="GHEA Grapalat" w:cs="Calibri"/>
                <w:b/>
                <w:bCs/>
                <w:color w:val="000000"/>
                <w:lang w:eastAsia="en-US"/>
              </w:rPr>
              <w:t>60-64</w:t>
            </w:r>
          </w:p>
        </w:tc>
        <w:tc>
          <w:tcPr>
            <w:tcW w:w="823" w:type="dxa"/>
            <w:vAlign w:val="center"/>
            <w:hideMark/>
          </w:tcPr>
          <w:p w14:paraId="49B99DD7"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368</w:t>
            </w:r>
          </w:p>
        </w:tc>
        <w:tc>
          <w:tcPr>
            <w:tcW w:w="823" w:type="dxa"/>
            <w:vAlign w:val="center"/>
            <w:hideMark/>
          </w:tcPr>
          <w:p w14:paraId="70E9207D"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347</w:t>
            </w:r>
          </w:p>
        </w:tc>
        <w:tc>
          <w:tcPr>
            <w:tcW w:w="823" w:type="dxa"/>
            <w:vAlign w:val="center"/>
            <w:hideMark/>
          </w:tcPr>
          <w:p w14:paraId="3A903E04" w14:textId="1BB0BF1E"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331</w:t>
            </w:r>
          </w:p>
        </w:tc>
        <w:tc>
          <w:tcPr>
            <w:tcW w:w="823" w:type="dxa"/>
            <w:vAlign w:val="center"/>
            <w:hideMark/>
          </w:tcPr>
          <w:p w14:paraId="4AA7FACA"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284</w:t>
            </w:r>
          </w:p>
        </w:tc>
        <w:tc>
          <w:tcPr>
            <w:tcW w:w="823" w:type="dxa"/>
            <w:vAlign w:val="center"/>
            <w:hideMark/>
          </w:tcPr>
          <w:p w14:paraId="294D0155"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262</w:t>
            </w:r>
          </w:p>
        </w:tc>
        <w:tc>
          <w:tcPr>
            <w:tcW w:w="823" w:type="dxa"/>
            <w:vAlign w:val="center"/>
            <w:hideMark/>
          </w:tcPr>
          <w:p w14:paraId="0A38ED94"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282</w:t>
            </w:r>
          </w:p>
        </w:tc>
        <w:tc>
          <w:tcPr>
            <w:tcW w:w="703" w:type="dxa"/>
            <w:vAlign w:val="center"/>
            <w:hideMark/>
          </w:tcPr>
          <w:p w14:paraId="44FEF61F"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280</w:t>
            </w:r>
          </w:p>
        </w:tc>
        <w:tc>
          <w:tcPr>
            <w:tcW w:w="823" w:type="dxa"/>
            <w:vAlign w:val="center"/>
            <w:hideMark/>
          </w:tcPr>
          <w:p w14:paraId="0434D550"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235</w:t>
            </w:r>
          </w:p>
        </w:tc>
        <w:tc>
          <w:tcPr>
            <w:tcW w:w="1666" w:type="dxa"/>
            <w:shd w:val="clear" w:color="000000" w:fill="FFF2CC"/>
            <w:vAlign w:val="center"/>
            <w:hideMark/>
          </w:tcPr>
          <w:p w14:paraId="565D53A8"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158</w:t>
            </w:r>
          </w:p>
        </w:tc>
      </w:tr>
      <w:tr w:rsidR="00272379" w:rsidRPr="00C72AB5" w14:paraId="60424CA3" w14:textId="77777777" w:rsidTr="00272379">
        <w:trPr>
          <w:trHeight w:val="330"/>
        </w:trPr>
        <w:tc>
          <w:tcPr>
            <w:tcW w:w="1332" w:type="dxa"/>
            <w:shd w:val="clear" w:color="000000" w:fill="E2EFDA"/>
            <w:noWrap/>
            <w:vAlign w:val="center"/>
            <w:hideMark/>
          </w:tcPr>
          <w:p w14:paraId="435DA86B" w14:textId="77777777" w:rsidR="00272379" w:rsidRPr="00C72AB5" w:rsidRDefault="00272379" w:rsidP="00272379">
            <w:pPr>
              <w:jc w:val="center"/>
              <w:rPr>
                <w:rFonts w:ascii="GHEA Grapalat" w:hAnsi="GHEA Grapalat" w:cs="Calibri"/>
                <w:b/>
                <w:bCs/>
                <w:color w:val="000000"/>
                <w:lang w:eastAsia="en-US"/>
              </w:rPr>
            </w:pPr>
            <w:r w:rsidRPr="00C72AB5">
              <w:rPr>
                <w:rFonts w:ascii="GHEA Grapalat" w:hAnsi="GHEA Grapalat" w:cs="Calibri"/>
                <w:b/>
                <w:bCs/>
                <w:color w:val="000000"/>
                <w:lang w:eastAsia="en-US"/>
              </w:rPr>
              <w:t>65-69</w:t>
            </w:r>
          </w:p>
        </w:tc>
        <w:tc>
          <w:tcPr>
            <w:tcW w:w="823" w:type="dxa"/>
            <w:vAlign w:val="center"/>
            <w:hideMark/>
          </w:tcPr>
          <w:p w14:paraId="41C3EE0E"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427</w:t>
            </w:r>
          </w:p>
        </w:tc>
        <w:tc>
          <w:tcPr>
            <w:tcW w:w="823" w:type="dxa"/>
            <w:vAlign w:val="center"/>
            <w:hideMark/>
          </w:tcPr>
          <w:p w14:paraId="14906974"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407</w:t>
            </w:r>
          </w:p>
        </w:tc>
        <w:tc>
          <w:tcPr>
            <w:tcW w:w="823" w:type="dxa"/>
            <w:vAlign w:val="center"/>
            <w:hideMark/>
          </w:tcPr>
          <w:p w14:paraId="032A3CDE" w14:textId="12151F3A"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397</w:t>
            </w:r>
          </w:p>
        </w:tc>
        <w:tc>
          <w:tcPr>
            <w:tcW w:w="823" w:type="dxa"/>
            <w:vAlign w:val="center"/>
            <w:hideMark/>
          </w:tcPr>
          <w:p w14:paraId="066DCD32"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358</w:t>
            </w:r>
          </w:p>
        </w:tc>
        <w:tc>
          <w:tcPr>
            <w:tcW w:w="823" w:type="dxa"/>
            <w:vAlign w:val="center"/>
            <w:hideMark/>
          </w:tcPr>
          <w:p w14:paraId="3D65A1A7"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302</w:t>
            </w:r>
          </w:p>
        </w:tc>
        <w:tc>
          <w:tcPr>
            <w:tcW w:w="823" w:type="dxa"/>
            <w:vAlign w:val="center"/>
            <w:hideMark/>
          </w:tcPr>
          <w:p w14:paraId="7EF74DC2"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313</w:t>
            </w:r>
          </w:p>
        </w:tc>
        <w:tc>
          <w:tcPr>
            <w:tcW w:w="703" w:type="dxa"/>
            <w:vAlign w:val="center"/>
            <w:hideMark/>
          </w:tcPr>
          <w:p w14:paraId="706F150B"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313</w:t>
            </w:r>
          </w:p>
        </w:tc>
        <w:tc>
          <w:tcPr>
            <w:tcW w:w="823" w:type="dxa"/>
            <w:vAlign w:val="center"/>
            <w:hideMark/>
          </w:tcPr>
          <w:p w14:paraId="708733B7"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286</w:t>
            </w:r>
          </w:p>
        </w:tc>
        <w:tc>
          <w:tcPr>
            <w:tcW w:w="1666" w:type="dxa"/>
            <w:shd w:val="clear" w:color="000000" w:fill="FFF2CC"/>
            <w:vAlign w:val="center"/>
            <w:hideMark/>
          </w:tcPr>
          <w:p w14:paraId="2E286F4B"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190</w:t>
            </w:r>
          </w:p>
        </w:tc>
      </w:tr>
      <w:tr w:rsidR="00272379" w:rsidRPr="00C72AB5" w14:paraId="168109A1" w14:textId="77777777" w:rsidTr="00272379">
        <w:trPr>
          <w:trHeight w:val="330"/>
        </w:trPr>
        <w:tc>
          <w:tcPr>
            <w:tcW w:w="1332" w:type="dxa"/>
            <w:shd w:val="clear" w:color="000000" w:fill="E2EFDA"/>
            <w:noWrap/>
            <w:vAlign w:val="center"/>
            <w:hideMark/>
          </w:tcPr>
          <w:p w14:paraId="6A82F27D" w14:textId="77777777" w:rsidR="00272379" w:rsidRPr="00C72AB5" w:rsidRDefault="00272379" w:rsidP="00272379">
            <w:pPr>
              <w:jc w:val="center"/>
              <w:rPr>
                <w:rFonts w:ascii="GHEA Grapalat" w:hAnsi="GHEA Grapalat" w:cs="Calibri"/>
                <w:b/>
                <w:bCs/>
                <w:color w:val="000000"/>
                <w:lang w:eastAsia="en-US"/>
              </w:rPr>
            </w:pPr>
            <w:r w:rsidRPr="00C72AB5">
              <w:rPr>
                <w:rFonts w:ascii="GHEA Grapalat" w:hAnsi="GHEA Grapalat" w:cs="Calibri"/>
                <w:b/>
                <w:bCs/>
                <w:color w:val="000000"/>
                <w:lang w:eastAsia="en-US"/>
              </w:rPr>
              <w:t>70-74</w:t>
            </w:r>
          </w:p>
        </w:tc>
        <w:tc>
          <w:tcPr>
            <w:tcW w:w="823" w:type="dxa"/>
            <w:vAlign w:val="center"/>
            <w:hideMark/>
          </w:tcPr>
          <w:p w14:paraId="201124A5"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282</w:t>
            </w:r>
          </w:p>
        </w:tc>
        <w:tc>
          <w:tcPr>
            <w:tcW w:w="823" w:type="dxa"/>
            <w:vAlign w:val="center"/>
            <w:hideMark/>
          </w:tcPr>
          <w:p w14:paraId="4CB79D24"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293</w:t>
            </w:r>
          </w:p>
        </w:tc>
        <w:tc>
          <w:tcPr>
            <w:tcW w:w="823" w:type="dxa"/>
            <w:vAlign w:val="center"/>
            <w:hideMark/>
          </w:tcPr>
          <w:p w14:paraId="3B145EB2" w14:textId="52DD01E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329</w:t>
            </w:r>
          </w:p>
        </w:tc>
        <w:tc>
          <w:tcPr>
            <w:tcW w:w="823" w:type="dxa"/>
            <w:vAlign w:val="center"/>
            <w:hideMark/>
          </w:tcPr>
          <w:p w14:paraId="1781ACBB"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345</w:t>
            </w:r>
          </w:p>
        </w:tc>
        <w:tc>
          <w:tcPr>
            <w:tcW w:w="823" w:type="dxa"/>
            <w:vAlign w:val="center"/>
            <w:hideMark/>
          </w:tcPr>
          <w:p w14:paraId="64CC4225"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335</w:t>
            </w:r>
          </w:p>
        </w:tc>
        <w:tc>
          <w:tcPr>
            <w:tcW w:w="823" w:type="dxa"/>
            <w:vAlign w:val="center"/>
            <w:hideMark/>
          </w:tcPr>
          <w:p w14:paraId="0B1278D6"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349</w:t>
            </w:r>
          </w:p>
        </w:tc>
        <w:tc>
          <w:tcPr>
            <w:tcW w:w="703" w:type="dxa"/>
            <w:vAlign w:val="center"/>
            <w:hideMark/>
          </w:tcPr>
          <w:p w14:paraId="5EB252BA"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351</w:t>
            </w:r>
          </w:p>
        </w:tc>
        <w:tc>
          <w:tcPr>
            <w:tcW w:w="823" w:type="dxa"/>
            <w:vAlign w:val="center"/>
            <w:hideMark/>
          </w:tcPr>
          <w:p w14:paraId="7A1C911E"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352</w:t>
            </w:r>
          </w:p>
        </w:tc>
        <w:tc>
          <w:tcPr>
            <w:tcW w:w="1666" w:type="dxa"/>
            <w:shd w:val="clear" w:color="000000" w:fill="FFF2CC"/>
            <w:vAlign w:val="center"/>
            <w:hideMark/>
          </w:tcPr>
          <w:p w14:paraId="2FE8F162"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241</w:t>
            </w:r>
          </w:p>
        </w:tc>
      </w:tr>
      <w:tr w:rsidR="00272379" w:rsidRPr="00C72AB5" w14:paraId="0F420D9C" w14:textId="77777777" w:rsidTr="00272379">
        <w:trPr>
          <w:trHeight w:val="330"/>
        </w:trPr>
        <w:tc>
          <w:tcPr>
            <w:tcW w:w="1332" w:type="dxa"/>
            <w:shd w:val="clear" w:color="000000" w:fill="E2EFDA"/>
            <w:noWrap/>
            <w:vAlign w:val="center"/>
            <w:hideMark/>
          </w:tcPr>
          <w:p w14:paraId="6F5B34D6" w14:textId="77777777" w:rsidR="00272379" w:rsidRPr="00C72AB5" w:rsidRDefault="00272379" w:rsidP="00272379">
            <w:pPr>
              <w:jc w:val="center"/>
              <w:rPr>
                <w:rFonts w:ascii="GHEA Grapalat" w:hAnsi="GHEA Grapalat" w:cs="Calibri"/>
                <w:b/>
                <w:bCs/>
                <w:color w:val="000000"/>
                <w:lang w:eastAsia="en-US"/>
              </w:rPr>
            </w:pPr>
            <w:r w:rsidRPr="00C72AB5">
              <w:rPr>
                <w:rFonts w:ascii="GHEA Grapalat" w:hAnsi="GHEA Grapalat" w:cs="Calibri"/>
                <w:b/>
                <w:bCs/>
                <w:color w:val="000000"/>
                <w:lang w:eastAsia="en-US"/>
              </w:rPr>
              <w:t>75-79</w:t>
            </w:r>
          </w:p>
        </w:tc>
        <w:tc>
          <w:tcPr>
            <w:tcW w:w="823" w:type="dxa"/>
            <w:vAlign w:val="center"/>
            <w:hideMark/>
          </w:tcPr>
          <w:p w14:paraId="20F4FB99"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224</w:t>
            </w:r>
          </w:p>
        </w:tc>
        <w:tc>
          <w:tcPr>
            <w:tcW w:w="823" w:type="dxa"/>
            <w:vAlign w:val="center"/>
            <w:hideMark/>
          </w:tcPr>
          <w:p w14:paraId="7164DA65"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194</w:t>
            </w:r>
          </w:p>
        </w:tc>
        <w:tc>
          <w:tcPr>
            <w:tcW w:w="823" w:type="dxa"/>
            <w:vAlign w:val="center"/>
            <w:hideMark/>
          </w:tcPr>
          <w:p w14:paraId="451B4F46" w14:textId="2AC9717C"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161</w:t>
            </w:r>
          </w:p>
        </w:tc>
        <w:tc>
          <w:tcPr>
            <w:tcW w:w="823" w:type="dxa"/>
            <w:vAlign w:val="center"/>
            <w:hideMark/>
          </w:tcPr>
          <w:p w14:paraId="43BD1090"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148</w:t>
            </w:r>
          </w:p>
        </w:tc>
        <w:tc>
          <w:tcPr>
            <w:tcW w:w="823" w:type="dxa"/>
            <w:vAlign w:val="center"/>
            <w:hideMark/>
          </w:tcPr>
          <w:p w14:paraId="47313FE0"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180</w:t>
            </w:r>
          </w:p>
        </w:tc>
        <w:tc>
          <w:tcPr>
            <w:tcW w:w="823" w:type="dxa"/>
            <w:vAlign w:val="center"/>
            <w:hideMark/>
          </w:tcPr>
          <w:p w14:paraId="476C4CDD"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181</w:t>
            </w:r>
          </w:p>
        </w:tc>
        <w:tc>
          <w:tcPr>
            <w:tcW w:w="703" w:type="dxa"/>
            <w:vAlign w:val="center"/>
            <w:hideMark/>
          </w:tcPr>
          <w:p w14:paraId="20CDA7FB"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213</w:t>
            </w:r>
          </w:p>
        </w:tc>
        <w:tc>
          <w:tcPr>
            <w:tcW w:w="823" w:type="dxa"/>
            <w:vAlign w:val="center"/>
            <w:hideMark/>
          </w:tcPr>
          <w:p w14:paraId="0CB21F07"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293</w:t>
            </w:r>
          </w:p>
        </w:tc>
        <w:tc>
          <w:tcPr>
            <w:tcW w:w="1666" w:type="dxa"/>
            <w:shd w:val="clear" w:color="000000" w:fill="FFF2CC"/>
            <w:vAlign w:val="center"/>
            <w:hideMark/>
          </w:tcPr>
          <w:p w14:paraId="164925F6"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316</w:t>
            </w:r>
          </w:p>
        </w:tc>
      </w:tr>
      <w:tr w:rsidR="00272379" w:rsidRPr="00C72AB5" w14:paraId="46D7763A" w14:textId="77777777" w:rsidTr="00272379">
        <w:trPr>
          <w:trHeight w:val="330"/>
        </w:trPr>
        <w:tc>
          <w:tcPr>
            <w:tcW w:w="1332" w:type="dxa"/>
            <w:shd w:val="clear" w:color="000000" w:fill="E2EFDA"/>
            <w:noWrap/>
            <w:vAlign w:val="center"/>
            <w:hideMark/>
          </w:tcPr>
          <w:p w14:paraId="7410D8D5" w14:textId="77777777" w:rsidR="00272379" w:rsidRPr="00C72AB5" w:rsidRDefault="00272379" w:rsidP="00272379">
            <w:pPr>
              <w:jc w:val="center"/>
              <w:rPr>
                <w:rFonts w:ascii="GHEA Grapalat" w:hAnsi="GHEA Grapalat" w:cs="Calibri"/>
                <w:b/>
                <w:bCs/>
                <w:color w:val="000000"/>
                <w:lang w:eastAsia="en-US"/>
              </w:rPr>
            </w:pPr>
            <w:r w:rsidRPr="00C72AB5">
              <w:rPr>
                <w:rFonts w:ascii="GHEA Grapalat" w:hAnsi="GHEA Grapalat" w:cs="Calibri"/>
                <w:b/>
                <w:bCs/>
                <w:color w:val="000000"/>
                <w:lang w:eastAsia="en-US"/>
              </w:rPr>
              <w:t>80-84</w:t>
            </w:r>
          </w:p>
        </w:tc>
        <w:tc>
          <w:tcPr>
            <w:tcW w:w="823" w:type="dxa"/>
            <w:vAlign w:val="center"/>
            <w:hideMark/>
          </w:tcPr>
          <w:p w14:paraId="1B9F8CB8"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131</w:t>
            </w:r>
          </w:p>
        </w:tc>
        <w:tc>
          <w:tcPr>
            <w:tcW w:w="823" w:type="dxa"/>
            <w:vAlign w:val="center"/>
            <w:hideMark/>
          </w:tcPr>
          <w:p w14:paraId="52E62611"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129</w:t>
            </w:r>
          </w:p>
        </w:tc>
        <w:tc>
          <w:tcPr>
            <w:tcW w:w="823" w:type="dxa"/>
            <w:vAlign w:val="center"/>
            <w:hideMark/>
          </w:tcPr>
          <w:p w14:paraId="624F2EFE" w14:textId="58E68912"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125</w:t>
            </w:r>
          </w:p>
        </w:tc>
        <w:tc>
          <w:tcPr>
            <w:tcW w:w="823" w:type="dxa"/>
            <w:vAlign w:val="center"/>
            <w:hideMark/>
          </w:tcPr>
          <w:p w14:paraId="12CAB7CB"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132</w:t>
            </w:r>
          </w:p>
        </w:tc>
        <w:tc>
          <w:tcPr>
            <w:tcW w:w="823" w:type="dxa"/>
            <w:vAlign w:val="center"/>
            <w:hideMark/>
          </w:tcPr>
          <w:p w14:paraId="05F9A158"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108</w:t>
            </w:r>
          </w:p>
        </w:tc>
        <w:tc>
          <w:tcPr>
            <w:tcW w:w="823" w:type="dxa"/>
            <w:vAlign w:val="center"/>
            <w:hideMark/>
          </w:tcPr>
          <w:p w14:paraId="54AF6218"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106</w:t>
            </w:r>
          </w:p>
        </w:tc>
        <w:tc>
          <w:tcPr>
            <w:tcW w:w="703" w:type="dxa"/>
            <w:vAlign w:val="center"/>
            <w:hideMark/>
          </w:tcPr>
          <w:p w14:paraId="6753043D"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94</w:t>
            </w:r>
          </w:p>
        </w:tc>
        <w:tc>
          <w:tcPr>
            <w:tcW w:w="823" w:type="dxa"/>
            <w:vAlign w:val="center"/>
            <w:hideMark/>
          </w:tcPr>
          <w:p w14:paraId="76D689F9"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98</w:t>
            </w:r>
          </w:p>
        </w:tc>
        <w:tc>
          <w:tcPr>
            <w:tcW w:w="1666" w:type="dxa"/>
            <w:shd w:val="clear" w:color="000000" w:fill="FFF2CC"/>
            <w:vAlign w:val="center"/>
            <w:hideMark/>
          </w:tcPr>
          <w:p w14:paraId="5C626C09"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230</w:t>
            </w:r>
          </w:p>
        </w:tc>
      </w:tr>
      <w:tr w:rsidR="00272379" w:rsidRPr="00C72AB5" w14:paraId="596839CF" w14:textId="77777777" w:rsidTr="00272379">
        <w:trPr>
          <w:trHeight w:val="330"/>
        </w:trPr>
        <w:tc>
          <w:tcPr>
            <w:tcW w:w="1332" w:type="dxa"/>
            <w:shd w:val="clear" w:color="000000" w:fill="E2EFDA"/>
            <w:noWrap/>
            <w:vAlign w:val="center"/>
            <w:hideMark/>
          </w:tcPr>
          <w:p w14:paraId="52DF6A8F" w14:textId="77777777" w:rsidR="00272379" w:rsidRPr="00C72AB5" w:rsidRDefault="00272379" w:rsidP="00272379">
            <w:pPr>
              <w:jc w:val="center"/>
              <w:rPr>
                <w:rFonts w:ascii="GHEA Grapalat" w:hAnsi="GHEA Grapalat" w:cs="Calibri"/>
                <w:b/>
                <w:bCs/>
                <w:color w:val="000000"/>
                <w:lang w:eastAsia="en-US"/>
              </w:rPr>
            </w:pPr>
            <w:r w:rsidRPr="00C72AB5">
              <w:rPr>
                <w:rFonts w:ascii="GHEA Grapalat" w:hAnsi="GHEA Grapalat" w:cs="Calibri"/>
                <w:b/>
                <w:bCs/>
                <w:color w:val="000000"/>
                <w:lang w:eastAsia="en-US"/>
              </w:rPr>
              <w:t>85-89</w:t>
            </w:r>
          </w:p>
        </w:tc>
        <w:tc>
          <w:tcPr>
            <w:tcW w:w="823" w:type="dxa"/>
            <w:vAlign w:val="center"/>
            <w:hideMark/>
          </w:tcPr>
          <w:p w14:paraId="2B1A349D"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34</w:t>
            </w:r>
          </w:p>
        </w:tc>
        <w:tc>
          <w:tcPr>
            <w:tcW w:w="823" w:type="dxa"/>
            <w:vAlign w:val="center"/>
            <w:hideMark/>
          </w:tcPr>
          <w:p w14:paraId="2761360A"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33</w:t>
            </w:r>
          </w:p>
        </w:tc>
        <w:tc>
          <w:tcPr>
            <w:tcW w:w="823" w:type="dxa"/>
            <w:vAlign w:val="center"/>
            <w:hideMark/>
          </w:tcPr>
          <w:p w14:paraId="5762F0A7" w14:textId="6DB9A8FF"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39</w:t>
            </w:r>
          </w:p>
        </w:tc>
        <w:tc>
          <w:tcPr>
            <w:tcW w:w="823" w:type="dxa"/>
            <w:vAlign w:val="center"/>
            <w:hideMark/>
          </w:tcPr>
          <w:p w14:paraId="09B71A67"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37</w:t>
            </w:r>
          </w:p>
        </w:tc>
        <w:tc>
          <w:tcPr>
            <w:tcW w:w="823" w:type="dxa"/>
            <w:vAlign w:val="center"/>
            <w:hideMark/>
          </w:tcPr>
          <w:p w14:paraId="507C8BD4"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43</w:t>
            </w:r>
          </w:p>
        </w:tc>
        <w:tc>
          <w:tcPr>
            <w:tcW w:w="823" w:type="dxa"/>
            <w:vAlign w:val="center"/>
            <w:hideMark/>
          </w:tcPr>
          <w:p w14:paraId="550D1683"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38</w:t>
            </w:r>
          </w:p>
        </w:tc>
        <w:tc>
          <w:tcPr>
            <w:tcW w:w="703" w:type="dxa"/>
            <w:vAlign w:val="center"/>
            <w:hideMark/>
          </w:tcPr>
          <w:p w14:paraId="722578E7"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47</w:t>
            </w:r>
          </w:p>
        </w:tc>
        <w:tc>
          <w:tcPr>
            <w:tcW w:w="823" w:type="dxa"/>
            <w:vAlign w:val="center"/>
            <w:hideMark/>
          </w:tcPr>
          <w:p w14:paraId="229C238A"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63</w:t>
            </w:r>
          </w:p>
        </w:tc>
        <w:tc>
          <w:tcPr>
            <w:tcW w:w="1666" w:type="dxa"/>
            <w:shd w:val="clear" w:color="000000" w:fill="FFF2CC"/>
            <w:vAlign w:val="center"/>
            <w:hideMark/>
          </w:tcPr>
          <w:p w14:paraId="7E5D3932"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36</w:t>
            </w:r>
          </w:p>
        </w:tc>
      </w:tr>
      <w:tr w:rsidR="00272379" w:rsidRPr="00C72AB5" w14:paraId="715046FD" w14:textId="77777777" w:rsidTr="00272379">
        <w:trPr>
          <w:trHeight w:val="330"/>
        </w:trPr>
        <w:tc>
          <w:tcPr>
            <w:tcW w:w="1332" w:type="dxa"/>
            <w:shd w:val="clear" w:color="000000" w:fill="E2EFDA"/>
            <w:vAlign w:val="center"/>
            <w:hideMark/>
          </w:tcPr>
          <w:p w14:paraId="0E7EA3C7" w14:textId="77777777" w:rsidR="00272379" w:rsidRPr="00C72AB5" w:rsidRDefault="00272379" w:rsidP="00272379">
            <w:pPr>
              <w:jc w:val="center"/>
              <w:rPr>
                <w:rFonts w:ascii="GHEA Grapalat" w:hAnsi="GHEA Grapalat" w:cs="Calibri"/>
                <w:b/>
                <w:bCs/>
                <w:color w:val="000000"/>
                <w:lang w:eastAsia="en-US"/>
              </w:rPr>
            </w:pPr>
            <w:r w:rsidRPr="00C72AB5">
              <w:rPr>
                <w:rFonts w:ascii="Calibri" w:hAnsi="Calibri" w:cs="Calibri"/>
                <w:b/>
                <w:bCs/>
                <w:color w:val="000000"/>
                <w:lang w:eastAsia="en-US"/>
              </w:rPr>
              <w:t>≥</w:t>
            </w:r>
            <w:r w:rsidRPr="00C72AB5">
              <w:rPr>
                <w:rFonts w:ascii="GHEA Grapalat" w:hAnsi="GHEA Grapalat" w:cs="Calibri"/>
                <w:b/>
                <w:bCs/>
                <w:color w:val="000000"/>
                <w:lang w:eastAsia="en-US"/>
              </w:rPr>
              <w:t>90</w:t>
            </w:r>
          </w:p>
        </w:tc>
        <w:tc>
          <w:tcPr>
            <w:tcW w:w="823" w:type="dxa"/>
            <w:vAlign w:val="center"/>
            <w:hideMark/>
          </w:tcPr>
          <w:p w14:paraId="3325BA61"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10</w:t>
            </w:r>
          </w:p>
        </w:tc>
        <w:tc>
          <w:tcPr>
            <w:tcW w:w="823" w:type="dxa"/>
            <w:vAlign w:val="center"/>
            <w:hideMark/>
          </w:tcPr>
          <w:p w14:paraId="496BDC5A"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9</w:t>
            </w:r>
          </w:p>
        </w:tc>
        <w:tc>
          <w:tcPr>
            <w:tcW w:w="823" w:type="dxa"/>
            <w:vAlign w:val="center"/>
            <w:hideMark/>
          </w:tcPr>
          <w:p w14:paraId="49F13C9D"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8</w:t>
            </w:r>
          </w:p>
        </w:tc>
        <w:tc>
          <w:tcPr>
            <w:tcW w:w="823" w:type="dxa"/>
            <w:vAlign w:val="center"/>
            <w:hideMark/>
          </w:tcPr>
          <w:p w14:paraId="46AF3DA8"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11</w:t>
            </w:r>
          </w:p>
        </w:tc>
        <w:tc>
          <w:tcPr>
            <w:tcW w:w="823" w:type="dxa"/>
            <w:vAlign w:val="center"/>
            <w:hideMark/>
          </w:tcPr>
          <w:p w14:paraId="4BDD4214"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10</w:t>
            </w:r>
          </w:p>
        </w:tc>
        <w:tc>
          <w:tcPr>
            <w:tcW w:w="823" w:type="dxa"/>
            <w:vAlign w:val="center"/>
            <w:hideMark/>
          </w:tcPr>
          <w:p w14:paraId="023CD043"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7</w:t>
            </w:r>
          </w:p>
        </w:tc>
        <w:tc>
          <w:tcPr>
            <w:tcW w:w="703" w:type="dxa"/>
            <w:vAlign w:val="center"/>
            <w:hideMark/>
          </w:tcPr>
          <w:p w14:paraId="720E4964"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8</w:t>
            </w:r>
          </w:p>
        </w:tc>
        <w:tc>
          <w:tcPr>
            <w:tcW w:w="823" w:type="dxa"/>
            <w:vAlign w:val="center"/>
            <w:hideMark/>
          </w:tcPr>
          <w:p w14:paraId="2922843B"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19</w:t>
            </w:r>
          </w:p>
        </w:tc>
        <w:tc>
          <w:tcPr>
            <w:tcW w:w="1666" w:type="dxa"/>
            <w:shd w:val="clear" w:color="000000" w:fill="FFF2CC"/>
            <w:vAlign w:val="center"/>
            <w:hideMark/>
          </w:tcPr>
          <w:p w14:paraId="6D5F0503" w14:textId="77777777" w:rsidR="00272379" w:rsidRPr="00C72AB5" w:rsidRDefault="00272379" w:rsidP="00272379">
            <w:pPr>
              <w:jc w:val="center"/>
              <w:rPr>
                <w:rFonts w:ascii="Calibri" w:hAnsi="Calibri" w:cs="Calibri"/>
                <w:color w:val="000000"/>
                <w:sz w:val="22"/>
                <w:szCs w:val="22"/>
                <w:lang w:eastAsia="en-US"/>
              </w:rPr>
            </w:pPr>
            <w:r w:rsidRPr="00C72AB5">
              <w:rPr>
                <w:rFonts w:ascii="Calibri" w:hAnsi="Calibri" w:cs="Calibri"/>
                <w:color w:val="000000"/>
                <w:sz w:val="22"/>
                <w:szCs w:val="22"/>
                <w:lang w:eastAsia="en-US"/>
              </w:rPr>
              <w:t>43</w:t>
            </w:r>
          </w:p>
        </w:tc>
      </w:tr>
      <w:tr w:rsidR="00272379" w:rsidRPr="00C72AB5" w14:paraId="4317F65B" w14:textId="77777777" w:rsidTr="00272379">
        <w:trPr>
          <w:trHeight w:val="330"/>
        </w:trPr>
        <w:tc>
          <w:tcPr>
            <w:tcW w:w="1332" w:type="dxa"/>
            <w:shd w:val="clear" w:color="000000" w:fill="E2EFDA"/>
            <w:noWrap/>
            <w:vAlign w:val="center"/>
            <w:hideMark/>
          </w:tcPr>
          <w:p w14:paraId="2FC03E57" w14:textId="77777777" w:rsidR="00272379" w:rsidRPr="00C72AB5" w:rsidRDefault="00272379" w:rsidP="00272379">
            <w:pPr>
              <w:jc w:val="center"/>
              <w:rPr>
                <w:rFonts w:ascii="GHEA Grapalat" w:hAnsi="GHEA Grapalat" w:cs="Calibri"/>
                <w:b/>
                <w:bCs/>
                <w:color w:val="000000"/>
                <w:lang w:eastAsia="en-US"/>
              </w:rPr>
            </w:pPr>
            <w:r w:rsidRPr="00C72AB5">
              <w:rPr>
                <w:rFonts w:ascii="GHEA Grapalat" w:hAnsi="GHEA Grapalat" w:cs="Calibri"/>
                <w:b/>
                <w:bCs/>
                <w:color w:val="000000"/>
                <w:lang w:eastAsia="en-US"/>
              </w:rPr>
              <w:t>Ընդ.</w:t>
            </w:r>
          </w:p>
        </w:tc>
        <w:tc>
          <w:tcPr>
            <w:tcW w:w="823" w:type="dxa"/>
            <w:vAlign w:val="center"/>
            <w:hideMark/>
          </w:tcPr>
          <w:p w14:paraId="05674076" w14:textId="77777777" w:rsidR="00272379" w:rsidRPr="00C72AB5" w:rsidRDefault="00272379" w:rsidP="00272379">
            <w:pPr>
              <w:jc w:val="center"/>
              <w:rPr>
                <w:rFonts w:ascii="Calibri" w:hAnsi="Calibri" w:cs="Calibri"/>
                <w:b/>
                <w:bCs/>
                <w:color w:val="000000"/>
                <w:sz w:val="24"/>
                <w:szCs w:val="24"/>
                <w:lang w:eastAsia="en-US"/>
              </w:rPr>
            </w:pPr>
            <w:r w:rsidRPr="00C72AB5">
              <w:rPr>
                <w:rFonts w:ascii="Calibri" w:hAnsi="Calibri" w:cs="Calibri"/>
                <w:b/>
                <w:bCs/>
                <w:color w:val="000000"/>
                <w:sz w:val="24"/>
                <w:szCs w:val="24"/>
                <w:lang w:eastAsia="en-US"/>
              </w:rPr>
              <w:t>3565</w:t>
            </w:r>
          </w:p>
        </w:tc>
        <w:tc>
          <w:tcPr>
            <w:tcW w:w="823" w:type="dxa"/>
            <w:vAlign w:val="center"/>
            <w:hideMark/>
          </w:tcPr>
          <w:p w14:paraId="65209275" w14:textId="77777777" w:rsidR="00272379" w:rsidRPr="00C72AB5" w:rsidRDefault="00272379" w:rsidP="00272379">
            <w:pPr>
              <w:jc w:val="center"/>
              <w:rPr>
                <w:rFonts w:ascii="Calibri" w:hAnsi="Calibri" w:cs="Calibri"/>
                <w:b/>
                <w:bCs/>
                <w:color w:val="000000"/>
                <w:sz w:val="24"/>
                <w:szCs w:val="24"/>
                <w:lang w:eastAsia="en-US"/>
              </w:rPr>
            </w:pPr>
            <w:r w:rsidRPr="00C72AB5">
              <w:rPr>
                <w:rFonts w:ascii="Calibri" w:hAnsi="Calibri" w:cs="Calibri"/>
                <w:b/>
                <w:bCs/>
                <w:color w:val="000000"/>
                <w:sz w:val="24"/>
                <w:szCs w:val="24"/>
                <w:lang w:eastAsia="en-US"/>
              </w:rPr>
              <w:t>3488</w:t>
            </w:r>
          </w:p>
        </w:tc>
        <w:tc>
          <w:tcPr>
            <w:tcW w:w="823" w:type="dxa"/>
            <w:vAlign w:val="center"/>
            <w:hideMark/>
          </w:tcPr>
          <w:p w14:paraId="2D9F770F" w14:textId="77777777" w:rsidR="00272379" w:rsidRPr="00C72AB5" w:rsidRDefault="00272379" w:rsidP="00272379">
            <w:pPr>
              <w:jc w:val="center"/>
              <w:rPr>
                <w:rFonts w:ascii="Calibri" w:hAnsi="Calibri" w:cs="Calibri"/>
                <w:b/>
                <w:bCs/>
                <w:color w:val="000000"/>
                <w:sz w:val="24"/>
                <w:szCs w:val="24"/>
                <w:lang w:eastAsia="en-US"/>
              </w:rPr>
            </w:pPr>
            <w:r w:rsidRPr="00C72AB5">
              <w:rPr>
                <w:rFonts w:ascii="Calibri" w:hAnsi="Calibri" w:cs="Calibri"/>
                <w:b/>
                <w:bCs/>
                <w:color w:val="000000"/>
                <w:sz w:val="24"/>
                <w:szCs w:val="24"/>
                <w:lang w:eastAsia="en-US"/>
              </w:rPr>
              <w:t>3378</w:t>
            </w:r>
          </w:p>
        </w:tc>
        <w:tc>
          <w:tcPr>
            <w:tcW w:w="823" w:type="dxa"/>
            <w:vAlign w:val="center"/>
            <w:hideMark/>
          </w:tcPr>
          <w:p w14:paraId="59A74B25" w14:textId="77777777" w:rsidR="00272379" w:rsidRPr="00C72AB5" w:rsidRDefault="00272379" w:rsidP="00272379">
            <w:pPr>
              <w:jc w:val="center"/>
              <w:rPr>
                <w:rFonts w:ascii="Calibri" w:hAnsi="Calibri" w:cs="Calibri"/>
                <w:b/>
                <w:bCs/>
                <w:color w:val="000000"/>
                <w:sz w:val="24"/>
                <w:szCs w:val="24"/>
                <w:lang w:eastAsia="en-US"/>
              </w:rPr>
            </w:pPr>
            <w:r w:rsidRPr="00C72AB5">
              <w:rPr>
                <w:rFonts w:ascii="Calibri" w:hAnsi="Calibri" w:cs="Calibri"/>
                <w:b/>
                <w:bCs/>
                <w:color w:val="000000"/>
                <w:sz w:val="24"/>
                <w:szCs w:val="24"/>
                <w:lang w:eastAsia="en-US"/>
              </w:rPr>
              <w:t>3329</w:t>
            </w:r>
          </w:p>
        </w:tc>
        <w:tc>
          <w:tcPr>
            <w:tcW w:w="823" w:type="dxa"/>
            <w:vAlign w:val="center"/>
            <w:hideMark/>
          </w:tcPr>
          <w:p w14:paraId="01FABC56" w14:textId="77777777" w:rsidR="00272379" w:rsidRPr="00C72AB5" w:rsidRDefault="00272379" w:rsidP="00272379">
            <w:pPr>
              <w:jc w:val="center"/>
              <w:rPr>
                <w:rFonts w:ascii="Calibri" w:hAnsi="Calibri" w:cs="Calibri"/>
                <w:b/>
                <w:bCs/>
                <w:color w:val="000000"/>
                <w:sz w:val="24"/>
                <w:szCs w:val="24"/>
                <w:lang w:eastAsia="en-US"/>
              </w:rPr>
            </w:pPr>
            <w:r w:rsidRPr="00C72AB5">
              <w:rPr>
                <w:rFonts w:ascii="Calibri" w:hAnsi="Calibri" w:cs="Calibri"/>
                <w:b/>
                <w:bCs/>
                <w:color w:val="000000"/>
                <w:sz w:val="24"/>
                <w:szCs w:val="24"/>
                <w:lang w:eastAsia="en-US"/>
              </w:rPr>
              <w:t>3139</w:t>
            </w:r>
          </w:p>
        </w:tc>
        <w:tc>
          <w:tcPr>
            <w:tcW w:w="823" w:type="dxa"/>
            <w:vAlign w:val="center"/>
            <w:hideMark/>
          </w:tcPr>
          <w:p w14:paraId="0B17E651" w14:textId="77777777" w:rsidR="00272379" w:rsidRPr="00C72AB5" w:rsidRDefault="00272379" w:rsidP="00272379">
            <w:pPr>
              <w:jc w:val="center"/>
              <w:rPr>
                <w:rFonts w:ascii="Calibri" w:hAnsi="Calibri" w:cs="Calibri"/>
                <w:b/>
                <w:bCs/>
                <w:color w:val="000000"/>
                <w:sz w:val="24"/>
                <w:szCs w:val="24"/>
                <w:lang w:eastAsia="en-US"/>
              </w:rPr>
            </w:pPr>
            <w:r w:rsidRPr="00C72AB5">
              <w:rPr>
                <w:rFonts w:ascii="Calibri" w:hAnsi="Calibri" w:cs="Calibri"/>
                <w:b/>
                <w:bCs/>
                <w:color w:val="000000"/>
                <w:sz w:val="24"/>
                <w:szCs w:val="24"/>
                <w:lang w:eastAsia="en-US"/>
              </w:rPr>
              <w:t>3435</w:t>
            </w:r>
          </w:p>
        </w:tc>
        <w:tc>
          <w:tcPr>
            <w:tcW w:w="703" w:type="dxa"/>
            <w:vAlign w:val="center"/>
            <w:hideMark/>
          </w:tcPr>
          <w:p w14:paraId="2EEB7850" w14:textId="77777777" w:rsidR="00272379" w:rsidRPr="00C72AB5" w:rsidRDefault="00272379" w:rsidP="00272379">
            <w:pPr>
              <w:jc w:val="center"/>
              <w:rPr>
                <w:rFonts w:ascii="Calibri" w:hAnsi="Calibri" w:cs="Calibri"/>
                <w:b/>
                <w:bCs/>
                <w:color w:val="000000"/>
                <w:sz w:val="24"/>
                <w:szCs w:val="24"/>
                <w:lang w:eastAsia="en-US"/>
              </w:rPr>
            </w:pPr>
            <w:r w:rsidRPr="00C72AB5">
              <w:rPr>
                <w:rFonts w:ascii="Calibri" w:hAnsi="Calibri" w:cs="Calibri"/>
                <w:b/>
                <w:bCs/>
                <w:color w:val="000000"/>
                <w:sz w:val="24"/>
                <w:szCs w:val="24"/>
                <w:lang w:eastAsia="en-US"/>
              </w:rPr>
              <w:t>3584</w:t>
            </w:r>
          </w:p>
        </w:tc>
        <w:tc>
          <w:tcPr>
            <w:tcW w:w="823" w:type="dxa"/>
            <w:vAlign w:val="center"/>
            <w:hideMark/>
          </w:tcPr>
          <w:p w14:paraId="1A735917" w14:textId="77777777" w:rsidR="00272379" w:rsidRPr="00C72AB5" w:rsidRDefault="00272379" w:rsidP="00272379">
            <w:pPr>
              <w:jc w:val="center"/>
              <w:rPr>
                <w:rFonts w:ascii="Calibri" w:hAnsi="Calibri" w:cs="Calibri"/>
                <w:b/>
                <w:bCs/>
                <w:color w:val="000000"/>
                <w:sz w:val="24"/>
                <w:szCs w:val="24"/>
                <w:lang w:eastAsia="en-US"/>
              </w:rPr>
            </w:pPr>
            <w:r w:rsidRPr="00C72AB5">
              <w:rPr>
                <w:rFonts w:ascii="Calibri" w:hAnsi="Calibri" w:cs="Calibri"/>
                <w:b/>
                <w:bCs/>
                <w:color w:val="000000"/>
                <w:sz w:val="24"/>
                <w:szCs w:val="24"/>
                <w:lang w:eastAsia="en-US"/>
              </w:rPr>
              <w:t>3761</w:t>
            </w:r>
          </w:p>
        </w:tc>
        <w:tc>
          <w:tcPr>
            <w:tcW w:w="1666" w:type="dxa"/>
            <w:shd w:val="clear" w:color="000000" w:fill="FFF2CC"/>
            <w:vAlign w:val="center"/>
            <w:hideMark/>
          </w:tcPr>
          <w:p w14:paraId="2CDD5BD0" w14:textId="77777777" w:rsidR="00272379" w:rsidRPr="00C72AB5" w:rsidRDefault="00272379" w:rsidP="00272379">
            <w:pPr>
              <w:jc w:val="center"/>
              <w:rPr>
                <w:rFonts w:ascii="Calibri" w:hAnsi="Calibri" w:cs="Calibri"/>
                <w:b/>
                <w:bCs/>
                <w:color w:val="000000"/>
                <w:sz w:val="24"/>
                <w:szCs w:val="24"/>
                <w:lang w:eastAsia="en-US"/>
              </w:rPr>
            </w:pPr>
            <w:r w:rsidRPr="00C72AB5">
              <w:rPr>
                <w:rFonts w:ascii="Calibri" w:hAnsi="Calibri" w:cs="Calibri"/>
                <w:b/>
                <w:bCs/>
                <w:color w:val="000000"/>
                <w:sz w:val="24"/>
                <w:szCs w:val="24"/>
                <w:lang w:eastAsia="en-US"/>
              </w:rPr>
              <w:t>4028</w:t>
            </w:r>
          </w:p>
        </w:tc>
      </w:tr>
      <w:tr w:rsidR="00272379" w:rsidRPr="00C72AB5" w14:paraId="1070887F" w14:textId="77777777" w:rsidTr="00272379">
        <w:trPr>
          <w:trHeight w:val="330"/>
        </w:trPr>
        <w:tc>
          <w:tcPr>
            <w:tcW w:w="1332" w:type="dxa"/>
            <w:shd w:val="clear" w:color="auto" w:fill="E2EFD9" w:themeFill="accent6" w:themeFillTint="33"/>
            <w:noWrap/>
            <w:vAlign w:val="center"/>
            <w:hideMark/>
          </w:tcPr>
          <w:p w14:paraId="0952D8F4" w14:textId="46F95664" w:rsidR="00272379" w:rsidRPr="00C72AB5" w:rsidRDefault="001869BD" w:rsidP="00272379">
            <w:pPr>
              <w:jc w:val="center"/>
              <w:rPr>
                <w:rFonts w:ascii="GHEA Grapalat" w:hAnsi="GHEA Grapalat" w:cs="Calibri"/>
                <w:b/>
                <w:bCs/>
                <w:color w:val="000000"/>
                <w:lang w:eastAsia="en-US"/>
              </w:rPr>
            </w:pPr>
            <w:r w:rsidRPr="00C72AB5">
              <w:rPr>
                <w:rFonts w:ascii="GHEA Grapalat" w:hAnsi="GHEA Grapalat" w:cs="Calibri"/>
                <w:b/>
                <w:bCs/>
                <w:color w:val="000000"/>
                <w:lang w:eastAsia="en-US"/>
              </w:rPr>
              <w:t>Աճ</w:t>
            </w:r>
          </w:p>
        </w:tc>
        <w:tc>
          <w:tcPr>
            <w:tcW w:w="823" w:type="dxa"/>
            <w:noWrap/>
            <w:vAlign w:val="bottom"/>
            <w:hideMark/>
          </w:tcPr>
          <w:p w14:paraId="1DA10CD3" w14:textId="3AA0898B" w:rsidR="00272379" w:rsidRPr="00C72AB5" w:rsidRDefault="00272379" w:rsidP="00272379">
            <w:pPr>
              <w:jc w:val="center"/>
              <w:rPr>
                <w:rFonts w:ascii="Calibri" w:hAnsi="Calibri" w:cs="Calibri"/>
                <w:b/>
                <w:bCs/>
                <w:color w:val="000000"/>
                <w:sz w:val="24"/>
                <w:szCs w:val="24"/>
                <w:lang w:eastAsia="en-US"/>
              </w:rPr>
            </w:pPr>
            <w:r w:rsidRPr="00C72AB5">
              <w:rPr>
                <w:rFonts w:ascii="Calibri" w:hAnsi="Calibri" w:cs="Calibri"/>
                <w:b/>
                <w:bCs/>
                <w:color w:val="000000"/>
                <w:sz w:val="24"/>
                <w:szCs w:val="24"/>
                <w:lang w:eastAsia="en-US"/>
              </w:rPr>
              <w:t>-</w:t>
            </w:r>
          </w:p>
        </w:tc>
        <w:tc>
          <w:tcPr>
            <w:tcW w:w="823" w:type="dxa"/>
            <w:noWrap/>
            <w:vAlign w:val="bottom"/>
            <w:hideMark/>
          </w:tcPr>
          <w:p w14:paraId="4675AF07" w14:textId="77777777" w:rsidR="00272379" w:rsidRPr="00C72AB5" w:rsidRDefault="00272379" w:rsidP="00272379">
            <w:pPr>
              <w:jc w:val="center"/>
              <w:rPr>
                <w:rFonts w:ascii="Calibri" w:hAnsi="Calibri" w:cs="Calibri"/>
                <w:b/>
                <w:bCs/>
                <w:color w:val="000000"/>
                <w:sz w:val="24"/>
                <w:szCs w:val="24"/>
                <w:lang w:eastAsia="en-US"/>
              </w:rPr>
            </w:pPr>
            <w:r w:rsidRPr="00C72AB5">
              <w:rPr>
                <w:rFonts w:ascii="Calibri" w:hAnsi="Calibri" w:cs="Calibri"/>
                <w:b/>
                <w:bCs/>
                <w:color w:val="000000"/>
                <w:sz w:val="24"/>
                <w:szCs w:val="24"/>
                <w:lang w:eastAsia="en-US"/>
              </w:rPr>
              <w:t>-77</w:t>
            </w:r>
          </w:p>
        </w:tc>
        <w:tc>
          <w:tcPr>
            <w:tcW w:w="823" w:type="dxa"/>
            <w:noWrap/>
            <w:vAlign w:val="bottom"/>
            <w:hideMark/>
          </w:tcPr>
          <w:p w14:paraId="2BC8781C" w14:textId="77777777" w:rsidR="00272379" w:rsidRPr="00C72AB5" w:rsidRDefault="00272379" w:rsidP="00272379">
            <w:pPr>
              <w:jc w:val="center"/>
              <w:rPr>
                <w:rFonts w:ascii="Calibri" w:hAnsi="Calibri" w:cs="Calibri"/>
                <w:b/>
                <w:bCs/>
                <w:color w:val="000000"/>
                <w:sz w:val="24"/>
                <w:szCs w:val="24"/>
                <w:lang w:eastAsia="en-US"/>
              </w:rPr>
            </w:pPr>
            <w:r w:rsidRPr="00C72AB5">
              <w:rPr>
                <w:rFonts w:ascii="Calibri" w:hAnsi="Calibri" w:cs="Calibri"/>
                <w:b/>
                <w:bCs/>
                <w:color w:val="000000"/>
                <w:sz w:val="24"/>
                <w:szCs w:val="24"/>
                <w:lang w:eastAsia="en-US"/>
              </w:rPr>
              <w:t>-110</w:t>
            </w:r>
          </w:p>
        </w:tc>
        <w:tc>
          <w:tcPr>
            <w:tcW w:w="823" w:type="dxa"/>
            <w:noWrap/>
            <w:vAlign w:val="bottom"/>
            <w:hideMark/>
          </w:tcPr>
          <w:p w14:paraId="44B49879" w14:textId="77777777" w:rsidR="00272379" w:rsidRPr="00C72AB5" w:rsidRDefault="00272379" w:rsidP="00272379">
            <w:pPr>
              <w:jc w:val="center"/>
              <w:rPr>
                <w:rFonts w:ascii="Calibri" w:hAnsi="Calibri" w:cs="Calibri"/>
                <w:b/>
                <w:bCs/>
                <w:color w:val="000000"/>
                <w:sz w:val="24"/>
                <w:szCs w:val="24"/>
                <w:lang w:eastAsia="en-US"/>
              </w:rPr>
            </w:pPr>
            <w:r w:rsidRPr="00C72AB5">
              <w:rPr>
                <w:rFonts w:ascii="Calibri" w:hAnsi="Calibri" w:cs="Calibri"/>
                <w:b/>
                <w:bCs/>
                <w:color w:val="000000"/>
                <w:sz w:val="24"/>
                <w:szCs w:val="24"/>
                <w:lang w:eastAsia="en-US"/>
              </w:rPr>
              <w:t>-49</w:t>
            </w:r>
          </w:p>
        </w:tc>
        <w:tc>
          <w:tcPr>
            <w:tcW w:w="823" w:type="dxa"/>
            <w:noWrap/>
            <w:vAlign w:val="bottom"/>
            <w:hideMark/>
          </w:tcPr>
          <w:p w14:paraId="5F4A2CAD" w14:textId="77777777" w:rsidR="00272379" w:rsidRPr="00C72AB5" w:rsidRDefault="00272379" w:rsidP="00272379">
            <w:pPr>
              <w:jc w:val="center"/>
              <w:rPr>
                <w:rFonts w:ascii="Calibri" w:hAnsi="Calibri" w:cs="Calibri"/>
                <w:b/>
                <w:bCs/>
                <w:color w:val="000000"/>
                <w:sz w:val="24"/>
                <w:szCs w:val="24"/>
                <w:lang w:eastAsia="en-US"/>
              </w:rPr>
            </w:pPr>
            <w:r w:rsidRPr="00C72AB5">
              <w:rPr>
                <w:rFonts w:ascii="Calibri" w:hAnsi="Calibri" w:cs="Calibri"/>
                <w:b/>
                <w:bCs/>
                <w:color w:val="000000"/>
                <w:sz w:val="24"/>
                <w:szCs w:val="24"/>
                <w:lang w:eastAsia="en-US"/>
              </w:rPr>
              <w:t>-190</w:t>
            </w:r>
          </w:p>
        </w:tc>
        <w:tc>
          <w:tcPr>
            <w:tcW w:w="823" w:type="dxa"/>
            <w:noWrap/>
            <w:vAlign w:val="bottom"/>
            <w:hideMark/>
          </w:tcPr>
          <w:p w14:paraId="3BA0D711" w14:textId="77777777" w:rsidR="00272379" w:rsidRPr="00C72AB5" w:rsidRDefault="00272379" w:rsidP="00272379">
            <w:pPr>
              <w:jc w:val="center"/>
              <w:rPr>
                <w:rFonts w:ascii="Calibri" w:hAnsi="Calibri" w:cs="Calibri"/>
                <w:b/>
                <w:bCs/>
                <w:color w:val="000000"/>
                <w:sz w:val="24"/>
                <w:szCs w:val="24"/>
                <w:lang w:eastAsia="en-US"/>
              </w:rPr>
            </w:pPr>
            <w:r w:rsidRPr="00C72AB5">
              <w:rPr>
                <w:rFonts w:ascii="Calibri" w:hAnsi="Calibri" w:cs="Calibri"/>
                <w:b/>
                <w:bCs/>
                <w:color w:val="000000"/>
                <w:sz w:val="24"/>
                <w:szCs w:val="24"/>
                <w:lang w:eastAsia="en-US"/>
              </w:rPr>
              <w:t>296</w:t>
            </w:r>
          </w:p>
        </w:tc>
        <w:tc>
          <w:tcPr>
            <w:tcW w:w="703" w:type="dxa"/>
            <w:noWrap/>
            <w:vAlign w:val="bottom"/>
            <w:hideMark/>
          </w:tcPr>
          <w:p w14:paraId="2467886F" w14:textId="77777777" w:rsidR="00272379" w:rsidRPr="00C72AB5" w:rsidRDefault="00272379" w:rsidP="00272379">
            <w:pPr>
              <w:jc w:val="center"/>
              <w:rPr>
                <w:rFonts w:ascii="Calibri" w:hAnsi="Calibri" w:cs="Calibri"/>
                <w:b/>
                <w:bCs/>
                <w:color w:val="000000"/>
                <w:sz w:val="24"/>
                <w:szCs w:val="24"/>
                <w:lang w:eastAsia="en-US"/>
              </w:rPr>
            </w:pPr>
            <w:r w:rsidRPr="00C72AB5">
              <w:rPr>
                <w:rFonts w:ascii="Calibri" w:hAnsi="Calibri" w:cs="Calibri"/>
                <w:b/>
                <w:bCs/>
                <w:color w:val="000000"/>
                <w:sz w:val="24"/>
                <w:szCs w:val="24"/>
                <w:lang w:eastAsia="en-US"/>
              </w:rPr>
              <w:t>149</w:t>
            </w:r>
          </w:p>
        </w:tc>
        <w:tc>
          <w:tcPr>
            <w:tcW w:w="823" w:type="dxa"/>
            <w:noWrap/>
            <w:vAlign w:val="bottom"/>
            <w:hideMark/>
          </w:tcPr>
          <w:p w14:paraId="32E9DB53" w14:textId="77777777" w:rsidR="00272379" w:rsidRPr="00C72AB5" w:rsidRDefault="00272379" w:rsidP="00272379">
            <w:pPr>
              <w:jc w:val="center"/>
              <w:rPr>
                <w:rFonts w:ascii="Calibri" w:hAnsi="Calibri" w:cs="Calibri"/>
                <w:b/>
                <w:bCs/>
                <w:color w:val="000000"/>
                <w:sz w:val="24"/>
                <w:szCs w:val="24"/>
                <w:lang w:eastAsia="en-US"/>
              </w:rPr>
            </w:pPr>
            <w:r w:rsidRPr="00C72AB5">
              <w:rPr>
                <w:rFonts w:ascii="Calibri" w:hAnsi="Calibri" w:cs="Calibri"/>
                <w:b/>
                <w:bCs/>
                <w:color w:val="000000"/>
                <w:sz w:val="24"/>
                <w:szCs w:val="24"/>
                <w:lang w:eastAsia="en-US"/>
              </w:rPr>
              <w:t>177</w:t>
            </w:r>
          </w:p>
        </w:tc>
        <w:tc>
          <w:tcPr>
            <w:tcW w:w="1666" w:type="dxa"/>
            <w:shd w:val="clear" w:color="000000" w:fill="FFF2CC"/>
            <w:noWrap/>
            <w:vAlign w:val="bottom"/>
            <w:hideMark/>
          </w:tcPr>
          <w:p w14:paraId="35CCE4C1" w14:textId="47879F52" w:rsidR="00272379" w:rsidRPr="00C72AB5" w:rsidRDefault="00272379" w:rsidP="001869BD">
            <w:pPr>
              <w:jc w:val="center"/>
              <w:rPr>
                <w:rFonts w:ascii="Calibri" w:hAnsi="Calibri" w:cs="Calibri"/>
                <w:b/>
                <w:bCs/>
                <w:color w:val="000000"/>
                <w:sz w:val="24"/>
                <w:szCs w:val="24"/>
                <w:lang w:eastAsia="en-US"/>
              </w:rPr>
            </w:pPr>
            <w:r w:rsidRPr="00C72AB5">
              <w:rPr>
                <w:rFonts w:ascii="Calibri" w:hAnsi="Calibri" w:cs="Calibri"/>
                <w:b/>
                <w:bCs/>
                <w:color w:val="000000"/>
                <w:sz w:val="24"/>
                <w:szCs w:val="24"/>
                <w:lang w:eastAsia="en-US"/>
              </w:rPr>
              <w:t> -</w:t>
            </w:r>
          </w:p>
        </w:tc>
      </w:tr>
    </w:tbl>
    <w:p w14:paraId="07173EB3" w14:textId="35A3CCD4" w:rsidR="007D47D3" w:rsidRPr="00C72AB5" w:rsidRDefault="00CC732A" w:rsidP="00181F43">
      <w:pPr>
        <w:tabs>
          <w:tab w:val="left" w:pos="709"/>
          <w:tab w:val="left" w:pos="851"/>
        </w:tabs>
        <w:ind w:left="567" w:hanging="567"/>
        <w:jc w:val="both"/>
        <w:rPr>
          <w:rFonts w:ascii="GHEA Grapalat" w:hAnsi="GHEA Grapalat"/>
        </w:rPr>
      </w:pPr>
      <w:r w:rsidRPr="00C72AB5">
        <w:rPr>
          <w:rFonts w:ascii="GHEA Grapalat" w:hAnsi="GHEA Grapalat"/>
          <w:b/>
        </w:rPr>
        <w:t xml:space="preserve">Աղյուսակ </w:t>
      </w:r>
      <w:r w:rsidR="00376839" w:rsidRPr="00C72AB5">
        <w:rPr>
          <w:rFonts w:ascii="GHEA Grapalat" w:hAnsi="GHEA Grapalat"/>
          <w:b/>
        </w:rPr>
        <w:t>3</w:t>
      </w:r>
      <w:r w:rsidRPr="00C72AB5">
        <w:rPr>
          <w:rFonts w:ascii="GHEA Grapalat" w:hAnsi="GHEA Grapalat"/>
        </w:rPr>
        <w:t>. Գիտա</w:t>
      </w:r>
      <w:r w:rsidR="00EC1BE7">
        <w:rPr>
          <w:rFonts w:ascii="GHEA Grapalat" w:hAnsi="GHEA Grapalat"/>
        </w:rPr>
        <w:t>տեխնոլոգիական</w:t>
      </w:r>
      <w:r w:rsidRPr="00C72AB5">
        <w:rPr>
          <w:rFonts w:ascii="GHEA Grapalat" w:hAnsi="GHEA Grapalat"/>
        </w:rPr>
        <w:t xml:space="preserve"> գործունեության բազային ֆինանսավորման ծրագրերում ներգրավված գիտական աշխատողների տարիքային կազմ</w:t>
      </w:r>
      <w:r w:rsidR="00EC1BE7">
        <w:rPr>
          <w:rFonts w:ascii="GHEA Grapalat" w:hAnsi="GHEA Grapalat"/>
        </w:rPr>
        <w:t>ն</w:t>
      </w:r>
      <w:r w:rsidRPr="00C72AB5">
        <w:rPr>
          <w:rFonts w:ascii="GHEA Grapalat" w:hAnsi="GHEA Grapalat"/>
        </w:rPr>
        <w:t xml:space="preserve"> ըստ տարեթվերի:</w:t>
      </w:r>
    </w:p>
    <w:p w14:paraId="1ED55430" w14:textId="77777777" w:rsidR="00887E3F" w:rsidRPr="00181F43" w:rsidRDefault="00887E3F" w:rsidP="00887E3F">
      <w:pPr>
        <w:tabs>
          <w:tab w:val="left" w:pos="851"/>
        </w:tabs>
        <w:spacing w:line="276" w:lineRule="auto"/>
        <w:ind w:firstLine="567"/>
        <w:jc w:val="both"/>
        <w:rPr>
          <w:rFonts w:ascii="GHEA Grapalat" w:hAnsi="GHEA Grapalat"/>
          <w:b/>
          <w:bCs/>
          <w:sz w:val="18"/>
          <w:szCs w:val="18"/>
        </w:rPr>
      </w:pPr>
    </w:p>
    <w:p w14:paraId="18520D4F" w14:textId="06CD9F64" w:rsidR="00887E3F" w:rsidRDefault="0068358C" w:rsidP="00181F43">
      <w:pPr>
        <w:widowControl w:val="0"/>
        <w:tabs>
          <w:tab w:val="left" w:pos="851"/>
        </w:tabs>
        <w:spacing w:line="276" w:lineRule="auto"/>
        <w:ind w:firstLine="567"/>
        <w:jc w:val="both"/>
        <w:rPr>
          <w:rFonts w:ascii="GHEA Grapalat" w:hAnsi="GHEA Grapalat"/>
          <w:sz w:val="24"/>
          <w:szCs w:val="24"/>
        </w:rPr>
      </w:pPr>
      <w:r w:rsidRPr="00C72AB5">
        <w:rPr>
          <w:rFonts w:ascii="GHEA Grapalat" w:hAnsi="GHEA Grapalat"/>
          <w:sz w:val="24"/>
          <w:szCs w:val="24"/>
        </w:rPr>
        <w:t>14</w:t>
      </w:r>
      <w:r w:rsidR="00887E3F" w:rsidRPr="00C72AB5">
        <w:rPr>
          <w:rFonts w:ascii="GHEA Grapalat" w:hAnsi="GHEA Grapalat"/>
          <w:sz w:val="24"/>
          <w:szCs w:val="24"/>
        </w:rPr>
        <w:t xml:space="preserve">. </w:t>
      </w:r>
      <w:r w:rsidR="006A20AE" w:rsidRPr="006A20AE">
        <w:rPr>
          <w:rFonts w:ascii="GHEA Grapalat" w:hAnsi="GHEA Grapalat"/>
          <w:sz w:val="24"/>
          <w:szCs w:val="24"/>
        </w:rPr>
        <w:t>Բնագիտական, տեխնոլոգիական, ճարտարագիտական, մաթեմատիկական (ԲՏՃՄ)</w:t>
      </w:r>
      <w:r w:rsidR="00887E3F" w:rsidRPr="00C72AB5">
        <w:rPr>
          <w:rFonts w:ascii="GHEA Grapalat" w:hAnsi="GHEA Grapalat"/>
          <w:sz w:val="24"/>
          <w:szCs w:val="24"/>
        </w:rPr>
        <w:t xml:space="preserve"> ոլորտներում աշխատող</w:t>
      </w:r>
      <w:r w:rsidR="00141692">
        <w:rPr>
          <w:rFonts w:ascii="GHEA Grapalat" w:hAnsi="GHEA Grapalat"/>
          <w:sz w:val="24"/>
          <w:szCs w:val="24"/>
        </w:rPr>
        <w:t xml:space="preserve"> և</w:t>
      </w:r>
      <w:r w:rsidR="00887E3F" w:rsidRPr="00C72AB5">
        <w:rPr>
          <w:rFonts w:ascii="GHEA Grapalat" w:hAnsi="GHEA Grapalat"/>
          <w:sz w:val="24"/>
          <w:szCs w:val="24"/>
        </w:rPr>
        <w:t xml:space="preserve"> բազային ֆինանսավորման մեջ ներ</w:t>
      </w:r>
      <w:r w:rsidR="00141692">
        <w:rPr>
          <w:rFonts w:ascii="GHEA Grapalat" w:hAnsi="GHEA Grapalat"/>
          <w:sz w:val="24"/>
          <w:szCs w:val="24"/>
        </w:rPr>
        <w:t>գրավված գիտաշխատողների թվաքանակն</w:t>
      </w:r>
      <w:r w:rsidR="00887E3F" w:rsidRPr="00C72AB5">
        <w:rPr>
          <w:rFonts w:ascii="GHEA Grapalat" w:hAnsi="GHEA Grapalat"/>
          <w:sz w:val="24"/>
          <w:szCs w:val="24"/>
        </w:rPr>
        <w:t xml:space="preserve"> ըստ 2024 թվականի հաշվետվությունների կազմում է </w:t>
      </w:r>
      <w:r w:rsidR="00887E3F" w:rsidRPr="00C72AB5">
        <w:rPr>
          <w:rFonts w:ascii="GHEA Grapalat" w:hAnsi="GHEA Grapalat"/>
          <w:sz w:val="24"/>
          <w:szCs w:val="24"/>
        </w:rPr>
        <w:lastRenderedPageBreak/>
        <w:t>3103 աշխատող (78.3 %)</w:t>
      </w:r>
      <w:r w:rsidR="00887E3F" w:rsidRPr="00C72AB5">
        <w:rPr>
          <w:rStyle w:val="FootnoteReference"/>
          <w:rFonts w:ascii="GHEA Grapalat" w:hAnsi="GHEA Grapalat"/>
          <w:sz w:val="24"/>
          <w:szCs w:val="24"/>
        </w:rPr>
        <w:footnoteReference w:id="18"/>
      </w:r>
      <w:r w:rsidR="00887E3F" w:rsidRPr="00C72AB5">
        <w:rPr>
          <w:rFonts w:ascii="GHEA Grapalat" w:hAnsi="GHEA Grapalat"/>
          <w:sz w:val="24"/>
          <w:szCs w:val="24"/>
        </w:rPr>
        <w:t>:</w:t>
      </w:r>
    </w:p>
    <w:p w14:paraId="03EB36C7" w14:textId="77777777" w:rsidR="00887E3F" w:rsidRPr="00C72AB5" w:rsidRDefault="00887E3F" w:rsidP="00887E3F">
      <w:pPr>
        <w:tabs>
          <w:tab w:val="left" w:pos="709"/>
          <w:tab w:val="left" w:pos="851"/>
        </w:tabs>
        <w:spacing w:line="276" w:lineRule="auto"/>
        <w:jc w:val="both"/>
        <w:rPr>
          <w:rFonts w:ascii="GHEA Grapalat" w:hAnsi="GHEA Grapalat"/>
          <w:sz w:val="24"/>
          <w:szCs w:val="24"/>
        </w:rPr>
      </w:pPr>
      <w:r w:rsidRPr="00C72AB5">
        <w:rPr>
          <w:noProof/>
          <w:lang w:val="en-US" w:eastAsia="en-US"/>
        </w:rPr>
        <w:drawing>
          <wp:inline distT="0" distB="0" distL="0" distR="0" wp14:anchorId="4CA41CB9" wp14:editId="4EEEBFF2">
            <wp:extent cx="6119495" cy="2857500"/>
            <wp:effectExtent l="0" t="0" r="0" b="0"/>
            <wp:docPr id="1662676569" name="Chart 1">
              <a:extLst xmlns:a="http://schemas.openxmlformats.org/drawingml/2006/main">
                <a:ext uri="{FF2B5EF4-FFF2-40B4-BE49-F238E27FC236}">
                  <a16:creationId xmlns:a16="http://schemas.microsoft.com/office/drawing/2014/main" id="{3D16C875-A771-42C2-836A-92206FB044A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1A11B60" w14:textId="583F7572" w:rsidR="00887E3F" w:rsidRDefault="005F7C93" w:rsidP="00181F43">
      <w:pPr>
        <w:tabs>
          <w:tab w:val="left" w:pos="709"/>
          <w:tab w:val="left" w:pos="851"/>
        </w:tabs>
        <w:ind w:left="567" w:hanging="567"/>
        <w:jc w:val="both"/>
        <w:rPr>
          <w:rFonts w:ascii="GHEA Grapalat" w:hAnsi="GHEA Grapalat"/>
        </w:rPr>
      </w:pPr>
      <w:r w:rsidRPr="00C72AB5">
        <w:rPr>
          <w:rFonts w:ascii="GHEA Grapalat" w:hAnsi="GHEA Grapalat"/>
          <w:b/>
        </w:rPr>
        <w:t>Գծապատկեր</w:t>
      </w:r>
      <w:r w:rsidR="00887E3F" w:rsidRPr="00C72AB5">
        <w:rPr>
          <w:rFonts w:ascii="GHEA Grapalat" w:hAnsi="GHEA Grapalat"/>
          <w:b/>
        </w:rPr>
        <w:t xml:space="preserve"> </w:t>
      </w:r>
      <w:r w:rsidR="008F575B" w:rsidRPr="00C72AB5">
        <w:rPr>
          <w:rFonts w:ascii="GHEA Grapalat" w:hAnsi="GHEA Grapalat"/>
          <w:b/>
        </w:rPr>
        <w:t>4</w:t>
      </w:r>
      <w:r w:rsidR="00141692">
        <w:rPr>
          <w:rFonts w:ascii="GHEA Grapalat" w:hAnsi="GHEA Grapalat"/>
        </w:rPr>
        <w:t>. Գիտատեխնոլոգիական</w:t>
      </w:r>
      <w:r w:rsidR="00887E3F" w:rsidRPr="00C72AB5">
        <w:rPr>
          <w:rFonts w:ascii="GHEA Grapalat" w:hAnsi="GHEA Grapalat"/>
        </w:rPr>
        <w:t xml:space="preserve"> գործունեության բազային ֆինանսավորման ծրագրերում ներգրավված գիտական աշխատողների տարիքային կազմի համեմատությունը 2019 և 2024 թվականների համար և կանխատեսումը 2029 թվականի համար: </w:t>
      </w:r>
    </w:p>
    <w:p w14:paraId="37B8ED69" w14:textId="77777777" w:rsidR="00181F43" w:rsidRPr="00C72AB5" w:rsidRDefault="00181F43" w:rsidP="00181F43">
      <w:pPr>
        <w:tabs>
          <w:tab w:val="left" w:pos="709"/>
          <w:tab w:val="left" w:pos="851"/>
        </w:tabs>
        <w:ind w:left="567" w:hanging="567"/>
        <w:jc w:val="both"/>
        <w:rPr>
          <w:rFonts w:ascii="GHEA Grapalat" w:hAnsi="GHEA Grapalat"/>
        </w:rPr>
      </w:pPr>
    </w:p>
    <w:p w14:paraId="6284F90C" w14:textId="5B3D26E5" w:rsidR="00BD6616" w:rsidRPr="00FC4265" w:rsidRDefault="0068358C" w:rsidP="00BD6616">
      <w:pPr>
        <w:tabs>
          <w:tab w:val="left" w:pos="851"/>
        </w:tabs>
        <w:spacing w:line="276" w:lineRule="auto"/>
        <w:ind w:firstLine="567"/>
        <w:jc w:val="both"/>
        <w:rPr>
          <w:rFonts w:ascii="GHEA Grapalat" w:hAnsi="GHEA Grapalat"/>
          <w:sz w:val="24"/>
          <w:szCs w:val="24"/>
        </w:rPr>
      </w:pPr>
      <w:r w:rsidRPr="00C72AB5">
        <w:rPr>
          <w:rFonts w:ascii="GHEA Grapalat" w:hAnsi="GHEA Grapalat"/>
          <w:sz w:val="24"/>
          <w:szCs w:val="24"/>
        </w:rPr>
        <w:t>15</w:t>
      </w:r>
      <w:r w:rsidR="00BD6616" w:rsidRPr="00C72AB5">
        <w:rPr>
          <w:rFonts w:ascii="GHEA Grapalat" w:hAnsi="GHEA Grapalat"/>
          <w:sz w:val="24"/>
          <w:szCs w:val="24"/>
        </w:rPr>
        <w:t xml:space="preserve">. Գիտական աշխատողների տարիքային </w:t>
      </w:r>
      <w:r w:rsidR="00BD6616" w:rsidRPr="00FC4265">
        <w:rPr>
          <w:rFonts w:ascii="GHEA Grapalat" w:hAnsi="GHEA Grapalat"/>
          <w:sz w:val="24"/>
          <w:szCs w:val="24"/>
        </w:rPr>
        <w:t>կազմը</w:t>
      </w:r>
      <w:r w:rsidR="00BD6616" w:rsidRPr="00C72AB5">
        <w:rPr>
          <w:rFonts w:ascii="GHEA Grapalat" w:hAnsi="GHEA Grapalat"/>
          <w:sz w:val="24"/>
          <w:szCs w:val="24"/>
        </w:rPr>
        <w:t xml:space="preserve"> մնում է բարձր` 29.5%-ի տարիքը </w:t>
      </w:r>
      <w:r w:rsidR="00BD6616" w:rsidRPr="00FC4265">
        <w:rPr>
          <w:rFonts w:ascii="GHEA Grapalat" w:hAnsi="GHEA Grapalat"/>
          <w:sz w:val="24"/>
          <w:szCs w:val="24"/>
        </w:rPr>
        <w:t>ավել</w:t>
      </w:r>
      <w:r w:rsidR="00B1467F">
        <w:rPr>
          <w:rFonts w:ascii="GHEA Grapalat" w:hAnsi="GHEA Grapalat"/>
          <w:sz w:val="24"/>
          <w:szCs w:val="24"/>
        </w:rPr>
        <w:t>ի</w:t>
      </w:r>
      <w:r w:rsidR="00BD6616" w:rsidRPr="00FC4265">
        <w:rPr>
          <w:rFonts w:ascii="GHEA Grapalat" w:hAnsi="GHEA Grapalat"/>
          <w:sz w:val="24"/>
          <w:szCs w:val="24"/>
        </w:rPr>
        <w:t xml:space="preserve"> է</w:t>
      </w:r>
      <w:r w:rsidR="00BD6616" w:rsidRPr="00451133">
        <w:rPr>
          <w:rFonts w:ascii="GHEA Grapalat" w:hAnsi="GHEA Grapalat"/>
          <w:color w:val="FF0000"/>
          <w:sz w:val="24"/>
          <w:szCs w:val="24"/>
        </w:rPr>
        <w:t xml:space="preserve"> </w:t>
      </w:r>
      <w:r w:rsidR="00BD6616" w:rsidRPr="00C72AB5">
        <w:rPr>
          <w:rFonts w:ascii="GHEA Grapalat" w:hAnsi="GHEA Grapalat"/>
          <w:sz w:val="24"/>
          <w:szCs w:val="24"/>
        </w:rPr>
        <w:t>65 տարեկանից: Իսկ սեռային համամասնությունը գրեթե հավասար է` աննշան շեղված դեպի կին գիտական աշխատողների կողմ (53.6%) (</w:t>
      </w:r>
      <w:r w:rsidR="00141692">
        <w:rPr>
          <w:rFonts w:ascii="GHEA Grapalat" w:hAnsi="GHEA Grapalat"/>
          <w:sz w:val="24"/>
          <w:szCs w:val="24"/>
        </w:rPr>
        <w:t>տ</w:t>
      </w:r>
      <w:r w:rsidR="00BD6616" w:rsidRPr="00C72AB5">
        <w:rPr>
          <w:rFonts w:ascii="GHEA Grapalat" w:hAnsi="GHEA Grapalat"/>
          <w:sz w:val="24"/>
          <w:szCs w:val="24"/>
        </w:rPr>
        <w:t>ե՛ս</w:t>
      </w:r>
      <w:r w:rsidR="00141692">
        <w:rPr>
          <w:rFonts w:ascii="GHEA Grapalat" w:hAnsi="GHEA Grapalat"/>
          <w:sz w:val="24"/>
          <w:szCs w:val="24"/>
        </w:rPr>
        <w:t>,</w:t>
      </w:r>
      <w:r w:rsidR="00BD6616" w:rsidRPr="00C72AB5">
        <w:rPr>
          <w:rFonts w:ascii="GHEA Grapalat" w:hAnsi="GHEA Grapalat"/>
          <w:sz w:val="24"/>
          <w:szCs w:val="24"/>
        </w:rPr>
        <w:t xml:space="preserve"> </w:t>
      </w:r>
      <w:r w:rsidR="005F7C93" w:rsidRPr="00C72AB5">
        <w:rPr>
          <w:rFonts w:ascii="GHEA Grapalat" w:hAnsi="GHEA Grapalat"/>
          <w:sz w:val="24"/>
          <w:szCs w:val="24"/>
        </w:rPr>
        <w:t>Գծապատկեր</w:t>
      </w:r>
      <w:r w:rsidR="00BD6616" w:rsidRPr="00C72AB5">
        <w:rPr>
          <w:rFonts w:ascii="GHEA Grapalat" w:hAnsi="GHEA Grapalat"/>
          <w:sz w:val="24"/>
          <w:szCs w:val="24"/>
        </w:rPr>
        <w:t xml:space="preserve"> </w:t>
      </w:r>
      <w:r w:rsidR="00D54FC0" w:rsidRPr="00C72AB5">
        <w:rPr>
          <w:rFonts w:ascii="GHEA Grapalat" w:hAnsi="GHEA Grapalat"/>
          <w:sz w:val="24"/>
          <w:szCs w:val="24"/>
        </w:rPr>
        <w:t>5</w:t>
      </w:r>
      <w:r w:rsidR="00BD6616" w:rsidRPr="00C72AB5">
        <w:rPr>
          <w:rFonts w:ascii="GHEA Grapalat" w:hAnsi="GHEA Grapalat"/>
          <w:sz w:val="24"/>
          <w:szCs w:val="24"/>
        </w:rPr>
        <w:t xml:space="preserve">), ընդ որում, մինչև 50 տարեկան տիրույթում կանանց բաժինը կազմում է 58.3 %, ինչը խոսում է այն մասին, որ ընդհանրական ցուցանիշում սեռային համամասնության խնդիրներ չկան կամ կան արական սեռի </w:t>
      </w:r>
      <w:r w:rsidR="00BD6616" w:rsidRPr="00FC4265">
        <w:rPr>
          <w:rFonts w:ascii="GHEA Grapalat" w:hAnsi="GHEA Grapalat"/>
          <w:sz w:val="24"/>
          <w:szCs w:val="24"/>
        </w:rPr>
        <w:t>երիտասարդներ դեպի գիտություն ավելի պակաս կողմնորոշվելու տեսքով:</w:t>
      </w:r>
    </w:p>
    <w:p w14:paraId="6EE30FDD" w14:textId="77777777" w:rsidR="008A1CF0" w:rsidRPr="00181F43" w:rsidRDefault="008A1CF0" w:rsidP="008A1CF0">
      <w:pPr>
        <w:tabs>
          <w:tab w:val="left" w:pos="851"/>
        </w:tabs>
        <w:spacing w:line="276" w:lineRule="auto"/>
        <w:jc w:val="both"/>
        <w:rPr>
          <w:rFonts w:ascii="GHEA Grapalat" w:hAnsi="GHEA Grapalat"/>
        </w:rPr>
      </w:pPr>
    </w:p>
    <w:p w14:paraId="2540CEE7" w14:textId="5A0E41D0" w:rsidR="008A1CF0" w:rsidRPr="00C72AB5" w:rsidRDefault="008A1CF0" w:rsidP="008A1CF0">
      <w:pPr>
        <w:tabs>
          <w:tab w:val="left" w:pos="709"/>
          <w:tab w:val="left" w:pos="851"/>
        </w:tabs>
        <w:spacing w:line="276" w:lineRule="auto"/>
        <w:ind w:left="567" w:hanging="567"/>
        <w:jc w:val="both"/>
        <w:rPr>
          <w:rFonts w:ascii="GHEA Grapalat" w:hAnsi="GHEA Grapalat"/>
        </w:rPr>
      </w:pPr>
      <w:r w:rsidRPr="00C72AB5">
        <w:rPr>
          <w:noProof/>
          <w:lang w:val="en-US" w:eastAsia="en-US"/>
        </w:rPr>
        <w:drawing>
          <wp:anchor distT="0" distB="0" distL="114300" distR="114300" simplePos="0" relativeHeight="251715072" behindDoc="0" locked="0" layoutInCell="1" allowOverlap="1" wp14:anchorId="33EC0B05" wp14:editId="0DE60B40">
            <wp:simplePos x="0" y="0"/>
            <wp:positionH relativeFrom="margin">
              <wp:align>right</wp:align>
            </wp:positionH>
            <wp:positionV relativeFrom="paragraph">
              <wp:posOffset>156846</wp:posOffset>
            </wp:positionV>
            <wp:extent cx="2333625" cy="838200"/>
            <wp:effectExtent l="95250" t="38100" r="28575" b="95250"/>
            <wp:wrapNone/>
            <wp:docPr id="1823637643" name="Chart 1">
              <a:extLst xmlns:a="http://schemas.openxmlformats.org/drawingml/2006/main">
                <a:ext uri="{FF2B5EF4-FFF2-40B4-BE49-F238E27FC236}">
                  <a16:creationId xmlns:a16="http://schemas.microsoft.com/office/drawing/2014/main" id="{00000000-0008-0000-01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r w:rsidRPr="00C72AB5">
        <w:rPr>
          <w:noProof/>
          <w:lang w:val="en-US" w:eastAsia="en-US"/>
        </w:rPr>
        <w:drawing>
          <wp:anchor distT="0" distB="0" distL="114300" distR="114300" simplePos="0" relativeHeight="251714048" behindDoc="0" locked="0" layoutInCell="1" allowOverlap="1" wp14:anchorId="448248BF" wp14:editId="0B09A0BB">
            <wp:simplePos x="0" y="0"/>
            <wp:positionH relativeFrom="column">
              <wp:posOffset>2719070</wp:posOffset>
            </wp:positionH>
            <wp:positionV relativeFrom="paragraph">
              <wp:posOffset>213995</wp:posOffset>
            </wp:positionV>
            <wp:extent cx="949907" cy="904875"/>
            <wp:effectExtent l="0" t="0" r="3175" b="0"/>
            <wp:wrapNone/>
            <wp:docPr id="1231658225" name="Chart 1">
              <a:extLst xmlns:a="http://schemas.openxmlformats.org/drawingml/2006/main">
                <a:ext uri="{FF2B5EF4-FFF2-40B4-BE49-F238E27FC236}">
                  <a16:creationId xmlns:a16="http://schemas.microsoft.com/office/drawing/2014/main" id="{64BC287E-3100-5ED6-30F0-624CC23CB8B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r w:rsidRPr="00C72AB5">
        <w:rPr>
          <w:noProof/>
          <w:lang w:val="en-US" w:eastAsia="en-US"/>
        </w:rPr>
        <w:drawing>
          <wp:inline distT="0" distB="0" distL="0" distR="0" wp14:anchorId="7D0B7C24" wp14:editId="532E51F4">
            <wp:extent cx="6119495" cy="2699385"/>
            <wp:effectExtent l="0" t="0" r="0" b="5715"/>
            <wp:docPr id="541714221" name="Chart 1">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598EEF8" w14:textId="0C9732E9" w:rsidR="004717F3" w:rsidRPr="00C72AB5" w:rsidRDefault="005F7C93" w:rsidP="00181F43">
      <w:pPr>
        <w:tabs>
          <w:tab w:val="left" w:pos="709"/>
          <w:tab w:val="left" w:pos="851"/>
        </w:tabs>
        <w:ind w:left="567" w:hanging="567"/>
        <w:jc w:val="both"/>
        <w:rPr>
          <w:rFonts w:ascii="GHEA Grapalat" w:hAnsi="GHEA Grapalat"/>
        </w:rPr>
      </w:pPr>
      <w:r w:rsidRPr="00C72AB5">
        <w:rPr>
          <w:rFonts w:ascii="GHEA Grapalat" w:hAnsi="GHEA Grapalat"/>
          <w:b/>
          <w:bCs/>
        </w:rPr>
        <w:t>Գծապատկեր</w:t>
      </w:r>
      <w:r w:rsidR="004717F3" w:rsidRPr="00C72AB5">
        <w:rPr>
          <w:rFonts w:ascii="GHEA Grapalat" w:hAnsi="GHEA Grapalat"/>
          <w:b/>
          <w:bCs/>
        </w:rPr>
        <w:t xml:space="preserve"> </w:t>
      </w:r>
      <w:r w:rsidR="008F575B" w:rsidRPr="00C72AB5">
        <w:rPr>
          <w:rFonts w:ascii="GHEA Grapalat" w:hAnsi="GHEA Grapalat"/>
          <w:b/>
          <w:bCs/>
        </w:rPr>
        <w:t>5</w:t>
      </w:r>
      <w:r w:rsidR="004717F3" w:rsidRPr="00C72AB5">
        <w:rPr>
          <w:rFonts w:ascii="GHEA Grapalat" w:hAnsi="GHEA Grapalat"/>
          <w:b/>
          <w:bCs/>
        </w:rPr>
        <w:t>.</w:t>
      </w:r>
      <w:r w:rsidR="004717F3" w:rsidRPr="00C72AB5">
        <w:rPr>
          <w:rFonts w:ascii="GHEA Grapalat" w:hAnsi="GHEA Grapalat"/>
        </w:rPr>
        <w:t xml:space="preserve"> </w:t>
      </w:r>
      <w:r w:rsidR="00141692">
        <w:rPr>
          <w:rFonts w:ascii="GHEA Grapalat" w:hAnsi="GHEA Grapalat"/>
        </w:rPr>
        <w:t>Գիտատեխնոլոգիական</w:t>
      </w:r>
      <w:r w:rsidR="004717F3" w:rsidRPr="00C72AB5">
        <w:rPr>
          <w:rFonts w:ascii="GHEA Grapalat" w:hAnsi="GHEA Grapalat"/>
        </w:rPr>
        <w:t xml:space="preserve"> գործունեության բազային ֆինանսավորման ծրագրերում ներգրավված գիտական աշխատողների սեռային և տարիքային կազմը` 202</w:t>
      </w:r>
      <w:r w:rsidR="00DE64E0" w:rsidRPr="00C72AB5">
        <w:rPr>
          <w:rFonts w:ascii="GHEA Grapalat" w:hAnsi="GHEA Grapalat"/>
        </w:rPr>
        <w:t>5</w:t>
      </w:r>
      <w:r w:rsidR="004717F3" w:rsidRPr="00C72AB5">
        <w:rPr>
          <w:rFonts w:ascii="GHEA Grapalat" w:hAnsi="GHEA Grapalat"/>
        </w:rPr>
        <w:t xml:space="preserve"> թվականի համար: </w:t>
      </w:r>
    </w:p>
    <w:p w14:paraId="162BF774" w14:textId="42C0E461" w:rsidR="005E61EF" w:rsidRPr="00C72AB5" w:rsidRDefault="005E61EF" w:rsidP="008A1CF0">
      <w:pPr>
        <w:tabs>
          <w:tab w:val="left" w:pos="709"/>
          <w:tab w:val="left" w:pos="851"/>
        </w:tabs>
        <w:spacing w:line="276" w:lineRule="auto"/>
        <w:ind w:left="567" w:hanging="567"/>
        <w:jc w:val="both"/>
        <w:rPr>
          <w:rFonts w:ascii="GHEA Grapalat" w:hAnsi="GHEA Grapalat"/>
        </w:rPr>
      </w:pPr>
    </w:p>
    <w:p w14:paraId="3F1D0125" w14:textId="72B45742" w:rsidR="0033088D" w:rsidRPr="00C72AB5" w:rsidRDefault="0064317C" w:rsidP="00E70D31">
      <w:pPr>
        <w:tabs>
          <w:tab w:val="left" w:pos="851"/>
        </w:tabs>
        <w:spacing w:line="276" w:lineRule="auto"/>
        <w:ind w:firstLine="567"/>
        <w:jc w:val="both"/>
        <w:rPr>
          <w:rFonts w:ascii="GHEA Grapalat" w:hAnsi="GHEA Grapalat"/>
          <w:sz w:val="24"/>
          <w:szCs w:val="24"/>
        </w:rPr>
      </w:pPr>
      <w:r w:rsidRPr="00C72AB5">
        <w:rPr>
          <w:rFonts w:ascii="GHEA Grapalat" w:hAnsi="GHEA Grapalat"/>
          <w:sz w:val="24"/>
          <w:szCs w:val="24"/>
        </w:rPr>
        <w:lastRenderedPageBreak/>
        <w:t>1</w:t>
      </w:r>
      <w:r w:rsidR="0068358C" w:rsidRPr="00C72AB5">
        <w:rPr>
          <w:rFonts w:ascii="GHEA Grapalat" w:hAnsi="GHEA Grapalat"/>
          <w:sz w:val="24"/>
          <w:szCs w:val="24"/>
        </w:rPr>
        <w:t>6</w:t>
      </w:r>
      <w:r w:rsidRPr="00C72AB5">
        <w:rPr>
          <w:rFonts w:ascii="GHEA Grapalat" w:hAnsi="GHEA Grapalat"/>
          <w:sz w:val="24"/>
          <w:szCs w:val="24"/>
        </w:rPr>
        <w:t xml:space="preserve">. </w:t>
      </w:r>
      <w:r w:rsidR="00565DE1" w:rsidRPr="00C72AB5">
        <w:rPr>
          <w:rFonts w:ascii="GHEA Grapalat" w:hAnsi="GHEA Grapalat"/>
          <w:sz w:val="24"/>
          <w:szCs w:val="24"/>
        </w:rPr>
        <w:t>Հայաստանի վերափոխման</w:t>
      </w:r>
      <w:r w:rsidR="00141692">
        <w:rPr>
          <w:rFonts w:ascii="GHEA Grapalat" w:hAnsi="GHEA Grapalat"/>
          <w:sz w:val="24"/>
          <w:szCs w:val="24"/>
        </w:rPr>
        <w:t>՝ մինչև 2050 թվականի</w:t>
      </w:r>
      <w:r w:rsidR="00565DE1" w:rsidRPr="00C72AB5">
        <w:rPr>
          <w:rFonts w:ascii="GHEA Grapalat" w:hAnsi="GHEA Grapalat"/>
          <w:sz w:val="24"/>
          <w:szCs w:val="24"/>
        </w:rPr>
        <w:t xml:space="preserve"> ռազմավարությա</w:t>
      </w:r>
      <w:r w:rsidR="00942776" w:rsidRPr="00C72AB5">
        <w:rPr>
          <w:rFonts w:ascii="GHEA Grapalat" w:hAnsi="GHEA Grapalat"/>
          <w:sz w:val="24"/>
          <w:szCs w:val="24"/>
        </w:rPr>
        <w:t>մբ</w:t>
      </w:r>
      <w:r w:rsidR="00565DE1" w:rsidRPr="00C72AB5">
        <w:rPr>
          <w:rFonts w:ascii="GHEA Grapalat" w:hAnsi="GHEA Grapalat"/>
          <w:sz w:val="24"/>
          <w:szCs w:val="24"/>
        </w:rPr>
        <w:t xml:space="preserve"> որպես թիրախային ցուցանիշներ սահմանվել են 2025 թվականի համար 5100 և 2030 թվականի համար 12000 հետազոտողներ</w:t>
      </w:r>
      <w:r w:rsidR="0033088D" w:rsidRPr="00C72AB5">
        <w:rPr>
          <w:rFonts w:ascii="GHEA Grapalat" w:hAnsi="GHEA Grapalat"/>
          <w:sz w:val="24"/>
          <w:szCs w:val="24"/>
        </w:rPr>
        <w:t xml:space="preserve"> </w:t>
      </w:r>
      <w:r w:rsidR="00565DE1" w:rsidRPr="00C72AB5">
        <w:rPr>
          <w:rFonts w:ascii="GHEA Grapalat" w:hAnsi="GHEA Grapalat"/>
          <w:sz w:val="24"/>
          <w:szCs w:val="24"/>
        </w:rPr>
        <w:t>(</w:t>
      </w:r>
      <w:r w:rsidR="00D54FC0" w:rsidRPr="00C72AB5">
        <w:rPr>
          <w:rFonts w:ascii="GHEA Grapalat" w:hAnsi="GHEA Grapalat"/>
          <w:sz w:val="24"/>
          <w:szCs w:val="24"/>
        </w:rPr>
        <w:t>տե՛ս, գ</w:t>
      </w:r>
      <w:r w:rsidR="005F7C93" w:rsidRPr="00C72AB5">
        <w:rPr>
          <w:rFonts w:ascii="GHEA Grapalat" w:hAnsi="GHEA Grapalat"/>
          <w:sz w:val="24"/>
          <w:szCs w:val="24"/>
        </w:rPr>
        <w:t>ծապատկեր</w:t>
      </w:r>
      <w:r w:rsidR="0033088D" w:rsidRPr="00C72AB5">
        <w:rPr>
          <w:rFonts w:ascii="GHEA Grapalat" w:hAnsi="GHEA Grapalat"/>
          <w:sz w:val="24"/>
          <w:szCs w:val="24"/>
        </w:rPr>
        <w:t xml:space="preserve"> </w:t>
      </w:r>
      <w:r w:rsidR="00D54FC0" w:rsidRPr="00C72AB5">
        <w:rPr>
          <w:rFonts w:ascii="GHEA Grapalat" w:hAnsi="GHEA Grapalat"/>
          <w:sz w:val="24"/>
          <w:szCs w:val="24"/>
        </w:rPr>
        <w:t>6</w:t>
      </w:r>
      <w:r w:rsidR="00565DE1" w:rsidRPr="00C72AB5">
        <w:rPr>
          <w:rFonts w:ascii="GHEA Grapalat" w:hAnsi="GHEA Grapalat"/>
          <w:sz w:val="24"/>
          <w:szCs w:val="24"/>
        </w:rPr>
        <w:t>)</w:t>
      </w:r>
      <w:r w:rsidR="00942776" w:rsidRPr="00C72AB5">
        <w:rPr>
          <w:rFonts w:ascii="GHEA Grapalat" w:hAnsi="GHEA Grapalat"/>
          <w:sz w:val="24"/>
          <w:szCs w:val="24"/>
        </w:rPr>
        <w:t xml:space="preserve">: </w:t>
      </w:r>
      <w:r w:rsidR="005F7C93" w:rsidRPr="00C72AB5">
        <w:rPr>
          <w:rFonts w:ascii="GHEA Grapalat" w:hAnsi="GHEA Grapalat"/>
          <w:sz w:val="24"/>
          <w:szCs w:val="24"/>
        </w:rPr>
        <w:t>Գծապատկեր</w:t>
      </w:r>
      <w:r w:rsidR="00376839" w:rsidRPr="00C72AB5">
        <w:rPr>
          <w:rFonts w:ascii="GHEA Grapalat" w:hAnsi="GHEA Grapalat"/>
          <w:sz w:val="24"/>
          <w:szCs w:val="24"/>
        </w:rPr>
        <w:t>ը</w:t>
      </w:r>
      <w:r w:rsidR="00942776" w:rsidRPr="00C72AB5">
        <w:rPr>
          <w:rFonts w:ascii="GHEA Grapalat" w:hAnsi="GHEA Grapalat"/>
          <w:sz w:val="24"/>
          <w:szCs w:val="24"/>
        </w:rPr>
        <w:t xml:space="preserve"> մեկնաբանելու համար անհրաժեշտ է հաշվի առնել, որ </w:t>
      </w:r>
      <w:r w:rsidR="003E36D9" w:rsidRPr="00C72AB5">
        <w:rPr>
          <w:rFonts w:ascii="GHEA Grapalat" w:hAnsi="GHEA Grapalat"/>
          <w:sz w:val="24"/>
          <w:szCs w:val="24"/>
        </w:rPr>
        <w:t xml:space="preserve">մինչև </w:t>
      </w:r>
      <w:r w:rsidR="00942776" w:rsidRPr="00C72AB5">
        <w:rPr>
          <w:rFonts w:ascii="GHEA Grapalat" w:hAnsi="GHEA Grapalat"/>
          <w:sz w:val="24"/>
          <w:szCs w:val="24"/>
        </w:rPr>
        <w:t>202</w:t>
      </w:r>
      <w:r w:rsidR="002A3B91" w:rsidRPr="00C72AB5">
        <w:rPr>
          <w:rFonts w:ascii="GHEA Grapalat" w:hAnsi="GHEA Grapalat"/>
          <w:sz w:val="24"/>
          <w:szCs w:val="24"/>
        </w:rPr>
        <w:t>4</w:t>
      </w:r>
      <w:r w:rsidR="00942776" w:rsidRPr="00C72AB5">
        <w:rPr>
          <w:rFonts w:ascii="GHEA Grapalat" w:hAnsi="GHEA Grapalat"/>
          <w:sz w:val="24"/>
          <w:szCs w:val="24"/>
        </w:rPr>
        <w:t xml:space="preserve"> թվականի համար բերված են բացառապես պետական ֆինանսավորում ստացող գիտաշխատողների թվաքանակները, իսկ թիրախային ցուցանիշներն իրենց մեջ ենթադրում են </w:t>
      </w:r>
      <w:r w:rsidR="00141692">
        <w:rPr>
          <w:rFonts w:ascii="GHEA Grapalat" w:hAnsi="GHEA Grapalat"/>
          <w:sz w:val="24"/>
          <w:szCs w:val="24"/>
        </w:rPr>
        <w:t>Հայաստանի Հանրապետության</w:t>
      </w:r>
      <w:r w:rsidR="00942776" w:rsidRPr="00C72AB5">
        <w:rPr>
          <w:rFonts w:ascii="GHEA Grapalat" w:hAnsi="GHEA Grapalat"/>
          <w:sz w:val="24"/>
          <w:szCs w:val="24"/>
        </w:rPr>
        <w:t xml:space="preserve"> որպես շահերի կենտրոն ունեցող հետազոտողների թվաքանակը, այսինքն ներառու</w:t>
      </w:r>
      <w:r w:rsidR="0015797A" w:rsidRPr="00C72AB5">
        <w:rPr>
          <w:rFonts w:ascii="GHEA Grapalat" w:hAnsi="GHEA Grapalat"/>
          <w:sz w:val="24"/>
          <w:szCs w:val="24"/>
        </w:rPr>
        <w:t>մ</w:t>
      </w:r>
      <w:r w:rsidR="00942776" w:rsidRPr="00C72AB5">
        <w:rPr>
          <w:rFonts w:ascii="GHEA Grapalat" w:hAnsi="GHEA Grapalat"/>
          <w:sz w:val="24"/>
          <w:szCs w:val="24"/>
        </w:rPr>
        <w:t xml:space="preserve"> է նաև ոչ պետական հատվածը, որի վերաբերյալ տեղեկատվության հավաքագրման </w:t>
      </w:r>
      <w:r w:rsidR="003E36D9" w:rsidRPr="00C72AB5">
        <w:rPr>
          <w:rFonts w:ascii="GHEA Grapalat" w:hAnsi="GHEA Grapalat"/>
          <w:sz w:val="24"/>
          <w:szCs w:val="24"/>
        </w:rPr>
        <w:t xml:space="preserve">գործուն </w:t>
      </w:r>
      <w:r w:rsidR="00942776" w:rsidRPr="00C72AB5">
        <w:rPr>
          <w:rFonts w:ascii="GHEA Grapalat" w:hAnsi="GHEA Grapalat"/>
          <w:sz w:val="24"/>
          <w:szCs w:val="24"/>
        </w:rPr>
        <w:t>մեխանիզմներ</w:t>
      </w:r>
      <w:r w:rsidR="00B13226" w:rsidRPr="00C72AB5">
        <w:rPr>
          <w:rFonts w:ascii="GHEA Grapalat" w:hAnsi="GHEA Grapalat"/>
          <w:sz w:val="24"/>
          <w:szCs w:val="24"/>
        </w:rPr>
        <w:t xml:space="preserve"> </w:t>
      </w:r>
      <w:r w:rsidR="00CB1655" w:rsidRPr="00C72AB5">
        <w:rPr>
          <w:rFonts w:ascii="GHEA Grapalat" w:hAnsi="GHEA Grapalat"/>
          <w:sz w:val="24"/>
          <w:szCs w:val="24"/>
        </w:rPr>
        <w:t>դեռևս չկան</w:t>
      </w:r>
      <w:r w:rsidR="00942776" w:rsidRPr="00C72AB5">
        <w:rPr>
          <w:rFonts w:ascii="GHEA Grapalat" w:hAnsi="GHEA Grapalat"/>
          <w:sz w:val="24"/>
          <w:szCs w:val="24"/>
        </w:rPr>
        <w:t>:</w:t>
      </w:r>
      <w:r w:rsidR="00565DE1" w:rsidRPr="00C72AB5">
        <w:rPr>
          <w:rFonts w:ascii="GHEA Grapalat" w:hAnsi="GHEA Grapalat"/>
          <w:sz w:val="24"/>
          <w:szCs w:val="24"/>
        </w:rPr>
        <w:t xml:space="preserve"> </w:t>
      </w:r>
      <w:r w:rsidR="002A3B91" w:rsidRPr="00C72AB5">
        <w:rPr>
          <w:rFonts w:ascii="GHEA Grapalat" w:hAnsi="GHEA Grapalat"/>
          <w:sz w:val="24"/>
          <w:szCs w:val="24"/>
        </w:rPr>
        <w:t>Այնուամենայնիվ</w:t>
      </w:r>
      <w:r w:rsidR="00141692">
        <w:rPr>
          <w:rFonts w:ascii="GHEA Grapalat" w:hAnsi="GHEA Grapalat"/>
          <w:sz w:val="24"/>
          <w:szCs w:val="24"/>
        </w:rPr>
        <w:t>,</w:t>
      </w:r>
      <w:r w:rsidR="002A3B91" w:rsidRPr="00C72AB5">
        <w:rPr>
          <w:rFonts w:ascii="GHEA Grapalat" w:hAnsi="GHEA Grapalat"/>
          <w:sz w:val="24"/>
          <w:szCs w:val="24"/>
        </w:rPr>
        <w:t xml:space="preserve"> մասնավոր հատվածում </w:t>
      </w:r>
      <w:r w:rsidR="00F36F23">
        <w:rPr>
          <w:rFonts w:ascii="GHEA Grapalat" w:hAnsi="GHEA Grapalat" w:cs="Arial"/>
          <w:sz w:val="24"/>
          <w:szCs w:val="24"/>
        </w:rPr>
        <w:t>ՀևՄ</w:t>
      </w:r>
      <w:r w:rsidR="00F36F23">
        <w:rPr>
          <w:rFonts w:ascii="GHEA Grapalat" w:hAnsi="GHEA Grapalat"/>
          <w:sz w:val="24"/>
          <w:szCs w:val="24"/>
        </w:rPr>
        <w:t>-</w:t>
      </w:r>
      <w:r w:rsidR="002A3B91" w:rsidRPr="00C72AB5">
        <w:rPr>
          <w:rFonts w:ascii="GHEA Grapalat" w:hAnsi="GHEA Grapalat"/>
          <w:sz w:val="24"/>
          <w:szCs w:val="24"/>
        </w:rPr>
        <w:t>ի ակտիվություն</w:t>
      </w:r>
      <w:r w:rsidR="00E70D31" w:rsidRPr="00C72AB5">
        <w:rPr>
          <w:rFonts w:ascii="GHEA Grapalat" w:hAnsi="GHEA Grapalat"/>
          <w:sz w:val="24"/>
          <w:szCs w:val="24"/>
        </w:rPr>
        <w:t>ը որակական գնահատականներով</w:t>
      </w:r>
      <w:r w:rsidR="002A3B91" w:rsidRPr="00C72AB5">
        <w:rPr>
          <w:rFonts w:ascii="GHEA Grapalat" w:hAnsi="GHEA Grapalat"/>
          <w:sz w:val="24"/>
          <w:szCs w:val="24"/>
        </w:rPr>
        <w:t xml:space="preserve"> </w:t>
      </w:r>
      <w:r w:rsidR="00E70D31" w:rsidRPr="00C72AB5">
        <w:rPr>
          <w:rFonts w:ascii="GHEA Grapalat" w:hAnsi="GHEA Grapalat"/>
          <w:sz w:val="24"/>
          <w:szCs w:val="24"/>
        </w:rPr>
        <w:t>բավարար չէ</w:t>
      </w:r>
      <w:r w:rsidR="002A3B91" w:rsidRPr="00C72AB5">
        <w:rPr>
          <w:rFonts w:ascii="GHEA Grapalat" w:hAnsi="GHEA Grapalat"/>
          <w:sz w:val="24"/>
          <w:szCs w:val="24"/>
        </w:rPr>
        <w:t xml:space="preserve"> 2030</w:t>
      </w:r>
      <w:r w:rsidR="00993992">
        <w:rPr>
          <w:rFonts w:ascii="GHEA Grapalat" w:hAnsi="GHEA Grapalat"/>
          <w:sz w:val="24"/>
          <w:szCs w:val="24"/>
        </w:rPr>
        <w:t xml:space="preserve"> </w:t>
      </w:r>
      <w:r w:rsidR="002A3B91" w:rsidRPr="00C72AB5">
        <w:rPr>
          <w:rFonts w:ascii="GHEA Grapalat" w:hAnsi="GHEA Grapalat"/>
          <w:sz w:val="24"/>
          <w:szCs w:val="24"/>
        </w:rPr>
        <w:t>թիրախին հասնել</w:t>
      </w:r>
      <w:r w:rsidR="00E70D31" w:rsidRPr="00C72AB5">
        <w:rPr>
          <w:rFonts w:ascii="GHEA Grapalat" w:hAnsi="GHEA Grapalat"/>
          <w:sz w:val="24"/>
          <w:szCs w:val="24"/>
        </w:rPr>
        <w:t>ու համար</w:t>
      </w:r>
      <w:r w:rsidR="002A3B91" w:rsidRPr="00C72AB5">
        <w:rPr>
          <w:rFonts w:ascii="GHEA Grapalat" w:hAnsi="GHEA Grapalat"/>
          <w:sz w:val="24"/>
          <w:szCs w:val="24"/>
        </w:rPr>
        <w:t>, ինչը նշանակում է, որ անհրաժեշտ է որոշակի գործուն քայլեր ձեռն</w:t>
      </w:r>
      <w:r w:rsidR="00141692">
        <w:rPr>
          <w:rFonts w:ascii="GHEA Grapalat" w:hAnsi="GHEA Grapalat"/>
          <w:sz w:val="24"/>
          <w:szCs w:val="24"/>
        </w:rPr>
        <w:t>արկել ինչպես հանրային հատվածում</w:t>
      </w:r>
      <w:r w:rsidR="002A3B91" w:rsidRPr="00C72AB5">
        <w:rPr>
          <w:rFonts w:ascii="GHEA Grapalat" w:hAnsi="GHEA Grapalat"/>
          <w:sz w:val="24"/>
          <w:szCs w:val="24"/>
        </w:rPr>
        <w:t xml:space="preserve"> կադրերի համալրման և պահպանման իմաստով, այնպես էլ</w:t>
      </w:r>
      <w:r w:rsidR="00141692">
        <w:rPr>
          <w:rFonts w:ascii="GHEA Grapalat" w:hAnsi="GHEA Grapalat"/>
          <w:sz w:val="24"/>
          <w:szCs w:val="24"/>
        </w:rPr>
        <w:t>՝</w:t>
      </w:r>
      <w:r w:rsidR="002A3B91" w:rsidRPr="00C72AB5">
        <w:rPr>
          <w:rFonts w:ascii="GHEA Grapalat" w:hAnsi="GHEA Grapalat"/>
          <w:sz w:val="24"/>
          <w:szCs w:val="24"/>
        </w:rPr>
        <w:t xml:space="preserve"> մասնավոր հատվածում:</w:t>
      </w:r>
    </w:p>
    <w:p w14:paraId="683798C9" w14:textId="121052B4" w:rsidR="00D805B7" w:rsidRPr="00C72AB5" w:rsidRDefault="00CF34B9" w:rsidP="00E70D31">
      <w:pPr>
        <w:tabs>
          <w:tab w:val="left" w:pos="709"/>
          <w:tab w:val="left" w:pos="851"/>
        </w:tabs>
        <w:spacing w:line="276" w:lineRule="auto"/>
        <w:jc w:val="center"/>
        <w:rPr>
          <w:rFonts w:ascii="GHEA Grapalat" w:hAnsi="GHEA Grapalat"/>
          <w:sz w:val="24"/>
          <w:szCs w:val="24"/>
        </w:rPr>
      </w:pPr>
      <w:r w:rsidRPr="00C72AB5">
        <w:rPr>
          <w:noProof/>
          <w:lang w:val="en-US" w:eastAsia="en-US"/>
        </w:rPr>
        <w:drawing>
          <wp:inline distT="0" distB="0" distL="0" distR="0" wp14:anchorId="174172C0" wp14:editId="0ECF6113">
            <wp:extent cx="5553075" cy="2200275"/>
            <wp:effectExtent l="0" t="0" r="0" b="0"/>
            <wp:docPr id="1553127549" name="Chart 1">
              <a:extLst xmlns:a="http://schemas.openxmlformats.org/drawingml/2006/main">
                <a:ext uri="{FF2B5EF4-FFF2-40B4-BE49-F238E27FC236}">
                  <a16:creationId xmlns:a16="http://schemas.microsoft.com/office/drawing/2014/main" id="{00000000-0008-0000-00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7ED4FBB" w14:textId="03CA46EA" w:rsidR="00D805B7" w:rsidRDefault="005F7C93" w:rsidP="00181F43">
      <w:pPr>
        <w:tabs>
          <w:tab w:val="left" w:pos="709"/>
          <w:tab w:val="left" w:pos="851"/>
        </w:tabs>
        <w:ind w:left="567" w:hanging="567"/>
        <w:jc w:val="both"/>
        <w:rPr>
          <w:rFonts w:ascii="GHEA Grapalat" w:hAnsi="GHEA Grapalat"/>
        </w:rPr>
      </w:pPr>
      <w:r w:rsidRPr="00C72AB5">
        <w:rPr>
          <w:rFonts w:ascii="GHEA Grapalat" w:hAnsi="GHEA Grapalat"/>
          <w:b/>
        </w:rPr>
        <w:t>Գծապատկեր</w:t>
      </w:r>
      <w:r w:rsidR="00D805B7" w:rsidRPr="00C72AB5">
        <w:rPr>
          <w:rFonts w:ascii="GHEA Grapalat" w:hAnsi="GHEA Grapalat"/>
          <w:b/>
        </w:rPr>
        <w:t xml:space="preserve"> </w:t>
      </w:r>
      <w:r w:rsidR="008F575B" w:rsidRPr="00C72AB5">
        <w:rPr>
          <w:rFonts w:ascii="GHEA Grapalat" w:hAnsi="GHEA Grapalat"/>
          <w:b/>
        </w:rPr>
        <w:t>6</w:t>
      </w:r>
      <w:r w:rsidR="00D805B7" w:rsidRPr="00C72AB5">
        <w:rPr>
          <w:rFonts w:ascii="GHEA Grapalat" w:hAnsi="GHEA Grapalat"/>
        </w:rPr>
        <w:t>. Գիտական և գիտատեխնիկական գործունեության պետական ֆինանսավորման ծրագրերում ներգրավված գիտական աշխատողների քանակի դինամիկան և թիրախները:</w:t>
      </w:r>
    </w:p>
    <w:p w14:paraId="621D6CBE" w14:textId="77777777" w:rsidR="00181F43" w:rsidRDefault="00181F43" w:rsidP="00181F43">
      <w:pPr>
        <w:tabs>
          <w:tab w:val="left" w:pos="709"/>
          <w:tab w:val="left" w:pos="851"/>
        </w:tabs>
        <w:ind w:left="567" w:hanging="567"/>
        <w:jc w:val="both"/>
        <w:rPr>
          <w:rFonts w:ascii="GHEA Grapalat" w:hAnsi="GHEA Grapalat"/>
        </w:rPr>
      </w:pPr>
    </w:p>
    <w:p w14:paraId="0DE4BDC4" w14:textId="5B902B14" w:rsidR="00942776" w:rsidRPr="00C72AB5" w:rsidRDefault="0068358C" w:rsidP="00802E12">
      <w:pPr>
        <w:tabs>
          <w:tab w:val="left" w:pos="851"/>
        </w:tabs>
        <w:spacing w:line="276" w:lineRule="auto"/>
        <w:ind w:firstLine="567"/>
        <w:jc w:val="both"/>
        <w:rPr>
          <w:rFonts w:ascii="GHEA Grapalat" w:hAnsi="GHEA Grapalat"/>
          <w:sz w:val="24"/>
          <w:szCs w:val="24"/>
        </w:rPr>
      </w:pPr>
      <w:r w:rsidRPr="00C72AB5">
        <w:rPr>
          <w:rFonts w:ascii="GHEA Grapalat" w:hAnsi="GHEA Grapalat"/>
          <w:sz w:val="24"/>
          <w:szCs w:val="24"/>
        </w:rPr>
        <w:t xml:space="preserve">17. </w:t>
      </w:r>
      <w:r w:rsidR="002A3B91" w:rsidRPr="00C72AB5">
        <w:rPr>
          <w:rFonts w:ascii="GHEA Grapalat" w:hAnsi="GHEA Grapalat"/>
          <w:sz w:val="24"/>
          <w:szCs w:val="24"/>
        </w:rPr>
        <w:t xml:space="preserve">Աշխատանքի լրիվ ծանրաբեռնվածության համարժեքով (FTE) գիտաշխատողների թիվը հանրային հատվածում կազմում է 3012, ինչը 1 </w:t>
      </w:r>
      <w:r w:rsidR="00993992" w:rsidRPr="000A480B">
        <w:rPr>
          <w:rFonts w:ascii="GHEA Grapalat" w:hAnsi="GHEA Grapalat"/>
          <w:color w:val="000000" w:themeColor="text1"/>
          <w:sz w:val="24"/>
          <w:szCs w:val="24"/>
        </w:rPr>
        <w:t>մ</w:t>
      </w:r>
      <w:r w:rsidR="002A3B91" w:rsidRPr="000A480B">
        <w:rPr>
          <w:rFonts w:ascii="GHEA Grapalat" w:hAnsi="GHEA Grapalat"/>
          <w:color w:val="000000" w:themeColor="text1"/>
          <w:sz w:val="24"/>
          <w:szCs w:val="24"/>
        </w:rPr>
        <w:t xml:space="preserve">լն </w:t>
      </w:r>
      <w:r w:rsidR="002A3B91" w:rsidRPr="00C72AB5">
        <w:rPr>
          <w:rFonts w:ascii="GHEA Grapalat" w:hAnsi="GHEA Grapalat"/>
          <w:sz w:val="24"/>
          <w:szCs w:val="24"/>
        </w:rPr>
        <w:t>բնակչի հաշվարկով կազմում է 1004 գիտաշխատող, ինչը ՄԱԿ-ի կայուն զարգացման նպատակների 9-րդ` Արդյունաբերություն, նորարարություն և ենթակառուցվածքներ նպատակի թիրախ 9.5-ի ցուցիչ 9.5.2 շարքում</w:t>
      </w:r>
      <w:r w:rsidR="002A3B91" w:rsidRPr="00C72AB5">
        <w:rPr>
          <w:rStyle w:val="FootnoteReference"/>
          <w:rFonts w:ascii="GHEA Grapalat" w:hAnsi="GHEA Grapalat"/>
          <w:sz w:val="24"/>
          <w:szCs w:val="24"/>
        </w:rPr>
        <w:footnoteReference w:id="19"/>
      </w:r>
      <w:r w:rsidR="002A3B91" w:rsidRPr="00C72AB5">
        <w:rPr>
          <w:rFonts w:ascii="GHEA Grapalat" w:hAnsi="GHEA Grapalat"/>
          <w:sz w:val="24"/>
          <w:szCs w:val="24"/>
        </w:rPr>
        <w:t xml:space="preserve"> </w:t>
      </w:r>
      <w:r w:rsidR="00B87854">
        <w:rPr>
          <w:rFonts w:ascii="GHEA Grapalat" w:hAnsi="GHEA Grapalat"/>
          <w:sz w:val="24"/>
          <w:szCs w:val="24"/>
        </w:rPr>
        <w:t>Հայաստանի Հանրապետությանը</w:t>
      </w:r>
      <w:r w:rsidR="002A3B91" w:rsidRPr="00C72AB5">
        <w:rPr>
          <w:rFonts w:ascii="GHEA Grapalat" w:hAnsi="GHEA Grapalat"/>
          <w:sz w:val="24"/>
          <w:szCs w:val="24"/>
        </w:rPr>
        <w:t xml:space="preserve"> դնում է 48 պետություններից 40-րդ դիրքում</w:t>
      </w:r>
      <w:r w:rsidR="00D805B7" w:rsidRPr="00C72AB5">
        <w:rPr>
          <w:rFonts w:ascii="GHEA Grapalat" w:hAnsi="GHEA Grapalat"/>
          <w:sz w:val="24"/>
          <w:szCs w:val="24"/>
        </w:rPr>
        <w:t xml:space="preserve"> (միջինը կազմում է 3563)</w:t>
      </w:r>
      <w:r w:rsidR="00D805B7" w:rsidRPr="00C72AB5">
        <w:rPr>
          <w:rStyle w:val="FootnoteReference"/>
          <w:rFonts w:ascii="GHEA Grapalat" w:hAnsi="GHEA Grapalat"/>
          <w:sz w:val="24"/>
          <w:szCs w:val="24"/>
        </w:rPr>
        <w:footnoteReference w:id="20"/>
      </w:r>
      <w:r w:rsidR="002A3B91" w:rsidRPr="00C72AB5">
        <w:rPr>
          <w:rFonts w:ascii="GHEA Grapalat" w:hAnsi="GHEA Grapalat"/>
          <w:sz w:val="24"/>
          <w:szCs w:val="24"/>
        </w:rPr>
        <w:t xml:space="preserve">: Ցուցիչը կիրառվում է նաև </w:t>
      </w:r>
      <w:r w:rsidR="00993992" w:rsidRPr="000A480B">
        <w:rPr>
          <w:rFonts w:ascii="GHEA Grapalat" w:hAnsi="GHEA Grapalat" w:cs="Sylfaen"/>
          <w:color w:val="000000" w:themeColor="text1"/>
          <w:sz w:val="24"/>
          <w:szCs w:val="24"/>
        </w:rPr>
        <w:t>գ</w:t>
      </w:r>
      <w:r w:rsidR="00DC1654" w:rsidRPr="000A480B">
        <w:rPr>
          <w:rFonts w:ascii="GHEA Grapalat" w:hAnsi="GHEA Grapalat" w:cs="Sylfaen"/>
          <w:color w:val="000000" w:themeColor="text1"/>
          <w:sz w:val="24"/>
          <w:szCs w:val="24"/>
        </w:rPr>
        <w:t>լ</w:t>
      </w:r>
      <w:r w:rsidR="00DC1654" w:rsidRPr="00C72AB5">
        <w:rPr>
          <w:rFonts w:ascii="GHEA Grapalat" w:hAnsi="GHEA Grapalat" w:cs="Sylfaen"/>
          <w:sz w:val="24"/>
          <w:szCs w:val="24"/>
        </w:rPr>
        <w:t>ոբալ նորարարության ցուցչ</w:t>
      </w:r>
      <w:r w:rsidR="00DC1654">
        <w:rPr>
          <w:rFonts w:ascii="GHEA Grapalat" w:hAnsi="GHEA Grapalat" w:cs="Sylfaen"/>
          <w:sz w:val="24"/>
          <w:szCs w:val="24"/>
        </w:rPr>
        <w:t>ում</w:t>
      </w:r>
      <w:r w:rsidR="002A3B91" w:rsidRPr="00C72AB5">
        <w:rPr>
          <w:rFonts w:ascii="GHEA Grapalat" w:hAnsi="GHEA Grapalat"/>
          <w:sz w:val="24"/>
          <w:szCs w:val="24"/>
        </w:rPr>
        <w:t>, որպես 2-րդ հենասյան (Մարդկային կապիտալ և հետազոտություններ) 2.3 հետազոտություններ և մշակումներ բաժնի բաղադրիչ</w:t>
      </w:r>
      <w:r w:rsidR="002A3B91" w:rsidRPr="00C72AB5">
        <w:rPr>
          <w:rStyle w:val="FootnoteReference"/>
          <w:rFonts w:ascii="GHEA Grapalat" w:hAnsi="GHEA Grapalat"/>
          <w:sz w:val="24"/>
          <w:szCs w:val="24"/>
        </w:rPr>
        <w:footnoteReference w:id="21"/>
      </w:r>
      <w:r w:rsidR="002A3B91" w:rsidRPr="00C72AB5">
        <w:rPr>
          <w:rFonts w:ascii="GHEA Grapalat" w:hAnsi="GHEA Grapalat"/>
          <w:sz w:val="24"/>
          <w:szCs w:val="24"/>
        </w:rPr>
        <w:t>:</w:t>
      </w:r>
    </w:p>
    <w:p w14:paraId="3A673835" w14:textId="2223236A" w:rsidR="00687C47" w:rsidRPr="00C72AB5" w:rsidRDefault="00687C47" w:rsidP="00687C47">
      <w:pPr>
        <w:tabs>
          <w:tab w:val="left" w:pos="851"/>
        </w:tabs>
        <w:spacing w:line="276" w:lineRule="auto"/>
        <w:ind w:firstLine="567"/>
        <w:jc w:val="both"/>
        <w:rPr>
          <w:rFonts w:ascii="GHEA Grapalat" w:hAnsi="GHEA Grapalat"/>
          <w:sz w:val="24"/>
          <w:szCs w:val="24"/>
        </w:rPr>
      </w:pPr>
      <w:r w:rsidRPr="00C72AB5">
        <w:rPr>
          <w:rFonts w:ascii="GHEA Grapalat" w:hAnsi="GHEA Grapalat"/>
          <w:sz w:val="24"/>
          <w:szCs w:val="24"/>
        </w:rPr>
        <w:t>1</w:t>
      </w:r>
      <w:r w:rsidR="0068358C" w:rsidRPr="00C72AB5">
        <w:rPr>
          <w:rFonts w:ascii="GHEA Grapalat" w:hAnsi="GHEA Grapalat"/>
          <w:sz w:val="24"/>
          <w:szCs w:val="24"/>
        </w:rPr>
        <w:t>8</w:t>
      </w:r>
      <w:r w:rsidRPr="00C72AB5">
        <w:rPr>
          <w:rFonts w:ascii="GHEA Grapalat" w:hAnsi="GHEA Grapalat"/>
          <w:sz w:val="24"/>
          <w:szCs w:val="24"/>
        </w:rPr>
        <w:t xml:space="preserve">. </w:t>
      </w:r>
      <w:r w:rsidR="00C873A2" w:rsidRPr="00C72AB5">
        <w:rPr>
          <w:rFonts w:ascii="GHEA Grapalat" w:hAnsi="GHEA Grapalat"/>
          <w:sz w:val="24"/>
          <w:szCs w:val="24"/>
        </w:rPr>
        <w:t>Բազային ֆինանսավորում ստացող գ</w:t>
      </w:r>
      <w:r w:rsidR="00B72EDB" w:rsidRPr="00C72AB5">
        <w:rPr>
          <w:rFonts w:ascii="GHEA Grapalat" w:hAnsi="GHEA Grapalat"/>
          <w:sz w:val="24"/>
          <w:szCs w:val="24"/>
        </w:rPr>
        <w:t xml:space="preserve">իտական կազմակերպություններում </w:t>
      </w:r>
      <w:r w:rsidR="00C873A2" w:rsidRPr="00C72AB5">
        <w:rPr>
          <w:rFonts w:ascii="GHEA Grapalat" w:hAnsi="GHEA Grapalat"/>
          <w:sz w:val="24"/>
          <w:szCs w:val="24"/>
        </w:rPr>
        <w:t>վարչասպասարկող անձնակազմը (ոչ գիտական) կազմում է ընդհանուր աշխատակիցների 3</w:t>
      </w:r>
      <w:r w:rsidRPr="00C72AB5">
        <w:rPr>
          <w:rFonts w:ascii="GHEA Grapalat" w:hAnsi="GHEA Grapalat"/>
          <w:sz w:val="24"/>
          <w:szCs w:val="24"/>
        </w:rPr>
        <w:t>2</w:t>
      </w:r>
      <w:r w:rsidR="00C873A2" w:rsidRPr="00C72AB5">
        <w:rPr>
          <w:rFonts w:ascii="GHEA Grapalat" w:hAnsi="GHEA Grapalat"/>
          <w:sz w:val="24"/>
          <w:szCs w:val="24"/>
        </w:rPr>
        <w:t>.</w:t>
      </w:r>
      <w:r w:rsidRPr="00C72AB5">
        <w:rPr>
          <w:rFonts w:ascii="GHEA Grapalat" w:hAnsi="GHEA Grapalat"/>
          <w:sz w:val="24"/>
          <w:szCs w:val="24"/>
        </w:rPr>
        <w:t>5</w:t>
      </w:r>
      <w:r w:rsidR="00C873A2" w:rsidRPr="00C72AB5">
        <w:rPr>
          <w:rFonts w:ascii="GHEA Grapalat" w:hAnsi="GHEA Grapalat"/>
          <w:sz w:val="24"/>
          <w:szCs w:val="24"/>
        </w:rPr>
        <w:t>% (</w:t>
      </w:r>
      <w:r w:rsidRPr="00C72AB5">
        <w:rPr>
          <w:rFonts w:ascii="GHEA Grapalat" w:hAnsi="GHEA Grapalat"/>
          <w:sz w:val="24"/>
          <w:szCs w:val="24"/>
        </w:rPr>
        <w:t>1814</w:t>
      </w:r>
      <w:r w:rsidR="00C873A2" w:rsidRPr="00C72AB5">
        <w:rPr>
          <w:rFonts w:ascii="GHEA Grapalat" w:hAnsi="GHEA Grapalat"/>
          <w:sz w:val="24"/>
          <w:szCs w:val="24"/>
        </w:rPr>
        <w:t xml:space="preserve"> անձ)</w:t>
      </w:r>
      <w:r w:rsidR="000A480B">
        <w:rPr>
          <w:rFonts w:ascii="GHEA Grapalat" w:hAnsi="GHEA Grapalat"/>
          <w:sz w:val="24"/>
          <w:szCs w:val="24"/>
        </w:rPr>
        <w:t>,</w:t>
      </w:r>
      <w:r w:rsidR="00A273B1" w:rsidRPr="00C72AB5">
        <w:rPr>
          <w:rFonts w:ascii="GHEA Grapalat" w:hAnsi="GHEA Grapalat"/>
          <w:sz w:val="24"/>
          <w:szCs w:val="24"/>
        </w:rPr>
        <w:t xml:space="preserve"> այսինքն յուրաքանչյուր </w:t>
      </w:r>
      <w:r w:rsidR="0087794A" w:rsidRPr="00C72AB5">
        <w:rPr>
          <w:rFonts w:ascii="GHEA Grapalat" w:hAnsi="GHEA Grapalat"/>
          <w:sz w:val="24"/>
          <w:szCs w:val="24"/>
        </w:rPr>
        <w:t>2</w:t>
      </w:r>
      <w:r w:rsidR="00A273B1" w:rsidRPr="00C72AB5">
        <w:rPr>
          <w:rFonts w:ascii="GHEA Grapalat" w:hAnsi="GHEA Grapalat"/>
          <w:sz w:val="24"/>
          <w:szCs w:val="24"/>
        </w:rPr>
        <w:t xml:space="preserve"> հետազոտողին բաժին է ընկնում </w:t>
      </w:r>
      <w:r w:rsidR="00370F1F" w:rsidRPr="00C72AB5">
        <w:rPr>
          <w:rFonts w:ascii="GHEA Grapalat" w:hAnsi="GHEA Grapalat"/>
          <w:sz w:val="24"/>
          <w:szCs w:val="24"/>
        </w:rPr>
        <w:t>1</w:t>
      </w:r>
      <w:r w:rsidR="00A273B1" w:rsidRPr="00C72AB5">
        <w:rPr>
          <w:rFonts w:ascii="GHEA Grapalat" w:hAnsi="GHEA Grapalat"/>
          <w:sz w:val="24"/>
          <w:szCs w:val="24"/>
        </w:rPr>
        <w:t xml:space="preserve"> վարչասպասարկող անձնակազմի աշխատակից, սա </w:t>
      </w:r>
      <w:r w:rsidR="00486B0A" w:rsidRPr="00C72AB5">
        <w:rPr>
          <w:rFonts w:ascii="GHEA Grapalat" w:hAnsi="GHEA Grapalat"/>
          <w:sz w:val="24"/>
          <w:szCs w:val="24"/>
        </w:rPr>
        <w:t xml:space="preserve">դեռևս </w:t>
      </w:r>
      <w:r w:rsidR="00A273B1" w:rsidRPr="00C72AB5">
        <w:rPr>
          <w:rFonts w:ascii="GHEA Grapalat" w:hAnsi="GHEA Grapalat"/>
          <w:sz w:val="24"/>
          <w:szCs w:val="24"/>
        </w:rPr>
        <w:t xml:space="preserve">այն պարագայում, որ բուհական համակարգում բազային ֆինանսավորման ծրագրերում </w:t>
      </w:r>
      <w:r w:rsidR="00A273B1" w:rsidRPr="00C72AB5">
        <w:rPr>
          <w:rFonts w:ascii="GHEA Grapalat" w:hAnsi="GHEA Grapalat"/>
          <w:sz w:val="24"/>
          <w:szCs w:val="24"/>
        </w:rPr>
        <w:lastRenderedPageBreak/>
        <w:t xml:space="preserve">վարչասպասարկող անձնակազմի ֆինանսավորում </w:t>
      </w:r>
      <w:r w:rsidRPr="00C72AB5">
        <w:rPr>
          <w:rFonts w:ascii="GHEA Grapalat" w:hAnsi="GHEA Grapalat"/>
          <w:sz w:val="24"/>
          <w:szCs w:val="24"/>
        </w:rPr>
        <w:t xml:space="preserve">որպես կանոն </w:t>
      </w:r>
      <w:r w:rsidR="00A273B1" w:rsidRPr="00C72AB5">
        <w:rPr>
          <w:rFonts w:ascii="GHEA Grapalat" w:hAnsi="GHEA Grapalat"/>
          <w:sz w:val="24"/>
          <w:szCs w:val="24"/>
        </w:rPr>
        <w:t>չի հատկացվում:</w:t>
      </w:r>
      <w:r w:rsidR="00FD0EDE" w:rsidRPr="00C72AB5">
        <w:rPr>
          <w:rFonts w:ascii="GHEA Grapalat" w:hAnsi="GHEA Grapalat"/>
          <w:sz w:val="24"/>
          <w:szCs w:val="24"/>
        </w:rPr>
        <w:t xml:space="preserve"> </w:t>
      </w:r>
      <w:r w:rsidR="009D4C59" w:rsidRPr="00C72AB5">
        <w:rPr>
          <w:rFonts w:ascii="GHEA Grapalat" w:hAnsi="GHEA Grapalat"/>
          <w:sz w:val="24"/>
          <w:szCs w:val="24"/>
        </w:rPr>
        <w:t>Միևնույն ժամանակ բազային ֆինանսավորման շրջանակներում տրամադրվող աշխատավարձային ֆոնդի ընդհանուր ծավալի մեջ վարչական կազմին հատկացվում է 26.4% -ը:</w:t>
      </w:r>
    </w:p>
    <w:p w14:paraId="1AA33EE7" w14:textId="77777777" w:rsidR="00D54FC0" w:rsidRPr="00C72AB5" w:rsidRDefault="00D54FC0" w:rsidP="00687C47">
      <w:pPr>
        <w:tabs>
          <w:tab w:val="left" w:pos="851"/>
        </w:tabs>
        <w:spacing w:line="276" w:lineRule="auto"/>
        <w:ind w:firstLine="567"/>
        <w:jc w:val="both"/>
        <w:rPr>
          <w:rFonts w:ascii="GHEA Grapalat" w:hAnsi="GHEA Grapalat"/>
          <w:sz w:val="24"/>
          <w:szCs w:val="24"/>
        </w:rPr>
      </w:pPr>
    </w:p>
    <w:p w14:paraId="06D6ECFC" w14:textId="77777777" w:rsidR="00802D34" w:rsidRPr="00C72AB5" w:rsidRDefault="00802D34" w:rsidP="00802D34">
      <w:pPr>
        <w:tabs>
          <w:tab w:val="left" w:pos="709"/>
          <w:tab w:val="left" w:pos="851"/>
        </w:tabs>
        <w:spacing w:line="276" w:lineRule="auto"/>
        <w:jc w:val="both"/>
        <w:rPr>
          <w:rFonts w:ascii="GHEA Grapalat" w:hAnsi="GHEA Grapalat"/>
          <w:sz w:val="24"/>
          <w:szCs w:val="24"/>
        </w:rPr>
      </w:pPr>
      <w:r w:rsidRPr="00C72AB5">
        <w:rPr>
          <w:noProof/>
          <w:lang w:val="en-US" w:eastAsia="en-US"/>
        </w:rPr>
        <w:drawing>
          <wp:anchor distT="0" distB="0" distL="114300" distR="114300" simplePos="0" relativeHeight="251718144" behindDoc="0" locked="0" layoutInCell="1" allowOverlap="1" wp14:anchorId="670184B2" wp14:editId="404C9BB2">
            <wp:simplePos x="0" y="0"/>
            <wp:positionH relativeFrom="column">
              <wp:posOffset>4881245</wp:posOffset>
            </wp:positionH>
            <wp:positionV relativeFrom="paragraph">
              <wp:posOffset>287655</wp:posOffset>
            </wp:positionV>
            <wp:extent cx="993912" cy="932622"/>
            <wp:effectExtent l="0" t="0" r="0" b="1270"/>
            <wp:wrapNone/>
            <wp:docPr id="1850707232" name="Chart 1">
              <a:extLst xmlns:a="http://schemas.openxmlformats.org/drawingml/2006/main">
                <a:ext uri="{FF2B5EF4-FFF2-40B4-BE49-F238E27FC236}">
                  <a16:creationId xmlns:a16="http://schemas.microsoft.com/office/drawing/2014/main" id="{7B5CF3EC-9BE4-1051-7054-336E1AD7D07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anchor>
        </w:drawing>
      </w:r>
      <w:r w:rsidRPr="00C72AB5">
        <w:rPr>
          <w:noProof/>
          <w:lang w:val="en-US" w:eastAsia="en-US"/>
        </w:rPr>
        <w:drawing>
          <wp:anchor distT="0" distB="0" distL="114300" distR="114300" simplePos="0" relativeHeight="251717120" behindDoc="0" locked="0" layoutInCell="1" allowOverlap="1" wp14:anchorId="55FDDF3E" wp14:editId="076A36BA">
            <wp:simplePos x="0" y="0"/>
            <wp:positionH relativeFrom="column">
              <wp:posOffset>556895</wp:posOffset>
            </wp:positionH>
            <wp:positionV relativeFrom="paragraph">
              <wp:posOffset>50165</wp:posOffset>
            </wp:positionV>
            <wp:extent cx="2632629" cy="766139"/>
            <wp:effectExtent l="38100" t="38100" r="92075" b="91440"/>
            <wp:wrapNone/>
            <wp:docPr id="774435700" name="Chart 2">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anchor>
        </w:drawing>
      </w:r>
      <w:r w:rsidRPr="00C72AB5">
        <w:rPr>
          <w:noProof/>
          <w:lang w:val="en-US" w:eastAsia="en-US"/>
        </w:rPr>
        <w:drawing>
          <wp:inline distT="0" distB="0" distL="0" distR="0" wp14:anchorId="10C231F3" wp14:editId="0D60D718">
            <wp:extent cx="6119495" cy="2960370"/>
            <wp:effectExtent l="0" t="0" r="0" b="0"/>
            <wp:docPr id="18095831" name="Chart 1">
              <a:extLst xmlns:a="http://schemas.openxmlformats.org/drawingml/2006/main">
                <a:ext uri="{FF2B5EF4-FFF2-40B4-BE49-F238E27FC236}">
                  <a16:creationId xmlns:a16="http://schemas.microsoft.com/office/drawing/2014/main" id="{00000000-0008-0000-02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7E4E2575" w14:textId="1B97D627" w:rsidR="00802D34" w:rsidRPr="00C72AB5" w:rsidRDefault="005F7C93" w:rsidP="00181F43">
      <w:pPr>
        <w:tabs>
          <w:tab w:val="left" w:pos="709"/>
          <w:tab w:val="left" w:pos="851"/>
        </w:tabs>
        <w:ind w:left="567" w:hanging="567"/>
        <w:jc w:val="both"/>
        <w:rPr>
          <w:rFonts w:ascii="GHEA Grapalat" w:hAnsi="GHEA Grapalat" w:cs="Arial"/>
        </w:rPr>
      </w:pPr>
      <w:r w:rsidRPr="00C72AB5">
        <w:rPr>
          <w:rFonts w:ascii="GHEA Grapalat" w:hAnsi="GHEA Grapalat" w:cs="Arial"/>
          <w:b/>
        </w:rPr>
        <w:t>Գծապատկեր</w:t>
      </w:r>
      <w:r w:rsidR="00802D34" w:rsidRPr="00C72AB5">
        <w:rPr>
          <w:rFonts w:ascii="GHEA Grapalat" w:hAnsi="GHEA Grapalat" w:cs="Arial"/>
          <w:b/>
        </w:rPr>
        <w:t xml:space="preserve"> </w:t>
      </w:r>
      <w:r w:rsidR="008F575B" w:rsidRPr="00C72AB5">
        <w:rPr>
          <w:rFonts w:ascii="GHEA Grapalat" w:hAnsi="GHEA Grapalat" w:cs="Arial"/>
          <w:b/>
        </w:rPr>
        <w:t>7</w:t>
      </w:r>
      <w:r w:rsidR="00802D34" w:rsidRPr="00C72AB5">
        <w:rPr>
          <w:rFonts w:ascii="GHEA Grapalat" w:hAnsi="GHEA Grapalat" w:cs="Arial"/>
        </w:rPr>
        <w:t>. Գ</w:t>
      </w:r>
      <w:r w:rsidR="00802D34" w:rsidRPr="00C72AB5">
        <w:rPr>
          <w:rFonts w:ascii="GHEA Grapalat" w:hAnsi="GHEA Grapalat"/>
        </w:rPr>
        <w:t>իտության ոլորտում գիտական ղեկավար պաշտոն զբաղացնող անձանց տարիքային և սեռային համակազմը 2024 թվականի դրությամբ</w:t>
      </w:r>
      <w:r w:rsidR="00802D34" w:rsidRPr="00C72AB5">
        <w:rPr>
          <w:rFonts w:ascii="GHEA Grapalat" w:hAnsi="GHEA Grapalat" w:cs="Arial"/>
        </w:rPr>
        <w:t>:</w:t>
      </w:r>
    </w:p>
    <w:p w14:paraId="16FFF643" w14:textId="77777777" w:rsidR="00802D34" w:rsidRPr="00C72AB5" w:rsidRDefault="00802D34" w:rsidP="00802D34">
      <w:pPr>
        <w:tabs>
          <w:tab w:val="left" w:pos="709"/>
          <w:tab w:val="left" w:pos="851"/>
        </w:tabs>
        <w:spacing w:line="276" w:lineRule="auto"/>
        <w:ind w:left="1276" w:hanging="1276"/>
        <w:jc w:val="both"/>
        <w:rPr>
          <w:rFonts w:ascii="GHEA Grapalat" w:hAnsi="GHEA Grapalat" w:cs="Arial"/>
          <w:sz w:val="24"/>
          <w:szCs w:val="24"/>
        </w:rPr>
      </w:pPr>
    </w:p>
    <w:p w14:paraId="74972C72" w14:textId="33F61BD6" w:rsidR="00802D34" w:rsidRPr="00C72AB5" w:rsidRDefault="0068358C" w:rsidP="00802D34">
      <w:pPr>
        <w:tabs>
          <w:tab w:val="left" w:pos="851"/>
        </w:tabs>
        <w:spacing w:line="276" w:lineRule="auto"/>
        <w:ind w:firstLine="567"/>
        <w:jc w:val="both"/>
        <w:rPr>
          <w:rFonts w:ascii="GHEA Grapalat" w:hAnsi="GHEA Grapalat"/>
          <w:sz w:val="24"/>
          <w:szCs w:val="24"/>
        </w:rPr>
      </w:pPr>
      <w:r w:rsidRPr="00C72AB5">
        <w:rPr>
          <w:rFonts w:ascii="GHEA Grapalat" w:hAnsi="GHEA Grapalat"/>
          <w:sz w:val="24"/>
          <w:szCs w:val="24"/>
        </w:rPr>
        <w:t>19</w:t>
      </w:r>
      <w:r w:rsidR="00802D34" w:rsidRPr="00C72AB5">
        <w:rPr>
          <w:rFonts w:ascii="GHEA Grapalat" w:hAnsi="GHEA Grapalat"/>
          <w:sz w:val="24"/>
          <w:szCs w:val="24"/>
        </w:rPr>
        <w:t xml:space="preserve">. Առանձնահատուկ կարևորություն է ստանում գիտության ոլորտում գիտական ղեկավարների (բաժնի պետ/վարիչ, լաբորատորիայի վարիչ, խմբի ղեկավար, կենտրոնի ղեկավար) տարիքային և սեռային համակազմի խնդիրը: 2024 թվականի դրությամբ գիտական ղեկավար են հանդիսանում 442 անձ, որոնցից միայն 30% են հանդիսանում կանայք (տե΄ս, </w:t>
      </w:r>
      <w:r w:rsidR="005F7C93" w:rsidRPr="00C72AB5">
        <w:rPr>
          <w:rFonts w:ascii="GHEA Grapalat" w:hAnsi="GHEA Grapalat"/>
          <w:sz w:val="24"/>
          <w:szCs w:val="24"/>
        </w:rPr>
        <w:t>Գծապատկեր</w:t>
      </w:r>
      <w:r w:rsidR="00802D34" w:rsidRPr="00C72AB5">
        <w:rPr>
          <w:rFonts w:ascii="GHEA Grapalat" w:hAnsi="GHEA Grapalat"/>
          <w:sz w:val="24"/>
          <w:szCs w:val="24"/>
        </w:rPr>
        <w:t xml:space="preserve"> </w:t>
      </w:r>
      <w:r w:rsidR="00D54FC0" w:rsidRPr="00C72AB5">
        <w:rPr>
          <w:rFonts w:ascii="GHEA Grapalat" w:hAnsi="GHEA Grapalat"/>
          <w:sz w:val="24"/>
          <w:szCs w:val="24"/>
        </w:rPr>
        <w:t>7</w:t>
      </w:r>
      <w:r w:rsidR="00802D34" w:rsidRPr="00C72AB5">
        <w:rPr>
          <w:rFonts w:ascii="GHEA Grapalat" w:hAnsi="GHEA Grapalat"/>
          <w:sz w:val="24"/>
          <w:szCs w:val="24"/>
        </w:rPr>
        <w:t>), ինչը վկայում է ոլորտի կառավարման համակարգում սեռային մեծ անհամամասնության մասին: Ղեկավար պաշտոն զբաղեցնող անձանցից 214-ը` (48.4 %) կենսաթոշակային տարիքից մեծ են, ինչը խոսում է սերնդափոխության լրջագույն խնդրի և ըստ էության ինստիտուցիոնալ մեխանիզմների բացակայության մասին: 2020 թվականի ուրվագծի հետ համեմատած ղեկավար պաշտոններում երիտասարդ և միջին տարիքի ղեկավարների թվաքանակն էապես ավելացել է, ինչը որոշակիորեն հետևանք է ոլորտում իրականացվող այնպիսի դրամաշնորհային ծրագրերի, որոնք պահանջում են նաև բազային կառուցվածքներում որոշակի փոփոխություններ:</w:t>
      </w:r>
    </w:p>
    <w:p w14:paraId="71460029" w14:textId="540A1773" w:rsidR="003B178C" w:rsidRPr="00C72AB5" w:rsidRDefault="0068358C" w:rsidP="00687C47">
      <w:pPr>
        <w:tabs>
          <w:tab w:val="left" w:pos="851"/>
        </w:tabs>
        <w:spacing w:line="276" w:lineRule="auto"/>
        <w:ind w:firstLine="567"/>
        <w:jc w:val="both"/>
        <w:rPr>
          <w:rFonts w:ascii="GHEA Grapalat" w:hAnsi="GHEA Grapalat"/>
          <w:sz w:val="24"/>
          <w:szCs w:val="24"/>
        </w:rPr>
      </w:pPr>
      <w:r w:rsidRPr="00C72AB5">
        <w:rPr>
          <w:rFonts w:ascii="GHEA Grapalat" w:hAnsi="GHEA Grapalat"/>
          <w:sz w:val="24"/>
          <w:szCs w:val="24"/>
        </w:rPr>
        <w:t>20</w:t>
      </w:r>
      <w:r w:rsidR="00687C47" w:rsidRPr="00C72AB5">
        <w:rPr>
          <w:rFonts w:ascii="GHEA Grapalat" w:hAnsi="GHEA Grapalat"/>
          <w:sz w:val="24"/>
          <w:szCs w:val="24"/>
        </w:rPr>
        <w:t xml:space="preserve">. </w:t>
      </w:r>
      <w:r w:rsidR="003B178C" w:rsidRPr="00C72AB5">
        <w:rPr>
          <w:rFonts w:ascii="GHEA Grapalat" w:hAnsi="GHEA Grapalat"/>
          <w:sz w:val="24"/>
          <w:szCs w:val="24"/>
        </w:rPr>
        <w:t>Գիտական ներուժի վերարտադրությունն</w:t>
      </w:r>
      <w:r w:rsidR="0068278F" w:rsidRPr="00C72AB5">
        <w:rPr>
          <w:rFonts w:ascii="GHEA Grapalat" w:hAnsi="GHEA Grapalat"/>
          <w:sz w:val="24"/>
          <w:szCs w:val="24"/>
        </w:rPr>
        <w:t xml:space="preserve"> ու համալրումն</w:t>
      </w:r>
      <w:r w:rsidR="003B178C" w:rsidRPr="00C72AB5">
        <w:rPr>
          <w:rFonts w:ascii="GHEA Grapalat" w:hAnsi="GHEA Grapalat"/>
          <w:sz w:val="24"/>
          <w:szCs w:val="24"/>
        </w:rPr>
        <w:t xml:space="preserve"> իրականացվում է հիմնականում ասպիրանտական ուսուցման </w:t>
      </w:r>
      <w:r w:rsidR="002D4E2E" w:rsidRPr="00C72AB5">
        <w:rPr>
          <w:rFonts w:ascii="GHEA Grapalat" w:hAnsi="GHEA Grapalat"/>
          <w:sz w:val="24"/>
          <w:szCs w:val="24"/>
        </w:rPr>
        <w:t xml:space="preserve">և հայցորդության </w:t>
      </w:r>
      <w:r w:rsidR="003B178C" w:rsidRPr="00C72AB5">
        <w:rPr>
          <w:rFonts w:ascii="GHEA Grapalat" w:hAnsi="GHEA Grapalat"/>
          <w:sz w:val="24"/>
          <w:szCs w:val="24"/>
        </w:rPr>
        <w:t>ձևով</w:t>
      </w:r>
      <w:r w:rsidR="002D4E2E" w:rsidRPr="00C72AB5">
        <w:rPr>
          <w:rFonts w:ascii="GHEA Grapalat" w:hAnsi="GHEA Grapalat"/>
          <w:sz w:val="24"/>
          <w:szCs w:val="24"/>
        </w:rPr>
        <w:t>:</w:t>
      </w:r>
      <w:r w:rsidR="003B178C" w:rsidRPr="00C72AB5">
        <w:rPr>
          <w:rFonts w:ascii="GHEA Grapalat" w:hAnsi="GHEA Grapalat"/>
          <w:sz w:val="24"/>
          <w:szCs w:val="24"/>
        </w:rPr>
        <w:t xml:space="preserve"> </w:t>
      </w:r>
      <w:r w:rsidR="00687C47" w:rsidRPr="00C72AB5">
        <w:rPr>
          <w:rFonts w:ascii="GHEA Grapalat" w:hAnsi="GHEA Grapalat"/>
          <w:sz w:val="24"/>
          <w:szCs w:val="24"/>
        </w:rPr>
        <w:t>Ա</w:t>
      </w:r>
      <w:r w:rsidR="002D4E2E" w:rsidRPr="00C72AB5">
        <w:rPr>
          <w:rFonts w:ascii="GHEA Grapalat" w:hAnsi="GHEA Grapalat"/>
          <w:sz w:val="24"/>
          <w:szCs w:val="24"/>
        </w:rPr>
        <w:t>տենախոսությ</w:t>
      </w:r>
      <w:r w:rsidR="00687C47" w:rsidRPr="00C72AB5">
        <w:rPr>
          <w:rFonts w:ascii="GHEA Grapalat" w:hAnsi="GHEA Grapalat"/>
          <w:sz w:val="24"/>
          <w:szCs w:val="24"/>
        </w:rPr>
        <w:t>ու</w:t>
      </w:r>
      <w:r w:rsidR="002D4E2E" w:rsidRPr="00C72AB5">
        <w:rPr>
          <w:rFonts w:ascii="GHEA Grapalat" w:hAnsi="GHEA Grapalat"/>
          <w:sz w:val="24"/>
          <w:szCs w:val="24"/>
        </w:rPr>
        <w:t>ն պաշտպանողների թվաքանակը 201</w:t>
      </w:r>
      <w:r w:rsidR="006C41EC" w:rsidRPr="00C72AB5">
        <w:rPr>
          <w:rFonts w:ascii="GHEA Grapalat" w:hAnsi="GHEA Grapalat"/>
          <w:sz w:val="24"/>
          <w:szCs w:val="24"/>
        </w:rPr>
        <w:t>2</w:t>
      </w:r>
      <w:r w:rsidR="002D4E2E" w:rsidRPr="00C72AB5">
        <w:rPr>
          <w:rFonts w:ascii="GHEA Grapalat" w:hAnsi="GHEA Grapalat"/>
          <w:sz w:val="24"/>
          <w:szCs w:val="24"/>
        </w:rPr>
        <w:t xml:space="preserve"> թվականից աստիճանաբար նվազել է ինչպես գիտությունների թեկնածուի գիտական աստիճան ստացողների </w:t>
      </w:r>
      <w:r w:rsidR="003B178C" w:rsidRPr="00C72AB5">
        <w:rPr>
          <w:rFonts w:ascii="GHEA Grapalat" w:hAnsi="GHEA Grapalat"/>
          <w:sz w:val="24"/>
          <w:szCs w:val="24"/>
        </w:rPr>
        <w:t xml:space="preserve">(տե΄ս, </w:t>
      </w:r>
      <w:r w:rsidR="005F7C93" w:rsidRPr="00C72AB5">
        <w:rPr>
          <w:rFonts w:ascii="GHEA Grapalat" w:hAnsi="GHEA Grapalat"/>
          <w:sz w:val="24"/>
          <w:szCs w:val="24"/>
        </w:rPr>
        <w:t>Գծապատկեր</w:t>
      </w:r>
      <w:r w:rsidR="003B178C" w:rsidRPr="00C72AB5">
        <w:rPr>
          <w:rFonts w:ascii="GHEA Grapalat" w:hAnsi="GHEA Grapalat"/>
          <w:sz w:val="24"/>
          <w:szCs w:val="24"/>
        </w:rPr>
        <w:t xml:space="preserve"> </w:t>
      </w:r>
      <w:r w:rsidR="00D54FC0" w:rsidRPr="00C72AB5">
        <w:rPr>
          <w:rFonts w:ascii="GHEA Grapalat" w:hAnsi="GHEA Grapalat"/>
          <w:sz w:val="24"/>
          <w:szCs w:val="24"/>
        </w:rPr>
        <w:t>8</w:t>
      </w:r>
      <w:r w:rsidR="003B178C" w:rsidRPr="00C72AB5">
        <w:rPr>
          <w:rFonts w:ascii="GHEA Grapalat" w:hAnsi="GHEA Grapalat"/>
          <w:sz w:val="24"/>
          <w:szCs w:val="24"/>
        </w:rPr>
        <w:t>)</w:t>
      </w:r>
      <w:r w:rsidR="002D4E2E" w:rsidRPr="00C72AB5">
        <w:rPr>
          <w:rFonts w:ascii="GHEA Grapalat" w:hAnsi="GHEA Grapalat"/>
          <w:sz w:val="24"/>
          <w:szCs w:val="24"/>
        </w:rPr>
        <w:t>, այնպես էլ</w:t>
      </w:r>
      <w:r w:rsidR="000A480B">
        <w:rPr>
          <w:rFonts w:ascii="GHEA Grapalat" w:hAnsi="GHEA Grapalat"/>
          <w:sz w:val="24"/>
          <w:szCs w:val="24"/>
        </w:rPr>
        <w:t>՝</w:t>
      </w:r>
      <w:r w:rsidR="002D4E2E" w:rsidRPr="00C72AB5">
        <w:rPr>
          <w:rFonts w:ascii="GHEA Grapalat" w:hAnsi="GHEA Grapalat"/>
          <w:sz w:val="24"/>
          <w:szCs w:val="24"/>
        </w:rPr>
        <w:t xml:space="preserve"> գիտությունների դոկտորի գի</w:t>
      </w:r>
      <w:r w:rsidR="00E81D90">
        <w:rPr>
          <w:rFonts w:ascii="GHEA Grapalat" w:hAnsi="GHEA Grapalat"/>
          <w:sz w:val="24"/>
          <w:szCs w:val="24"/>
        </w:rPr>
        <w:t>տական աստիճան ստացողների (տե΄ս,</w:t>
      </w:r>
      <w:r w:rsidR="00E81D90">
        <w:rPr>
          <w:rFonts w:ascii="Calibri" w:hAnsi="Calibri"/>
          <w:sz w:val="24"/>
          <w:szCs w:val="24"/>
        </w:rPr>
        <w:t> </w:t>
      </w:r>
      <w:r w:rsidR="005F7C93" w:rsidRPr="00C72AB5">
        <w:rPr>
          <w:rFonts w:ascii="GHEA Grapalat" w:hAnsi="GHEA Grapalat"/>
          <w:sz w:val="24"/>
          <w:szCs w:val="24"/>
        </w:rPr>
        <w:t>Գծապատկեր</w:t>
      </w:r>
      <w:r w:rsidR="002D4E2E" w:rsidRPr="00C72AB5">
        <w:rPr>
          <w:rFonts w:ascii="GHEA Grapalat" w:hAnsi="GHEA Grapalat"/>
          <w:sz w:val="24"/>
          <w:szCs w:val="24"/>
        </w:rPr>
        <w:t xml:space="preserve"> </w:t>
      </w:r>
      <w:r w:rsidR="00D54FC0" w:rsidRPr="00C72AB5">
        <w:rPr>
          <w:rFonts w:ascii="GHEA Grapalat" w:hAnsi="GHEA Grapalat"/>
          <w:sz w:val="24"/>
          <w:szCs w:val="24"/>
        </w:rPr>
        <w:t>9</w:t>
      </w:r>
      <w:r w:rsidR="002D4E2E" w:rsidRPr="00C72AB5">
        <w:rPr>
          <w:rFonts w:ascii="GHEA Grapalat" w:hAnsi="GHEA Grapalat"/>
          <w:sz w:val="24"/>
          <w:szCs w:val="24"/>
        </w:rPr>
        <w:t>) մասով</w:t>
      </w:r>
      <w:r w:rsidR="003B178C" w:rsidRPr="00C72AB5">
        <w:rPr>
          <w:rFonts w:ascii="GHEA Grapalat" w:hAnsi="GHEA Grapalat"/>
          <w:sz w:val="24"/>
          <w:szCs w:val="24"/>
        </w:rPr>
        <w:t>:</w:t>
      </w:r>
      <w:r w:rsidR="007A2F9B" w:rsidRPr="00C72AB5">
        <w:rPr>
          <w:rFonts w:ascii="GHEA Grapalat" w:hAnsi="GHEA Grapalat"/>
          <w:sz w:val="24"/>
          <w:szCs w:val="24"/>
        </w:rPr>
        <w:t xml:space="preserve"> Ընդ որում թեկնածուական ատենախոսություն պաշտպանողների մեջ հասարակական և հումանիտար գիտությունների ոլորտում </w:t>
      </w:r>
      <w:r w:rsidR="007A2F9B" w:rsidRPr="00C72AB5">
        <w:rPr>
          <w:rFonts w:ascii="GHEA Grapalat" w:hAnsi="GHEA Grapalat"/>
          <w:sz w:val="24"/>
          <w:szCs w:val="24"/>
        </w:rPr>
        <w:lastRenderedPageBreak/>
        <w:t>գիտական աստիճան ստացածների համամասնությունը միշտ ավել</w:t>
      </w:r>
      <w:r w:rsidR="00B1467F">
        <w:rPr>
          <w:rFonts w:ascii="GHEA Grapalat" w:hAnsi="GHEA Grapalat"/>
          <w:sz w:val="24"/>
          <w:szCs w:val="24"/>
        </w:rPr>
        <w:t>ի</w:t>
      </w:r>
      <w:r w:rsidR="007A2F9B" w:rsidRPr="00C72AB5">
        <w:rPr>
          <w:rFonts w:ascii="GHEA Grapalat" w:hAnsi="GHEA Grapalat"/>
          <w:sz w:val="24"/>
          <w:szCs w:val="24"/>
        </w:rPr>
        <w:t xml:space="preserve"> է բնագիտական և ճարտարագիտական գիտությունների ոլորտում գիտական աստիճան ստացածների նկատմամբ, ինչը չի կորելացվում միջազգային պարբերականներում տպագրությունների համամասնության հետ (</w:t>
      </w:r>
      <w:r w:rsidR="000A480B">
        <w:rPr>
          <w:rFonts w:ascii="GHEA Grapalat" w:hAnsi="GHEA Grapalat"/>
          <w:sz w:val="24"/>
          <w:szCs w:val="24"/>
        </w:rPr>
        <w:t>տ</w:t>
      </w:r>
      <w:r w:rsidR="007A2F9B" w:rsidRPr="00C72AB5">
        <w:rPr>
          <w:rFonts w:ascii="GHEA Grapalat" w:hAnsi="GHEA Grapalat"/>
          <w:sz w:val="24"/>
          <w:szCs w:val="24"/>
        </w:rPr>
        <w:t>ե՛ս</w:t>
      </w:r>
      <w:r w:rsidR="000A480B">
        <w:rPr>
          <w:rFonts w:ascii="GHEA Grapalat" w:hAnsi="GHEA Grapalat"/>
          <w:sz w:val="24"/>
          <w:szCs w:val="24"/>
        </w:rPr>
        <w:t>,</w:t>
      </w:r>
      <w:r w:rsidR="007A2F9B" w:rsidRPr="00C72AB5">
        <w:rPr>
          <w:rFonts w:ascii="GHEA Grapalat" w:hAnsi="GHEA Grapalat"/>
          <w:sz w:val="24"/>
          <w:szCs w:val="24"/>
        </w:rPr>
        <w:t xml:space="preserve"> </w:t>
      </w:r>
      <w:r w:rsidR="00FC614D" w:rsidRPr="00C72AB5">
        <w:rPr>
          <w:rFonts w:ascii="GHEA Grapalat" w:hAnsi="GHEA Grapalat"/>
          <w:sz w:val="24"/>
          <w:szCs w:val="24"/>
        </w:rPr>
        <w:t>36-րդ մասի 4-րդ կետ</w:t>
      </w:r>
      <w:r w:rsidR="007A2F9B" w:rsidRPr="00C72AB5">
        <w:rPr>
          <w:rFonts w:ascii="GHEA Grapalat" w:hAnsi="GHEA Grapalat"/>
          <w:sz w:val="24"/>
          <w:szCs w:val="24"/>
        </w:rPr>
        <w:t>):</w:t>
      </w:r>
    </w:p>
    <w:p w14:paraId="1BB475B7" w14:textId="463822F9" w:rsidR="005E61EF" w:rsidRPr="00C72AB5" w:rsidRDefault="00440F29" w:rsidP="0049437D">
      <w:pPr>
        <w:tabs>
          <w:tab w:val="left" w:pos="709"/>
          <w:tab w:val="left" w:pos="851"/>
        </w:tabs>
        <w:spacing w:line="276" w:lineRule="auto"/>
        <w:jc w:val="both"/>
        <w:rPr>
          <w:rFonts w:ascii="GHEA Grapalat" w:hAnsi="GHEA Grapalat"/>
          <w:sz w:val="24"/>
          <w:szCs w:val="24"/>
        </w:rPr>
      </w:pPr>
      <w:bookmarkStart w:id="5" w:name="_Hlk206054287"/>
      <w:r w:rsidRPr="00C72AB5">
        <w:rPr>
          <w:noProof/>
          <w:lang w:val="en-US" w:eastAsia="en-US"/>
        </w:rPr>
        <w:drawing>
          <wp:inline distT="0" distB="0" distL="0" distR="0" wp14:anchorId="72A2778E" wp14:editId="6C23A7B4">
            <wp:extent cx="6119495" cy="2115403"/>
            <wp:effectExtent l="0" t="0" r="0" b="0"/>
            <wp:docPr id="1419482998" name="Chart 1">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63376755" w14:textId="3F512C13" w:rsidR="002D4E2E" w:rsidRPr="00C72AB5" w:rsidRDefault="005F7C93" w:rsidP="00181F43">
      <w:pPr>
        <w:tabs>
          <w:tab w:val="left" w:pos="709"/>
          <w:tab w:val="left" w:pos="851"/>
        </w:tabs>
        <w:ind w:left="567" w:hanging="567"/>
        <w:jc w:val="both"/>
        <w:rPr>
          <w:rFonts w:ascii="GHEA Grapalat" w:hAnsi="GHEA Grapalat"/>
        </w:rPr>
      </w:pPr>
      <w:r w:rsidRPr="00C72AB5">
        <w:rPr>
          <w:rFonts w:ascii="GHEA Grapalat" w:hAnsi="GHEA Grapalat"/>
          <w:b/>
        </w:rPr>
        <w:t>Գծապատկեր</w:t>
      </w:r>
      <w:r w:rsidR="002D4E2E" w:rsidRPr="00C72AB5">
        <w:rPr>
          <w:rFonts w:ascii="GHEA Grapalat" w:hAnsi="GHEA Grapalat"/>
          <w:b/>
        </w:rPr>
        <w:t xml:space="preserve"> </w:t>
      </w:r>
      <w:r w:rsidR="008F575B" w:rsidRPr="00C72AB5">
        <w:rPr>
          <w:rFonts w:ascii="GHEA Grapalat" w:hAnsi="GHEA Grapalat"/>
          <w:b/>
        </w:rPr>
        <w:t>8</w:t>
      </w:r>
      <w:r w:rsidR="002D4E2E" w:rsidRPr="00C72AB5">
        <w:rPr>
          <w:rFonts w:ascii="GHEA Grapalat" w:hAnsi="GHEA Grapalat"/>
        </w:rPr>
        <w:t>. 2010-202</w:t>
      </w:r>
      <w:r w:rsidR="0003362C" w:rsidRPr="00C72AB5">
        <w:rPr>
          <w:rFonts w:ascii="GHEA Grapalat" w:hAnsi="GHEA Grapalat"/>
        </w:rPr>
        <w:t>4</w:t>
      </w:r>
      <w:r w:rsidR="002D4E2E" w:rsidRPr="00C72AB5">
        <w:rPr>
          <w:rFonts w:ascii="GHEA Grapalat" w:hAnsi="GHEA Grapalat"/>
        </w:rPr>
        <w:t xml:space="preserve"> թվականներին գիտությունների թեկնածուի գիտական աստիճան ստացածների քանակներն ըստ ուղղությունների</w:t>
      </w:r>
      <w:r w:rsidR="00DE0CFE" w:rsidRPr="00C72AB5">
        <w:rPr>
          <w:rFonts w:ascii="GHEA Grapalat" w:hAnsi="GHEA Grapalat"/>
        </w:rPr>
        <w:t>, փակագծերով բերված է հայցորդների մասնաբաժինը գիտական աստիճան ստացածների մեջ:</w:t>
      </w:r>
    </w:p>
    <w:p w14:paraId="537186F1" w14:textId="77777777" w:rsidR="0068358C" w:rsidRPr="00C72AB5" w:rsidRDefault="0068358C" w:rsidP="0049437D">
      <w:pPr>
        <w:tabs>
          <w:tab w:val="left" w:pos="709"/>
          <w:tab w:val="left" w:pos="851"/>
        </w:tabs>
        <w:spacing w:line="276" w:lineRule="auto"/>
        <w:ind w:left="567" w:hanging="567"/>
        <w:jc w:val="both"/>
        <w:rPr>
          <w:rFonts w:ascii="GHEA Grapalat" w:hAnsi="GHEA Grapalat"/>
        </w:rPr>
      </w:pPr>
    </w:p>
    <w:p w14:paraId="681D0C2D" w14:textId="2299C9F9" w:rsidR="002D4E2E" w:rsidRPr="00C72AB5" w:rsidRDefault="00472360" w:rsidP="0049437D">
      <w:pPr>
        <w:tabs>
          <w:tab w:val="left" w:pos="709"/>
          <w:tab w:val="left" w:pos="851"/>
        </w:tabs>
        <w:spacing w:line="276" w:lineRule="auto"/>
        <w:jc w:val="center"/>
        <w:rPr>
          <w:rFonts w:ascii="GHEA Grapalat" w:hAnsi="GHEA Grapalat"/>
          <w:sz w:val="24"/>
          <w:szCs w:val="24"/>
        </w:rPr>
      </w:pPr>
      <w:r w:rsidRPr="00C72AB5">
        <w:rPr>
          <w:noProof/>
          <w:lang w:val="en-US" w:eastAsia="en-US"/>
        </w:rPr>
        <w:drawing>
          <wp:inline distT="0" distB="0" distL="0" distR="0" wp14:anchorId="00E61766" wp14:editId="69552204">
            <wp:extent cx="6119495" cy="1924334"/>
            <wp:effectExtent l="0" t="0" r="0" b="0"/>
            <wp:docPr id="1864338601" name="Chart 1">
              <a:extLst xmlns:a="http://schemas.openxmlformats.org/drawingml/2006/main">
                <a:ext uri="{FF2B5EF4-FFF2-40B4-BE49-F238E27FC236}">
                  <a16:creationId xmlns:a16="http://schemas.microsoft.com/office/drawing/2014/main" id="{00000000-0008-0000-04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3D68FE4D" w14:textId="5B75FEF5" w:rsidR="002D4E2E" w:rsidRPr="00C72AB5" w:rsidRDefault="005F7C93" w:rsidP="00181F43">
      <w:pPr>
        <w:tabs>
          <w:tab w:val="left" w:pos="709"/>
          <w:tab w:val="left" w:pos="851"/>
        </w:tabs>
        <w:ind w:left="567" w:hanging="567"/>
        <w:jc w:val="both"/>
        <w:rPr>
          <w:rFonts w:ascii="GHEA Grapalat" w:hAnsi="GHEA Grapalat"/>
        </w:rPr>
      </w:pPr>
      <w:r w:rsidRPr="00C72AB5">
        <w:rPr>
          <w:rFonts w:ascii="GHEA Grapalat" w:hAnsi="GHEA Grapalat"/>
          <w:b/>
        </w:rPr>
        <w:t>Գծապատկեր</w:t>
      </w:r>
      <w:r w:rsidR="002D4E2E" w:rsidRPr="00C72AB5">
        <w:rPr>
          <w:rFonts w:ascii="GHEA Grapalat" w:hAnsi="GHEA Grapalat"/>
          <w:b/>
        </w:rPr>
        <w:t xml:space="preserve"> </w:t>
      </w:r>
      <w:r w:rsidR="008F575B" w:rsidRPr="00C72AB5">
        <w:rPr>
          <w:rFonts w:ascii="GHEA Grapalat" w:hAnsi="GHEA Grapalat"/>
          <w:b/>
        </w:rPr>
        <w:t>9</w:t>
      </w:r>
      <w:r w:rsidR="002D4E2E" w:rsidRPr="00C72AB5">
        <w:rPr>
          <w:rFonts w:ascii="GHEA Grapalat" w:hAnsi="GHEA Grapalat"/>
        </w:rPr>
        <w:t>. 2010-202</w:t>
      </w:r>
      <w:r w:rsidR="00DC3E0D" w:rsidRPr="00C72AB5">
        <w:rPr>
          <w:rFonts w:ascii="GHEA Grapalat" w:hAnsi="GHEA Grapalat"/>
        </w:rPr>
        <w:t>4</w:t>
      </w:r>
      <w:r w:rsidR="002D4E2E" w:rsidRPr="00C72AB5">
        <w:rPr>
          <w:rFonts w:ascii="GHEA Grapalat" w:hAnsi="GHEA Grapalat"/>
        </w:rPr>
        <w:t xml:space="preserve"> թվականներին գիտությունների դոկտորի գիտական աստիճան ստացածների քանակներն ըստ ուղղությունների</w:t>
      </w:r>
      <w:r w:rsidR="005359D9" w:rsidRPr="00C72AB5">
        <w:rPr>
          <w:rFonts w:ascii="GHEA Grapalat" w:hAnsi="GHEA Grapalat"/>
        </w:rPr>
        <w:t>:</w:t>
      </w:r>
    </w:p>
    <w:p w14:paraId="2F363A33" w14:textId="77777777" w:rsidR="00887E3F" w:rsidRPr="00C72AB5" w:rsidRDefault="00887E3F" w:rsidP="0049437D">
      <w:pPr>
        <w:tabs>
          <w:tab w:val="left" w:pos="709"/>
          <w:tab w:val="left" w:pos="851"/>
        </w:tabs>
        <w:spacing w:line="276" w:lineRule="auto"/>
        <w:ind w:left="567" w:hanging="567"/>
        <w:jc w:val="both"/>
        <w:rPr>
          <w:rFonts w:ascii="GHEA Grapalat" w:hAnsi="GHEA Grapalat"/>
        </w:rPr>
      </w:pPr>
    </w:p>
    <w:p w14:paraId="7C04DE21" w14:textId="4B741AA9" w:rsidR="0035502A" w:rsidRPr="00C72AB5" w:rsidRDefault="0068358C" w:rsidP="0068358C">
      <w:pPr>
        <w:tabs>
          <w:tab w:val="left" w:pos="851"/>
        </w:tabs>
        <w:spacing w:line="276" w:lineRule="auto"/>
        <w:ind w:firstLine="567"/>
        <w:jc w:val="both"/>
        <w:rPr>
          <w:rFonts w:ascii="GHEA Grapalat" w:hAnsi="GHEA Grapalat"/>
          <w:sz w:val="24"/>
          <w:szCs w:val="24"/>
        </w:rPr>
      </w:pPr>
      <w:bookmarkStart w:id="6" w:name="_Hlk206262484"/>
      <w:bookmarkEnd w:id="5"/>
      <w:r w:rsidRPr="00C72AB5">
        <w:rPr>
          <w:rFonts w:ascii="GHEA Grapalat" w:hAnsi="GHEA Grapalat"/>
          <w:sz w:val="24"/>
          <w:szCs w:val="24"/>
        </w:rPr>
        <w:t xml:space="preserve">21. </w:t>
      </w:r>
      <w:r w:rsidR="0035502A" w:rsidRPr="00C72AB5">
        <w:rPr>
          <w:rFonts w:ascii="GHEA Grapalat" w:hAnsi="GHEA Grapalat"/>
          <w:sz w:val="24"/>
          <w:szCs w:val="24"/>
        </w:rPr>
        <w:t>202</w:t>
      </w:r>
      <w:r w:rsidR="00F14033" w:rsidRPr="00C72AB5">
        <w:rPr>
          <w:rFonts w:ascii="GHEA Grapalat" w:hAnsi="GHEA Grapalat"/>
          <w:sz w:val="24"/>
          <w:szCs w:val="24"/>
        </w:rPr>
        <w:t>5</w:t>
      </w:r>
      <w:r w:rsidR="0035502A" w:rsidRPr="00C72AB5">
        <w:rPr>
          <w:rFonts w:ascii="GHEA Grapalat" w:hAnsi="GHEA Grapalat"/>
          <w:sz w:val="24"/>
          <w:szCs w:val="24"/>
        </w:rPr>
        <w:t xml:space="preserve"> թվականին կատարված վերլուծության համաձայն </w:t>
      </w:r>
      <w:r w:rsidR="00811C77" w:rsidRPr="00C72AB5">
        <w:rPr>
          <w:rFonts w:ascii="GHEA Grapalat" w:hAnsi="GHEA Grapalat"/>
          <w:sz w:val="24"/>
          <w:szCs w:val="24"/>
        </w:rPr>
        <w:t>(</w:t>
      </w:r>
      <w:r w:rsidR="00E81D90">
        <w:rPr>
          <w:rFonts w:ascii="GHEA Grapalat" w:hAnsi="GHEA Grapalat"/>
          <w:sz w:val="24"/>
          <w:szCs w:val="24"/>
        </w:rPr>
        <w:t>տե΄ս,</w:t>
      </w:r>
      <w:r w:rsidR="00E81D90">
        <w:rPr>
          <w:rFonts w:ascii="Calibri" w:hAnsi="Calibri"/>
          <w:sz w:val="24"/>
          <w:szCs w:val="24"/>
        </w:rPr>
        <w:t> </w:t>
      </w:r>
      <w:r w:rsidR="005F7C93" w:rsidRPr="00C72AB5">
        <w:rPr>
          <w:rFonts w:ascii="GHEA Grapalat" w:hAnsi="GHEA Grapalat"/>
          <w:sz w:val="24"/>
          <w:szCs w:val="24"/>
        </w:rPr>
        <w:t>Գծապատկեր</w:t>
      </w:r>
      <w:r w:rsidR="00811C77" w:rsidRPr="00C72AB5">
        <w:rPr>
          <w:rFonts w:ascii="GHEA Grapalat" w:hAnsi="GHEA Grapalat"/>
          <w:sz w:val="24"/>
          <w:szCs w:val="24"/>
        </w:rPr>
        <w:t xml:space="preserve"> </w:t>
      </w:r>
      <w:r w:rsidR="00CF0582" w:rsidRPr="00C72AB5">
        <w:rPr>
          <w:rFonts w:ascii="GHEA Grapalat" w:hAnsi="GHEA Grapalat"/>
          <w:sz w:val="24"/>
          <w:szCs w:val="24"/>
        </w:rPr>
        <w:t>1</w:t>
      </w:r>
      <w:r w:rsidR="00FC614D" w:rsidRPr="00C72AB5">
        <w:rPr>
          <w:rFonts w:ascii="GHEA Grapalat" w:hAnsi="GHEA Grapalat"/>
          <w:sz w:val="24"/>
          <w:szCs w:val="24"/>
        </w:rPr>
        <w:t>0</w:t>
      </w:r>
      <w:r w:rsidR="00811C77" w:rsidRPr="00C72AB5">
        <w:rPr>
          <w:rFonts w:ascii="GHEA Grapalat" w:hAnsi="GHEA Grapalat"/>
          <w:sz w:val="24"/>
          <w:szCs w:val="24"/>
        </w:rPr>
        <w:t xml:space="preserve">) </w:t>
      </w:r>
      <w:r w:rsidR="0035502A" w:rsidRPr="00C72AB5">
        <w:rPr>
          <w:rFonts w:ascii="GHEA Grapalat" w:hAnsi="GHEA Grapalat"/>
          <w:sz w:val="24"/>
          <w:szCs w:val="24"/>
        </w:rPr>
        <w:t>202</w:t>
      </w:r>
      <w:r w:rsidR="00F14033" w:rsidRPr="00C72AB5">
        <w:rPr>
          <w:rFonts w:ascii="GHEA Grapalat" w:hAnsi="GHEA Grapalat"/>
          <w:sz w:val="24"/>
          <w:szCs w:val="24"/>
        </w:rPr>
        <w:t>3</w:t>
      </w:r>
      <w:r w:rsidR="0035502A" w:rsidRPr="00C72AB5">
        <w:rPr>
          <w:rFonts w:ascii="GHEA Grapalat" w:hAnsi="GHEA Grapalat"/>
          <w:sz w:val="24"/>
          <w:szCs w:val="24"/>
        </w:rPr>
        <w:t xml:space="preserve"> և 202</w:t>
      </w:r>
      <w:r w:rsidR="00F14033" w:rsidRPr="00C72AB5">
        <w:rPr>
          <w:rFonts w:ascii="GHEA Grapalat" w:hAnsi="GHEA Grapalat"/>
          <w:sz w:val="24"/>
          <w:szCs w:val="24"/>
        </w:rPr>
        <w:t>4</w:t>
      </w:r>
      <w:r w:rsidR="0035502A" w:rsidRPr="00C72AB5">
        <w:rPr>
          <w:rFonts w:ascii="GHEA Grapalat" w:hAnsi="GHEA Grapalat"/>
          <w:sz w:val="24"/>
          <w:szCs w:val="24"/>
        </w:rPr>
        <w:t xml:space="preserve"> թվականներին</w:t>
      </w:r>
      <w:r w:rsidR="000A480B">
        <w:rPr>
          <w:rFonts w:ascii="GHEA Grapalat" w:hAnsi="GHEA Grapalat"/>
          <w:sz w:val="24"/>
          <w:szCs w:val="24"/>
        </w:rPr>
        <w:t xml:space="preserve"> գիտությունների</w:t>
      </w:r>
      <w:r w:rsidR="0035502A" w:rsidRPr="00C72AB5">
        <w:rPr>
          <w:rFonts w:ascii="GHEA Grapalat" w:hAnsi="GHEA Grapalat"/>
          <w:sz w:val="24"/>
          <w:szCs w:val="24"/>
        </w:rPr>
        <w:t xml:space="preserve"> թեկնածուի գիտական աստիճանը հավաստող վկայական ստացած 3</w:t>
      </w:r>
      <w:r w:rsidR="00F14033" w:rsidRPr="00C72AB5">
        <w:rPr>
          <w:rFonts w:ascii="GHEA Grapalat" w:hAnsi="GHEA Grapalat"/>
          <w:sz w:val="24"/>
          <w:szCs w:val="24"/>
        </w:rPr>
        <w:t>50</w:t>
      </w:r>
      <w:r w:rsidR="0035502A" w:rsidRPr="00C72AB5">
        <w:rPr>
          <w:rFonts w:ascii="GHEA Grapalat" w:hAnsi="GHEA Grapalat"/>
          <w:sz w:val="24"/>
          <w:szCs w:val="24"/>
        </w:rPr>
        <w:t xml:space="preserve"> անձանցից միայն </w:t>
      </w:r>
      <w:r w:rsidR="00F14033" w:rsidRPr="00C72AB5">
        <w:rPr>
          <w:rFonts w:ascii="GHEA Grapalat" w:hAnsi="GHEA Grapalat"/>
          <w:sz w:val="24"/>
          <w:szCs w:val="24"/>
        </w:rPr>
        <w:t>107</w:t>
      </w:r>
      <w:r w:rsidR="0035502A" w:rsidRPr="00C72AB5">
        <w:rPr>
          <w:rFonts w:ascii="GHEA Grapalat" w:hAnsi="GHEA Grapalat"/>
          <w:sz w:val="24"/>
          <w:szCs w:val="24"/>
        </w:rPr>
        <w:t>-ն է (30</w:t>
      </w:r>
      <w:r w:rsidR="00F14033" w:rsidRPr="00C72AB5">
        <w:rPr>
          <w:rFonts w:ascii="GHEA Grapalat" w:hAnsi="GHEA Grapalat"/>
          <w:sz w:val="24"/>
          <w:szCs w:val="24"/>
        </w:rPr>
        <w:t>.6</w:t>
      </w:r>
      <w:r w:rsidR="0035502A" w:rsidRPr="00C72AB5">
        <w:rPr>
          <w:rFonts w:ascii="GHEA Grapalat" w:hAnsi="GHEA Grapalat"/>
          <w:sz w:val="24"/>
          <w:szCs w:val="24"/>
        </w:rPr>
        <w:t>%) ներգրավված պետական ֆինանսավորման ծրագրերում, ընդ որում առավել ցածր ցուցանիշ</w:t>
      </w:r>
      <w:r w:rsidR="00CF0582" w:rsidRPr="00C72AB5">
        <w:rPr>
          <w:rFonts w:ascii="GHEA Grapalat" w:hAnsi="GHEA Grapalat"/>
          <w:sz w:val="24"/>
          <w:szCs w:val="24"/>
        </w:rPr>
        <w:t>ն ունի</w:t>
      </w:r>
      <w:r w:rsidR="0035502A" w:rsidRPr="00C72AB5">
        <w:rPr>
          <w:rFonts w:ascii="GHEA Grapalat" w:hAnsi="GHEA Grapalat"/>
          <w:sz w:val="24"/>
          <w:szCs w:val="24"/>
        </w:rPr>
        <w:t xml:space="preserve"> հասարակական գիտությունների ոլորտը` 1</w:t>
      </w:r>
      <w:r w:rsidR="00F14033" w:rsidRPr="00C72AB5">
        <w:rPr>
          <w:rFonts w:ascii="GHEA Grapalat" w:hAnsi="GHEA Grapalat"/>
          <w:sz w:val="24"/>
          <w:szCs w:val="24"/>
        </w:rPr>
        <w:t>37</w:t>
      </w:r>
      <w:r w:rsidR="0035502A" w:rsidRPr="00C72AB5">
        <w:rPr>
          <w:rFonts w:ascii="GHEA Grapalat" w:hAnsi="GHEA Grapalat"/>
          <w:sz w:val="24"/>
          <w:szCs w:val="24"/>
        </w:rPr>
        <w:t xml:space="preserve"> վկայական ստացած</w:t>
      </w:r>
      <w:r w:rsidR="00F14033" w:rsidRPr="00C72AB5">
        <w:rPr>
          <w:rFonts w:ascii="GHEA Grapalat" w:hAnsi="GHEA Grapalat"/>
          <w:sz w:val="24"/>
          <w:szCs w:val="24"/>
        </w:rPr>
        <w:t xml:space="preserve"> անձանցից</w:t>
      </w:r>
      <w:r w:rsidR="0035502A" w:rsidRPr="00C72AB5">
        <w:rPr>
          <w:rFonts w:ascii="GHEA Grapalat" w:hAnsi="GHEA Grapalat"/>
          <w:sz w:val="24"/>
          <w:szCs w:val="24"/>
        </w:rPr>
        <w:t xml:space="preserve"> գիտական պետական ֆինանսավորման ծրագրերում ներգրավված են միայն </w:t>
      </w:r>
      <w:r w:rsidR="00F14033" w:rsidRPr="00C72AB5">
        <w:rPr>
          <w:rFonts w:ascii="GHEA Grapalat" w:hAnsi="GHEA Grapalat"/>
          <w:sz w:val="24"/>
          <w:szCs w:val="24"/>
        </w:rPr>
        <w:t>9</w:t>
      </w:r>
      <w:r w:rsidR="0035502A" w:rsidRPr="00C72AB5">
        <w:rPr>
          <w:rFonts w:ascii="GHEA Grapalat" w:hAnsi="GHEA Grapalat"/>
          <w:sz w:val="24"/>
          <w:szCs w:val="24"/>
        </w:rPr>
        <w:t>-ը (</w:t>
      </w:r>
      <w:r w:rsidR="00F14033" w:rsidRPr="00C72AB5">
        <w:rPr>
          <w:rFonts w:ascii="GHEA Grapalat" w:hAnsi="GHEA Grapalat"/>
          <w:sz w:val="24"/>
          <w:szCs w:val="24"/>
        </w:rPr>
        <w:t>6.6</w:t>
      </w:r>
      <w:r w:rsidR="0035502A" w:rsidRPr="00C72AB5">
        <w:rPr>
          <w:rFonts w:ascii="GHEA Grapalat" w:hAnsi="GHEA Grapalat"/>
          <w:sz w:val="24"/>
          <w:szCs w:val="24"/>
        </w:rPr>
        <w:t>%):</w:t>
      </w:r>
    </w:p>
    <w:p w14:paraId="5077CF6C" w14:textId="6CF2ED21" w:rsidR="0035502A" w:rsidRPr="00C72AB5" w:rsidRDefault="00BD1649" w:rsidP="0049437D">
      <w:pPr>
        <w:tabs>
          <w:tab w:val="left" w:pos="709"/>
          <w:tab w:val="left" w:pos="851"/>
        </w:tabs>
        <w:spacing w:line="276" w:lineRule="auto"/>
        <w:ind w:firstLine="567"/>
        <w:jc w:val="center"/>
        <w:rPr>
          <w:rFonts w:ascii="GHEA Grapalat" w:hAnsi="GHEA Grapalat"/>
          <w:sz w:val="24"/>
          <w:szCs w:val="24"/>
          <w:highlight w:val="yellow"/>
        </w:rPr>
      </w:pPr>
      <w:r w:rsidRPr="00C72AB5">
        <w:rPr>
          <w:noProof/>
          <w:lang w:val="en-US" w:eastAsia="en-US"/>
        </w:rPr>
        <w:lastRenderedPageBreak/>
        <w:drawing>
          <wp:inline distT="0" distB="0" distL="0" distR="0" wp14:anchorId="3E7FF683" wp14:editId="125AC455">
            <wp:extent cx="5010150" cy="1971675"/>
            <wp:effectExtent l="0" t="0" r="0" b="0"/>
            <wp:docPr id="1376072862" name="Chart 1">
              <a:extLst xmlns:a="http://schemas.openxmlformats.org/drawingml/2006/main">
                <a:ext uri="{FF2B5EF4-FFF2-40B4-BE49-F238E27FC236}">
                  <a16:creationId xmlns:a16="http://schemas.microsoft.com/office/drawing/2014/main" id="{D95573BC-18D1-A5B8-4026-8C045D88F77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47D80F92" w14:textId="0D743543" w:rsidR="0035502A" w:rsidRPr="00C72AB5" w:rsidRDefault="005F7C93" w:rsidP="00181F43">
      <w:pPr>
        <w:pStyle w:val="Graphicsannotation"/>
        <w:ind w:left="567" w:hanging="567"/>
      </w:pPr>
      <w:r w:rsidRPr="00C72AB5">
        <w:rPr>
          <w:b/>
        </w:rPr>
        <w:t>Գծապատկեր</w:t>
      </w:r>
      <w:r w:rsidR="0035502A" w:rsidRPr="00C72AB5">
        <w:rPr>
          <w:b/>
        </w:rPr>
        <w:t xml:space="preserve"> </w:t>
      </w:r>
      <w:r w:rsidR="008F575B" w:rsidRPr="00C72AB5">
        <w:rPr>
          <w:b/>
        </w:rPr>
        <w:t>10</w:t>
      </w:r>
      <w:r w:rsidR="0035502A" w:rsidRPr="00C72AB5">
        <w:t>. 20</w:t>
      </w:r>
      <w:r w:rsidR="003370E8" w:rsidRPr="00C72AB5">
        <w:t>2</w:t>
      </w:r>
      <w:r w:rsidR="00BD1649" w:rsidRPr="00C72AB5">
        <w:t>3</w:t>
      </w:r>
      <w:r w:rsidR="003370E8" w:rsidRPr="00C72AB5">
        <w:t xml:space="preserve"> և 2</w:t>
      </w:r>
      <w:r w:rsidR="0035502A" w:rsidRPr="00C72AB5">
        <w:t>02</w:t>
      </w:r>
      <w:r w:rsidR="00BD1649" w:rsidRPr="00C72AB5">
        <w:t>4</w:t>
      </w:r>
      <w:r w:rsidR="0035502A" w:rsidRPr="00C72AB5">
        <w:t xml:space="preserve"> թվականներին գիտությունների </w:t>
      </w:r>
      <w:r w:rsidR="000A480B">
        <w:t>թեկնածուի հավաստագրով վկայական</w:t>
      </w:r>
      <w:r w:rsidR="003370E8" w:rsidRPr="00C72AB5">
        <w:t xml:space="preserve"> ստացած</w:t>
      </w:r>
      <w:r w:rsidR="00812FDD" w:rsidRPr="00C72AB5">
        <w:t xml:space="preserve"> անձանց</w:t>
      </w:r>
      <w:r w:rsidR="003370E8" w:rsidRPr="00C72AB5">
        <w:t xml:space="preserve"> </w:t>
      </w:r>
      <w:r w:rsidR="00561A43" w:rsidRPr="00C72AB5">
        <w:t>քանակ</w:t>
      </w:r>
      <w:r w:rsidR="00812FDD" w:rsidRPr="00C72AB5">
        <w:t>ն ըստ բնագավառների խմբերի</w:t>
      </w:r>
      <w:r w:rsidR="00561A43" w:rsidRPr="00C72AB5">
        <w:t xml:space="preserve"> և </w:t>
      </w:r>
      <w:r w:rsidR="00812FDD" w:rsidRPr="00C72AB5">
        <w:t xml:space="preserve">նրանց մեջ </w:t>
      </w:r>
      <w:r w:rsidR="00561A43" w:rsidRPr="00C72AB5">
        <w:t>պետական ֆինանսավորմամբ ծրագրերում ներգրավված</w:t>
      </w:r>
      <w:r w:rsidR="00812FDD" w:rsidRPr="00C72AB5">
        <w:t xml:space="preserve"> անձանց քանակների </w:t>
      </w:r>
      <w:r w:rsidR="00561A43" w:rsidRPr="00C72AB5">
        <w:t>համեմատությունը 202</w:t>
      </w:r>
      <w:r w:rsidR="00BD1649" w:rsidRPr="00C72AB5">
        <w:t>5</w:t>
      </w:r>
      <w:r w:rsidR="00561A43" w:rsidRPr="00C72AB5">
        <w:t xml:space="preserve"> թվականի դրությամբ:</w:t>
      </w:r>
    </w:p>
    <w:bookmarkEnd w:id="6"/>
    <w:p w14:paraId="6FAA075D" w14:textId="77777777" w:rsidR="00561A43" w:rsidRPr="00D22F55" w:rsidRDefault="00561A43" w:rsidP="0049437D">
      <w:pPr>
        <w:tabs>
          <w:tab w:val="left" w:pos="709"/>
          <w:tab w:val="left" w:pos="851"/>
        </w:tabs>
        <w:spacing w:line="276" w:lineRule="auto"/>
        <w:ind w:firstLine="567"/>
        <w:jc w:val="both"/>
        <w:rPr>
          <w:rFonts w:ascii="GHEA Grapalat" w:hAnsi="GHEA Grapalat"/>
          <w:sz w:val="14"/>
          <w:szCs w:val="14"/>
        </w:rPr>
      </w:pPr>
    </w:p>
    <w:p w14:paraId="48CDCBE9" w14:textId="6F1C11BE" w:rsidR="00833472" w:rsidRPr="00C72AB5" w:rsidRDefault="0068358C" w:rsidP="00887E3F">
      <w:pPr>
        <w:tabs>
          <w:tab w:val="left" w:pos="851"/>
        </w:tabs>
        <w:spacing w:line="276" w:lineRule="auto"/>
        <w:ind w:firstLine="567"/>
        <w:jc w:val="both"/>
        <w:rPr>
          <w:rFonts w:ascii="GHEA Grapalat" w:hAnsi="GHEA Grapalat"/>
          <w:sz w:val="24"/>
          <w:szCs w:val="24"/>
          <w:highlight w:val="yellow"/>
        </w:rPr>
      </w:pPr>
      <w:r w:rsidRPr="00C72AB5">
        <w:rPr>
          <w:rFonts w:ascii="GHEA Grapalat" w:hAnsi="GHEA Grapalat"/>
          <w:sz w:val="24"/>
          <w:szCs w:val="24"/>
        </w:rPr>
        <w:t>22</w:t>
      </w:r>
      <w:r w:rsidR="003748EB" w:rsidRPr="00C72AB5">
        <w:rPr>
          <w:rFonts w:ascii="GHEA Grapalat" w:hAnsi="GHEA Grapalat"/>
          <w:sz w:val="24"/>
          <w:szCs w:val="24"/>
        </w:rPr>
        <w:t xml:space="preserve">. </w:t>
      </w:r>
      <w:r w:rsidR="00A54C6F" w:rsidRPr="00C72AB5">
        <w:rPr>
          <w:rFonts w:ascii="GHEA Grapalat" w:hAnsi="GHEA Grapalat"/>
          <w:sz w:val="24"/>
          <w:szCs w:val="24"/>
        </w:rPr>
        <w:t>2017</w:t>
      </w:r>
      <w:r w:rsidR="00205F53" w:rsidRPr="00C72AB5">
        <w:rPr>
          <w:rFonts w:ascii="GHEA Grapalat" w:hAnsi="GHEA Grapalat"/>
          <w:sz w:val="24"/>
          <w:szCs w:val="24"/>
        </w:rPr>
        <w:t>-2021</w:t>
      </w:r>
      <w:r w:rsidR="000A480B">
        <w:rPr>
          <w:rFonts w:ascii="GHEA Grapalat" w:hAnsi="GHEA Grapalat"/>
          <w:sz w:val="24"/>
          <w:szCs w:val="24"/>
        </w:rPr>
        <w:t xml:space="preserve"> թվականներին</w:t>
      </w:r>
      <w:r w:rsidR="00E81D90">
        <w:rPr>
          <w:rFonts w:ascii="GHEA Grapalat" w:hAnsi="GHEA Grapalat"/>
          <w:sz w:val="24"/>
          <w:szCs w:val="24"/>
        </w:rPr>
        <w:t xml:space="preserve"> </w:t>
      </w:r>
      <w:r w:rsidR="00197F65" w:rsidRPr="00E81D90">
        <w:rPr>
          <w:rFonts w:ascii="GHEA Grapalat" w:hAnsi="GHEA Grapalat" w:cs="Sylfaen"/>
          <w:sz w:val="24"/>
          <w:szCs w:val="24"/>
        </w:rPr>
        <w:t>Հայաստանի Հանրապետության</w:t>
      </w:r>
      <w:r w:rsidR="00197F65" w:rsidRPr="00E81D90">
        <w:rPr>
          <w:rFonts w:ascii="GHEA Grapalat" w:hAnsi="GHEA Grapalat"/>
          <w:sz w:val="24"/>
          <w:szCs w:val="24"/>
        </w:rPr>
        <w:t xml:space="preserve"> </w:t>
      </w:r>
      <w:r w:rsidR="00A54C6F" w:rsidRPr="00E81D90">
        <w:rPr>
          <w:rFonts w:ascii="GHEA Grapalat" w:hAnsi="GHEA Grapalat"/>
          <w:sz w:val="24"/>
          <w:szCs w:val="24"/>
        </w:rPr>
        <w:t xml:space="preserve">կառավարության համապատասխան որոշումներով </w:t>
      </w:r>
      <w:r w:rsidR="00197F65" w:rsidRPr="00E81D90">
        <w:rPr>
          <w:rFonts w:ascii="GHEA Grapalat" w:hAnsi="GHEA Grapalat"/>
          <w:sz w:val="24"/>
          <w:szCs w:val="24"/>
        </w:rPr>
        <w:t>բուհերում</w:t>
      </w:r>
      <w:r w:rsidR="00A54C6F" w:rsidRPr="00E81D90">
        <w:rPr>
          <w:rFonts w:ascii="GHEA Grapalat" w:hAnsi="GHEA Grapalat"/>
          <w:sz w:val="24"/>
          <w:szCs w:val="24"/>
        </w:rPr>
        <w:t xml:space="preserve"> և գիտական կազմակերպություններում </w:t>
      </w:r>
      <w:r w:rsidR="00A54C6F" w:rsidRPr="00C72AB5">
        <w:rPr>
          <w:rFonts w:ascii="GHEA Grapalat" w:hAnsi="GHEA Grapalat"/>
          <w:sz w:val="24"/>
          <w:szCs w:val="24"/>
        </w:rPr>
        <w:t xml:space="preserve">ասպիրանտական առկա և հեռակա ուսուցման համար բաշխվել են գումարային </w:t>
      </w:r>
      <w:r w:rsidR="00642036" w:rsidRPr="00C72AB5">
        <w:rPr>
          <w:rFonts w:ascii="GHEA Grapalat" w:hAnsi="GHEA Grapalat"/>
          <w:sz w:val="24"/>
          <w:szCs w:val="24"/>
        </w:rPr>
        <w:t>897</w:t>
      </w:r>
      <w:r w:rsidR="00A54C6F" w:rsidRPr="00C72AB5">
        <w:rPr>
          <w:rFonts w:ascii="GHEA Grapalat" w:hAnsi="GHEA Grapalat"/>
          <w:sz w:val="24"/>
          <w:szCs w:val="24"/>
        </w:rPr>
        <w:t xml:space="preserve"> տեղեր</w:t>
      </w:r>
      <w:r w:rsidR="002E3025" w:rsidRPr="00C72AB5">
        <w:rPr>
          <w:rStyle w:val="FootnoteReference"/>
          <w:rFonts w:ascii="GHEA Grapalat" w:hAnsi="GHEA Grapalat"/>
          <w:sz w:val="24"/>
          <w:szCs w:val="24"/>
        </w:rPr>
        <w:footnoteReference w:id="22"/>
      </w:r>
      <w:r w:rsidR="00A54C6F" w:rsidRPr="00C72AB5">
        <w:rPr>
          <w:rFonts w:ascii="GHEA Grapalat" w:hAnsi="GHEA Grapalat"/>
          <w:sz w:val="24"/>
          <w:szCs w:val="24"/>
        </w:rPr>
        <w:t>, 20</w:t>
      </w:r>
      <w:r w:rsidR="00642036" w:rsidRPr="00C72AB5">
        <w:rPr>
          <w:rFonts w:ascii="GHEA Grapalat" w:hAnsi="GHEA Grapalat"/>
          <w:sz w:val="24"/>
          <w:szCs w:val="24"/>
        </w:rPr>
        <w:t>20</w:t>
      </w:r>
      <w:r w:rsidR="00A54C6F" w:rsidRPr="00C72AB5">
        <w:rPr>
          <w:rFonts w:ascii="GHEA Grapalat" w:hAnsi="GHEA Grapalat"/>
          <w:sz w:val="24"/>
          <w:szCs w:val="24"/>
        </w:rPr>
        <w:t>-202</w:t>
      </w:r>
      <w:r w:rsidR="00642036" w:rsidRPr="00C72AB5">
        <w:rPr>
          <w:rFonts w:ascii="GHEA Grapalat" w:hAnsi="GHEA Grapalat"/>
          <w:sz w:val="24"/>
          <w:szCs w:val="24"/>
        </w:rPr>
        <w:t>4</w:t>
      </w:r>
      <w:r w:rsidR="000A480B" w:rsidRPr="000A480B">
        <w:rPr>
          <w:rFonts w:ascii="GHEA Grapalat" w:hAnsi="GHEA Grapalat"/>
          <w:sz w:val="24"/>
          <w:szCs w:val="24"/>
        </w:rPr>
        <w:t xml:space="preserve"> </w:t>
      </w:r>
      <w:r w:rsidR="000A480B">
        <w:rPr>
          <w:rFonts w:ascii="GHEA Grapalat" w:hAnsi="GHEA Grapalat"/>
          <w:sz w:val="24"/>
          <w:szCs w:val="24"/>
        </w:rPr>
        <w:t xml:space="preserve">թվականներին </w:t>
      </w:r>
      <w:r w:rsidR="00A54C6F" w:rsidRPr="00C72AB5">
        <w:rPr>
          <w:rFonts w:ascii="GHEA Grapalat" w:hAnsi="GHEA Grapalat"/>
          <w:sz w:val="24"/>
          <w:szCs w:val="24"/>
        </w:rPr>
        <w:t xml:space="preserve">(ուսումնառության ավարտին) գիտությունների թեկնածուի գիտական </w:t>
      </w:r>
      <w:r w:rsidR="00241B26" w:rsidRPr="00C72AB5">
        <w:rPr>
          <w:rFonts w:ascii="GHEA Grapalat" w:hAnsi="GHEA Grapalat"/>
          <w:sz w:val="24"/>
          <w:szCs w:val="24"/>
        </w:rPr>
        <w:t>ատենախոսություն</w:t>
      </w:r>
      <w:r w:rsidR="00A54C6F" w:rsidRPr="00C72AB5">
        <w:rPr>
          <w:rFonts w:ascii="GHEA Grapalat" w:hAnsi="GHEA Grapalat"/>
          <w:sz w:val="24"/>
          <w:szCs w:val="24"/>
        </w:rPr>
        <w:t xml:space="preserve"> պաշտպանել են </w:t>
      </w:r>
      <w:r w:rsidR="003748EB" w:rsidRPr="00C72AB5">
        <w:rPr>
          <w:rFonts w:ascii="GHEA Grapalat" w:hAnsi="GHEA Grapalat"/>
          <w:sz w:val="24"/>
          <w:szCs w:val="24"/>
        </w:rPr>
        <w:t>441</w:t>
      </w:r>
      <w:r w:rsidR="00A54C6F" w:rsidRPr="00C72AB5">
        <w:rPr>
          <w:rFonts w:ascii="GHEA Grapalat" w:hAnsi="GHEA Grapalat"/>
          <w:sz w:val="24"/>
          <w:szCs w:val="24"/>
        </w:rPr>
        <w:t xml:space="preserve"> </w:t>
      </w:r>
      <w:r w:rsidR="003748EB" w:rsidRPr="00C72AB5">
        <w:rPr>
          <w:rFonts w:ascii="GHEA Grapalat" w:hAnsi="GHEA Grapalat"/>
          <w:sz w:val="24"/>
          <w:szCs w:val="24"/>
        </w:rPr>
        <w:t>ասպիրանտ</w:t>
      </w:r>
      <w:r w:rsidR="00A54C6F" w:rsidRPr="00C72AB5">
        <w:rPr>
          <w:rFonts w:ascii="GHEA Grapalat" w:hAnsi="GHEA Grapalat"/>
          <w:sz w:val="24"/>
          <w:szCs w:val="24"/>
        </w:rPr>
        <w:t>`</w:t>
      </w:r>
      <w:r w:rsidR="003748EB" w:rsidRPr="00C72AB5">
        <w:rPr>
          <w:rFonts w:ascii="GHEA Grapalat" w:hAnsi="GHEA Grapalat"/>
          <w:sz w:val="24"/>
          <w:szCs w:val="24"/>
        </w:rPr>
        <w:t xml:space="preserve"> հատկացված տեղերի 49.2</w:t>
      </w:r>
      <w:r w:rsidR="00A54C6F" w:rsidRPr="00C72AB5">
        <w:rPr>
          <w:rFonts w:ascii="GHEA Grapalat" w:hAnsi="GHEA Grapalat"/>
          <w:sz w:val="24"/>
          <w:szCs w:val="24"/>
        </w:rPr>
        <w:t xml:space="preserve"> %</w:t>
      </w:r>
      <w:r w:rsidR="00761021" w:rsidRPr="00C72AB5">
        <w:rPr>
          <w:rFonts w:ascii="GHEA Grapalat" w:hAnsi="GHEA Grapalat"/>
          <w:sz w:val="24"/>
          <w:szCs w:val="24"/>
        </w:rPr>
        <w:t>:</w:t>
      </w:r>
      <w:r w:rsidR="003748EB" w:rsidRPr="00C72AB5">
        <w:rPr>
          <w:rFonts w:ascii="GHEA Grapalat" w:hAnsi="GHEA Grapalat"/>
          <w:sz w:val="24"/>
          <w:szCs w:val="24"/>
        </w:rPr>
        <w:t xml:space="preserve"> Այս ցուցանիշին զուգահեռ սակայն նույն ժամանակահատվածում պաշտպանել են նաև 381 հայցորդ ինչը խոսում է նրա մասին, որ կադրերի պատրաստման այս համակարգ</w:t>
      </w:r>
      <w:r w:rsidR="000A480B">
        <w:rPr>
          <w:rFonts w:ascii="GHEA Grapalat" w:hAnsi="GHEA Grapalat"/>
          <w:sz w:val="24"/>
          <w:szCs w:val="24"/>
        </w:rPr>
        <w:t>ն</w:t>
      </w:r>
      <w:r w:rsidR="003748EB" w:rsidRPr="00C72AB5">
        <w:rPr>
          <w:rFonts w:ascii="GHEA Grapalat" w:hAnsi="GHEA Grapalat"/>
          <w:sz w:val="24"/>
          <w:szCs w:val="24"/>
        </w:rPr>
        <w:t xml:space="preserve"> առնվազն ասպիրանտական կրթությանը համարժեք արդյունք է ցույց տալիս և </w:t>
      </w:r>
      <w:r w:rsidR="00FC614D" w:rsidRPr="00C72AB5">
        <w:rPr>
          <w:rFonts w:ascii="GHEA Grapalat" w:hAnsi="GHEA Grapalat"/>
          <w:sz w:val="24"/>
          <w:szCs w:val="24"/>
        </w:rPr>
        <w:t>դոկտոր</w:t>
      </w:r>
      <w:r w:rsidR="003748EB" w:rsidRPr="00C72AB5">
        <w:rPr>
          <w:rFonts w:ascii="GHEA Grapalat" w:hAnsi="GHEA Grapalat"/>
          <w:sz w:val="24"/>
          <w:szCs w:val="24"/>
        </w:rPr>
        <w:t>անտուրայում մասնակի ծանրաբեռնվածությամբ ուսուցման ընթացակարգերը մշակելիս անհրաժեշտ կլինի հաշվի առնել հայցորդության համակարգի ճկունությունները:</w:t>
      </w:r>
    </w:p>
    <w:p w14:paraId="66F385BC" w14:textId="1517EFFB" w:rsidR="003748EB" w:rsidRPr="00C72AB5" w:rsidRDefault="0068358C" w:rsidP="00887E3F">
      <w:pPr>
        <w:tabs>
          <w:tab w:val="left" w:pos="851"/>
        </w:tabs>
        <w:spacing w:line="276" w:lineRule="auto"/>
        <w:ind w:firstLine="567"/>
        <w:jc w:val="both"/>
        <w:rPr>
          <w:rFonts w:ascii="GHEA Grapalat" w:hAnsi="GHEA Grapalat"/>
          <w:sz w:val="24"/>
          <w:szCs w:val="24"/>
        </w:rPr>
      </w:pPr>
      <w:r w:rsidRPr="00C72AB5">
        <w:rPr>
          <w:rFonts w:ascii="GHEA Grapalat" w:hAnsi="GHEA Grapalat"/>
          <w:sz w:val="24"/>
          <w:szCs w:val="24"/>
        </w:rPr>
        <w:t>23</w:t>
      </w:r>
      <w:r w:rsidR="003748EB" w:rsidRPr="00C72AB5">
        <w:rPr>
          <w:rFonts w:ascii="GHEA Grapalat" w:hAnsi="GHEA Grapalat"/>
          <w:sz w:val="24"/>
          <w:szCs w:val="24"/>
        </w:rPr>
        <w:t xml:space="preserve">. Գիտական աստիճանի հայցման համար հրատարակությունների նկատմամբ պահանջը դեռևս հնարավորություն է տալիս գիտական աստիճանի հավակնել միայն ներպետական ամսագրերում հրապարակումների սահմանված քանակն ապահովելով, ինչի </w:t>
      </w:r>
      <w:r w:rsidR="003748EB" w:rsidRPr="00E81D90">
        <w:rPr>
          <w:rFonts w:ascii="GHEA Grapalat" w:hAnsi="GHEA Grapalat"/>
          <w:sz w:val="24"/>
          <w:szCs w:val="24"/>
        </w:rPr>
        <w:t>ա</w:t>
      </w:r>
      <w:r w:rsidR="008C49ED" w:rsidRPr="00E81D90">
        <w:rPr>
          <w:rFonts w:ascii="GHEA Grapalat" w:hAnsi="GHEA Grapalat"/>
          <w:sz w:val="24"/>
          <w:szCs w:val="24"/>
        </w:rPr>
        <w:t>ր</w:t>
      </w:r>
      <w:r w:rsidR="003748EB" w:rsidRPr="00E81D90">
        <w:rPr>
          <w:rFonts w:ascii="GHEA Grapalat" w:hAnsi="GHEA Grapalat"/>
          <w:sz w:val="24"/>
          <w:szCs w:val="24"/>
        </w:rPr>
        <w:t xml:space="preserve">դյունքում </w:t>
      </w:r>
      <w:r w:rsidR="008C49ED" w:rsidRPr="00E81D90">
        <w:rPr>
          <w:rFonts w:ascii="GHEA Grapalat" w:hAnsi="GHEA Grapalat" w:cs="Sylfaen"/>
          <w:sz w:val="24"/>
          <w:szCs w:val="24"/>
        </w:rPr>
        <w:t>Հայաստանի Հանրապետությունո</w:t>
      </w:r>
      <w:r w:rsidR="000A480B">
        <w:rPr>
          <w:rFonts w:ascii="GHEA Grapalat" w:hAnsi="GHEA Grapalat" w:cs="Sylfaen"/>
          <w:sz w:val="24"/>
          <w:szCs w:val="24"/>
        </w:rPr>
        <w:t>ւ</w:t>
      </w:r>
      <w:r w:rsidR="008C49ED" w:rsidRPr="00E81D90">
        <w:rPr>
          <w:rFonts w:ascii="GHEA Grapalat" w:hAnsi="GHEA Grapalat" w:cs="Sylfaen"/>
          <w:sz w:val="24"/>
          <w:szCs w:val="24"/>
        </w:rPr>
        <w:t>մ</w:t>
      </w:r>
      <w:r w:rsidR="003748EB" w:rsidRPr="00E81D90">
        <w:rPr>
          <w:rFonts w:ascii="GHEA Grapalat" w:hAnsi="GHEA Grapalat"/>
          <w:sz w:val="24"/>
          <w:szCs w:val="24"/>
        </w:rPr>
        <w:t xml:space="preserve"> </w:t>
      </w:r>
      <w:r w:rsidR="003748EB" w:rsidRPr="00C72AB5">
        <w:rPr>
          <w:rFonts w:ascii="GHEA Grapalat" w:hAnsi="GHEA Grapalat"/>
          <w:sz w:val="24"/>
          <w:szCs w:val="24"/>
        </w:rPr>
        <w:t xml:space="preserve">հրատարակվող և աստիճանաշնորհման համար ընդունելի պարբերականների ցանկերում առկա </w:t>
      </w:r>
      <w:r w:rsidR="003748EB" w:rsidRPr="00E81D90">
        <w:rPr>
          <w:rFonts w:ascii="GHEA Grapalat" w:hAnsi="GHEA Grapalat"/>
          <w:sz w:val="24"/>
          <w:szCs w:val="24"/>
        </w:rPr>
        <w:t>հայաստանյան</w:t>
      </w:r>
      <w:r w:rsidR="003748EB" w:rsidRPr="00C72AB5">
        <w:rPr>
          <w:rFonts w:ascii="GHEA Grapalat" w:hAnsi="GHEA Grapalat"/>
          <w:sz w:val="24"/>
          <w:szCs w:val="24"/>
        </w:rPr>
        <w:t xml:space="preserve"> ամսագրերի քանակը 2025 թվականի դրությամբ կազմում է 183 պարբերական, որոնցից 202</w:t>
      </w:r>
      <w:r w:rsidR="00802D34" w:rsidRPr="00C72AB5">
        <w:rPr>
          <w:rFonts w:ascii="GHEA Grapalat" w:hAnsi="GHEA Grapalat"/>
          <w:sz w:val="24"/>
          <w:szCs w:val="24"/>
        </w:rPr>
        <w:t>5</w:t>
      </w:r>
      <w:r w:rsidR="003748EB" w:rsidRPr="00C72AB5">
        <w:rPr>
          <w:rFonts w:ascii="GHEA Grapalat" w:hAnsi="GHEA Grapalat"/>
          <w:sz w:val="24"/>
          <w:szCs w:val="24"/>
        </w:rPr>
        <w:t xml:space="preserve"> թվականի դրությամբ պաշտպանության </w:t>
      </w:r>
      <w:r w:rsidR="000A480B">
        <w:rPr>
          <w:rFonts w:ascii="GHEA Grapalat" w:hAnsi="GHEA Grapalat"/>
          <w:sz w:val="24"/>
          <w:szCs w:val="24"/>
        </w:rPr>
        <w:t>նպատակով</w:t>
      </w:r>
      <w:r w:rsidR="003748EB" w:rsidRPr="00C72AB5">
        <w:rPr>
          <w:rFonts w:ascii="GHEA Grapalat" w:hAnsi="GHEA Grapalat"/>
          <w:sz w:val="24"/>
          <w:szCs w:val="24"/>
        </w:rPr>
        <w:t xml:space="preserve"> անհրաժեշտ հրապարակումների համար ընդունելի են 10</w:t>
      </w:r>
      <w:r w:rsidR="00802D34" w:rsidRPr="00C72AB5">
        <w:rPr>
          <w:rFonts w:ascii="GHEA Grapalat" w:hAnsi="GHEA Grapalat"/>
          <w:sz w:val="24"/>
          <w:szCs w:val="24"/>
        </w:rPr>
        <w:t>4</w:t>
      </w:r>
      <w:r w:rsidR="003748EB" w:rsidRPr="00C72AB5">
        <w:rPr>
          <w:rFonts w:ascii="GHEA Grapalat" w:hAnsi="GHEA Grapalat"/>
          <w:sz w:val="24"/>
          <w:szCs w:val="24"/>
        </w:rPr>
        <w:t xml:space="preserve"> պարբերականներ:</w:t>
      </w:r>
      <w:r w:rsidR="00802D34" w:rsidRPr="00C72AB5">
        <w:rPr>
          <w:rFonts w:ascii="GHEA Grapalat" w:hAnsi="GHEA Grapalat"/>
          <w:sz w:val="24"/>
          <w:szCs w:val="24"/>
        </w:rPr>
        <w:t xml:space="preserve"> Արդյունքում` քանի որ փաստացի ատենախոսություն պաշտպանողների և հասանելի պարբերականների հարաբերակցությունը </w:t>
      </w:r>
      <w:r w:rsidR="00700795" w:rsidRPr="00C72AB5">
        <w:rPr>
          <w:rFonts w:ascii="GHEA Grapalat" w:hAnsi="GHEA Grapalat"/>
          <w:sz w:val="24"/>
          <w:szCs w:val="24"/>
        </w:rPr>
        <w:t>խիստ փոքր է</w:t>
      </w:r>
      <w:r w:rsidR="003748EB" w:rsidRPr="00C72AB5">
        <w:rPr>
          <w:rFonts w:ascii="GHEA Grapalat" w:hAnsi="GHEA Grapalat"/>
          <w:sz w:val="24"/>
          <w:szCs w:val="24"/>
        </w:rPr>
        <w:t>,</w:t>
      </w:r>
      <w:r w:rsidR="00700795" w:rsidRPr="00C72AB5">
        <w:rPr>
          <w:rFonts w:ascii="GHEA Grapalat" w:hAnsi="GHEA Grapalat"/>
          <w:sz w:val="24"/>
          <w:szCs w:val="24"/>
        </w:rPr>
        <w:t xml:space="preserve"> </w:t>
      </w:r>
      <w:r w:rsidR="003748EB" w:rsidRPr="00C72AB5">
        <w:rPr>
          <w:rFonts w:ascii="GHEA Grapalat" w:hAnsi="GHEA Grapalat"/>
          <w:sz w:val="24"/>
          <w:szCs w:val="24"/>
        </w:rPr>
        <w:t xml:space="preserve">ինչը ներքին գիտական հրատարակչության ոլորտը դարձնում է ցածր մրցակցային, ինչն էլ անդրադառնում է </w:t>
      </w:r>
      <w:r w:rsidR="00700795" w:rsidRPr="00C72AB5">
        <w:rPr>
          <w:rFonts w:ascii="GHEA Grapalat" w:hAnsi="GHEA Grapalat"/>
          <w:sz w:val="24"/>
          <w:szCs w:val="24"/>
        </w:rPr>
        <w:t xml:space="preserve">հրատարակված նյութի և հետևաբար նաև </w:t>
      </w:r>
      <w:r w:rsidR="003748EB" w:rsidRPr="00C72AB5">
        <w:rPr>
          <w:rFonts w:ascii="GHEA Grapalat" w:hAnsi="GHEA Grapalat"/>
          <w:sz w:val="24"/>
          <w:szCs w:val="24"/>
        </w:rPr>
        <w:t>պարբերականների ցածր որակի վրա:</w:t>
      </w:r>
    </w:p>
    <w:p w14:paraId="0B33C577" w14:textId="26BCC34A" w:rsidR="003B29C7" w:rsidRPr="00C72AB5" w:rsidRDefault="003B29C7" w:rsidP="003B29C7">
      <w:pPr>
        <w:tabs>
          <w:tab w:val="left" w:pos="851"/>
        </w:tabs>
        <w:spacing w:line="276" w:lineRule="auto"/>
        <w:ind w:firstLine="567"/>
        <w:jc w:val="center"/>
        <w:rPr>
          <w:rFonts w:ascii="GHEA Grapalat" w:hAnsi="GHEA Grapalat"/>
          <w:sz w:val="24"/>
          <w:szCs w:val="24"/>
        </w:rPr>
      </w:pPr>
      <w:r w:rsidRPr="00C72AB5">
        <w:rPr>
          <w:noProof/>
          <w:lang w:val="en-US" w:eastAsia="en-US"/>
        </w:rPr>
        <w:lastRenderedPageBreak/>
        <w:drawing>
          <wp:inline distT="0" distB="0" distL="0" distR="0" wp14:anchorId="329CB285" wp14:editId="04CBCF7F">
            <wp:extent cx="4712335" cy="2495550"/>
            <wp:effectExtent l="0" t="0" r="0" b="0"/>
            <wp:docPr id="1913961749" name="Chart 1">
              <a:extLst xmlns:a="http://schemas.openxmlformats.org/drawingml/2006/main">
                <a:ext uri="{FF2B5EF4-FFF2-40B4-BE49-F238E27FC236}">
                  <a16:creationId xmlns:a16="http://schemas.microsoft.com/office/drawing/2014/main" id="{C807C7EA-B661-B674-8824-7B5126664FA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2040640D" w14:textId="5CC766F3" w:rsidR="003B29C7" w:rsidRPr="00C72AB5" w:rsidRDefault="003B29C7" w:rsidP="00181F43">
      <w:pPr>
        <w:tabs>
          <w:tab w:val="left" w:pos="709"/>
          <w:tab w:val="left" w:pos="851"/>
        </w:tabs>
        <w:ind w:left="567" w:hanging="567"/>
        <w:jc w:val="both"/>
        <w:rPr>
          <w:rFonts w:ascii="GHEA Grapalat" w:hAnsi="GHEA Grapalat"/>
        </w:rPr>
      </w:pPr>
      <w:r w:rsidRPr="00C72AB5">
        <w:rPr>
          <w:rFonts w:ascii="GHEA Grapalat" w:hAnsi="GHEA Grapalat"/>
          <w:b/>
        </w:rPr>
        <w:t xml:space="preserve">Գծապատկեր </w:t>
      </w:r>
      <w:r w:rsidR="00FC614D" w:rsidRPr="00C72AB5">
        <w:rPr>
          <w:rFonts w:ascii="GHEA Grapalat" w:hAnsi="GHEA Grapalat"/>
          <w:b/>
        </w:rPr>
        <w:t>11</w:t>
      </w:r>
      <w:r w:rsidRPr="00C72AB5">
        <w:rPr>
          <w:rFonts w:ascii="GHEA Grapalat" w:hAnsi="GHEA Grapalat"/>
        </w:rPr>
        <w:t>. 2024 թվականին գիտությունների թեկնածուի գիտական աստիճան ստացածների քանակներն ըստ տպագրությունների տեսակի:</w:t>
      </w:r>
    </w:p>
    <w:p w14:paraId="0F20A712" w14:textId="77777777" w:rsidR="008664CD" w:rsidRPr="00C72AB5" w:rsidRDefault="008664CD" w:rsidP="0049437D">
      <w:pPr>
        <w:tabs>
          <w:tab w:val="left" w:pos="851"/>
        </w:tabs>
        <w:spacing w:line="276" w:lineRule="auto"/>
        <w:jc w:val="both"/>
        <w:rPr>
          <w:rFonts w:ascii="GHEA Grapalat" w:hAnsi="GHEA Grapalat"/>
          <w:sz w:val="6"/>
          <w:szCs w:val="6"/>
        </w:rPr>
      </w:pPr>
    </w:p>
    <w:p w14:paraId="58A4C26F" w14:textId="511062CC" w:rsidR="00CF0582" w:rsidRPr="00C72AB5" w:rsidRDefault="00181F43" w:rsidP="00181F43">
      <w:pPr>
        <w:tabs>
          <w:tab w:val="left" w:pos="851"/>
        </w:tabs>
        <w:spacing w:line="276" w:lineRule="auto"/>
        <w:ind w:firstLine="567"/>
        <w:jc w:val="both"/>
        <w:rPr>
          <w:rFonts w:ascii="GHEA Grapalat" w:hAnsi="GHEA Grapalat"/>
          <w:sz w:val="24"/>
          <w:szCs w:val="24"/>
        </w:rPr>
      </w:pPr>
      <w:r w:rsidRPr="00C72AB5">
        <w:rPr>
          <w:rFonts w:ascii="GHEA Grapalat" w:hAnsi="GHEA Grapalat"/>
          <w:sz w:val="24"/>
          <w:szCs w:val="24"/>
        </w:rPr>
        <w:t xml:space="preserve">24. 2024 թվականի պաշտպանությունների վերլուծությունը ցույց է տվել, որ գիտական աստիճան </w:t>
      </w:r>
      <w:r w:rsidRPr="00E81D90">
        <w:rPr>
          <w:rFonts w:ascii="GHEA Grapalat" w:hAnsi="GHEA Grapalat"/>
          <w:sz w:val="24"/>
          <w:szCs w:val="24"/>
        </w:rPr>
        <w:t xml:space="preserve">ստացողների միայն 45%-ն է ասպիրանտական կրթությունը կամ հայցորդությունն ամփոփել առնվազն 1 միջազգային գիտատեղեկատվական շտեմարաններում ինդեքսավորվող պարբերականներում (ՄԳՇ) հրապարակմամբ (տե՛ս, Գծապատկեր 11), մնացյալ մասը գիտական աստիճանը ստացել են </w:t>
      </w:r>
      <w:r w:rsidRPr="00E81D90">
        <w:rPr>
          <w:rFonts w:ascii="GHEA Grapalat" w:hAnsi="GHEA Grapalat" w:cs="Sylfaen"/>
          <w:sz w:val="24"/>
          <w:szCs w:val="24"/>
        </w:rPr>
        <w:t>Հայաստանի Հանրապետություն</w:t>
      </w:r>
      <w:r w:rsidRPr="00E81D90">
        <w:rPr>
          <w:rFonts w:ascii="GHEA Grapalat" w:hAnsi="GHEA Grapalat"/>
          <w:sz w:val="24"/>
          <w:szCs w:val="24"/>
        </w:rPr>
        <w:t xml:space="preserve">ում հրատարակվող չինդեքսավորվող պարբերականներում </w:t>
      </w:r>
      <w:r w:rsidRPr="00C72AB5">
        <w:rPr>
          <w:rFonts w:ascii="GHEA Grapalat" w:hAnsi="GHEA Grapalat"/>
          <w:sz w:val="24"/>
          <w:szCs w:val="24"/>
        </w:rPr>
        <w:t>հրապարակումներով:</w:t>
      </w:r>
      <w:r>
        <w:rPr>
          <w:rFonts w:ascii="GHEA Grapalat" w:hAnsi="GHEA Grapalat"/>
          <w:sz w:val="24"/>
          <w:szCs w:val="24"/>
        </w:rPr>
        <w:t xml:space="preserve"> </w:t>
      </w:r>
      <w:r w:rsidR="008664CD" w:rsidRPr="00C72AB5">
        <w:rPr>
          <w:rFonts w:ascii="GHEA Grapalat" w:hAnsi="GHEA Grapalat"/>
          <w:sz w:val="24"/>
          <w:szCs w:val="24"/>
        </w:rPr>
        <w:t xml:space="preserve">Ընդ որում ԲՏՃՄ մասնագիտություններով պաշտպանած 82 </w:t>
      </w:r>
      <w:r w:rsidR="00BF527B" w:rsidRPr="00C72AB5">
        <w:rPr>
          <w:rFonts w:ascii="GHEA Grapalat" w:hAnsi="GHEA Grapalat"/>
          <w:sz w:val="24"/>
          <w:szCs w:val="24"/>
        </w:rPr>
        <w:t>թեկնածուներից միայն 10-ն են գիտական աստիճան ստացել առանց ՄԳՇ պարբերականներում հրապարակումների, իսկ հասարակագիտական և հումանիտար բնագավառների մասնագիտություններով 112 թեկնածուներից միայն 15-ն են գիտական աստիճան ստացել ՄԳՇ հրապարակումներով</w:t>
      </w:r>
      <w:r w:rsidR="00653BA3" w:rsidRPr="00C72AB5">
        <w:rPr>
          <w:rFonts w:ascii="GHEA Grapalat" w:hAnsi="GHEA Grapalat"/>
          <w:sz w:val="24"/>
          <w:szCs w:val="24"/>
        </w:rPr>
        <w:t>:</w:t>
      </w:r>
      <w:r w:rsidR="00BF527B" w:rsidRPr="00C72AB5">
        <w:rPr>
          <w:rFonts w:ascii="GHEA Grapalat" w:hAnsi="GHEA Grapalat"/>
          <w:sz w:val="24"/>
          <w:szCs w:val="24"/>
        </w:rPr>
        <w:t xml:space="preserve"> </w:t>
      </w:r>
      <w:r w:rsidR="00653BA3" w:rsidRPr="00C72AB5">
        <w:rPr>
          <w:rFonts w:ascii="GHEA Grapalat" w:hAnsi="GHEA Grapalat"/>
          <w:sz w:val="24"/>
          <w:szCs w:val="24"/>
        </w:rPr>
        <w:t>Հ</w:t>
      </w:r>
      <w:r w:rsidR="00BF527B" w:rsidRPr="00C72AB5">
        <w:rPr>
          <w:rFonts w:ascii="GHEA Grapalat" w:hAnsi="GHEA Grapalat"/>
          <w:sz w:val="24"/>
          <w:szCs w:val="24"/>
        </w:rPr>
        <w:t>ա</w:t>
      </w:r>
      <w:r w:rsidR="00D948EC" w:rsidRPr="00C72AB5">
        <w:rPr>
          <w:rFonts w:ascii="GHEA Grapalat" w:hAnsi="GHEA Grapalat"/>
          <w:sz w:val="24"/>
          <w:szCs w:val="24"/>
        </w:rPr>
        <w:t>րկ է հա</w:t>
      </w:r>
      <w:r w:rsidR="00BF527B" w:rsidRPr="00C72AB5">
        <w:rPr>
          <w:rFonts w:ascii="GHEA Grapalat" w:hAnsi="GHEA Grapalat"/>
          <w:sz w:val="24"/>
          <w:szCs w:val="24"/>
        </w:rPr>
        <w:t>շվի առնել</w:t>
      </w:r>
      <w:r w:rsidR="00D948EC" w:rsidRPr="00C72AB5">
        <w:rPr>
          <w:rFonts w:ascii="GHEA Grapalat" w:hAnsi="GHEA Grapalat"/>
          <w:sz w:val="24"/>
          <w:szCs w:val="24"/>
        </w:rPr>
        <w:t>,</w:t>
      </w:r>
      <w:r w:rsidR="00BF527B" w:rsidRPr="00C72AB5">
        <w:rPr>
          <w:rFonts w:ascii="GHEA Grapalat" w:hAnsi="GHEA Grapalat"/>
          <w:sz w:val="24"/>
          <w:szCs w:val="24"/>
        </w:rPr>
        <w:t xml:space="preserve"> որ այս մասնագիտություններով միայն Վեբ օֆ Սայնս</w:t>
      </w:r>
      <w:r w:rsidR="009D5E33">
        <w:rPr>
          <w:rFonts w:ascii="GHEA Grapalat" w:hAnsi="GHEA Grapalat"/>
          <w:sz w:val="24"/>
          <w:szCs w:val="24"/>
        </w:rPr>
        <w:t xml:space="preserve"> (Web of </w:t>
      </w:r>
      <w:r w:rsidR="009D5E33" w:rsidRPr="009D5E33">
        <w:rPr>
          <w:rFonts w:ascii="GHEA Grapalat" w:hAnsi="GHEA Grapalat"/>
          <w:sz w:val="24"/>
          <w:szCs w:val="24"/>
        </w:rPr>
        <w:t>Science</w:t>
      </w:r>
      <w:r w:rsidR="009D5E33">
        <w:rPr>
          <w:rFonts w:ascii="GHEA Grapalat" w:hAnsi="GHEA Grapalat"/>
          <w:sz w:val="24"/>
          <w:szCs w:val="24"/>
        </w:rPr>
        <w:t>)</w:t>
      </w:r>
      <w:r w:rsidR="00BF527B" w:rsidRPr="00C72AB5">
        <w:rPr>
          <w:rFonts w:ascii="GHEA Grapalat" w:hAnsi="GHEA Grapalat"/>
          <w:sz w:val="24"/>
          <w:szCs w:val="24"/>
        </w:rPr>
        <w:t xml:space="preserve"> շտեմարանում </w:t>
      </w:r>
      <w:r w:rsidR="00D948EC" w:rsidRPr="00C72AB5">
        <w:rPr>
          <w:rFonts w:ascii="GHEA Grapalat" w:hAnsi="GHEA Grapalat"/>
          <w:sz w:val="24"/>
          <w:szCs w:val="24"/>
        </w:rPr>
        <w:t>2022-</w:t>
      </w:r>
      <w:r w:rsidR="000A480B">
        <w:rPr>
          <w:rFonts w:ascii="GHEA Grapalat" w:hAnsi="GHEA Grapalat"/>
          <w:sz w:val="24"/>
          <w:szCs w:val="24"/>
        </w:rPr>
        <w:t>2024 թվականներին</w:t>
      </w:r>
      <w:r w:rsidR="00BF527B" w:rsidRPr="00C72AB5">
        <w:rPr>
          <w:rFonts w:ascii="GHEA Grapalat" w:hAnsi="GHEA Grapalat"/>
          <w:sz w:val="24"/>
          <w:szCs w:val="24"/>
        </w:rPr>
        <w:t xml:space="preserve"> </w:t>
      </w:r>
      <w:r w:rsidR="009D5E33" w:rsidRPr="00E81D90">
        <w:rPr>
          <w:rFonts w:ascii="GHEA Grapalat" w:hAnsi="GHEA Grapalat" w:cs="Sylfaen"/>
          <w:sz w:val="24"/>
          <w:szCs w:val="24"/>
        </w:rPr>
        <w:t>Հայաստանի Հանրապետության</w:t>
      </w:r>
      <w:r w:rsidR="009D5E33" w:rsidRPr="00C72AB5">
        <w:rPr>
          <w:rFonts w:ascii="GHEA Grapalat" w:hAnsi="GHEA Grapalat"/>
          <w:sz w:val="24"/>
          <w:szCs w:val="24"/>
        </w:rPr>
        <w:t xml:space="preserve"> </w:t>
      </w:r>
      <w:r w:rsidR="00BF527B" w:rsidRPr="00C72AB5">
        <w:rPr>
          <w:rFonts w:ascii="GHEA Grapalat" w:hAnsi="GHEA Grapalat"/>
          <w:sz w:val="24"/>
          <w:szCs w:val="24"/>
        </w:rPr>
        <w:t xml:space="preserve">հետազոտողների կողմից հրապարակվել է </w:t>
      </w:r>
      <w:r w:rsidR="00D948EC" w:rsidRPr="00C72AB5">
        <w:rPr>
          <w:rFonts w:ascii="GHEA Grapalat" w:hAnsi="GHEA Grapalat"/>
          <w:sz w:val="24"/>
          <w:szCs w:val="24"/>
        </w:rPr>
        <w:t>289</w:t>
      </w:r>
      <w:r w:rsidR="008F7405" w:rsidRPr="00C72AB5">
        <w:rPr>
          <w:rFonts w:ascii="GHEA Grapalat" w:hAnsi="GHEA Grapalat"/>
          <w:sz w:val="24"/>
          <w:szCs w:val="24"/>
        </w:rPr>
        <w:t xml:space="preserve"> (</w:t>
      </w:r>
      <w:r w:rsidR="00D948EC" w:rsidRPr="00C72AB5">
        <w:rPr>
          <w:rFonts w:ascii="GHEA Grapalat" w:hAnsi="GHEA Grapalat"/>
          <w:sz w:val="24"/>
          <w:szCs w:val="24"/>
        </w:rPr>
        <w:t>216</w:t>
      </w:r>
      <w:r w:rsidR="008F7405" w:rsidRPr="00C72AB5">
        <w:rPr>
          <w:rFonts w:ascii="GHEA Grapalat" w:hAnsi="GHEA Grapalat"/>
          <w:sz w:val="24"/>
          <w:szCs w:val="24"/>
        </w:rPr>
        <w:t>+</w:t>
      </w:r>
      <w:r w:rsidR="00D948EC" w:rsidRPr="00C72AB5">
        <w:rPr>
          <w:rFonts w:ascii="GHEA Grapalat" w:hAnsi="GHEA Grapalat"/>
          <w:sz w:val="24"/>
          <w:szCs w:val="24"/>
        </w:rPr>
        <w:t>73</w:t>
      </w:r>
      <w:r w:rsidR="008F7405" w:rsidRPr="00C72AB5">
        <w:rPr>
          <w:rFonts w:ascii="GHEA Grapalat" w:hAnsi="GHEA Grapalat"/>
          <w:sz w:val="24"/>
          <w:szCs w:val="24"/>
        </w:rPr>
        <w:t>)</w:t>
      </w:r>
      <w:r w:rsidR="00BF527B" w:rsidRPr="00C72AB5">
        <w:rPr>
          <w:rFonts w:ascii="GHEA Grapalat" w:hAnsi="GHEA Grapalat"/>
          <w:sz w:val="24"/>
          <w:szCs w:val="24"/>
        </w:rPr>
        <w:t xml:space="preserve"> գիտական հոդված (</w:t>
      </w:r>
      <w:r w:rsidR="000A480B" w:rsidRPr="00E81D90">
        <w:rPr>
          <w:rFonts w:ascii="GHEA Grapalat" w:hAnsi="GHEA Grapalat"/>
          <w:sz w:val="24"/>
          <w:szCs w:val="24"/>
        </w:rPr>
        <w:t>տե՛ս,</w:t>
      </w:r>
      <w:r w:rsidR="000A480B">
        <w:rPr>
          <w:rFonts w:ascii="GHEA Grapalat" w:hAnsi="GHEA Grapalat"/>
          <w:sz w:val="24"/>
          <w:szCs w:val="24"/>
        </w:rPr>
        <w:t xml:space="preserve"> </w:t>
      </w:r>
      <w:r w:rsidR="00BF527B" w:rsidRPr="00C72AB5">
        <w:rPr>
          <w:rFonts w:ascii="GHEA Grapalat" w:hAnsi="GHEA Grapalat"/>
          <w:sz w:val="24"/>
          <w:szCs w:val="24"/>
        </w:rPr>
        <w:t>Գծապատկեր 21)</w:t>
      </w:r>
      <w:r w:rsidR="009D5E33" w:rsidRPr="000A480B">
        <w:rPr>
          <w:rFonts w:ascii="GHEA Grapalat" w:hAnsi="GHEA Grapalat"/>
          <w:sz w:val="24"/>
          <w:szCs w:val="24"/>
        </w:rPr>
        <w:t>,</w:t>
      </w:r>
      <w:r w:rsidR="00BF527B" w:rsidRPr="00C72AB5">
        <w:rPr>
          <w:rFonts w:ascii="GHEA Grapalat" w:hAnsi="GHEA Grapalat"/>
          <w:sz w:val="24"/>
          <w:szCs w:val="24"/>
        </w:rPr>
        <w:t xml:space="preserve"> </w:t>
      </w:r>
      <w:r w:rsidR="00BF527B" w:rsidRPr="00E81D90">
        <w:rPr>
          <w:rFonts w:ascii="GHEA Grapalat" w:hAnsi="GHEA Grapalat"/>
          <w:sz w:val="24"/>
          <w:szCs w:val="24"/>
        </w:rPr>
        <w:t xml:space="preserve">իսկ </w:t>
      </w:r>
      <w:r w:rsidR="009D5E33" w:rsidRPr="00E81D90">
        <w:rPr>
          <w:rFonts w:ascii="GHEA Grapalat" w:hAnsi="GHEA Grapalat"/>
          <w:sz w:val="24"/>
          <w:szCs w:val="24"/>
        </w:rPr>
        <w:t xml:space="preserve">Սկոպուս (Scopus) </w:t>
      </w:r>
      <w:r w:rsidR="00BF527B" w:rsidRPr="00C72AB5">
        <w:rPr>
          <w:rFonts w:ascii="GHEA Grapalat" w:hAnsi="GHEA Grapalat"/>
          <w:sz w:val="24"/>
          <w:szCs w:val="24"/>
        </w:rPr>
        <w:t xml:space="preserve">գիտատեղեկատվական շտեմարաններում ինդեքսավորվող ամսագրերում` </w:t>
      </w:r>
      <w:r w:rsidR="00D948EC" w:rsidRPr="00C72AB5">
        <w:rPr>
          <w:rFonts w:ascii="GHEA Grapalat" w:hAnsi="GHEA Grapalat"/>
          <w:sz w:val="24"/>
          <w:szCs w:val="24"/>
        </w:rPr>
        <w:t>808</w:t>
      </w:r>
      <w:r w:rsidR="008F7405" w:rsidRPr="00C72AB5">
        <w:rPr>
          <w:rFonts w:ascii="GHEA Grapalat" w:hAnsi="GHEA Grapalat"/>
          <w:sz w:val="24"/>
          <w:szCs w:val="24"/>
        </w:rPr>
        <w:t xml:space="preserve"> հոդված (</w:t>
      </w:r>
      <w:r w:rsidR="00D948EC" w:rsidRPr="00C72AB5">
        <w:rPr>
          <w:rFonts w:ascii="GHEA Grapalat" w:hAnsi="GHEA Grapalat"/>
          <w:sz w:val="24"/>
          <w:szCs w:val="24"/>
        </w:rPr>
        <w:t>490</w:t>
      </w:r>
      <w:r w:rsidR="008F7405" w:rsidRPr="00C72AB5">
        <w:rPr>
          <w:rFonts w:ascii="GHEA Grapalat" w:hAnsi="GHEA Grapalat"/>
          <w:sz w:val="24"/>
          <w:szCs w:val="24"/>
        </w:rPr>
        <w:t>+</w:t>
      </w:r>
      <w:r w:rsidR="00D948EC" w:rsidRPr="00C72AB5">
        <w:rPr>
          <w:rFonts w:ascii="GHEA Grapalat" w:hAnsi="GHEA Grapalat"/>
          <w:sz w:val="24"/>
          <w:szCs w:val="24"/>
        </w:rPr>
        <w:t>318</w:t>
      </w:r>
      <w:r w:rsidR="008F7405" w:rsidRPr="00C72AB5">
        <w:rPr>
          <w:rFonts w:ascii="GHEA Grapalat" w:hAnsi="GHEA Grapalat"/>
          <w:sz w:val="24"/>
          <w:szCs w:val="24"/>
        </w:rPr>
        <w:t>)</w:t>
      </w:r>
      <w:r w:rsidR="00D948EC" w:rsidRPr="00C72AB5">
        <w:rPr>
          <w:rFonts w:ascii="GHEA Grapalat" w:hAnsi="GHEA Grapalat"/>
          <w:sz w:val="24"/>
          <w:szCs w:val="24"/>
        </w:rPr>
        <w:t xml:space="preserve">, նկատի ունենալով նաև հոդվածների քանակությունների ոչ գծային աճման թրենդը` կարելի է պնդել, որ միջազգային հրապարակման պահանջը չի կարող </w:t>
      </w:r>
      <w:r w:rsidR="00E70C2C" w:rsidRPr="00C72AB5">
        <w:rPr>
          <w:rFonts w:ascii="GHEA Grapalat" w:hAnsi="GHEA Grapalat"/>
          <w:sz w:val="24"/>
          <w:szCs w:val="24"/>
        </w:rPr>
        <w:t xml:space="preserve">խոչնդոտ </w:t>
      </w:r>
      <w:r w:rsidR="00D948EC" w:rsidRPr="00C72AB5">
        <w:rPr>
          <w:rFonts w:ascii="GHEA Grapalat" w:hAnsi="GHEA Grapalat"/>
          <w:sz w:val="24"/>
          <w:szCs w:val="24"/>
        </w:rPr>
        <w:t>հանդիսանալ ոլորտում կադրերի համալրման համար, մյուս կողմից որոշակի վերապահումների հաշվառմամբ</w:t>
      </w:r>
      <w:r w:rsidR="008F7405" w:rsidRPr="00C72AB5">
        <w:rPr>
          <w:rFonts w:ascii="GHEA Grapalat" w:hAnsi="GHEA Grapalat"/>
          <w:sz w:val="24"/>
          <w:szCs w:val="24"/>
        </w:rPr>
        <w:t xml:space="preserve"> կարելի է </w:t>
      </w:r>
      <w:r w:rsidR="00D948EC" w:rsidRPr="00C72AB5">
        <w:rPr>
          <w:rFonts w:ascii="GHEA Grapalat" w:hAnsi="GHEA Grapalat"/>
          <w:sz w:val="24"/>
          <w:szCs w:val="24"/>
        </w:rPr>
        <w:t>պնդ</w:t>
      </w:r>
      <w:r w:rsidR="008F7405" w:rsidRPr="00C72AB5">
        <w:rPr>
          <w:rFonts w:ascii="GHEA Grapalat" w:hAnsi="GHEA Grapalat"/>
          <w:sz w:val="24"/>
          <w:szCs w:val="24"/>
        </w:rPr>
        <w:t>ել, որ հասարակագիտական և հումանիտար գիտությունների բնագավառներում կադրերի պատրաստումը մեծ մասամբ իրականացվում է առանց բնագավառի արդյունավետ գիտնականների ներգրավման, ինչը պետք է պատշաճ կերպով հասցեագրվի գիտական աստիճանի շնորհման նոր քաղաքականության շրջանակներում</w:t>
      </w:r>
      <w:r w:rsidR="00BF527B" w:rsidRPr="00C72AB5">
        <w:rPr>
          <w:rFonts w:ascii="GHEA Grapalat" w:hAnsi="GHEA Grapalat"/>
          <w:sz w:val="24"/>
          <w:szCs w:val="24"/>
        </w:rPr>
        <w:t>:</w:t>
      </w:r>
    </w:p>
    <w:p w14:paraId="2F199B09" w14:textId="77777777" w:rsidR="00887E3F" w:rsidRPr="00C72AB5" w:rsidRDefault="00887E3F" w:rsidP="0049437D">
      <w:pPr>
        <w:tabs>
          <w:tab w:val="left" w:pos="851"/>
        </w:tabs>
        <w:spacing w:line="276" w:lineRule="auto"/>
        <w:jc w:val="both"/>
        <w:rPr>
          <w:rFonts w:ascii="GHEA Grapalat" w:hAnsi="GHEA Grapalat"/>
          <w:sz w:val="24"/>
          <w:szCs w:val="24"/>
        </w:rPr>
      </w:pPr>
    </w:p>
    <w:p w14:paraId="3FCB0AA8" w14:textId="7E88F859" w:rsidR="00BD6616" w:rsidRPr="00E81D90" w:rsidRDefault="004956AA" w:rsidP="004B738B">
      <w:pPr>
        <w:pStyle w:val="Heading2"/>
        <w:widowControl w:val="0"/>
      </w:pPr>
      <w:bookmarkStart w:id="7" w:name="_Toc215422086"/>
      <w:r w:rsidRPr="00E81D90">
        <w:t xml:space="preserve">2.3 </w:t>
      </w:r>
      <w:r w:rsidR="00BD6616" w:rsidRPr="00E81D90">
        <w:t>ՀԱՄԱԳՈՐԾԱԿՑՈՒԹՅՈՒՆՆԵՐԻ ՇՐՋԱՆԱԿԸ</w:t>
      </w:r>
      <w:bookmarkEnd w:id="7"/>
    </w:p>
    <w:p w14:paraId="67AC6145" w14:textId="77777777" w:rsidR="00E70C2C" w:rsidRPr="00E70C2C" w:rsidRDefault="00E70C2C" w:rsidP="0073444C"/>
    <w:p w14:paraId="561FF689" w14:textId="4690352B" w:rsidR="00270606" w:rsidRPr="00C72AB5" w:rsidRDefault="0068358C" w:rsidP="004B738B">
      <w:pPr>
        <w:widowControl w:val="0"/>
        <w:tabs>
          <w:tab w:val="left" w:pos="851"/>
        </w:tabs>
        <w:spacing w:line="276" w:lineRule="auto"/>
        <w:ind w:firstLine="567"/>
        <w:jc w:val="both"/>
        <w:rPr>
          <w:rFonts w:ascii="GHEA Grapalat" w:hAnsi="GHEA Grapalat" w:cs="Sylfaen"/>
          <w:bCs/>
          <w:sz w:val="24"/>
          <w:szCs w:val="24"/>
        </w:rPr>
      </w:pPr>
      <w:r w:rsidRPr="00E81D90">
        <w:rPr>
          <w:rFonts w:ascii="GHEA Grapalat" w:hAnsi="GHEA Grapalat" w:cs="Sylfaen"/>
          <w:bCs/>
          <w:sz w:val="24"/>
          <w:szCs w:val="24"/>
        </w:rPr>
        <w:t>2</w:t>
      </w:r>
      <w:r w:rsidR="00310FCE" w:rsidRPr="00E81D90">
        <w:rPr>
          <w:rFonts w:ascii="GHEA Grapalat" w:hAnsi="GHEA Grapalat" w:cs="Sylfaen"/>
          <w:bCs/>
          <w:sz w:val="24"/>
          <w:szCs w:val="24"/>
        </w:rPr>
        <w:t>5</w:t>
      </w:r>
      <w:r w:rsidR="00270606" w:rsidRPr="00E81D90">
        <w:rPr>
          <w:rFonts w:ascii="GHEA Grapalat" w:hAnsi="GHEA Grapalat" w:cs="Sylfaen"/>
          <w:bCs/>
          <w:sz w:val="24"/>
          <w:szCs w:val="24"/>
        </w:rPr>
        <w:t xml:space="preserve">. </w:t>
      </w:r>
      <w:r w:rsidR="00700795" w:rsidRPr="00E81D90">
        <w:rPr>
          <w:rFonts w:ascii="GHEA Grapalat" w:hAnsi="GHEA Grapalat" w:cs="Sylfaen"/>
          <w:sz w:val="24"/>
          <w:szCs w:val="24"/>
        </w:rPr>
        <w:t>Հայաստանի Հանրապետությունը</w:t>
      </w:r>
      <w:r w:rsidR="00270606" w:rsidRPr="00E81D90">
        <w:rPr>
          <w:rFonts w:ascii="GHEA Grapalat" w:hAnsi="GHEA Grapalat" w:cs="Sylfaen"/>
          <w:bCs/>
          <w:sz w:val="24"/>
          <w:szCs w:val="24"/>
        </w:rPr>
        <w:t xml:space="preserve"> </w:t>
      </w:r>
      <w:r w:rsidR="00102258" w:rsidRPr="00E81D90">
        <w:rPr>
          <w:rFonts w:ascii="GHEA Grapalat" w:hAnsi="GHEA Grapalat" w:cs="Sylfaen"/>
          <w:bCs/>
          <w:sz w:val="24"/>
          <w:szCs w:val="24"/>
        </w:rPr>
        <w:t xml:space="preserve">ներպետական ընթացակարգերով անցած և </w:t>
      </w:r>
      <w:r w:rsidR="00102258">
        <w:rPr>
          <w:rFonts w:ascii="GHEA Grapalat" w:hAnsi="GHEA Grapalat" w:cs="Sylfaen"/>
          <w:bCs/>
          <w:sz w:val="24"/>
          <w:szCs w:val="24"/>
        </w:rPr>
        <w:t xml:space="preserve">վավերացված ընթացակարգերի համաձայն </w:t>
      </w:r>
      <w:r w:rsidR="00270606" w:rsidRPr="00C72AB5">
        <w:rPr>
          <w:rFonts w:ascii="GHEA Grapalat" w:hAnsi="GHEA Grapalat" w:cs="Sylfaen"/>
          <w:bCs/>
          <w:sz w:val="24"/>
          <w:szCs w:val="24"/>
        </w:rPr>
        <w:t xml:space="preserve">մասնակցում կամ անդամակցում է հետևյալ </w:t>
      </w:r>
      <w:r w:rsidR="00270606" w:rsidRPr="00C72AB5">
        <w:rPr>
          <w:rFonts w:ascii="GHEA Grapalat" w:hAnsi="GHEA Grapalat" w:cs="Sylfaen"/>
          <w:bCs/>
          <w:sz w:val="24"/>
          <w:szCs w:val="24"/>
        </w:rPr>
        <w:lastRenderedPageBreak/>
        <w:t xml:space="preserve">միջազգային հարթակներին և կառույցներին՝ </w:t>
      </w:r>
    </w:p>
    <w:p w14:paraId="2D690972" w14:textId="0E74814D" w:rsidR="00270606" w:rsidRPr="00C72AB5" w:rsidRDefault="00700795" w:rsidP="004B738B">
      <w:pPr>
        <w:widowControl w:val="0"/>
        <w:tabs>
          <w:tab w:val="left" w:pos="851"/>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t xml:space="preserve">1) </w:t>
      </w:r>
      <w:r w:rsidR="00270606" w:rsidRPr="00C72AB5">
        <w:rPr>
          <w:rFonts w:ascii="GHEA Grapalat" w:hAnsi="GHEA Grapalat" w:cs="Sylfaen"/>
          <w:sz w:val="24"/>
          <w:szCs w:val="24"/>
        </w:rPr>
        <w:t>Եվրոպական միության «Հորիզոն Եվրոպա» հետազոտությունների և նորարարության շրջանակային  ծրագիր</w:t>
      </w:r>
      <w:r w:rsidR="00270606" w:rsidRPr="00C72AB5">
        <w:rPr>
          <w:rFonts w:ascii="GHEA Grapalat" w:hAnsi="GHEA Grapalat" w:cs="Sylfaen"/>
          <w:sz w:val="24"/>
          <w:szCs w:val="24"/>
          <w:vertAlign w:val="superscript"/>
        </w:rPr>
        <w:footnoteReference w:id="23"/>
      </w:r>
      <w:r w:rsidR="00270606" w:rsidRPr="00C72AB5">
        <w:rPr>
          <w:rFonts w:ascii="GHEA Grapalat" w:hAnsi="GHEA Grapalat" w:cs="Sylfaen"/>
          <w:sz w:val="24"/>
          <w:szCs w:val="24"/>
        </w:rPr>
        <w:t>,</w:t>
      </w:r>
    </w:p>
    <w:p w14:paraId="319C384D" w14:textId="766CD609" w:rsidR="00270606" w:rsidRDefault="00700795" w:rsidP="004B738B">
      <w:pPr>
        <w:widowControl w:val="0"/>
        <w:tabs>
          <w:tab w:val="left" w:pos="851"/>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t xml:space="preserve">2) </w:t>
      </w:r>
      <w:r w:rsidR="00270606" w:rsidRPr="00C72AB5">
        <w:rPr>
          <w:rFonts w:ascii="GHEA Grapalat" w:hAnsi="GHEA Grapalat" w:cs="Sylfaen"/>
          <w:sz w:val="24"/>
          <w:szCs w:val="24"/>
        </w:rPr>
        <w:t>Միջուկային հետազոտությունների միացյալ ինստիտուտ</w:t>
      </w:r>
      <w:r w:rsidR="00270606" w:rsidRPr="00E65130">
        <w:rPr>
          <w:rFonts w:ascii="GHEA Grapalat" w:hAnsi="GHEA Grapalat" w:cs="Sylfaen"/>
          <w:sz w:val="24"/>
          <w:szCs w:val="24"/>
          <w:vertAlign w:val="superscript"/>
        </w:rPr>
        <w:footnoteReference w:id="24"/>
      </w:r>
      <w:r w:rsidR="00270606" w:rsidRPr="00C72AB5">
        <w:rPr>
          <w:rFonts w:ascii="GHEA Grapalat" w:hAnsi="GHEA Grapalat" w:cs="Sylfaen"/>
          <w:sz w:val="24"/>
          <w:szCs w:val="24"/>
        </w:rPr>
        <w:t xml:space="preserve"> (</w:t>
      </w:r>
      <w:r w:rsidRPr="00C72AB5">
        <w:rPr>
          <w:rFonts w:ascii="GHEA Grapalat" w:hAnsi="GHEA Grapalat" w:cs="Sylfaen"/>
          <w:sz w:val="24"/>
          <w:szCs w:val="24"/>
        </w:rPr>
        <w:t>JINR</w:t>
      </w:r>
      <w:r w:rsidR="00270606" w:rsidRPr="00C72AB5">
        <w:rPr>
          <w:rFonts w:ascii="GHEA Grapalat" w:hAnsi="GHEA Grapalat" w:cs="Sylfaen"/>
          <w:sz w:val="24"/>
          <w:szCs w:val="24"/>
        </w:rPr>
        <w:t>, ՌԴ, Դուբնա),</w:t>
      </w:r>
    </w:p>
    <w:p w14:paraId="2775320C" w14:textId="5CE91873" w:rsidR="00102258" w:rsidRPr="00E70C2C" w:rsidRDefault="00102258" w:rsidP="00102258">
      <w:pPr>
        <w:widowControl w:val="0"/>
        <w:tabs>
          <w:tab w:val="left" w:pos="851"/>
        </w:tabs>
        <w:spacing w:line="276" w:lineRule="auto"/>
        <w:ind w:firstLine="567"/>
        <w:jc w:val="both"/>
        <w:rPr>
          <w:rFonts w:ascii="GHEA Grapalat" w:hAnsi="GHEA Grapalat" w:cs="Sylfaen"/>
          <w:sz w:val="24"/>
          <w:szCs w:val="24"/>
        </w:rPr>
      </w:pPr>
      <w:r w:rsidRPr="00E70C2C">
        <w:rPr>
          <w:rFonts w:ascii="GHEA Grapalat" w:hAnsi="GHEA Grapalat" w:cs="Sylfaen"/>
          <w:sz w:val="24"/>
          <w:szCs w:val="24"/>
        </w:rPr>
        <w:t>3</w:t>
      </w:r>
      <w:r w:rsidR="00E70C2C" w:rsidRPr="00E70C2C">
        <w:rPr>
          <w:rFonts w:ascii="GHEA Grapalat" w:hAnsi="GHEA Grapalat" w:cs="Sylfaen"/>
          <w:sz w:val="24"/>
          <w:szCs w:val="24"/>
        </w:rPr>
        <w:t xml:space="preserve">) </w:t>
      </w:r>
      <w:r w:rsidRPr="00E70C2C">
        <w:rPr>
          <w:rFonts w:ascii="GHEA Grapalat" w:hAnsi="GHEA Grapalat" w:cs="Sylfaen"/>
          <w:sz w:val="24"/>
          <w:szCs w:val="24"/>
        </w:rPr>
        <w:t>Միջազգային գիտատեխնիկական կենտրոն (ISTC)</w:t>
      </w:r>
      <w:r w:rsidRPr="00E65130">
        <w:rPr>
          <w:rFonts w:cs="Sylfaen"/>
          <w:vertAlign w:val="superscript"/>
        </w:rPr>
        <w:footnoteReference w:id="25"/>
      </w:r>
      <w:r w:rsidRPr="00E70C2C">
        <w:rPr>
          <w:rFonts w:ascii="GHEA Grapalat" w:hAnsi="GHEA Grapalat" w:cs="Sylfaen"/>
          <w:sz w:val="24"/>
          <w:szCs w:val="24"/>
        </w:rPr>
        <w:t>, որպես հիմնադիր պետություն:</w:t>
      </w:r>
    </w:p>
    <w:p w14:paraId="335A3A23" w14:textId="1189C65C" w:rsidR="00102258" w:rsidRPr="00E81D90" w:rsidRDefault="00102258" w:rsidP="00102258">
      <w:pPr>
        <w:widowControl w:val="0"/>
        <w:tabs>
          <w:tab w:val="left" w:pos="851"/>
        </w:tabs>
        <w:spacing w:line="276" w:lineRule="auto"/>
        <w:jc w:val="both"/>
        <w:rPr>
          <w:rFonts w:ascii="GHEA Grapalat" w:hAnsi="GHEA Grapalat" w:cs="Sylfaen"/>
          <w:sz w:val="24"/>
          <w:szCs w:val="24"/>
        </w:rPr>
      </w:pPr>
      <w:r>
        <w:rPr>
          <w:rFonts w:ascii="GHEA Grapalat" w:hAnsi="GHEA Grapalat" w:cs="Sylfaen"/>
          <w:sz w:val="24"/>
          <w:szCs w:val="24"/>
        </w:rPr>
        <w:t xml:space="preserve">Որպես օրինակներ` կազմակերպությունների մակարդակով </w:t>
      </w:r>
      <w:r w:rsidR="00E70C2C" w:rsidRPr="00E81D90">
        <w:rPr>
          <w:rFonts w:ascii="GHEA Grapalat" w:hAnsi="GHEA Grapalat" w:cs="Sylfaen"/>
          <w:sz w:val="24"/>
          <w:szCs w:val="24"/>
        </w:rPr>
        <w:t>Հայաստանի Հանրապետություն</w:t>
      </w:r>
      <w:r w:rsidR="00E81D90" w:rsidRPr="00E81D90">
        <w:rPr>
          <w:rFonts w:ascii="GHEA Grapalat" w:hAnsi="GHEA Grapalat" w:cs="Sylfaen"/>
          <w:sz w:val="24"/>
          <w:szCs w:val="24"/>
        </w:rPr>
        <w:t>ը</w:t>
      </w:r>
      <w:r w:rsidRPr="00E81D90">
        <w:rPr>
          <w:rFonts w:ascii="GHEA Grapalat" w:hAnsi="GHEA Grapalat" w:cs="Sylfaen"/>
          <w:sz w:val="24"/>
          <w:szCs w:val="24"/>
        </w:rPr>
        <w:t xml:space="preserve"> համագործակցում կամ անդամակցում է նաև հետևյալ կառույցներին`</w:t>
      </w:r>
    </w:p>
    <w:p w14:paraId="5128AC4D" w14:textId="09C6283D" w:rsidR="00270606" w:rsidRPr="00C72AB5" w:rsidRDefault="000A480B" w:rsidP="004B738B">
      <w:pPr>
        <w:widowControl w:val="0"/>
        <w:tabs>
          <w:tab w:val="left" w:pos="851"/>
        </w:tabs>
        <w:spacing w:line="276" w:lineRule="auto"/>
        <w:ind w:firstLine="567"/>
        <w:jc w:val="both"/>
        <w:rPr>
          <w:rFonts w:ascii="GHEA Grapalat" w:hAnsi="GHEA Grapalat" w:cs="Sylfaen"/>
          <w:sz w:val="24"/>
          <w:szCs w:val="24"/>
        </w:rPr>
      </w:pPr>
      <w:r>
        <w:rPr>
          <w:rFonts w:ascii="GHEA Grapalat" w:hAnsi="GHEA Grapalat" w:cs="Sylfaen"/>
          <w:sz w:val="24"/>
          <w:szCs w:val="24"/>
        </w:rPr>
        <w:t>1</w:t>
      </w:r>
      <w:r w:rsidR="00700795" w:rsidRPr="00C72AB5">
        <w:rPr>
          <w:rFonts w:ascii="GHEA Grapalat" w:hAnsi="GHEA Grapalat" w:cs="Sylfaen"/>
          <w:sz w:val="24"/>
          <w:szCs w:val="24"/>
        </w:rPr>
        <w:t xml:space="preserve">) </w:t>
      </w:r>
      <w:r w:rsidR="00270606" w:rsidRPr="00C72AB5">
        <w:rPr>
          <w:rFonts w:ascii="GHEA Grapalat" w:hAnsi="GHEA Grapalat" w:cs="Sylfaen"/>
          <w:sz w:val="24"/>
          <w:szCs w:val="24"/>
        </w:rPr>
        <w:t>Բարձր էներգիաների ստերեոսկոպիկ համակարգ</w:t>
      </w:r>
      <w:r w:rsidR="00270606" w:rsidRPr="00C72AB5">
        <w:rPr>
          <w:rFonts w:ascii="GHEA Grapalat" w:hAnsi="GHEA Grapalat" w:cs="Sylfaen"/>
          <w:sz w:val="24"/>
          <w:szCs w:val="24"/>
          <w:vertAlign w:val="superscript"/>
        </w:rPr>
        <w:footnoteReference w:id="26"/>
      </w:r>
      <w:r w:rsidR="00270606" w:rsidRPr="00C72AB5">
        <w:rPr>
          <w:rFonts w:ascii="GHEA Grapalat" w:hAnsi="GHEA Grapalat" w:cs="Sylfaen"/>
          <w:sz w:val="24"/>
          <w:szCs w:val="24"/>
        </w:rPr>
        <w:t xml:space="preserve"> (H.E.S.S.), </w:t>
      </w:r>
    </w:p>
    <w:p w14:paraId="553CE56F" w14:textId="54AD40D6" w:rsidR="00270606" w:rsidRPr="00C72AB5" w:rsidRDefault="000A480B" w:rsidP="004B738B">
      <w:pPr>
        <w:widowControl w:val="0"/>
        <w:tabs>
          <w:tab w:val="left" w:pos="851"/>
        </w:tabs>
        <w:spacing w:line="276" w:lineRule="auto"/>
        <w:ind w:firstLine="567"/>
        <w:jc w:val="both"/>
        <w:rPr>
          <w:rFonts w:ascii="GHEA Grapalat" w:hAnsi="GHEA Grapalat" w:cs="Sylfaen"/>
          <w:sz w:val="24"/>
          <w:szCs w:val="24"/>
        </w:rPr>
      </w:pPr>
      <w:r>
        <w:rPr>
          <w:rFonts w:ascii="GHEA Grapalat" w:hAnsi="GHEA Grapalat" w:cs="Sylfaen"/>
          <w:sz w:val="24"/>
          <w:szCs w:val="24"/>
        </w:rPr>
        <w:t>2</w:t>
      </w:r>
      <w:r w:rsidR="00700795" w:rsidRPr="00C72AB5">
        <w:rPr>
          <w:rFonts w:ascii="GHEA Grapalat" w:hAnsi="GHEA Grapalat" w:cs="Sylfaen"/>
          <w:sz w:val="24"/>
          <w:szCs w:val="24"/>
        </w:rPr>
        <w:t xml:space="preserve">) </w:t>
      </w:r>
      <w:r w:rsidR="00270606" w:rsidRPr="00C72AB5">
        <w:rPr>
          <w:rFonts w:ascii="GHEA Grapalat" w:hAnsi="GHEA Grapalat" w:cs="Sylfaen"/>
          <w:sz w:val="24"/>
          <w:szCs w:val="24"/>
        </w:rPr>
        <w:t>Կյանքի շտրիխ կոդավորման միջազգային կոնսորցիում (iBOL)</w:t>
      </w:r>
      <w:r w:rsidR="00270606" w:rsidRPr="00C72AB5">
        <w:rPr>
          <w:rFonts w:ascii="GHEA Grapalat" w:hAnsi="GHEA Grapalat" w:cs="Sylfaen"/>
          <w:sz w:val="24"/>
          <w:szCs w:val="24"/>
          <w:vertAlign w:val="superscript"/>
        </w:rPr>
        <w:footnoteReference w:id="27"/>
      </w:r>
      <w:r w:rsidR="00B1275D">
        <w:rPr>
          <w:rFonts w:ascii="GHEA Grapalat" w:hAnsi="GHEA Grapalat" w:cs="Sylfaen"/>
          <w:sz w:val="24"/>
          <w:szCs w:val="24"/>
        </w:rPr>
        <w:t>,</w:t>
      </w:r>
    </w:p>
    <w:p w14:paraId="12FA62F2" w14:textId="2D80218B" w:rsidR="00102258" w:rsidRPr="00B1275D" w:rsidRDefault="000A480B" w:rsidP="0034051E">
      <w:pPr>
        <w:widowControl w:val="0"/>
        <w:tabs>
          <w:tab w:val="left" w:pos="851"/>
        </w:tabs>
        <w:spacing w:line="276" w:lineRule="auto"/>
        <w:ind w:firstLine="567"/>
        <w:jc w:val="both"/>
        <w:rPr>
          <w:rFonts w:asciiTheme="minorHAnsi" w:hAnsiTheme="minorHAnsi"/>
        </w:rPr>
      </w:pPr>
      <w:r>
        <w:rPr>
          <w:rFonts w:ascii="GHEA Grapalat" w:hAnsi="GHEA Grapalat" w:cs="Sylfaen"/>
          <w:sz w:val="24"/>
          <w:szCs w:val="24"/>
        </w:rPr>
        <w:t>3</w:t>
      </w:r>
      <w:r w:rsidR="00700795" w:rsidRPr="00C72AB5">
        <w:rPr>
          <w:rFonts w:ascii="GHEA Grapalat" w:hAnsi="GHEA Grapalat" w:cs="Sylfaen"/>
          <w:sz w:val="24"/>
          <w:szCs w:val="24"/>
        </w:rPr>
        <w:t xml:space="preserve">) </w:t>
      </w:r>
      <w:r w:rsidR="0034051E" w:rsidRPr="0034051E">
        <w:rPr>
          <w:rFonts w:ascii="GHEA Grapalat" w:hAnsi="GHEA Grapalat" w:cs="Sylfaen"/>
          <w:sz w:val="24"/>
          <w:szCs w:val="24"/>
        </w:rPr>
        <w:t>Միջուկային հետազոտությունների եվրոպական կազմակերպություն (CERN</w:t>
      </w:r>
      <w:r w:rsidR="0034051E" w:rsidRPr="00C72AB5">
        <w:rPr>
          <w:rStyle w:val="FootnoteReference"/>
          <w:rFonts w:ascii="GHEA Grapalat" w:hAnsi="GHEA Grapalat" w:cs="Sylfaen"/>
          <w:sz w:val="24"/>
          <w:szCs w:val="24"/>
        </w:rPr>
        <w:footnoteReference w:id="28"/>
      </w:r>
      <w:r w:rsidR="001C7A31">
        <w:rPr>
          <w:rFonts w:ascii="GHEA Grapalat" w:hAnsi="GHEA Grapalat" w:cs="Sylfaen"/>
          <w:sz w:val="24"/>
          <w:szCs w:val="24"/>
        </w:rPr>
        <w:t>)</w:t>
      </w:r>
      <w:r w:rsidR="0034051E" w:rsidRPr="0034051E">
        <w:rPr>
          <w:rFonts w:ascii="GHEA Grapalat" w:hAnsi="GHEA Grapalat" w:cs="Sylfaen"/>
          <w:sz w:val="24"/>
          <w:szCs w:val="24"/>
        </w:rPr>
        <w:t>՝ ոչ ասոցացված հ</w:t>
      </w:r>
      <w:r w:rsidR="00B1275D">
        <w:rPr>
          <w:rFonts w:ascii="GHEA Grapalat" w:hAnsi="GHEA Grapalat" w:cs="Sylfaen"/>
          <w:sz w:val="24"/>
          <w:szCs w:val="24"/>
        </w:rPr>
        <w:t>ամագործակցող երկրի կարգավիճակով,</w:t>
      </w:r>
    </w:p>
    <w:p w14:paraId="11A0CE84" w14:textId="513DBE4E" w:rsidR="00102258" w:rsidRDefault="000A480B" w:rsidP="004B738B">
      <w:pPr>
        <w:widowControl w:val="0"/>
        <w:tabs>
          <w:tab w:val="left" w:pos="851"/>
        </w:tabs>
        <w:spacing w:line="276" w:lineRule="auto"/>
        <w:ind w:firstLine="567"/>
        <w:jc w:val="both"/>
        <w:rPr>
          <w:rFonts w:ascii="GHEA Grapalat" w:hAnsi="GHEA Grapalat" w:cs="Sylfaen"/>
          <w:sz w:val="24"/>
          <w:szCs w:val="24"/>
        </w:rPr>
      </w:pPr>
      <w:r>
        <w:rPr>
          <w:rFonts w:ascii="GHEA Grapalat" w:hAnsi="GHEA Grapalat" w:cs="Sylfaen"/>
          <w:sz w:val="24"/>
          <w:szCs w:val="24"/>
        </w:rPr>
        <w:t>4</w:t>
      </w:r>
      <w:r w:rsidR="00102258" w:rsidRPr="003623CC">
        <w:rPr>
          <w:rFonts w:ascii="GHEA Grapalat" w:hAnsi="GHEA Grapalat" w:cs="Sylfaen"/>
          <w:sz w:val="24"/>
          <w:szCs w:val="24"/>
        </w:rPr>
        <w:t>) Միջազգային գիտական կազմակերպությունների համագործակցությանը (</w:t>
      </w:r>
      <w:r w:rsidR="00102258" w:rsidRPr="00102258">
        <w:rPr>
          <w:rFonts w:ascii="GHEA Grapalat" w:hAnsi="GHEA Grapalat" w:cs="Sylfaen"/>
          <w:sz w:val="24"/>
          <w:szCs w:val="24"/>
        </w:rPr>
        <w:t>The Alliance of International Science Organizations (ANSO)</w:t>
      </w:r>
      <w:r w:rsidR="00102258">
        <w:rPr>
          <w:rFonts w:ascii="GHEA Grapalat" w:hAnsi="GHEA Grapalat" w:cs="Sylfaen"/>
          <w:sz w:val="24"/>
          <w:szCs w:val="24"/>
        </w:rPr>
        <w:t>)</w:t>
      </w:r>
      <w:r w:rsidR="00102258" w:rsidRPr="003623CC">
        <w:rPr>
          <w:vertAlign w:val="superscript"/>
        </w:rPr>
        <w:footnoteReference w:id="29"/>
      </w:r>
      <w:r w:rsidR="00014CF9">
        <w:rPr>
          <w:rFonts w:ascii="GHEA Grapalat" w:hAnsi="GHEA Grapalat" w:cs="Sylfaen"/>
          <w:sz w:val="24"/>
          <w:szCs w:val="24"/>
        </w:rPr>
        <w:t>,</w:t>
      </w:r>
    </w:p>
    <w:p w14:paraId="4547AB12" w14:textId="296F549E" w:rsidR="00102258" w:rsidRDefault="000A480B" w:rsidP="004B738B">
      <w:pPr>
        <w:widowControl w:val="0"/>
        <w:tabs>
          <w:tab w:val="left" w:pos="851"/>
        </w:tabs>
        <w:spacing w:line="276" w:lineRule="auto"/>
        <w:ind w:firstLine="567"/>
        <w:jc w:val="both"/>
        <w:rPr>
          <w:rFonts w:ascii="GHEA Grapalat" w:hAnsi="GHEA Grapalat" w:cs="Sylfaen"/>
          <w:sz w:val="24"/>
          <w:szCs w:val="24"/>
        </w:rPr>
      </w:pPr>
      <w:r>
        <w:rPr>
          <w:rFonts w:ascii="GHEA Grapalat" w:hAnsi="GHEA Grapalat" w:cs="Sylfaen"/>
          <w:sz w:val="24"/>
          <w:szCs w:val="24"/>
        </w:rPr>
        <w:t>5</w:t>
      </w:r>
      <w:r w:rsidR="00102258">
        <w:rPr>
          <w:rFonts w:ascii="GHEA Grapalat" w:hAnsi="GHEA Grapalat" w:cs="Sylfaen"/>
          <w:sz w:val="24"/>
          <w:szCs w:val="24"/>
        </w:rPr>
        <w:t xml:space="preserve">) </w:t>
      </w:r>
      <w:r w:rsidR="00014CF9">
        <w:rPr>
          <w:rFonts w:ascii="GHEA Grapalat" w:hAnsi="GHEA Grapalat" w:cs="Sylfaen"/>
          <w:sz w:val="24"/>
          <w:szCs w:val="24"/>
        </w:rPr>
        <w:t xml:space="preserve">Միջազգային </w:t>
      </w:r>
      <w:r w:rsidR="00014CF9" w:rsidRPr="00E81D90">
        <w:rPr>
          <w:rFonts w:ascii="GHEA Grapalat" w:hAnsi="GHEA Grapalat" w:cs="Sylfaen"/>
          <w:sz w:val="24"/>
          <w:szCs w:val="24"/>
        </w:rPr>
        <w:t>գիտական խորհուրդին (</w:t>
      </w:r>
      <w:r w:rsidR="00102258" w:rsidRPr="00102258">
        <w:rPr>
          <w:rFonts w:ascii="GHEA Grapalat" w:hAnsi="GHEA Grapalat" w:cs="Sylfaen"/>
          <w:sz w:val="24"/>
          <w:szCs w:val="24"/>
        </w:rPr>
        <w:t>International Science Council (ISC)</w:t>
      </w:r>
      <w:r w:rsidR="00014CF9">
        <w:rPr>
          <w:rFonts w:ascii="GHEA Grapalat" w:hAnsi="GHEA Grapalat" w:cs="Sylfaen"/>
          <w:sz w:val="24"/>
          <w:szCs w:val="24"/>
        </w:rPr>
        <w:t>)</w:t>
      </w:r>
      <w:r w:rsidR="00014CF9">
        <w:rPr>
          <w:rStyle w:val="FootnoteReference"/>
          <w:rFonts w:ascii="GHEA Grapalat" w:hAnsi="GHEA Grapalat" w:cs="Sylfaen"/>
          <w:sz w:val="24"/>
          <w:szCs w:val="24"/>
        </w:rPr>
        <w:footnoteReference w:id="30"/>
      </w:r>
      <w:r w:rsidR="00102258" w:rsidRPr="00E70C2C">
        <w:rPr>
          <w:rFonts w:ascii="GHEA Grapalat" w:hAnsi="GHEA Grapalat" w:cs="Sylfaen"/>
          <w:color w:val="FF0000"/>
          <w:sz w:val="24"/>
          <w:szCs w:val="24"/>
        </w:rPr>
        <w:t>,</w:t>
      </w:r>
      <w:r w:rsidR="003623CC">
        <w:rPr>
          <w:rFonts w:ascii="GHEA Grapalat" w:hAnsi="GHEA Grapalat" w:cs="Sylfaen"/>
          <w:sz w:val="24"/>
          <w:szCs w:val="24"/>
        </w:rPr>
        <w:t xml:space="preserve"> և այլն:</w:t>
      </w:r>
    </w:p>
    <w:p w14:paraId="73B452DE" w14:textId="37E5B9A8" w:rsidR="00270606" w:rsidRPr="00E81D90" w:rsidRDefault="0068358C" w:rsidP="004B738B">
      <w:pPr>
        <w:widowControl w:val="0"/>
        <w:tabs>
          <w:tab w:val="left" w:pos="851"/>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t>2</w:t>
      </w:r>
      <w:r w:rsidR="00310FCE" w:rsidRPr="00C72AB5">
        <w:rPr>
          <w:rFonts w:ascii="GHEA Grapalat" w:hAnsi="GHEA Grapalat" w:cs="Sylfaen"/>
          <w:sz w:val="24"/>
          <w:szCs w:val="24"/>
        </w:rPr>
        <w:t>6</w:t>
      </w:r>
      <w:r w:rsidR="00700795" w:rsidRPr="00C72AB5">
        <w:rPr>
          <w:rFonts w:ascii="GHEA Grapalat" w:hAnsi="GHEA Grapalat" w:cs="Sylfaen"/>
          <w:sz w:val="24"/>
          <w:szCs w:val="24"/>
        </w:rPr>
        <w:t xml:space="preserve">. </w:t>
      </w:r>
      <w:r w:rsidR="00270606" w:rsidRPr="00C72AB5">
        <w:rPr>
          <w:rFonts w:ascii="GHEA Grapalat" w:hAnsi="GHEA Grapalat" w:cs="Sylfaen"/>
          <w:sz w:val="24"/>
          <w:szCs w:val="24"/>
        </w:rPr>
        <w:t xml:space="preserve">Հայաստանի Հանրապետությունը հանդիսանում </w:t>
      </w:r>
      <w:r w:rsidR="00270606" w:rsidRPr="00E81D90">
        <w:rPr>
          <w:rFonts w:ascii="GHEA Grapalat" w:hAnsi="GHEA Grapalat" w:cs="Sylfaen"/>
          <w:sz w:val="24"/>
          <w:szCs w:val="24"/>
        </w:rPr>
        <w:t xml:space="preserve">է նաև </w:t>
      </w:r>
      <w:r w:rsidR="00270606" w:rsidRPr="00C72AB5">
        <w:rPr>
          <w:rFonts w:ascii="GHEA Grapalat" w:hAnsi="GHEA Grapalat" w:cs="Sylfaen"/>
          <w:sz w:val="24"/>
          <w:szCs w:val="24"/>
        </w:rPr>
        <w:t>հետևյալ գիտական ռեսուրսների և գիտատեղեկատվական համակարգերի բաժանորդ</w:t>
      </w:r>
      <w:r w:rsidR="000015BE" w:rsidRPr="00C72AB5">
        <w:rPr>
          <w:rFonts w:ascii="GHEA Grapalat" w:hAnsi="GHEA Grapalat" w:cs="Sylfaen"/>
          <w:sz w:val="24"/>
          <w:szCs w:val="24"/>
        </w:rPr>
        <w:t xml:space="preserve">, ինչը գիտական կազմակերպությունների համար ապահովում է նշված ռեսուրսներին հասանելիություն </w:t>
      </w:r>
      <w:r w:rsidR="000015BE" w:rsidRPr="00E81D90">
        <w:rPr>
          <w:rFonts w:ascii="GHEA Grapalat" w:hAnsi="GHEA Grapalat" w:cs="Sylfaen"/>
          <w:sz w:val="24"/>
          <w:szCs w:val="24"/>
        </w:rPr>
        <w:t>իրենց տարածքներում:</w:t>
      </w:r>
    </w:p>
    <w:p w14:paraId="26B8F3D2" w14:textId="27F62B4B" w:rsidR="00270606" w:rsidRPr="00D678D6" w:rsidRDefault="00700795" w:rsidP="004B738B">
      <w:pPr>
        <w:widowControl w:val="0"/>
        <w:tabs>
          <w:tab w:val="left" w:pos="851"/>
        </w:tabs>
        <w:spacing w:line="276" w:lineRule="auto"/>
        <w:ind w:firstLine="567"/>
        <w:jc w:val="both"/>
        <w:rPr>
          <w:rFonts w:ascii="GHEA Grapalat" w:hAnsi="GHEA Grapalat" w:cs="Sylfaen"/>
          <w:sz w:val="24"/>
          <w:szCs w:val="24"/>
        </w:rPr>
      </w:pPr>
      <w:r w:rsidRPr="00E81D90">
        <w:rPr>
          <w:rFonts w:ascii="GHEA Grapalat" w:hAnsi="GHEA Grapalat" w:cs="Sylfaen"/>
          <w:sz w:val="24"/>
          <w:szCs w:val="24"/>
        </w:rPr>
        <w:t>1</w:t>
      </w:r>
      <w:r w:rsidRPr="00D678D6">
        <w:rPr>
          <w:rFonts w:ascii="GHEA Grapalat" w:hAnsi="GHEA Grapalat" w:cs="Sylfaen"/>
          <w:sz w:val="24"/>
          <w:szCs w:val="24"/>
        </w:rPr>
        <w:t xml:space="preserve">) </w:t>
      </w:r>
      <w:r w:rsidR="000A480B">
        <w:rPr>
          <w:rFonts w:ascii="GHEA Grapalat" w:hAnsi="GHEA Grapalat" w:cs="Arial"/>
          <w:sz w:val="24"/>
          <w:szCs w:val="24"/>
        </w:rPr>
        <w:t>Ք</w:t>
      </w:r>
      <w:r w:rsidR="000E3D04" w:rsidRPr="00D678D6">
        <w:rPr>
          <w:rFonts w:ascii="GHEA Grapalat" w:hAnsi="GHEA Grapalat" w:cs="Arial"/>
          <w:sz w:val="24"/>
          <w:szCs w:val="24"/>
        </w:rPr>
        <w:t>լարիվեյթ</w:t>
      </w:r>
      <w:r w:rsidR="000E3D04" w:rsidRPr="00D678D6">
        <w:rPr>
          <w:rFonts w:ascii="GHEA Grapalat" w:hAnsi="GHEA Grapalat"/>
          <w:sz w:val="24"/>
          <w:szCs w:val="24"/>
        </w:rPr>
        <w:t xml:space="preserve"> </w:t>
      </w:r>
      <w:r w:rsidR="000E3D04" w:rsidRPr="00D678D6">
        <w:rPr>
          <w:rFonts w:ascii="GHEA Grapalat" w:hAnsi="GHEA Grapalat" w:cs="Arial"/>
          <w:sz w:val="24"/>
          <w:szCs w:val="24"/>
        </w:rPr>
        <w:t>Անալիթիքս-Վեբ</w:t>
      </w:r>
      <w:r w:rsidR="000E3D04" w:rsidRPr="00D678D6">
        <w:rPr>
          <w:rFonts w:ascii="GHEA Grapalat" w:hAnsi="GHEA Grapalat"/>
          <w:sz w:val="24"/>
          <w:szCs w:val="24"/>
        </w:rPr>
        <w:t xml:space="preserve"> </w:t>
      </w:r>
      <w:r w:rsidR="000E3D04" w:rsidRPr="00D678D6">
        <w:rPr>
          <w:rFonts w:ascii="GHEA Grapalat" w:hAnsi="GHEA Grapalat" w:cs="Arial"/>
          <w:sz w:val="24"/>
          <w:szCs w:val="24"/>
        </w:rPr>
        <w:t>օֆ</w:t>
      </w:r>
      <w:r w:rsidR="000E3D04" w:rsidRPr="00D678D6">
        <w:rPr>
          <w:rFonts w:ascii="GHEA Grapalat" w:hAnsi="GHEA Grapalat"/>
          <w:sz w:val="24"/>
          <w:szCs w:val="24"/>
        </w:rPr>
        <w:t xml:space="preserve"> </w:t>
      </w:r>
      <w:r w:rsidR="00B1275D">
        <w:rPr>
          <w:rFonts w:ascii="GHEA Grapalat" w:hAnsi="GHEA Grapalat" w:cs="Arial"/>
          <w:sz w:val="24"/>
          <w:szCs w:val="24"/>
        </w:rPr>
        <w:t>Սայ</w:t>
      </w:r>
      <w:r w:rsidR="000E3D04" w:rsidRPr="00D678D6">
        <w:rPr>
          <w:rFonts w:ascii="GHEA Grapalat" w:hAnsi="GHEA Grapalat" w:cs="Arial"/>
          <w:sz w:val="24"/>
          <w:szCs w:val="24"/>
        </w:rPr>
        <w:t>նս</w:t>
      </w:r>
      <w:r w:rsidR="000E3D04" w:rsidRPr="00D678D6">
        <w:rPr>
          <w:rFonts w:ascii="GHEA Grapalat" w:hAnsi="GHEA Grapalat" w:cs="Sylfaen"/>
          <w:sz w:val="24"/>
          <w:szCs w:val="24"/>
        </w:rPr>
        <w:t xml:space="preserve"> </w:t>
      </w:r>
      <w:r w:rsidR="00D678D6" w:rsidRPr="00223C8D">
        <w:rPr>
          <w:rFonts w:ascii="GHEA Grapalat" w:hAnsi="GHEA Grapalat" w:cs="Sylfaen"/>
          <w:sz w:val="24"/>
          <w:szCs w:val="24"/>
        </w:rPr>
        <w:t>(</w:t>
      </w:r>
      <w:r w:rsidR="000E3D04" w:rsidRPr="00D678D6">
        <w:rPr>
          <w:rFonts w:ascii="GHEA Grapalat" w:hAnsi="GHEA Grapalat" w:cs="Sylfaen"/>
          <w:sz w:val="24"/>
          <w:szCs w:val="24"/>
        </w:rPr>
        <w:t>Clarivate Analytics - Web of Science</w:t>
      </w:r>
      <w:r w:rsidR="00D678D6" w:rsidRPr="00223C8D">
        <w:rPr>
          <w:rFonts w:ascii="GHEA Grapalat" w:hAnsi="GHEA Grapalat" w:cs="Sylfaen"/>
          <w:sz w:val="24"/>
          <w:szCs w:val="24"/>
        </w:rPr>
        <w:t xml:space="preserve">) </w:t>
      </w:r>
      <w:r w:rsidR="00270606" w:rsidRPr="00D678D6">
        <w:rPr>
          <w:rFonts w:ascii="GHEA Grapalat" w:hAnsi="GHEA Grapalat" w:cs="Sylfaen"/>
          <w:sz w:val="24"/>
          <w:szCs w:val="24"/>
        </w:rPr>
        <w:t>գիտատեղեկատվական շտեմարանի ռեսուրսներ</w:t>
      </w:r>
      <w:r w:rsidR="00270606" w:rsidRPr="00D678D6">
        <w:rPr>
          <w:rFonts w:ascii="GHEA Grapalat" w:hAnsi="GHEA Grapalat" w:cs="Sylfaen"/>
          <w:sz w:val="24"/>
          <w:szCs w:val="24"/>
          <w:vertAlign w:val="superscript"/>
        </w:rPr>
        <w:footnoteReference w:id="31"/>
      </w:r>
      <w:r w:rsidR="00270606" w:rsidRPr="00D678D6">
        <w:rPr>
          <w:rFonts w:ascii="GHEA Grapalat" w:hAnsi="GHEA Grapalat" w:cs="Sylfaen"/>
          <w:sz w:val="24"/>
          <w:szCs w:val="24"/>
        </w:rPr>
        <w:t>,</w:t>
      </w:r>
    </w:p>
    <w:p w14:paraId="6737ED77" w14:textId="3F809E0C" w:rsidR="000015BE" w:rsidRPr="00D678D6" w:rsidRDefault="00700795" w:rsidP="004B738B">
      <w:pPr>
        <w:widowControl w:val="0"/>
        <w:tabs>
          <w:tab w:val="left" w:pos="851"/>
        </w:tabs>
        <w:spacing w:line="276" w:lineRule="auto"/>
        <w:ind w:firstLine="567"/>
        <w:jc w:val="both"/>
        <w:rPr>
          <w:rFonts w:ascii="GHEA Grapalat" w:hAnsi="GHEA Grapalat" w:cs="Sylfaen"/>
          <w:sz w:val="24"/>
          <w:szCs w:val="24"/>
        </w:rPr>
      </w:pPr>
      <w:r w:rsidRPr="00D678D6">
        <w:rPr>
          <w:rFonts w:ascii="GHEA Grapalat" w:hAnsi="GHEA Grapalat" w:cs="Sylfaen"/>
          <w:sz w:val="24"/>
          <w:szCs w:val="24"/>
        </w:rPr>
        <w:t xml:space="preserve">2) </w:t>
      </w:r>
      <w:r w:rsidR="000E3D04" w:rsidRPr="00D678D6">
        <w:rPr>
          <w:rFonts w:ascii="GHEA Grapalat" w:hAnsi="GHEA Grapalat" w:cs="Arial"/>
          <w:sz w:val="24"/>
          <w:szCs w:val="24"/>
        </w:rPr>
        <w:t>Էլ</w:t>
      </w:r>
      <w:r w:rsidR="000A480B">
        <w:rPr>
          <w:rFonts w:ascii="GHEA Grapalat" w:hAnsi="GHEA Grapalat" w:cs="Arial"/>
          <w:sz w:val="24"/>
          <w:szCs w:val="24"/>
        </w:rPr>
        <w:t>զեվ</w:t>
      </w:r>
      <w:r w:rsidR="000E3D04" w:rsidRPr="00D678D6">
        <w:rPr>
          <w:rFonts w:ascii="GHEA Grapalat" w:hAnsi="GHEA Grapalat" w:cs="Arial"/>
          <w:sz w:val="24"/>
          <w:szCs w:val="24"/>
        </w:rPr>
        <w:t>իեր</w:t>
      </w:r>
      <w:r w:rsidR="00270606" w:rsidRPr="00D678D6">
        <w:rPr>
          <w:rFonts w:ascii="GHEA Grapalat" w:hAnsi="GHEA Grapalat" w:cs="Sylfaen"/>
          <w:sz w:val="24"/>
          <w:szCs w:val="24"/>
        </w:rPr>
        <w:t xml:space="preserve"> </w:t>
      </w:r>
      <w:r w:rsidR="00D678D6" w:rsidRPr="00223C8D">
        <w:rPr>
          <w:rFonts w:ascii="GHEA Grapalat" w:hAnsi="GHEA Grapalat" w:cs="Sylfaen"/>
          <w:sz w:val="24"/>
          <w:szCs w:val="24"/>
        </w:rPr>
        <w:t>(</w:t>
      </w:r>
      <w:r w:rsidR="000E3D04" w:rsidRPr="00D678D6">
        <w:rPr>
          <w:rFonts w:ascii="GHEA Grapalat" w:hAnsi="GHEA Grapalat" w:cs="Sylfaen"/>
          <w:sz w:val="24"/>
          <w:szCs w:val="24"/>
        </w:rPr>
        <w:t>Elsevier</w:t>
      </w:r>
      <w:r w:rsidR="00D678D6" w:rsidRPr="00223C8D">
        <w:rPr>
          <w:rFonts w:ascii="GHEA Grapalat" w:hAnsi="GHEA Grapalat" w:cs="Arial"/>
          <w:sz w:val="24"/>
          <w:szCs w:val="24"/>
        </w:rPr>
        <w:t>)</w:t>
      </w:r>
      <w:r w:rsidR="00D678D6" w:rsidRPr="00D678D6">
        <w:rPr>
          <w:rFonts w:ascii="GHEA Grapalat" w:hAnsi="GHEA Grapalat" w:cs="Sylfaen"/>
          <w:sz w:val="24"/>
          <w:szCs w:val="24"/>
        </w:rPr>
        <w:t xml:space="preserve"> </w:t>
      </w:r>
      <w:r w:rsidR="00270606" w:rsidRPr="00D678D6">
        <w:rPr>
          <w:rFonts w:ascii="GHEA Grapalat" w:hAnsi="GHEA Grapalat" w:cs="Sylfaen"/>
          <w:sz w:val="24"/>
          <w:szCs w:val="24"/>
        </w:rPr>
        <w:t>հրատարակչական ընկերության,</w:t>
      </w:r>
      <w:r w:rsidR="000015BE" w:rsidRPr="00D678D6">
        <w:rPr>
          <w:rFonts w:ascii="GHEA Grapalat" w:hAnsi="GHEA Grapalat" w:cs="Sylfaen"/>
          <w:sz w:val="24"/>
          <w:szCs w:val="24"/>
        </w:rPr>
        <w:t xml:space="preserve"> </w:t>
      </w:r>
      <w:r w:rsidR="000A480B">
        <w:rPr>
          <w:rFonts w:ascii="GHEA Grapalat" w:hAnsi="GHEA Grapalat" w:cs="Arial"/>
          <w:sz w:val="24"/>
          <w:szCs w:val="24"/>
        </w:rPr>
        <w:t>Սայ</w:t>
      </w:r>
      <w:r w:rsidR="000E3D04" w:rsidRPr="00D678D6">
        <w:rPr>
          <w:rFonts w:ascii="GHEA Grapalat" w:hAnsi="GHEA Grapalat" w:cs="Arial"/>
          <w:sz w:val="24"/>
          <w:szCs w:val="24"/>
        </w:rPr>
        <w:t>նս</w:t>
      </w:r>
      <w:r w:rsidR="000E3D04" w:rsidRPr="00D678D6">
        <w:rPr>
          <w:rFonts w:ascii="GHEA Grapalat" w:hAnsi="GHEA Grapalat"/>
          <w:sz w:val="24"/>
          <w:szCs w:val="24"/>
        </w:rPr>
        <w:t xml:space="preserve"> </w:t>
      </w:r>
      <w:r w:rsidR="000E3D04" w:rsidRPr="00D678D6">
        <w:rPr>
          <w:rFonts w:ascii="GHEA Grapalat" w:hAnsi="GHEA Grapalat" w:cs="Arial"/>
          <w:sz w:val="24"/>
          <w:szCs w:val="24"/>
        </w:rPr>
        <w:t>Դայրեքթ</w:t>
      </w:r>
      <w:r w:rsidR="000015BE" w:rsidRPr="00D678D6">
        <w:rPr>
          <w:rFonts w:ascii="GHEA Grapalat" w:hAnsi="GHEA Grapalat" w:cs="Sylfaen"/>
          <w:sz w:val="24"/>
          <w:szCs w:val="24"/>
          <w:vertAlign w:val="superscript"/>
        </w:rPr>
        <w:footnoteReference w:id="32"/>
      </w:r>
      <w:r w:rsidR="00D678D6" w:rsidRPr="00223C8D">
        <w:rPr>
          <w:rFonts w:ascii="GHEA Grapalat" w:hAnsi="GHEA Grapalat" w:cs="Sylfaen"/>
          <w:sz w:val="24"/>
          <w:szCs w:val="24"/>
        </w:rPr>
        <w:t xml:space="preserve"> (</w:t>
      </w:r>
      <w:r w:rsidR="000E3D04" w:rsidRPr="00D678D6">
        <w:rPr>
          <w:rFonts w:ascii="GHEA Grapalat" w:hAnsi="GHEA Grapalat" w:cs="Sylfaen"/>
          <w:sz w:val="24"/>
          <w:szCs w:val="24"/>
        </w:rPr>
        <w:t>Science Direct</w:t>
      </w:r>
      <w:r w:rsidR="00D678D6" w:rsidRPr="00223C8D">
        <w:rPr>
          <w:rFonts w:ascii="GHEA Grapalat" w:hAnsi="GHEA Grapalat" w:cs="Arial"/>
          <w:sz w:val="24"/>
          <w:szCs w:val="24"/>
        </w:rPr>
        <w:t>)</w:t>
      </w:r>
      <w:r w:rsidR="000015BE" w:rsidRPr="00D678D6">
        <w:rPr>
          <w:rFonts w:ascii="GHEA Grapalat" w:hAnsi="GHEA Grapalat" w:cs="Sylfaen"/>
          <w:sz w:val="24"/>
          <w:szCs w:val="24"/>
        </w:rPr>
        <w:t xml:space="preserve"> պորտալին</w:t>
      </w:r>
      <w:r w:rsidR="00BE029F" w:rsidRPr="00D678D6">
        <w:rPr>
          <w:rFonts w:ascii="GHEA Grapalat" w:hAnsi="GHEA Grapalat" w:cs="Sylfaen"/>
          <w:sz w:val="24"/>
          <w:szCs w:val="24"/>
        </w:rPr>
        <w:t>,</w:t>
      </w:r>
    </w:p>
    <w:p w14:paraId="7EAEFF95" w14:textId="7B421635" w:rsidR="00270606" w:rsidRPr="00D678D6" w:rsidRDefault="00700795" w:rsidP="004B738B">
      <w:pPr>
        <w:widowControl w:val="0"/>
        <w:tabs>
          <w:tab w:val="left" w:pos="851"/>
        </w:tabs>
        <w:spacing w:line="276" w:lineRule="auto"/>
        <w:ind w:firstLine="567"/>
        <w:jc w:val="both"/>
        <w:rPr>
          <w:rFonts w:ascii="GHEA Grapalat" w:hAnsi="GHEA Grapalat" w:cs="Sylfaen"/>
          <w:sz w:val="24"/>
          <w:szCs w:val="24"/>
        </w:rPr>
      </w:pPr>
      <w:r w:rsidRPr="00D678D6">
        <w:rPr>
          <w:rFonts w:ascii="GHEA Grapalat" w:hAnsi="GHEA Grapalat" w:cs="Sylfaen"/>
          <w:sz w:val="24"/>
          <w:szCs w:val="24"/>
        </w:rPr>
        <w:t xml:space="preserve">3) </w:t>
      </w:r>
      <w:r w:rsidR="000A480B" w:rsidRPr="00D678D6">
        <w:rPr>
          <w:rFonts w:ascii="GHEA Grapalat" w:hAnsi="GHEA Grapalat" w:cs="Arial"/>
          <w:sz w:val="24"/>
          <w:szCs w:val="24"/>
        </w:rPr>
        <w:t>Էլ</w:t>
      </w:r>
      <w:r w:rsidR="000A480B">
        <w:rPr>
          <w:rFonts w:ascii="GHEA Grapalat" w:hAnsi="GHEA Grapalat" w:cs="Arial"/>
          <w:sz w:val="24"/>
          <w:szCs w:val="24"/>
        </w:rPr>
        <w:t>զեվ</w:t>
      </w:r>
      <w:r w:rsidR="000A480B" w:rsidRPr="00D678D6">
        <w:rPr>
          <w:rFonts w:ascii="GHEA Grapalat" w:hAnsi="GHEA Grapalat" w:cs="Arial"/>
          <w:sz w:val="24"/>
          <w:szCs w:val="24"/>
        </w:rPr>
        <w:t>իեր</w:t>
      </w:r>
      <w:r w:rsidR="000E3D04" w:rsidRPr="00D678D6">
        <w:rPr>
          <w:rFonts w:ascii="GHEA Grapalat" w:hAnsi="GHEA Grapalat" w:cs="Sylfaen"/>
          <w:sz w:val="24"/>
          <w:szCs w:val="24"/>
        </w:rPr>
        <w:t xml:space="preserve"> </w:t>
      </w:r>
      <w:r w:rsidR="000E3D04" w:rsidRPr="00223C8D">
        <w:rPr>
          <w:rFonts w:ascii="GHEA Grapalat" w:hAnsi="GHEA Grapalat" w:cs="Sylfaen"/>
          <w:sz w:val="24"/>
          <w:szCs w:val="24"/>
        </w:rPr>
        <w:t>(</w:t>
      </w:r>
      <w:r w:rsidR="000E3D04" w:rsidRPr="00D678D6">
        <w:rPr>
          <w:rFonts w:ascii="GHEA Grapalat" w:hAnsi="GHEA Grapalat" w:cs="Sylfaen"/>
          <w:sz w:val="24"/>
          <w:szCs w:val="24"/>
        </w:rPr>
        <w:t>Elsevier</w:t>
      </w:r>
      <w:r w:rsidR="000E3D04" w:rsidRPr="00223C8D">
        <w:rPr>
          <w:rFonts w:ascii="GHEA Grapalat" w:hAnsi="GHEA Grapalat" w:cs="Arial"/>
          <w:sz w:val="24"/>
          <w:szCs w:val="24"/>
        </w:rPr>
        <w:t>)</w:t>
      </w:r>
      <w:r w:rsidR="000E3D04" w:rsidRPr="00D678D6">
        <w:rPr>
          <w:rFonts w:ascii="GHEA Grapalat" w:hAnsi="GHEA Grapalat" w:cs="Sylfaen"/>
          <w:sz w:val="24"/>
          <w:szCs w:val="24"/>
        </w:rPr>
        <w:t xml:space="preserve"> </w:t>
      </w:r>
      <w:r w:rsidR="00270606" w:rsidRPr="00D678D6">
        <w:rPr>
          <w:rFonts w:ascii="GHEA Grapalat" w:hAnsi="GHEA Grapalat" w:cs="Sylfaen"/>
          <w:sz w:val="24"/>
          <w:szCs w:val="24"/>
        </w:rPr>
        <w:t>գիտատեղեկատվական ռեսուրսներ</w:t>
      </w:r>
      <w:r w:rsidR="000015BE" w:rsidRPr="00D678D6">
        <w:rPr>
          <w:rFonts w:ascii="GHEA Grapalat" w:hAnsi="GHEA Grapalat" w:cs="Sylfaen"/>
          <w:sz w:val="24"/>
          <w:szCs w:val="24"/>
        </w:rPr>
        <w:t xml:space="preserve">ին` </w:t>
      </w:r>
      <w:r w:rsidR="000E3D04" w:rsidRPr="00D678D6">
        <w:rPr>
          <w:rFonts w:ascii="GHEA Grapalat" w:hAnsi="GHEA Grapalat" w:cs="Arial"/>
          <w:sz w:val="24"/>
          <w:szCs w:val="24"/>
        </w:rPr>
        <w:t>Սկոպուս</w:t>
      </w:r>
      <w:r w:rsidR="00D678D6" w:rsidRPr="00223C8D">
        <w:rPr>
          <w:rFonts w:ascii="GHEA Grapalat" w:hAnsi="GHEA Grapalat" w:cs="Sylfaen"/>
          <w:sz w:val="24"/>
          <w:szCs w:val="24"/>
        </w:rPr>
        <w:t xml:space="preserve"> (</w:t>
      </w:r>
      <w:r w:rsidR="000E3D04" w:rsidRPr="00D678D6">
        <w:rPr>
          <w:rFonts w:ascii="GHEA Grapalat" w:hAnsi="GHEA Grapalat" w:cs="Sylfaen"/>
          <w:sz w:val="24"/>
          <w:szCs w:val="24"/>
        </w:rPr>
        <w:t>S</w:t>
      </w:r>
      <w:r w:rsidR="000A480B" w:rsidRPr="00D678D6">
        <w:rPr>
          <w:rFonts w:ascii="GHEA Grapalat" w:hAnsi="GHEA Grapalat" w:cs="Sylfaen"/>
          <w:sz w:val="24"/>
          <w:szCs w:val="24"/>
        </w:rPr>
        <w:t>copus</w:t>
      </w:r>
      <w:r w:rsidR="00D678D6" w:rsidRPr="00223C8D">
        <w:rPr>
          <w:rFonts w:ascii="GHEA Grapalat" w:hAnsi="GHEA Grapalat" w:cs="Arial"/>
          <w:sz w:val="24"/>
          <w:szCs w:val="24"/>
        </w:rPr>
        <w:t>)</w:t>
      </w:r>
      <w:r w:rsidR="00270606" w:rsidRPr="00D678D6">
        <w:rPr>
          <w:rFonts w:ascii="GHEA Grapalat" w:hAnsi="GHEA Grapalat" w:cs="Sylfaen"/>
          <w:sz w:val="24"/>
          <w:szCs w:val="24"/>
        </w:rPr>
        <w:t xml:space="preserve">, </w:t>
      </w:r>
      <w:r w:rsidR="000A480B">
        <w:rPr>
          <w:rFonts w:ascii="GHEA Grapalat" w:hAnsi="GHEA Grapalat" w:cs="Arial"/>
          <w:sz w:val="24"/>
          <w:szCs w:val="24"/>
        </w:rPr>
        <w:t>ՍայՎը</w:t>
      </w:r>
      <w:r w:rsidR="000E3D04" w:rsidRPr="00D678D6">
        <w:rPr>
          <w:rFonts w:ascii="GHEA Grapalat" w:hAnsi="GHEA Grapalat" w:cs="Arial"/>
          <w:sz w:val="24"/>
          <w:szCs w:val="24"/>
        </w:rPr>
        <w:t>լ</w:t>
      </w:r>
      <w:r w:rsidR="000E3D04" w:rsidRPr="00D678D6">
        <w:rPr>
          <w:rFonts w:ascii="GHEA Grapalat" w:hAnsi="GHEA Grapalat" w:cs="Sylfaen"/>
          <w:sz w:val="24"/>
          <w:szCs w:val="24"/>
        </w:rPr>
        <w:t xml:space="preserve"> </w:t>
      </w:r>
      <w:r w:rsidR="00D678D6" w:rsidRPr="00223C8D">
        <w:rPr>
          <w:rFonts w:ascii="GHEA Grapalat" w:hAnsi="GHEA Grapalat" w:cs="Sylfaen"/>
          <w:sz w:val="24"/>
          <w:szCs w:val="24"/>
        </w:rPr>
        <w:t>(</w:t>
      </w:r>
      <w:r w:rsidR="000E3D04" w:rsidRPr="00D678D6">
        <w:rPr>
          <w:rFonts w:ascii="GHEA Grapalat" w:hAnsi="GHEA Grapalat" w:cs="Sylfaen"/>
          <w:sz w:val="24"/>
          <w:szCs w:val="24"/>
        </w:rPr>
        <w:t>S</w:t>
      </w:r>
      <w:r w:rsidR="00B1275D" w:rsidRPr="00D678D6">
        <w:rPr>
          <w:rFonts w:ascii="GHEA Grapalat" w:hAnsi="GHEA Grapalat" w:cs="Sylfaen"/>
          <w:sz w:val="24"/>
          <w:szCs w:val="24"/>
        </w:rPr>
        <w:t>ci</w:t>
      </w:r>
      <w:r w:rsidR="000E3D04" w:rsidRPr="00D678D6">
        <w:rPr>
          <w:rFonts w:ascii="GHEA Grapalat" w:hAnsi="GHEA Grapalat" w:cs="Sylfaen"/>
          <w:sz w:val="24"/>
          <w:szCs w:val="24"/>
        </w:rPr>
        <w:t>V</w:t>
      </w:r>
      <w:r w:rsidR="00B1275D" w:rsidRPr="00D678D6">
        <w:rPr>
          <w:rFonts w:ascii="GHEA Grapalat" w:hAnsi="GHEA Grapalat" w:cs="Sylfaen"/>
          <w:sz w:val="24"/>
          <w:szCs w:val="24"/>
        </w:rPr>
        <w:t>al</w:t>
      </w:r>
      <w:r w:rsidR="00D678D6" w:rsidRPr="00223C8D">
        <w:rPr>
          <w:rFonts w:ascii="GHEA Grapalat" w:hAnsi="GHEA Grapalat" w:cs="Arial"/>
          <w:sz w:val="24"/>
          <w:szCs w:val="24"/>
        </w:rPr>
        <w:t>)</w:t>
      </w:r>
      <w:r w:rsidR="00270606" w:rsidRPr="00D678D6">
        <w:rPr>
          <w:rFonts w:ascii="GHEA Grapalat" w:hAnsi="GHEA Grapalat" w:cs="Sylfaen"/>
          <w:sz w:val="24"/>
          <w:szCs w:val="24"/>
        </w:rPr>
        <w:t>,</w:t>
      </w:r>
      <w:r w:rsidR="00B1275D">
        <w:rPr>
          <w:rFonts w:ascii="GHEA Grapalat" w:hAnsi="GHEA Grapalat" w:cs="Sylfaen"/>
          <w:sz w:val="24"/>
          <w:szCs w:val="24"/>
        </w:rPr>
        <w:t xml:space="preserve"> </w:t>
      </w:r>
      <w:r w:rsidR="00B1275D">
        <w:rPr>
          <w:rFonts w:ascii="GHEA Grapalat" w:hAnsi="GHEA Grapalat" w:cs="Arial"/>
          <w:sz w:val="24"/>
          <w:szCs w:val="24"/>
        </w:rPr>
        <w:t>Ռեա</w:t>
      </w:r>
      <w:r w:rsidR="000E3D04" w:rsidRPr="00D678D6">
        <w:rPr>
          <w:rFonts w:ascii="GHEA Grapalat" w:hAnsi="GHEA Grapalat" w:cs="Arial"/>
          <w:sz w:val="24"/>
          <w:szCs w:val="24"/>
        </w:rPr>
        <w:t>քսիս</w:t>
      </w:r>
      <w:r w:rsidR="000E3D04" w:rsidRPr="00D678D6">
        <w:rPr>
          <w:rFonts w:ascii="GHEA Grapalat" w:hAnsi="GHEA Grapalat"/>
          <w:sz w:val="24"/>
          <w:szCs w:val="24"/>
        </w:rPr>
        <w:t xml:space="preserve"> </w:t>
      </w:r>
      <w:r w:rsidR="000E3D04" w:rsidRPr="00D678D6">
        <w:rPr>
          <w:rFonts w:ascii="GHEA Grapalat" w:hAnsi="GHEA Grapalat" w:cs="Arial"/>
          <w:sz w:val="24"/>
          <w:szCs w:val="24"/>
        </w:rPr>
        <w:t>Բեյ</w:t>
      </w:r>
      <w:r w:rsidR="00B1275D">
        <w:rPr>
          <w:rFonts w:ascii="GHEA Grapalat" w:hAnsi="GHEA Grapalat" w:cs="Arial"/>
          <w:sz w:val="24"/>
          <w:szCs w:val="24"/>
        </w:rPr>
        <w:t>զ</w:t>
      </w:r>
      <w:r w:rsidR="000015BE" w:rsidRPr="00D678D6">
        <w:rPr>
          <w:rFonts w:ascii="GHEA Grapalat" w:hAnsi="GHEA Grapalat" w:cs="Sylfaen"/>
          <w:sz w:val="24"/>
          <w:szCs w:val="24"/>
        </w:rPr>
        <w:t xml:space="preserve"> </w:t>
      </w:r>
      <w:r w:rsidR="00D678D6" w:rsidRPr="00223C8D">
        <w:rPr>
          <w:rFonts w:ascii="GHEA Grapalat" w:hAnsi="GHEA Grapalat" w:cs="Sylfaen"/>
          <w:sz w:val="24"/>
          <w:szCs w:val="24"/>
        </w:rPr>
        <w:t>(</w:t>
      </w:r>
      <w:r w:rsidR="000E3D04" w:rsidRPr="00D678D6">
        <w:rPr>
          <w:rFonts w:ascii="GHEA Grapalat" w:hAnsi="GHEA Grapalat" w:cs="Sylfaen"/>
          <w:sz w:val="24"/>
          <w:szCs w:val="24"/>
        </w:rPr>
        <w:t>Reaxys Base</w:t>
      </w:r>
      <w:r w:rsidR="00D678D6" w:rsidRPr="00223C8D">
        <w:rPr>
          <w:rFonts w:ascii="GHEA Grapalat" w:hAnsi="GHEA Grapalat" w:cs="Arial"/>
          <w:sz w:val="24"/>
          <w:szCs w:val="24"/>
        </w:rPr>
        <w:t>)</w:t>
      </w:r>
      <w:r w:rsidR="00D678D6" w:rsidRPr="00D678D6">
        <w:rPr>
          <w:rFonts w:ascii="GHEA Grapalat" w:hAnsi="GHEA Grapalat" w:cs="Sylfaen"/>
          <w:sz w:val="24"/>
          <w:szCs w:val="24"/>
        </w:rPr>
        <w:t xml:space="preserve"> </w:t>
      </w:r>
      <w:r w:rsidR="00B1275D">
        <w:rPr>
          <w:rFonts w:ascii="GHEA Grapalat" w:hAnsi="GHEA Grapalat" w:cs="Sylfaen"/>
          <w:sz w:val="24"/>
          <w:szCs w:val="24"/>
        </w:rPr>
        <w:t xml:space="preserve">և </w:t>
      </w:r>
      <w:r w:rsidR="000E3D04" w:rsidRPr="00D678D6">
        <w:rPr>
          <w:rFonts w:ascii="GHEA Grapalat" w:hAnsi="GHEA Grapalat" w:cs="Arial"/>
          <w:sz w:val="24"/>
          <w:szCs w:val="24"/>
        </w:rPr>
        <w:t>Ռեաքսիս</w:t>
      </w:r>
      <w:r w:rsidR="000E3D04" w:rsidRPr="00D678D6">
        <w:rPr>
          <w:rFonts w:ascii="GHEA Grapalat" w:hAnsi="GHEA Grapalat"/>
          <w:sz w:val="24"/>
          <w:szCs w:val="24"/>
        </w:rPr>
        <w:t xml:space="preserve"> </w:t>
      </w:r>
      <w:r w:rsidR="000E3D04" w:rsidRPr="00D678D6">
        <w:rPr>
          <w:rFonts w:ascii="GHEA Grapalat" w:hAnsi="GHEA Grapalat" w:cs="Arial"/>
          <w:sz w:val="24"/>
          <w:szCs w:val="24"/>
        </w:rPr>
        <w:t>Մեդիքըլ</w:t>
      </w:r>
      <w:r w:rsidR="000E3D04" w:rsidRPr="00D678D6">
        <w:rPr>
          <w:rFonts w:ascii="GHEA Grapalat" w:hAnsi="GHEA Grapalat"/>
          <w:sz w:val="24"/>
          <w:szCs w:val="24"/>
        </w:rPr>
        <w:t xml:space="preserve"> </w:t>
      </w:r>
      <w:r w:rsidR="000E3D04" w:rsidRPr="00D678D6">
        <w:rPr>
          <w:rFonts w:ascii="GHEA Grapalat" w:hAnsi="GHEA Grapalat" w:cs="Arial"/>
          <w:sz w:val="24"/>
          <w:szCs w:val="24"/>
        </w:rPr>
        <w:t>Քեմիսթրի</w:t>
      </w:r>
      <w:r w:rsidR="000015BE" w:rsidRPr="00D678D6">
        <w:rPr>
          <w:rFonts w:ascii="GHEA Grapalat" w:hAnsi="GHEA Grapalat" w:cs="Sylfaen"/>
          <w:sz w:val="24"/>
          <w:szCs w:val="24"/>
          <w:vertAlign w:val="superscript"/>
        </w:rPr>
        <w:footnoteReference w:id="33"/>
      </w:r>
      <w:r w:rsidR="00D678D6" w:rsidRPr="00223C8D">
        <w:rPr>
          <w:rFonts w:ascii="GHEA Grapalat" w:hAnsi="GHEA Grapalat" w:cs="Sylfaen"/>
          <w:sz w:val="24"/>
          <w:szCs w:val="24"/>
        </w:rPr>
        <w:t xml:space="preserve"> (</w:t>
      </w:r>
      <w:r w:rsidR="000E3D04" w:rsidRPr="00D678D6">
        <w:rPr>
          <w:rFonts w:ascii="GHEA Grapalat" w:hAnsi="GHEA Grapalat" w:cs="Sylfaen"/>
          <w:sz w:val="24"/>
          <w:szCs w:val="24"/>
        </w:rPr>
        <w:t>Reaxys Medical Chemistry</w:t>
      </w:r>
      <w:r w:rsidR="00D678D6" w:rsidRPr="00223C8D">
        <w:rPr>
          <w:rFonts w:ascii="GHEA Grapalat" w:hAnsi="GHEA Grapalat" w:cs="Arial"/>
          <w:sz w:val="24"/>
          <w:szCs w:val="24"/>
        </w:rPr>
        <w:t>)</w:t>
      </w:r>
      <w:r w:rsidR="00BE029F" w:rsidRPr="00D678D6">
        <w:rPr>
          <w:rFonts w:ascii="GHEA Grapalat" w:hAnsi="GHEA Grapalat" w:cs="Sylfaen"/>
          <w:sz w:val="24"/>
          <w:szCs w:val="24"/>
        </w:rPr>
        <w:t>:</w:t>
      </w:r>
    </w:p>
    <w:p w14:paraId="1F52922A" w14:textId="403308EC" w:rsidR="00270606" w:rsidRPr="00E81D90" w:rsidRDefault="0068358C" w:rsidP="00270606">
      <w:pPr>
        <w:tabs>
          <w:tab w:val="left" w:pos="851"/>
        </w:tabs>
        <w:spacing w:line="276" w:lineRule="auto"/>
        <w:ind w:firstLine="567"/>
        <w:jc w:val="both"/>
        <w:rPr>
          <w:rFonts w:ascii="GHEA Grapalat" w:hAnsi="GHEA Grapalat" w:cs="Sylfaen"/>
          <w:bCs/>
          <w:sz w:val="24"/>
          <w:szCs w:val="24"/>
        </w:rPr>
      </w:pPr>
      <w:r w:rsidRPr="00E81D90">
        <w:rPr>
          <w:rFonts w:ascii="GHEA Grapalat" w:hAnsi="GHEA Grapalat" w:cs="Sylfaen"/>
          <w:bCs/>
          <w:sz w:val="24"/>
          <w:szCs w:val="24"/>
        </w:rPr>
        <w:t>2</w:t>
      </w:r>
      <w:r w:rsidR="00310FCE" w:rsidRPr="00E81D90">
        <w:rPr>
          <w:rFonts w:ascii="GHEA Grapalat" w:hAnsi="GHEA Grapalat" w:cs="Sylfaen"/>
          <w:bCs/>
          <w:sz w:val="24"/>
          <w:szCs w:val="24"/>
        </w:rPr>
        <w:t>7</w:t>
      </w:r>
      <w:r w:rsidR="000015BE" w:rsidRPr="00E81D90">
        <w:rPr>
          <w:rFonts w:ascii="GHEA Grapalat" w:hAnsi="GHEA Grapalat" w:cs="Sylfaen"/>
          <w:bCs/>
          <w:sz w:val="24"/>
          <w:szCs w:val="24"/>
        </w:rPr>
        <w:t xml:space="preserve">. </w:t>
      </w:r>
      <w:r w:rsidR="00270606" w:rsidRPr="00E81D90">
        <w:rPr>
          <w:rFonts w:ascii="GHEA Grapalat" w:hAnsi="GHEA Grapalat" w:cs="Sylfaen"/>
          <w:bCs/>
          <w:sz w:val="24"/>
          <w:szCs w:val="24"/>
        </w:rPr>
        <w:t xml:space="preserve">Միջազգային երկկողմ </w:t>
      </w:r>
      <w:r w:rsidR="00102258" w:rsidRPr="00E81D90">
        <w:rPr>
          <w:rFonts w:ascii="GHEA Grapalat" w:hAnsi="GHEA Grapalat" w:cs="Sylfaen"/>
          <w:bCs/>
          <w:sz w:val="24"/>
          <w:szCs w:val="24"/>
        </w:rPr>
        <w:t xml:space="preserve">և բազմակողմ </w:t>
      </w:r>
      <w:r w:rsidR="00270606" w:rsidRPr="00E81D90">
        <w:rPr>
          <w:rFonts w:ascii="GHEA Grapalat" w:hAnsi="GHEA Grapalat" w:cs="Sylfaen"/>
          <w:bCs/>
          <w:sz w:val="24"/>
          <w:szCs w:val="24"/>
        </w:rPr>
        <w:t>համագործակցության զարգացման ուղղությամբ համատեղ ծրագրեր են իրականացվում հետևյալ կառույցների հետ.</w:t>
      </w:r>
    </w:p>
    <w:p w14:paraId="3FE034C5" w14:textId="6C5E864C" w:rsidR="00270606" w:rsidRPr="00E81D90" w:rsidRDefault="005B1810" w:rsidP="00414950">
      <w:pPr>
        <w:tabs>
          <w:tab w:val="left" w:pos="851"/>
        </w:tabs>
        <w:spacing w:line="276" w:lineRule="auto"/>
        <w:ind w:firstLine="567"/>
        <w:jc w:val="both"/>
        <w:rPr>
          <w:rFonts w:ascii="GHEA Grapalat" w:hAnsi="GHEA Grapalat" w:cs="Sylfaen"/>
          <w:sz w:val="24"/>
          <w:szCs w:val="24"/>
        </w:rPr>
      </w:pPr>
      <w:r>
        <w:rPr>
          <w:rFonts w:ascii="GHEA Grapalat" w:hAnsi="GHEA Grapalat" w:cs="Sylfaen"/>
          <w:sz w:val="24"/>
          <w:szCs w:val="24"/>
        </w:rPr>
        <w:t xml:space="preserve">1) </w:t>
      </w:r>
      <w:r w:rsidR="00270606" w:rsidRPr="00E81D90">
        <w:rPr>
          <w:rFonts w:ascii="GHEA Grapalat" w:hAnsi="GHEA Grapalat" w:cs="Sylfaen"/>
          <w:sz w:val="24"/>
          <w:szCs w:val="24"/>
        </w:rPr>
        <w:t>Գերմանիայի Դաշնային Հանրապետության հետազոտության, տեխնոլոգիաների և տիեզերքի նախարարություն</w:t>
      </w:r>
      <w:r w:rsidR="00270606" w:rsidRPr="00E81D90">
        <w:rPr>
          <w:rFonts w:ascii="GHEA Grapalat" w:hAnsi="GHEA Grapalat" w:cs="Sylfaen"/>
          <w:sz w:val="24"/>
          <w:szCs w:val="24"/>
          <w:vertAlign w:val="superscript"/>
        </w:rPr>
        <w:footnoteReference w:id="34"/>
      </w:r>
      <w:r w:rsidR="00270606" w:rsidRPr="00E81D90">
        <w:rPr>
          <w:rFonts w:ascii="GHEA Grapalat" w:hAnsi="GHEA Grapalat" w:cs="Sylfaen"/>
          <w:sz w:val="24"/>
          <w:szCs w:val="24"/>
        </w:rPr>
        <w:t xml:space="preserve">, </w:t>
      </w:r>
    </w:p>
    <w:p w14:paraId="175537F2" w14:textId="0632D9F7" w:rsidR="00270606" w:rsidRPr="00E81D90" w:rsidRDefault="00414950" w:rsidP="00414950">
      <w:pPr>
        <w:tabs>
          <w:tab w:val="left" w:pos="851"/>
        </w:tabs>
        <w:spacing w:line="276" w:lineRule="auto"/>
        <w:ind w:firstLine="567"/>
        <w:jc w:val="both"/>
        <w:rPr>
          <w:rFonts w:ascii="GHEA Grapalat" w:hAnsi="GHEA Grapalat" w:cs="Sylfaen"/>
          <w:sz w:val="24"/>
          <w:szCs w:val="24"/>
        </w:rPr>
      </w:pPr>
      <w:r w:rsidRPr="00E81D90">
        <w:rPr>
          <w:rFonts w:ascii="GHEA Grapalat" w:hAnsi="GHEA Grapalat" w:cs="Sylfaen"/>
          <w:sz w:val="24"/>
          <w:szCs w:val="24"/>
        </w:rPr>
        <w:lastRenderedPageBreak/>
        <w:t xml:space="preserve">2) </w:t>
      </w:r>
      <w:r w:rsidR="00270606" w:rsidRPr="00E81D90">
        <w:rPr>
          <w:rFonts w:ascii="GHEA Grapalat" w:hAnsi="GHEA Grapalat" w:cs="Sylfaen"/>
          <w:sz w:val="24"/>
          <w:szCs w:val="24"/>
        </w:rPr>
        <w:t>Իտալիայի Հանրապետության ազգային հետազոտական խորհուրդ</w:t>
      </w:r>
      <w:r w:rsidR="00270606" w:rsidRPr="00E81D90">
        <w:rPr>
          <w:rFonts w:ascii="GHEA Grapalat" w:hAnsi="GHEA Grapalat" w:cs="Sylfaen"/>
          <w:sz w:val="24"/>
          <w:szCs w:val="24"/>
          <w:vertAlign w:val="superscript"/>
        </w:rPr>
        <w:footnoteReference w:id="35"/>
      </w:r>
      <w:r w:rsidR="00270606" w:rsidRPr="00E81D90">
        <w:rPr>
          <w:rFonts w:ascii="GHEA Grapalat" w:hAnsi="GHEA Grapalat" w:cs="Sylfaen"/>
          <w:sz w:val="24"/>
          <w:szCs w:val="24"/>
        </w:rPr>
        <w:t>,</w:t>
      </w:r>
    </w:p>
    <w:p w14:paraId="3B4FF23E" w14:textId="50885A1D" w:rsidR="00270606" w:rsidRPr="00E81D90" w:rsidRDefault="00414950" w:rsidP="004B738B">
      <w:pPr>
        <w:widowControl w:val="0"/>
        <w:tabs>
          <w:tab w:val="left" w:pos="851"/>
        </w:tabs>
        <w:spacing w:line="276" w:lineRule="auto"/>
        <w:ind w:firstLine="567"/>
        <w:jc w:val="both"/>
        <w:rPr>
          <w:rFonts w:ascii="GHEA Grapalat" w:hAnsi="GHEA Grapalat" w:cs="Sylfaen"/>
          <w:sz w:val="24"/>
          <w:szCs w:val="24"/>
        </w:rPr>
      </w:pPr>
      <w:r w:rsidRPr="00E81D90">
        <w:rPr>
          <w:rFonts w:ascii="GHEA Grapalat" w:hAnsi="GHEA Grapalat" w:cs="Sylfaen"/>
          <w:sz w:val="24"/>
          <w:szCs w:val="24"/>
        </w:rPr>
        <w:t xml:space="preserve">3) </w:t>
      </w:r>
      <w:r w:rsidR="00270606" w:rsidRPr="00E81D90">
        <w:rPr>
          <w:rFonts w:ascii="GHEA Grapalat" w:hAnsi="GHEA Grapalat" w:cs="Sylfaen"/>
          <w:sz w:val="24"/>
          <w:szCs w:val="24"/>
        </w:rPr>
        <w:t>Չինաստանի Ժողովրդական Հանրապետության երկրաշարժերի վարչություն</w:t>
      </w:r>
      <w:r w:rsidR="00270606" w:rsidRPr="00E81D90">
        <w:rPr>
          <w:rFonts w:ascii="GHEA Grapalat" w:hAnsi="GHEA Grapalat" w:cs="Sylfaen"/>
          <w:sz w:val="24"/>
          <w:szCs w:val="24"/>
          <w:vertAlign w:val="superscript"/>
        </w:rPr>
        <w:footnoteReference w:id="36"/>
      </w:r>
      <w:r w:rsidR="00270606" w:rsidRPr="00E81D90">
        <w:rPr>
          <w:rFonts w:ascii="GHEA Grapalat" w:hAnsi="GHEA Grapalat" w:cs="Sylfaen"/>
          <w:sz w:val="24"/>
          <w:szCs w:val="24"/>
        </w:rPr>
        <w:t xml:space="preserve">, </w:t>
      </w:r>
    </w:p>
    <w:p w14:paraId="050CF843" w14:textId="60BE4684" w:rsidR="00270606" w:rsidRPr="00E81D90" w:rsidRDefault="00414950" w:rsidP="004B738B">
      <w:pPr>
        <w:widowControl w:val="0"/>
        <w:tabs>
          <w:tab w:val="left" w:pos="851"/>
        </w:tabs>
        <w:spacing w:line="276" w:lineRule="auto"/>
        <w:ind w:firstLine="567"/>
        <w:jc w:val="both"/>
        <w:rPr>
          <w:rFonts w:ascii="GHEA Grapalat" w:hAnsi="GHEA Grapalat" w:cs="Sylfaen"/>
          <w:sz w:val="24"/>
          <w:szCs w:val="24"/>
        </w:rPr>
      </w:pPr>
      <w:r w:rsidRPr="00E81D90">
        <w:rPr>
          <w:rFonts w:ascii="GHEA Grapalat" w:hAnsi="GHEA Grapalat" w:cs="Sylfaen"/>
          <w:sz w:val="24"/>
          <w:szCs w:val="24"/>
        </w:rPr>
        <w:t xml:space="preserve">4) </w:t>
      </w:r>
      <w:r w:rsidR="00270606" w:rsidRPr="00E81D90">
        <w:rPr>
          <w:rFonts w:ascii="GHEA Grapalat" w:hAnsi="GHEA Grapalat" w:cs="Sylfaen"/>
          <w:sz w:val="24"/>
          <w:szCs w:val="24"/>
        </w:rPr>
        <w:t>Վրաստանի Շոթա Ռուստավելիի անվան գիտության ազգային հիմնադրամ</w:t>
      </w:r>
      <w:r w:rsidR="00270606" w:rsidRPr="00E81D90">
        <w:rPr>
          <w:rFonts w:ascii="GHEA Grapalat" w:hAnsi="GHEA Grapalat" w:cs="Sylfaen"/>
          <w:sz w:val="24"/>
          <w:szCs w:val="24"/>
          <w:vertAlign w:val="superscript"/>
        </w:rPr>
        <w:footnoteReference w:id="37"/>
      </w:r>
      <w:r w:rsidR="00270606" w:rsidRPr="00E81D90">
        <w:rPr>
          <w:rFonts w:ascii="GHEA Grapalat" w:hAnsi="GHEA Grapalat" w:cs="Sylfaen"/>
          <w:sz w:val="24"/>
          <w:szCs w:val="24"/>
        </w:rPr>
        <w:t xml:space="preserve">, </w:t>
      </w:r>
    </w:p>
    <w:p w14:paraId="5D9CDD9B" w14:textId="01C9965B" w:rsidR="00270606" w:rsidRPr="00E81D90" w:rsidRDefault="00414950" w:rsidP="004B738B">
      <w:pPr>
        <w:widowControl w:val="0"/>
        <w:tabs>
          <w:tab w:val="left" w:pos="851"/>
        </w:tabs>
        <w:spacing w:line="276" w:lineRule="auto"/>
        <w:ind w:firstLine="567"/>
        <w:jc w:val="both"/>
        <w:rPr>
          <w:rFonts w:ascii="GHEA Grapalat" w:hAnsi="GHEA Grapalat" w:cs="Sylfaen"/>
          <w:sz w:val="24"/>
          <w:szCs w:val="24"/>
        </w:rPr>
      </w:pPr>
      <w:r w:rsidRPr="00E81D90">
        <w:rPr>
          <w:rFonts w:ascii="GHEA Grapalat" w:hAnsi="GHEA Grapalat" w:cs="Sylfaen"/>
          <w:sz w:val="24"/>
          <w:szCs w:val="24"/>
        </w:rPr>
        <w:t xml:space="preserve">5) </w:t>
      </w:r>
      <w:r w:rsidR="00270606" w:rsidRPr="00E81D90">
        <w:rPr>
          <w:rFonts w:ascii="GHEA Grapalat" w:hAnsi="GHEA Grapalat" w:cs="Sylfaen"/>
          <w:sz w:val="24"/>
          <w:szCs w:val="24"/>
        </w:rPr>
        <w:t xml:space="preserve">Մոլդովայի Հանրապետության </w:t>
      </w:r>
      <w:r w:rsidR="00F36F23">
        <w:rPr>
          <w:rFonts w:ascii="GHEA Grapalat" w:hAnsi="GHEA Grapalat" w:cs="Arial"/>
          <w:sz w:val="24"/>
          <w:szCs w:val="24"/>
        </w:rPr>
        <w:t>ՀևՄ</w:t>
      </w:r>
      <w:r w:rsidR="00F36F23">
        <w:rPr>
          <w:rFonts w:ascii="GHEA Grapalat" w:hAnsi="GHEA Grapalat" w:cs="Sylfaen"/>
          <w:sz w:val="24"/>
          <w:szCs w:val="24"/>
        </w:rPr>
        <w:t>-</w:t>
      </w:r>
      <w:r w:rsidR="00270606" w:rsidRPr="00E81D90">
        <w:rPr>
          <w:rFonts w:ascii="GHEA Grapalat" w:hAnsi="GHEA Grapalat" w:cs="Sylfaen"/>
          <w:sz w:val="24"/>
          <w:szCs w:val="24"/>
        </w:rPr>
        <w:t>ի ազգային գործակալություն</w:t>
      </w:r>
      <w:r w:rsidR="00270606" w:rsidRPr="00E81D90">
        <w:rPr>
          <w:rFonts w:ascii="GHEA Grapalat" w:hAnsi="GHEA Grapalat" w:cs="Sylfaen"/>
          <w:sz w:val="24"/>
          <w:szCs w:val="24"/>
          <w:vertAlign w:val="superscript"/>
        </w:rPr>
        <w:footnoteReference w:id="38"/>
      </w:r>
      <w:r w:rsidR="00270606" w:rsidRPr="00E81D90">
        <w:rPr>
          <w:rFonts w:ascii="GHEA Grapalat" w:hAnsi="GHEA Grapalat" w:cs="Sylfaen"/>
          <w:sz w:val="24"/>
          <w:szCs w:val="24"/>
        </w:rPr>
        <w:t>,</w:t>
      </w:r>
    </w:p>
    <w:p w14:paraId="00F1DC44" w14:textId="70A103A6" w:rsidR="00102258" w:rsidRPr="00E81D90" w:rsidRDefault="00102258" w:rsidP="00102258">
      <w:pPr>
        <w:widowControl w:val="0"/>
        <w:tabs>
          <w:tab w:val="left" w:pos="851"/>
        </w:tabs>
        <w:spacing w:line="276" w:lineRule="auto"/>
        <w:ind w:firstLine="567"/>
        <w:jc w:val="both"/>
        <w:rPr>
          <w:rFonts w:ascii="GHEA Grapalat" w:hAnsi="GHEA Grapalat" w:cs="Sylfaen"/>
          <w:sz w:val="24"/>
          <w:szCs w:val="24"/>
        </w:rPr>
      </w:pPr>
      <w:r w:rsidRPr="00E81D90">
        <w:rPr>
          <w:rFonts w:ascii="GHEA Grapalat" w:hAnsi="GHEA Grapalat" w:cs="Sylfaen"/>
          <w:sz w:val="24"/>
          <w:szCs w:val="24"/>
        </w:rPr>
        <w:t>6) Լայբնիցի անվան Արևելյան Եվրոպայի պ</w:t>
      </w:r>
      <w:r w:rsidR="00980D13" w:rsidRPr="00E81D90">
        <w:rPr>
          <w:rFonts w:ascii="GHEA Grapalat" w:hAnsi="GHEA Grapalat" w:cs="Sylfaen"/>
          <w:sz w:val="24"/>
          <w:szCs w:val="24"/>
        </w:rPr>
        <w:t>ատմության և մշակույթի ինստիտուտ</w:t>
      </w:r>
      <w:r w:rsidRPr="00E81D90">
        <w:rPr>
          <w:rFonts w:ascii="GHEA Grapalat" w:hAnsi="GHEA Grapalat" w:cs="Sylfaen"/>
          <w:sz w:val="24"/>
          <w:szCs w:val="24"/>
          <w:vertAlign w:val="superscript"/>
        </w:rPr>
        <w:footnoteReference w:id="39"/>
      </w:r>
      <w:r w:rsidR="00980D13" w:rsidRPr="00E81D90">
        <w:rPr>
          <w:rFonts w:ascii="GHEA Grapalat" w:hAnsi="GHEA Grapalat" w:cs="Sylfaen"/>
          <w:sz w:val="24"/>
          <w:szCs w:val="24"/>
        </w:rPr>
        <w:t>,</w:t>
      </w:r>
    </w:p>
    <w:p w14:paraId="66A9D43F" w14:textId="3E10BBA1" w:rsidR="00102258" w:rsidRPr="00E81D90" w:rsidRDefault="00102258" w:rsidP="00102258">
      <w:pPr>
        <w:widowControl w:val="0"/>
        <w:tabs>
          <w:tab w:val="left" w:pos="851"/>
        </w:tabs>
        <w:spacing w:line="276" w:lineRule="auto"/>
        <w:ind w:firstLine="567"/>
        <w:jc w:val="both"/>
        <w:rPr>
          <w:rFonts w:ascii="GHEA Grapalat" w:hAnsi="GHEA Grapalat" w:cs="Sylfaen"/>
          <w:sz w:val="24"/>
          <w:szCs w:val="24"/>
        </w:rPr>
      </w:pPr>
      <w:r w:rsidRPr="00E81D90">
        <w:rPr>
          <w:rFonts w:ascii="GHEA Grapalat" w:hAnsi="GHEA Grapalat" w:cs="Sylfaen"/>
          <w:sz w:val="24"/>
          <w:szCs w:val="24"/>
        </w:rPr>
        <w:t xml:space="preserve">7) Գիտության և տեխնոլոգիաների ոլորտում </w:t>
      </w:r>
      <w:r w:rsidR="00980D13" w:rsidRPr="00E81D90">
        <w:rPr>
          <w:rFonts w:ascii="GHEA Grapalat" w:hAnsi="GHEA Grapalat" w:cs="Sylfaen"/>
          <w:sz w:val="24"/>
          <w:szCs w:val="24"/>
        </w:rPr>
        <w:t>եվ</w:t>
      </w:r>
      <w:r w:rsidRPr="00E81D90">
        <w:rPr>
          <w:rFonts w:ascii="GHEA Grapalat" w:hAnsi="GHEA Grapalat" w:cs="Sylfaen"/>
          <w:sz w:val="24"/>
          <w:szCs w:val="24"/>
        </w:rPr>
        <w:t>րոպական համագործակցություն (COST ասոցիացիա)</w:t>
      </w:r>
      <w:r w:rsidRPr="00E81D90">
        <w:rPr>
          <w:rFonts w:ascii="GHEA Grapalat" w:hAnsi="GHEA Grapalat" w:cs="Sylfaen"/>
          <w:sz w:val="24"/>
          <w:szCs w:val="24"/>
          <w:vertAlign w:val="superscript"/>
        </w:rPr>
        <w:footnoteReference w:id="40"/>
      </w:r>
      <w:r w:rsidR="007A786F" w:rsidRPr="00E81D90">
        <w:rPr>
          <w:rFonts w:ascii="GHEA Grapalat" w:hAnsi="GHEA Grapalat" w:cs="Sylfaen"/>
          <w:sz w:val="24"/>
          <w:szCs w:val="24"/>
        </w:rPr>
        <w:t>:</w:t>
      </w:r>
    </w:p>
    <w:p w14:paraId="117FCE8B" w14:textId="49C3DC18" w:rsidR="0068358C" w:rsidRPr="00C72AB5" w:rsidRDefault="0068358C" w:rsidP="0049437D">
      <w:pPr>
        <w:tabs>
          <w:tab w:val="left" w:pos="851"/>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t>2</w:t>
      </w:r>
      <w:r w:rsidR="00310FCE" w:rsidRPr="00C72AB5">
        <w:rPr>
          <w:rFonts w:ascii="GHEA Grapalat" w:hAnsi="GHEA Grapalat" w:cs="Sylfaen"/>
          <w:sz w:val="24"/>
          <w:szCs w:val="24"/>
        </w:rPr>
        <w:t>8</w:t>
      </w:r>
      <w:r w:rsidRPr="00C72AB5">
        <w:rPr>
          <w:rFonts w:ascii="GHEA Grapalat" w:hAnsi="GHEA Grapalat" w:cs="Sylfaen"/>
          <w:sz w:val="24"/>
          <w:szCs w:val="24"/>
        </w:rPr>
        <w:t xml:space="preserve">. </w:t>
      </w:r>
      <w:r w:rsidR="00270606" w:rsidRPr="00C72AB5">
        <w:rPr>
          <w:rFonts w:ascii="GHEA Grapalat" w:hAnsi="GHEA Grapalat" w:cs="Sylfaen"/>
          <w:sz w:val="24"/>
          <w:szCs w:val="24"/>
        </w:rPr>
        <w:t xml:space="preserve">2025 թվականի օգոստոսի դրությամբ երկկողմ համագործակցության շրջանակում կատարվող համատեղ ծրագրերի թիվը 17 է: Գործում է </w:t>
      </w:r>
      <w:r w:rsidR="00980D13" w:rsidRPr="00E81D90">
        <w:rPr>
          <w:rFonts w:ascii="GHEA Grapalat" w:hAnsi="GHEA Grapalat" w:cs="Sylfaen"/>
          <w:sz w:val="24"/>
          <w:szCs w:val="24"/>
        </w:rPr>
        <w:t>մեկ</w:t>
      </w:r>
      <w:r w:rsidR="00980D13">
        <w:rPr>
          <w:rFonts w:ascii="GHEA Grapalat" w:hAnsi="GHEA Grapalat" w:cs="Sylfaen"/>
          <w:sz w:val="24"/>
          <w:szCs w:val="24"/>
        </w:rPr>
        <w:t xml:space="preserve"> </w:t>
      </w:r>
      <w:r w:rsidR="00270606" w:rsidRPr="00C72AB5">
        <w:rPr>
          <w:rFonts w:ascii="GHEA Grapalat" w:hAnsi="GHEA Grapalat" w:cs="Sylfaen"/>
          <w:sz w:val="24"/>
          <w:szCs w:val="24"/>
        </w:rPr>
        <w:t>միջազգային ասոցացված լաբորատորիա՝ «Երկրաշարժի մշտադիտարկում և մոդելավորում» ծրագրի</w:t>
      </w:r>
      <w:r w:rsidR="00270606" w:rsidRPr="00C72AB5">
        <w:rPr>
          <w:rFonts w:ascii="Calibri" w:hAnsi="Calibri" w:cs="Calibri"/>
          <w:sz w:val="24"/>
          <w:szCs w:val="24"/>
        </w:rPr>
        <w:t> </w:t>
      </w:r>
      <w:r w:rsidR="00270606" w:rsidRPr="00C72AB5">
        <w:rPr>
          <w:rFonts w:ascii="GHEA Grapalat" w:hAnsi="GHEA Grapalat" w:cs="Sylfaen"/>
          <w:sz w:val="24"/>
          <w:szCs w:val="24"/>
        </w:rPr>
        <w:t xml:space="preserve"> շրջանակում:</w:t>
      </w:r>
      <w:r w:rsidR="00AD3C69" w:rsidRPr="00C72AB5">
        <w:rPr>
          <w:rFonts w:ascii="GHEA Grapalat" w:hAnsi="GHEA Grapalat" w:cs="Sylfaen"/>
          <w:sz w:val="24"/>
          <w:szCs w:val="24"/>
        </w:rPr>
        <w:t xml:space="preserve"> </w:t>
      </w:r>
      <w:r w:rsidR="00270606" w:rsidRPr="00C72AB5">
        <w:rPr>
          <w:rFonts w:ascii="GHEA Grapalat" w:hAnsi="GHEA Grapalat" w:cs="Sylfaen"/>
          <w:sz w:val="24"/>
          <w:szCs w:val="24"/>
        </w:rPr>
        <w:t>Մոլդովայի Հանրապետության հետազոտությունների և մշակումների ազգային գործակալության հետ համատեղ նախագծերի աջակցության առաջին մրցույթը մեկնարկել է 2025 թվականի օգոստոսին:</w:t>
      </w:r>
      <w:r w:rsidR="000015BE" w:rsidRPr="00C72AB5">
        <w:rPr>
          <w:rFonts w:ascii="GHEA Grapalat" w:hAnsi="GHEA Grapalat" w:cs="Sylfaen"/>
          <w:sz w:val="24"/>
          <w:szCs w:val="24"/>
        </w:rPr>
        <w:t xml:space="preserve"> </w:t>
      </w:r>
      <w:r w:rsidR="00270606" w:rsidRPr="00C72AB5">
        <w:rPr>
          <w:rFonts w:ascii="GHEA Grapalat" w:hAnsi="GHEA Grapalat" w:cs="Sylfaen"/>
          <w:sz w:val="24"/>
          <w:szCs w:val="24"/>
        </w:rPr>
        <w:t xml:space="preserve">2026 թվականից </w:t>
      </w:r>
      <w:r w:rsidR="00980D13" w:rsidRPr="00E81D90">
        <w:rPr>
          <w:rFonts w:ascii="GHEA Grapalat" w:hAnsi="GHEA Grapalat" w:cs="Sylfaen"/>
          <w:sz w:val="24"/>
          <w:szCs w:val="24"/>
        </w:rPr>
        <w:t xml:space="preserve">նախատեսվում է </w:t>
      </w:r>
      <w:r w:rsidR="00270606" w:rsidRPr="00C72AB5">
        <w:rPr>
          <w:rFonts w:ascii="GHEA Grapalat" w:hAnsi="GHEA Grapalat" w:cs="Sylfaen"/>
          <w:sz w:val="24"/>
          <w:szCs w:val="24"/>
        </w:rPr>
        <w:t xml:space="preserve">ֆինանսավորել </w:t>
      </w:r>
      <w:r w:rsidR="000015BE" w:rsidRPr="00C72AB5">
        <w:rPr>
          <w:rFonts w:ascii="GHEA Grapalat" w:hAnsi="GHEA Grapalat" w:cs="Sylfaen"/>
          <w:sz w:val="24"/>
          <w:szCs w:val="24"/>
        </w:rPr>
        <w:t xml:space="preserve">մինչև </w:t>
      </w:r>
      <w:r w:rsidR="00270606" w:rsidRPr="00C72AB5">
        <w:rPr>
          <w:rFonts w:ascii="GHEA Grapalat" w:hAnsi="GHEA Grapalat" w:cs="Sylfaen"/>
          <w:sz w:val="24"/>
          <w:szCs w:val="24"/>
        </w:rPr>
        <w:t>5 համատեղ նախագծեր:</w:t>
      </w:r>
      <w:r w:rsidRPr="00C72AB5">
        <w:rPr>
          <w:rFonts w:ascii="GHEA Grapalat" w:hAnsi="GHEA Grapalat" w:cs="Sylfaen"/>
          <w:sz w:val="24"/>
          <w:szCs w:val="24"/>
        </w:rPr>
        <w:t xml:space="preserve"> </w:t>
      </w:r>
    </w:p>
    <w:p w14:paraId="13535C3F" w14:textId="369587CA" w:rsidR="002F400B" w:rsidRPr="00C72AB5" w:rsidRDefault="0068358C" w:rsidP="0049437D">
      <w:pPr>
        <w:tabs>
          <w:tab w:val="left" w:pos="851"/>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t>2</w:t>
      </w:r>
      <w:r w:rsidR="00310FCE" w:rsidRPr="00C72AB5">
        <w:rPr>
          <w:rFonts w:ascii="GHEA Grapalat" w:hAnsi="GHEA Grapalat" w:cs="Sylfaen"/>
          <w:sz w:val="24"/>
          <w:szCs w:val="24"/>
        </w:rPr>
        <w:t>9</w:t>
      </w:r>
      <w:r w:rsidRPr="00C72AB5">
        <w:rPr>
          <w:rFonts w:ascii="GHEA Grapalat" w:hAnsi="GHEA Grapalat" w:cs="Sylfaen"/>
          <w:sz w:val="24"/>
          <w:szCs w:val="24"/>
        </w:rPr>
        <w:t xml:space="preserve">. </w:t>
      </w:r>
      <w:r w:rsidR="002F400B" w:rsidRPr="00C72AB5">
        <w:rPr>
          <w:rFonts w:ascii="GHEA Grapalat" w:hAnsi="GHEA Grapalat" w:cs="Sylfaen"/>
          <w:sz w:val="24"/>
          <w:szCs w:val="24"/>
        </w:rPr>
        <w:t xml:space="preserve">Սրանից բացի, </w:t>
      </w:r>
      <w:r w:rsidR="0018339A">
        <w:rPr>
          <w:rFonts w:ascii="GHEA Grapalat" w:hAnsi="GHEA Grapalat" w:cs="Sylfaen"/>
          <w:sz w:val="24"/>
          <w:szCs w:val="24"/>
        </w:rPr>
        <w:t>Կ</w:t>
      </w:r>
      <w:r w:rsidR="002F400B" w:rsidRPr="00C72AB5">
        <w:rPr>
          <w:rFonts w:ascii="GHEA Grapalat" w:hAnsi="GHEA Grapalat" w:cs="Sylfaen"/>
          <w:sz w:val="24"/>
          <w:szCs w:val="24"/>
        </w:rPr>
        <w:t>ոմիտեի դրամաշնորհային մի շարք ծրագրերի շրջանակներում</w:t>
      </w:r>
      <w:r w:rsidR="00711430" w:rsidRPr="00C72AB5">
        <w:rPr>
          <w:rFonts w:ascii="GHEA Grapalat" w:hAnsi="GHEA Grapalat" w:cs="Sylfaen"/>
          <w:sz w:val="24"/>
          <w:szCs w:val="24"/>
        </w:rPr>
        <w:t xml:space="preserve"> որպես պարտադիր պայման </w:t>
      </w:r>
      <w:r w:rsidR="002F400B" w:rsidRPr="00C72AB5">
        <w:rPr>
          <w:rFonts w:ascii="GHEA Grapalat" w:hAnsi="GHEA Grapalat" w:cs="Sylfaen"/>
          <w:sz w:val="24"/>
          <w:szCs w:val="24"/>
        </w:rPr>
        <w:t>նախատեսվում է արտերկրի հ</w:t>
      </w:r>
      <w:r w:rsidR="005B1810">
        <w:rPr>
          <w:rFonts w:ascii="GHEA Grapalat" w:hAnsi="GHEA Grapalat" w:cs="Sylfaen"/>
          <w:sz w:val="24"/>
          <w:szCs w:val="24"/>
        </w:rPr>
        <w:t>եղինակավոր գիտնականի ներգրավում՝</w:t>
      </w:r>
      <w:r w:rsidR="002F400B" w:rsidRPr="00C72AB5">
        <w:rPr>
          <w:rFonts w:ascii="GHEA Grapalat" w:hAnsi="GHEA Grapalat" w:cs="Sylfaen"/>
          <w:sz w:val="24"/>
          <w:szCs w:val="24"/>
        </w:rPr>
        <w:t xml:space="preserve"> որպես հետազոտական խմբի</w:t>
      </w:r>
      <w:r w:rsidR="00711430" w:rsidRPr="00C72AB5">
        <w:rPr>
          <w:rFonts w:ascii="GHEA Grapalat" w:hAnsi="GHEA Grapalat" w:cs="Sylfaen"/>
          <w:sz w:val="24"/>
          <w:szCs w:val="24"/>
        </w:rPr>
        <w:t xml:space="preserve"> </w:t>
      </w:r>
      <w:r w:rsidR="002F400B" w:rsidRPr="00C72AB5">
        <w:rPr>
          <w:rFonts w:ascii="GHEA Grapalat" w:hAnsi="GHEA Grapalat" w:cs="Sylfaen"/>
          <w:sz w:val="24"/>
          <w:szCs w:val="24"/>
        </w:rPr>
        <w:t>խորհրդատու կամ գործընկեր: Այս ձևաչափ</w:t>
      </w:r>
      <w:r w:rsidR="00CE4C1B" w:rsidRPr="00C72AB5">
        <w:rPr>
          <w:rFonts w:ascii="GHEA Grapalat" w:hAnsi="GHEA Grapalat" w:cs="Sylfaen"/>
          <w:sz w:val="24"/>
          <w:szCs w:val="24"/>
        </w:rPr>
        <w:t xml:space="preserve">ը նպաստում է </w:t>
      </w:r>
      <w:r w:rsidR="005D0337" w:rsidRPr="00C72AB5">
        <w:rPr>
          <w:rFonts w:ascii="GHEA Grapalat" w:hAnsi="GHEA Grapalat" w:cs="Sylfaen"/>
          <w:sz w:val="24"/>
          <w:szCs w:val="24"/>
        </w:rPr>
        <w:t xml:space="preserve">հետազոտական խմբերի </w:t>
      </w:r>
      <w:r w:rsidR="002F400B" w:rsidRPr="00C72AB5">
        <w:rPr>
          <w:rFonts w:ascii="GHEA Grapalat" w:hAnsi="GHEA Grapalat" w:cs="Sylfaen"/>
          <w:sz w:val="24"/>
          <w:szCs w:val="24"/>
        </w:rPr>
        <w:t>մակարդակ</w:t>
      </w:r>
      <w:r w:rsidR="005D0337" w:rsidRPr="00C72AB5">
        <w:rPr>
          <w:rFonts w:ascii="GHEA Grapalat" w:hAnsi="GHEA Grapalat" w:cs="Sylfaen"/>
          <w:sz w:val="24"/>
          <w:szCs w:val="24"/>
        </w:rPr>
        <w:t>ում</w:t>
      </w:r>
      <w:r w:rsidR="002F400B" w:rsidRPr="00C72AB5">
        <w:rPr>
          <w:rFonts w:ascii="GHEA Grapalat" w:hAnsi="GHEA Grapalat" w:cs="Sylfaen"/>
          <w:sz w:val="24"/>
          <w:szCs w:val="24"/>
        </w:rPr>
        <w:t xml:space="preserve"> համագործակցություն</w:t>
      </w:r>
      <w:r w:rsidR="00CE4C1B" w:rsidRPr="00C72AB5">
        <w:rPr>
          <w:rFonts w:ascii="GHEA Grapalat" w:hAnsi="GHEA Grapalat" w:cs="Sylfaen"/>
          <w:sz w:val="24"/>
          <w:szCs w:val="24"/>
        </w:rPr>
        <w:t>ների ամրապնդմանը, որոնք բացի կոնկրետ գիտական համագործակցությունից, որոշ դեպքերում վերաճում են նաև ինստիտուցիոնալ համագործակցությունների:</w:t>
      </w:r>
      <w:r w:rsidR="002F400B" w:rsidRPr="00C72AB5">
        <w:rPr>
          <w:rFonts w:ascii="GHEA Grapalat" w:hAnsi="GHEA Grapalat" w:cs="Sylfaen"/>
          <w:sz w:val="24"/>
          <w:szCs w:val="24"/>
        </w:rPr>
        <w:t xml:space="preserve"> </w:t>
      </w:r>
      <w:r w:rsidR="00CE4C1B" w:rsidRPr="00C72AB5">
        <w:rPr>
          <w:rFonts w:ascii="GHEA Grapalat" w:hAnsi="GHEA Grapalat" w:cs="Sylfaen"/>
          <w:sz w:val="24"/>
          <w:szCs w:val="24"/>
        </w:rPr>
        <w:t xml:space="preserve">Գործընկերության </w:t>
      </w:r>
      <w:r w:rsidR="002F400B" w:rsidRPr="00C72AB5">
        <w:rPr>
          <w:rFonts w:ascii="GHEA Grapalat" w:hAnsi="GHEA Grapalat" w:cs="Sylfaen"/>
          <w:sz w:val="24"/>
          <w:szCs w:val="24"/>
        </w:rPr>
        <w:t>աշխարհագրությունը 202</w:t>
      </w:r>
      <w:r w:rsidR="00CE4C1B" w:rsidRPr="00C72AB5">
        <w:rPr>
          <w:rFonts w:ascii="GHEA Grapalat" w:hAnsi="GHEA Grapalat" w:cs="Sylfaen"/>
          <w:sz w:val="24"/>
          <w:szCs w:val="24"/>
        </w:rPr>
        <w:t>5</w:t>
      </w:r>
      <w:r w:rsidR="002F400B" w:rsidRPr="00C72AB5">
        <w:rPr>
          <w:rFonts w:ascii="GHEA Grapalat" w:hAnsi="GHEA Grapalat" w:cs="Sylfaen"/>
          <w:sz w:val="24"/>
          <w:szCs w:val="24"/>
        </w:rPr>
        <w:t xml:space="preserve"> թվականի դրությամբ իրականացվող </w:t>
      </w:r>
      <w:r w:rsidR="00CE4C1B" w:rsidRPr="00C72AB5">
        <w:rPr>
          <w:rFonts w:ascii="GHEA Grapalat" w:hAnsi="GHEA Grapalat" w:cs="Sylfaen"/>
          <w:sz w:val="24"/>
          <w:szCs w:val="24"/>
        </w:rPr>
        <w:t xml:space="preserve">160 խոշոր դրամաշնորհային </w:t>
      </w:r>
      <w:r w:rsidR="002F400B" w:rsidRPr="00C72AB5">
        <w:rPr>
          <w:rFonts w:ascii="GHEA Grapalat" w:hAnsi="GHEA Grapalat" w:cs="Sylfaen"/>
          <w:sz w:val="24"/>
          <w:szCs w:val="24"/>
        </w:rPr>
        <w:t>ծրագրերի մասով</w:t>
      </w:r>
      <w:r w:rsidR="00B4765E" w:rsidRPr="00C72AB5">
        <w:rPr>
          <w:rStyle w:val="FootnoteReference"/>
          <w:rFonts w:ascii="GHEA Grapalat" w:hAnsi="GHEA Grapalat" w:cs="Sylfaen"/>
          <w:sz w:val="24"/>
          <w:szCs w:val="24"/>
        </w:rPr>
        <w:footnoteReference w:id="41"/>
      </w:r>
      <w:r w:rsidR="002F400B" w:rsidRPr="00C72AB5">
        <w:rPr>
          <w:rFonts w:ascii="GHEA Grapalat" w:hAnsi="GHEA Grapalat" w:cs="Sylfaen"/>
          <w:sz w:val="24"/>
          <w:szCs w:val="24"/>
        </w:rPr>
        <w:t xml:space="preserve"> ներառում է </w:t>
      </w:r>
      <w:r w:rsidR="00CE4C1B" w:rsidRPr="00C72AB5">
        <w:rPr>
          <w:rFonts w:ascii="GHEA Grapalat" w:hAnsi="GHEA Grapalat" w:cs="Sylfaen"/>
          <w:sz w:val="24"/>
          <w:szCs w:val="24"/>
        </w:rPr>
        <w:t>32</w:t>
      </w:r>
      <w:r w:rsidR="002F400B" w:rsidRPr="00C72AB5">
        <w:rPr>
          <w:rFonts w:ascii="GHEA Grapalat" w:hAnsi="GHEA Grapalat" w:cs="Sylfaen"/>
          <w:sz w:val="24"/>
          <w:szCs w:val="24"/>
        </w:rPr>
        <w:t xml:space="preserve"> պետություն</w:t>
      </w:r>
      <w:r w:rsidR="00CE4C1B" w:rsidRPr="00C72AB5">
        <w:rPr>
          <w:rFonts w:ascii="GHEA Grapalat" w:hAnsi="GHEA Grapalat" w:cs="Sylfaen"/>
          <w:sz w:val="24"/>
          <w:szCs w:val="24"/>
        </w:rPr>
        <w:t xml:space="preserve"> և 5 աշխարհամաս</w:t>
      </w:r>
      <w:r w:rsidR="00711430" w:rsidRPr="00C72AB5">
        <w:rPr>
          <w:rFonts w:ascii="GHEA Grapalat" w:hAnsi="GHEA Grapalat" w:cs="Sylfaen"/>
          <w:sz w:val="24"/>
          <w:szCs w:val="24"/>
        </w:rPr>
        <w:t xml:space="preserve"> (տե՛ս</w:t>
      </w:r>
      <w:r w:rsidR="00B1275D">
        <w:rPr>
          <w:rFonts w:ascii="GHEA Grapalat" w:hAnsi="GHEA Grapalat" w:cs="Sylfaen"/>
          <w:sz w:val="24"/>
          <w:szCs w:val="24"/>
        </w:rPr>
        <w:t>,</w:t>
      </w:r>
      <w:r w:rsidR="00711430" w:rsidRPr="00C72AB5">
        <w:rPr>
          <w:rFonts w:ascii="GHEA Grapalat" w:hAnsi="GHEA Grapalat" w:cs="Sylfaen"/>
          <w:sz w:val="24"/>
          <w:szCs w:val="24"/>
        </w:rPr>
        <w:t xml:space="preserve"> </w:t>
      </w:r>
      <w:r w:rsidR="005F7C93" w:rsidRPr="00C72AB5">
        <w:rPr>
          <w:rFonts w:ascii="GHEA Grapalat" w:hAnsi="GHEA Grapalat" w:cs="Sylfaen"/>
          <w:sz w:val="24"/>
          <w:szCs w:val="24"/>
        </w:rPr>
        <w:t>Գծապատկեր</w:t>
      </w:r>
      <w:r w:rsidR="00711430" w:rsidRPr="00C72AB5">
        <w:rPr>
          <w:rFonts w:ascii="GHEA Grapalat" w:hAnsi="GHEA Grapalat" w:cs="Sylfaen"/>
          <w:sz w:val="24"/>
          <w:szCs w:val="24"/>
        </w:rPr>
        <w:t xml:space="preserve"> </w:t>
      </w:r>
      <w:r w:rsidR="00CF0582" w:rsidRPr="00C72AB5">
        <w:rPr>
          <w:rFonts w:ascii="GHEA Grapalat" w:hAnsi="GHEA Grapalat" w:cs="Sylfaen"/>
          <w:sz w:val="24"/>
          <w:szCs w:val="24"/>
        </w:rPr>
        <w:t>1</w:t>
      </w:r>
      <w:r w:rsidR="0009583F" w:rsidRPr="00C72AB5">
        <w:rPr>
          <w:rFonts w:ascii="GHEA Grapalat" w:hAnsi="GHEA Grapalat" w:cs="Sylfaen"/>
          <w:sz w:val="24"/>
          <w:szCs w:val="24"/>
        </w:rPr>
        <w:t>2</w:t>
      </w:r>
      <w:r w:rsidR="00711430" w:rsidRPr="00C72AB5">
        <w:rPr>
          <w:rFonts w:ascii="GHEA Grapalat" w:hAnsi="GHEA Grapalat" w:cs="Sylfaen"/>
          <w:sz w:val="24"/>
          <w:szCs w:val="24"/>
        </w:rPr>
        <w:t>):</w:t>
      </w:r>
    </w:p>
    <w:p w14:paraId="0006A054" w14:textId="4939F3C3" w:rsidR="00B461C6" w:rsidRPr="00C72AB5" w:rsidRDefault="007E0D20" w:rsidP="0049437D">
      <w:pPr>
        <w:tabs>
          <w:tab w:val="left" w:pos="851"/>
        </w:tabs>
        <w:spacing w:line="276" w:lineRule="auto"/>
        <w:jc w:val="both"/>
        <w:rPr>
          <w:rFonts w:ascii="GHEA Grapalat" w:hAnsi="GHEA Grapalat"/>
          <w:sz w:val="24"/>
          <w:szCs w:val="24"/>
          <w:highlight w:val="yellow"/>
        </w:rPr>
      </w:pPr>
      <w:r w:rsidRPr="00C72AB5">
        <w:rPr>
          <w:noProof/>
          <w:lang w:val="en-US" w:eastAsia="en-US"/>
        </w:rPr>
        <w:lastRenderedPageBreak/>
        <mc:AlternateContent>
          <mc:Choic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Requires="cx1">
            <w:drawing>
              <wp:inline distT="0" distB="0" distL="0" distR="0" wp14:anchorId="4F495DE0" wp14:editId="7921767A">
                <wp:extent cx="6119495" cy="2766060"/>
                <wp:effectExtent l="0" t="0" r="14605" b="15240"/>
                <wp:docPr id="950326762" name="Chart 1">
                  <a:extLst xmlns:a="http://schemas.openxmlformats.org/drawingml/2006/main">
                    <a:ext uri="{FF2B5EF4-FFF2-40B4-BE49-F238E27FC236}">
                      <a16:creationId xmlns:a16="http://schemas.microsoft.com/office/drawing/2014/main" id="{74D2FE04-F40F-68BA-0AC0-D80BFEEDAD15}"/>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24"/>
                  </a:graphicData>
                </a:graphic>
              </wp:inline>
            </w:drawing>
          </mc:Choice>
          <mc:Fallback>
            <w:drawing>
              <wp:inline distT="0" distB="0" distL="0" distR="0" wp14:anchorId="4F495DE0" wp14:editId="7921767A">
                <wp:extent cx="6119495" cy="2766060"/>
                <wp:effectExtent l="0" t="0" r="14605" b="15240"/>
                <wp:docPr id="950326762" name="Chart 1">
                  <a:extLst xmlns:a="http://schemas.openxmlformats.org/drawingml/2006/main">
                    <a:ext uri="{FF2B5EF4-FFF2-40B4-BE49-F238E27FC236}">
                      <a16:creationId xmlns:a16="http://schemas.microsoft.com/office/drawing/2014/main" id="{74D2FE04-F40F-68BA-0AC0-D80BFEEDAD15}"/>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950326762" name="Chart 1">
                          <a:extLst>
                            <a:ext uri="{FF2B5EF4-FFF2-40B4-BE49-F238E27FC236}">
                              <a16:creationId xmlns:a16="http://schemas.microsoft.com/office/drawing/2014/main" id="{74D2FE04-F40F-68BA-0AC0-D80BFEEDAD15}"/>
                            </a:ext>
                          </a:extLst>
                        </pic:cNvPr>
                        <pic:cNvPicPr>
                          <a:picLocks noGrp="1" noRot="1" noChangeAspect="1" noMove="1" noResize="1" noEditPoints="1" noAdjustHandles="1" noChangeArrowheads="1" noChangeShapeType="1"/>
                        </pic:cNvPicPr>
                      </pic:nvPicPr>
                      <pic:blipFill>
                        <a:blip r:embed="rId25"/>
                        <a:stretch>
                          <a:fillRect/>
                        </a:stretch>
                      </pic:blipFill>
                      <pic:spPr>
                        <a:xfrm>
                          <a:off x="0" y="0"/>
                          <a:ext cx="6119495" cy="2766060"/>
                        </a:xfrm>
                        <a:prstGeom prst="rect">
                          <a:avLst/>
                        </a:prstGeom>
                      </pic:spPr>
                    </pic:pic>
                  </a:graphicData>
                </a:graphic>
              </wp:inline>
            </w:drawing>
          </mc:Fallback>
        </mc:AlternateContent>
      </w:r>
      <w:r w:rsidR="001F490D" w:rsidRPr="00C72AB5">
        <w:rPr>
          <w:rFonts w:ascii="GHEA Grapalat" w:hAnsi="GHEA Grapalat"/>
          <w:sz w:val="24"/>
          <w:szCs w:val="24"/>
          <w:highlight w:val="yellow"/>
          <w:lang w:eastAsia="en-US"/>
        </w:rPr>
        <w:t xml:space="preserve"> </w:t>
      </w:r>
    </w:p>
    <w:p w14:paraId="194155EA" w14:textId="7DB07FB3" w:rsidR="00711430" w:rsidRPr="00C72AB5" w:rsidRDefault="005F7C93" w:rsidP="00181F43">
      <w:pPr>
        <w:tabs>
          <w:tab w:val="left" w:pos="851"/>
        </w:tabs>
        <w:ind w:left="567" w:hanging="567"/>
        <w:jc w:val="both"/>
        <w:rPr>
          <w:rFonts w:ascii="GHEA Grapalat" w:hAnsi="GHEA Grapalat"/>
        </w:rPr>
      </w:pPr>
      <w:r w:rsidRPr="00C72AB5">
        <w:rPr>
          <w:rFonts w:ascii="GHEA Grapalat" w:hAnsi="GHEA Grapalat"/>
          <w:b/>
        </w:rPr>
        <w:t>Գծապատկեր</w:t>
      </w:r>
      <w:r w:rsidR="00711430" w:rsidRPr="00C72AB5">
        <w:rPr>
          <w:rFonts w:ascii="GHEA Grapalat" w:hAnsi="GHEA Grapalat"/>
          <w:b/>
        </w:rPr>
        <w:t xml:space="preserve"> </w:t>
      </w:r>
      <w:r w:rsidR="008F575B" w:rsidRPr="00C72AB5">
        <w:rPr>
          <w:rFonts w:ascii="GHEA Grapalat" w:hAnsi="GHEA Grapalat"/>
          <w:b/>
        </w:rPr>
        <w:t>1</w:t>
      </w:r>
      <w:r w:rsidR="00FC614D" w:rsidRPr="00C72AB5">
        <w:rPr>
          <w:rFonts w:ascii="GHEA Grapalat" w:hAnsi="GHEA Grapalat"/>
          <w:b/>
        </w:rPr>
        <w:t>2</w:t>
      </w:r>
      <w:r w:rsidR="00711430" w:rsidRPr="00C72AB5">
        <w:rPr>
          <w:rFonts w:ascii="GHEA Grapalat" w:hAnsi="GHEA Grapalat"/>
        </w:rPr>
        <w:t>. 202</w:t>
      </w:r>
      <w:r w:rsidR="00CE4C1B" w:rsidRPr="00C72AB5">
        <w:rPr>
          <w:rFonts w:ascii="GHEA Grapalat" w:hAnsi="GHEA Grapalat"/>
        </w:rPr>
        <w:t>5</w:t>
      </w:r>
      <w:r w:rsidR="00711430" w:rsidRPr="00C72AB5">
        <w:rPr>
          <w:rFonts w:ascii="GHEA Grapalat" w:hAnsi="GHEA Grapalat"/>
        </w:rPr>
        <w:t xml:space="preserve"> թվականի</w:t>
      </w:r>
      <w:r w:rsidR="00CE4C1B" w:rsidRPr="00C72AB5">
        <w:rPr>
          <w:rFonts w:ascii="GHEA Grapalat" w:hAnsi="GHEA Grapalat"/>
        </w:rPr>
        <w:t xml:space="preserve"> դրությամբ </w:t>
      </w:r>
      <w:r w:rsidR="00711430" w:rsidRPr="00C72AB5">
        <w:rPr>
          <w:rFonts w:ascii="GHEA Grapalat" w:hAnsi="GHEA Grapalat"/>
        </w:rPr>
        <w:t xml:space="preserve">իրականացվող </w:t>
      </w:r>
      <w:r w:rsidR="00CE4C1B" w:rsidRPr="00C72AB5">
        <w:rPr>
          <w:rFonts w:ascii="GHEA Grapalat" w:hAnsi="GHEA Grapalat"/>
        </w:rPr>
        <w:t xml:space="preserve">խոշոր </w:t>
      </w:r>
      <w:r w:rsidR="00711430" w:rsidRPr="00C72AB5">
        <w:rPr>
          <w:rFonts w:ascii="GHEA Grapalat" w:hAnsi="GHEA Grapalat"/>
        </w:rPr>
        <w:t xml:space="preserve">դրամաշնորհային ծրագրերի շրջանակներում ներգրավված գործընկեր կողմի </w:t>
      </w:r>
      <w:r w:rsidR="000E5737" w:rsidRPr="00C72AB5">
        <w:rPr>
          <w:rFonts w:ascii="GHEA Grapalat" w:hAnsi="GHEA Grapalat"/>
        </w:rPr>
        <w:t xml:space="preserve">բաշխման </w:t>
      </w:r>
      <w:r w:rsidR="00711430" w:rsidRPr="00C72AB5">
        <w:rPr>
          <w:rFonts w:ascii="GHEA Grapalat" w:hAnsi="GHEA Grapalat"/>
        </w:rPr>
        <w:t>աշխարհագրությունը</w:t>
      </w:r>
      <w:r w:rsidR="004956AA" w:rsidRPr="00C72AB5">
        <w:rPr>
          <w:rStyle w:val="FootnoteReference"/>
          <w:rFonts w:ascii="GHEA Grapalat" w:hAnsi="GHEA Grapalat"/>
        </w:rPr>
        <w:footnoteReference w:id="42"/>
      </w:r>
      <w:r w:rsidR="00711430" w:rsidRPr="00C72AB5">
        <w:rPr>
          <w:rFonts w:ascii="GHEA Grapalat" w:hAnsi="GHEA Grapalat"/>
        </w:rPr>
        <w:t>:</w:t>
      </w:r>
    </w:p>
    <w:p w14:paraId="340FD386" w14:textId="77777777" w:rsidR="00C30A31" w:rsidRDefault="00C30A31" w:rsidP="004B738B">
      <w:pPr>
        <w:widowControl w:val="0"/>
        <w:tabs>
          <w:tab w:val="left" w:pos="851"/>
        </w:tabs>
        <w:spacing w:line="276" w:lineRule="auto"/>
        <w:ind w:firstLine="567"/>
        <w:jc w:val="both"/>
        <w:rPr>
          <w:rFonts w:ascii="GHEA Grapalat" w:eastAsia="Calibri" w:hAnsi="GHEA Grapalat" w:cs="Arial"/>
          <w:sz w:val="24"/>
          <w:szCs w:val="24"/>
          <w:lang w:eastAsia="en-US"/>
        </w:rPr>
      </w:pPr>
    </w:p>
    <w:p w14:paraId="6DCAF5A7" w14:textId="5C07E4BC" w:rsidR="00295DAA" w:rsidRPr="00C72AB5" w:rsidRDefault="00310FCE" w:rsidP="004B738B">
      <w:pPr>
        <w:widowControl w:val="0"/>
        <w:tabs>
          <w:tab w:val="left" w:pos="851"/>
        </w:tabs>
        <w:spacing w:line="276" w:lineRule="auto"/>
        <w:ind w:firstLine="567"/>
        <w:jc w:val="both"/>
        <w:rPr>
          <w:rFonts w:ascii="GHEA Grapalat" w:hAnsi="GHEA Grapalat" w:cs="Sylfaen"/>
          <w:sz w:val="24"/>
          <w:szCs w:val="24"/>
        </w:rPr>
      </w:pPr>
      <w:r w:rsidRPr="00C30A31">
        <w:rPr>
          <w:rFonts w:ascii="GHEA Grapalat" w:eastAsia="Calibri" w:hAnsi="GHEA Grapalat" w:cs="Arial"/>
          <w:sz w:val="24"/>
          <w:szCs w:val="24"/>
          <w:lang w:eastAsia="en-US"/>
        </w:rPr>
        <w:t>30</w:t>
      </w:r>
      <w:r w:rsidR="00B4765E" w:rsidRPr="00C30A31">
        <w:rPr>
          <w:rFonts w:ascii="GHEA Grapalat" w:eastAsia="Calibri" w:hAnsi="GHEA Grapalat" w:cs="Arial"/>
          <w:sz w:val="24"/>
          <w:szCs w:val="24"/>
          <w:lang w:eastAsia="en-US"/>
        </w:rPr>
        <w:t xml:space="preserve">. Փոքր դրամաշնորհային </w:t>
      </w:r>
      <w:r w:rsidR="0085590E" w:rsidRPr="00C30A31">
        <w:rPr>
          <w:rFonts w:ascii="GHEA Grapalat" w:eastAsia="Calibri" w:hAnsi="GHEA Grapalat" w:cs="Arial"/>
          <w:sz w:val="24"/>
          <w:szCs w:val="24"/>
          <w:lang w:eastAsia="en-US"/>
        </w:rPr>
        <w:t>ծրագրերի</w:t>
      </w:r>
      <w:r w:rsidR="0085590E" w:rsidRPr="00C30A31">
        <w:rPr>
          <w:rStyle w:val="FootnoteReference"/>
          <w:rFonts w:ascii="GHEA Grapalat" w:eastAsia="Calibri" w:hAnsi="GHEA Grapalat" w:cs="Arial"/>
          <w:sz w:val="24"/>
          <w:szCs w:val="24"/>
          <w:lang w:eastAsia="en-US"/>
        </w:rPr>
        <w:footnoteReference w:id="43"/>
      </w:r>
      <w:r w:rsidR="0085590E" w:rsidRPr="00C30A31">
        <w:rPr>
          <w:rFonts w:ascii="GHEA Grapalat" w:eastAsia="Calibri" w:hAnsi="GHEA Grapalat" w:cs="Arial"/>
          <w:sz w:val="24"/>
          <w:szCs w:val="24"/>
          <w:lang w:eastAsia="en-US"/>
        </w:rPr>
        <w:t xml:space="preserve"> շրջանակներում ևս պահանջվում է արտերկրի խորհրդատուների ներգրավում</w:t>
      </w:r>
      <w:r w:rsidR="007E0D20" w:rsidRPr="00C30A31">
        <w:rPr>
          <w:rFonts w:ascii="GHEA Grapalat" w:eastAsia="Calibri" w:hAnsi="GHEA Grapalat" w:cs="Arial"/>
          <w:sz w:val="24"/>
          <w:szCs w:val="24"/>
          <w:lang w:eastAsia="en-US"/>
        </w:rPr>
        <w:t>, արդյունքում</w:t>
      </w:r>
      <w:r w:rsidR="005D34AA" w:rsidRPr="00C30A31">
        <w:rPr>
          <w:rFonts w:ascii="GHEA Grapalat" w:eastAsia="Calibri" w:hAnsi="GHEA Grapalat" w:cs="Arial"/>
          <w:sz w:val="24"/>
          <w:szCs w:val="24"/>
          <w:lang w:eastAsia="en-US"/>
        </w:rPr>
        <w:t xml:space="preserve">` հավելյալ 252 ընթացիկ </w:t>
      </w:r>
      <w:r w:rsidR="005D34AA" w:rsidRPr="00C72AB5">
        <w:rPr>
          <w:rFonts w:ascii="GHEA Grapalat" w:eastAsia="Calibri" w:hAnsi="GHEA Grapalat" w:cs="Arial"/>
          <w:sz w:val="24"/>
          <w:szCs w:val="24"/>
          <w:lang w:eastAsia="en-US"/>
        </w:rPr>
        <w:t>ծրագրերի մասով ներգրավելով 36 պետությունների գիտնականների` 4 աշխարհամասերից</w:t>
      </w:r>
      <w:r w:rsidR="0009583F" w:rsidRPr="00C72AB5">
        <w:rPr>
          <w:rFonts w:ascii="GHEA Grapalat" w:eastAsia="Calibri" w:hAnsi="GHEA Grapalat" w:cs="Arial"/>
          <w:sz w:val="24"/>
          <w:szCs w:val="24"/>
          <w:lang w:eastAsia="en-US"/>
        </w:rPr>
        <w:t xml:space="preserve"> </w:t>
      </w:r>
      <w:r w:rsidR="0009583F" w:rsidRPr="00C72AB5">
        <w:rPr>
          <w:rFonts w:ascii="GHEA Grapalat" w:hAnsi="GHEA Grapalat" w:cs="Sylfaen"/>
          <w:sz w:val="24"/>
          <w:szCs w:val="24"/>
        </w:rPr>
        <w:t>(տե՛ս</w:t>
      </w:r>
      <w:r w:rsidR="00B1275D">
        <w:rPr>
          <w:rFonts w:ascii="GHEA Grapalat" w:hAnsi="GHEA Grapalat" w:cs="Sylfaen"/>
          <w:sz w:val="24"/>
          <w:szCs w:val="24"/>
        </w:rPr>
        <w:t>,</w:t>
      </w:r>
      <w:r w:rsidR="0009583F" w:rsidRPr="00C72AB5">
        <w:rPr>
          <w:rFonts w:ascii="GHEA Grapalat" w:hAnsi="GHEA Grapalat" w:cs="Sylfaen"/>
          <w:sz w:val="24"/>
          <w:szCs w:val="24"/>
        </w:rPr>
        <w:t xml:space="preserve"> Գծապատկեր 13):</w:t>
      </w:r>
    </w:p>
    <w:p w14:paraId="60468C3C" w14:textId="1A620B7E" w:rsidR="005D34AA" w:rsidRPr="00C72AB5" w:rsidRDefault="007E0D20" w:rsidP="005D34AA">
      <w:pPr>
        <w:tabs>
          <w:tab w:val="left" w:pos="851"/>
        </w:tabs>
        <w:spacing w:line="276" w:lineRule="auto"/>
        <w:jc w:val="both"/>
        <w:rPr>
          <w:rFonts w:ascii="GHEA Grapalat" w:eastAsia="Calibri" w:hAnsi="GHEA Grapalat" w:cs="Arial"/>
          <w:sz w:val="24"/>
          <w:szCs w:val="24"/>
          <w:lang w:eastAsia="en-US"/>
        </w:rPr>
      </w:pPr>
      <w:r w:rsidRPr="00C72AB5">
        <w:rPr>
          <w:noProof/>
          <w:lang w:val="en-US" w:eastAsia="en-US"/>
        </w:rPr>
        <mc:AlternateContent>
          <mc:Choic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Requires="cx1">
            <w:drawing>
              <wp:inline distT="0" distB="0" distL="0" distR="0" wp14:anchorId="3E5F9A9F" wp14:editId="67A1CFD8">
                <wp:extent cx="6119495" cy="3139440"/>
                <wp:effectExtent l="0" t="0" r="14605" b="3810"/>
                <wp:docPr id="1140053004" name="Chart 1">
                  <a:extLst xmlns:a="http://schemas.openxmlformats.org/drawingml/2006/main">
                    <a:ext uri="{FF2B5EF4-FFF2-40B4-BE49-F238E27FC236}">
                      <a16:creationId xmlns:a16="http://schemas.microsoft.com/office/drawing/2014/main" id="{C34240BA-6822-C9C0-7963-372A3726A681}"/>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26"/>
                  </a:graphicData>
                </a:graphic>
              </wp:inline>
            </w:drawing>
          </mc:Choice>
          <mc:Fallback>
            <w:drawing>
              <wp:inline distT="0" distB="0" distL="0" distR="0" wp14:anchorId="3E5F9A9F" wp14:editId="67A1CFD8">
                <wp:extent cx="6119495" cy="3139440"/>
                <wp:effectExtent l="0" t="0" r="14605" b="3810"/>
                <wp:docPr id="1140053004" name="Chart 1">
                  <a:extLst xmlns:a="http://schemas.openxmlformats.org/drawingml/2006/main">
                    <a:ext uri="{FF2B5EF4-FFF2-40B4-BE49-F238E27FC236}">
                      <a16:creationId xmlns:a16="http://schemas.microsoft.com/office/drawing/2014/main" id="{C34240BA-6822-C9C0-7963-372A3726A681}"/>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140053004" name="Chart 1">
                          <a:extLst>
                            <a:ext uri="{FF2B5EF4-FFF2-40B4-BE49-F238E27FC236}">
                              <a16:creationId xmlns:a16="http://schemas.microsoft.com/office/drawing/2014/main" id="{C34240BA-6822-C9C0-7963-372A3726A681}"/>
                            </a:ext>
                          </a:extLst>
                        </pic:cNvPr>
                        <pic:cNvPicPr>
                          <a:picLocks noGrp="1" noRot="1" noChangeAspect="1" noMove="1" noResize="1" noEditPoints="1" noAdjustHandles="1" noChangeArrowheads="1" noChangeShapeType="1"/>
                        </pic:cNvPicPr>
                      </pic:nvPicPr>
                      <pic:blipFill>
                        <a:blip r:embed="rId27"/>
                        <a:stretch>
                          <a:fillRect/>
                        </a:stretch>
                      </pic:blipFill>
                      <pic:spPr>
                        <a:xfrm>
                          <a:off x="0" y="0"/>
                          <a:ext cx="6119495" cy="3139440"/>
                        </a:xfrm>
                        <a:prstGeom prst="rect">
                          <a:avLst/>
                        </a:prstGeom>
                      </pic:spPr>
                    </pic:pic>
                  </a:graphicData>
                </a:graphic>
              </wp:inline>
            </w:drawing>
          </mc:Fallback>
        </mc:AlternateContent>
      </w:r>
    </w:p>
    <w:p w14:paraId="2F862BA1" w14:textId="21301C02" w:rsidR="007E0D20" w:rsidRPr="00C72AB5" w:rsidRDefault="005F7C93" w:rsidP="00181F43">
      <w:pPr>
        <w:tabs>
          <w:tab w:val="left" w:pos="851"/>
        </w:tabs>
        <w:ind w:left="567" w:hanging="567"/>
        <w:jc w:val="both"/>
        <w:rPr>
          <w:rFonts w:ascii="GHEA Grapalat" w:hAnsi="GHEA Grapalat"/>
        </w:rPr>
      </w:pPr>
      <w:r w:rsidRPr="00C72AB5">
        <w:rPr>
          <w:rFonts w:ascii="GHEA Grapalat" w:hAnsi="GHEA Grapalat"/>
          <w:b/>
        </w:rPr>
        <w:t>Գծապատկեր</w:t>
      </w:r>
      <w:r w:rsidR="007E0D20" w:rsidRPr="00C72AB5">
        <w:rPr>
          <w:rFonts w:ascii="GHEA Grapalat" w:hAnsi="GHEA Grapalat"/>
          <w:b/>
        </w:rPr>
        <w:t xml:space="preserve"> </w:t>
      </w:r>
      <w:r w:rsidR="008F575B" w:rsidRPr="00C72AB5">
        <w:rPr>
          <w:rFonts w:ascii="GHEA Grapalat" w:hAnsi="GHEA Grapalat"/>
          <w:b/>
        </w:rPr>
        <w:t>1</w:t>
      </w:r>
      <w:r w:rsidR="00FC614D" w:rsidRPr="00C72AB5">
        <w:rPr>
          <w:rFonts w:ascii="GHEA Grapalat" w:hAnsi="GHEA Grapalat"/>
          <w:b/>
        </w:rPr>
        <w:t>3</w:t>
      </w:r>
      <w:r w:rsidR="007E0D20" w:rsidRPr="00C72AB5">
        <w:rPr>
          <w:rFonts w:ascii="GHEA Grapalat" w:hAnsi="GHEA Grapalat"/>
        </w:rPr>
        <w:t>. 2025 թվականի դրությամբ իրականացվող փոքր դրամաշնորհային ծրագրերի շրջանակներում ներգրավված խորհրդատուների բաշխման աշխարհագրությունը</w:t>
      </w:r>
      <w:r w:rsidR="00887E3F" w:rsidRPr="00C72AB5">
        <w:rPr>
          <w:rStyle w:val="FootnoteReference"/>
          <w:rFonts w:ascii="GHEA Grapalat" w:hAnsi="GHEA Grapalat"/>
        </w:rPr>
        <w:footnoteReference w:id="44"/>
      </w:r>
      <w:r w:rsidR="007E0D20" w:rsidRPr="00C72AB5">
        <w:rPr>
          <w:rFonts w:ascii="GHEA Grapalat" w:hAnsi="GHEA Grapalat"/>
        </w:rPr>
        <w:t>:</w:t>
      </w:r>
    </w:p>
    <w:p w14:paraId="4BD19293" w14:textId="77777777" w:rsidR="005D34AA" w:rsidRPr="00C72AB5" w:rsidRDefault="005D34AA" w:rsidP="0085590E">
      <w:pPr>
        <w:tabs>
          <w:tab w:val="left" w:pos="851"/>
        </w:tabs>
        <w:spacing w:line="276" w:lineRule="auto"/>
        <w:ind w:firstLine="426"/>
        <w:jc w:val="both"/>
        <w:rPr>
          <w:rFonts w:ascii="GHEA Grapalat" w:eastAsia="Calibri" w:hAnsi="GHEA Grapalat" w:cs="Arial"/>
          <w:sz w:val="6"/>
          <w:szCs w:val="6"/>
          <w:lang w:eastAsia="en-US"/>
        </w:rPr>
      </w:pPr>
    </w:p>
    <w:p w14:paraId="41C4A7C8" w14:textId="189CB76D" w:rsidR="00220ACB" w:rsidRPr="00C72AB5" w:rsidRDefault="00C5666D" w:rsidP="0049437D">
      <w:pPr>
        <w:tabs>
          <w:tab w:val="left" w:pos="851"/>
        </w:tabs>
        <w:spacing w:line="276" w:lineRule="auto"/>
        <w:jc w:val="both"/>
        <w:rPr>
          <w:rFonts w:ascii="GHEA Grapalat" w:hAnsi="GHEA Grapalat"/>
          <w:sz w:val="24"/>
          <w:szCs w:val="24"/>
          <w:highlight w:val="yellow"/>
        </w:rPr>
      </w:pPr>
      <w:r w:rsidRPr="00C72AB5">
        <w:rPr>
          <w:noProof/>
          <w:lang w:val="en-US" w:eastAsia="en-US"/>
        </w:rPr>
        <w:lastRenderedPageBreak/>
        <w:drawing>
          <wp:inline distT="0" distB="0" distL="0" distR="0" wp14:anchorId="4F358E57" wp14:editId="2A344333">
            <wp:extent cx="6119495" cy="2697480"/>
            <wp:effectExtent l="0" t="0" r="0" b="7620"/>
            <wp:docPr id="722400653" name="Chart 1">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r w:rsidR="00227DDF" w:rsidRPr="00C72AB5">
        <w:rPr>
          <w:rFonts w:ascii="GHEA Grapalat" w:hAnsi="GHEA Grapalat"/>
          <w:sz w:val="24"/>
          <w:szCs w:val="24"/>
          <w:highlight w:val="yellow"/>
          <w:lang w:eastAsia="en-US"/>
        </w:rPr>
        <w:t xml:space="preserve">  </w:t>
      </w:r>
    </w:p>
    <w:p w14:paraId="30657C86" w14:textId="1D8E9402" w:rsidR="006F6098" w:rsidRPr="00C72AB5" w:rsidRDefault="005F7C93" w:rsidP="00181F43">
      <w:pPr>
        <w:tabs>
          <w:tab w:val="left" w:pos="851"/>
        </w:tabs>
        <w:ind w:left="567" w:hanging="567"/>
        <w:jc w:val="both"/>
        <w:rPr>
          <w:rFonts w:ascii="GHEA Grapalat" w:hAnsi="GHEA Grapalat"/>
        </w:rPr>
      </w:pPr>
      <w:r w:rsidRPr="00C72AB5">
        <w:rPr>
          <w:rFonts w:ascii="GHEA Grapalat" w:hAnsi="GHEA Grapalat"/>
          <w:b/>
        </w:rPr>
        <w:t>Գծապատկեր</w:t>
      </w:r>
      <w:r w:rsidR="006F6098" w:rsidRPr="00C72AB5">
        <w:rPr>
          <w:rFonts w:ascii="GHEA Grapalat" w:hAnsi="GHEA Grapalat"/>
          <w:b/>
        </w:rPr>
        <w:t xml:space="preserve"> </w:t>
      </w:r>
      <w:r w:rsidR="008F575B" w:rsidRPr="00C72AB5">
        <w:rPr>
          <w:rFonts w:ascii="GHEA Grapalat" w:hAnsi="GHEA Grapalat"/>
          <w:b/>
        </w:rPr>
        <w:t>1</w:t>
      </w:r>
      <w:r w:rsidR="00FC614D" w:rsidRPr="00C72AB5">
        <w:rPr>
          <w:rFonts w:ascii="GHEA Grapalat" w:hAnsi="GHEA Grapalat"/>
          <w:b/>
        </w:rPr>
        <w:t>4</w:t>
      </w:r>
      <w:r w:rsidR="006F6098" w:rsidRPr="00C72AB5">
        <w:rPr>
          <w:rFonts w:ascii="GHEA Grapalat" w:hAnsi="GHEA Grapalat"/>
        </w:rPr>
        <w:t xml:space="preserve">. </w:t>
      </w:r>
      <w:r w:rsidR="00DE3D0C" w:rsidRPr="00C72AB5">
        <w:rPr>
          <w:rFonts w:ascii="GHEA Grapalat" w:hAnsi="GHEA Grapalat" w:cs="Arial"/>
        </w:rPr>
        <w:t>Հայաստանի գիտահետազոտական կազմակերպությունների և բուհերի կողմից 201</w:t>
      </w:r>
      <w:r w:rsidR="00C5666D" w:rsidRPr="00C72AB5">
        <w:rPr>
          <w:rFonts w:ascii="GHEA Grapalat" w:hAnsi="GHEA Grapalat" w:cs="Arial"/>
        </w:rPr>
        <w:t>5</w:t>
      </w:r>
      <w:r w:rsidR="00DE3D0C" w:rsidRPr="00C72AB5">
        <w:rPr>
          <w:rFonts w:ascii="GHEA Grapalat" w:hAnsi="GHEA Grapalat" w:cs="Arial"/>
        </w:rPr>
        <w:t>-202</w:t>
      </w:r>
      <w:r w:rsidR="00C5666D" w:rsidRPr="00C72AB5">
        <w:rPr>
          <w:rFonts w:ascii="GHEA Grapalat" w:hAnsi="GHEA Grapalat" w:cs="Arial"/>
        </w:rPr>
        <w:t>4</w:t>
      </w:r>
      <w:r w:rsidR="00DE3D0C" w:rsidRPr="00C72AB5">
        <w:rPr>
          <w:rFonts w:ascii="Calibri" w:hAnsi="Calibri" w:cs="Calibri"/>
        </w:rPr>
        <w:t> </w:t>
      </w:r>
      <w:r w:rsidR="00DE3D0C" w:rsidRPr="00C72AB5">
        <w:rPr>
          <w:rFonts w:ascii="GHEA Grapalat" w:hAnsi="GHEA Grapalat" w:cs="GHEA Grapalat"/>
        </w:rPr>
        <w:t>թվականներին</w:t>
      </w:r>
      <w:r w:rsidR="00DE3D0C" w:rsidRPr="00C72AB5">
        <w:rPr>
          <w:rFonts w:ascii="GHEA Grapalat" w:hAnsi="GHEA Grapalat" w:cs="Arial"/>
        </w:rPr>
        <w:t xml:space="preserve"> </w:t>
      </w:r>
      <w:r w:rsidR="00DE3D0C" w:rsidRPr="00C72AB5">
        <w:rPr>
          <w:rFonts w:ascii="GHEA Grapalat" w:hAnsi="GHEA Grapalat" w:cs="GHEA Grapalat"/>
        </w:rPr>
        <w:t>հրապարակած</w:t>
      </w:r>
      <w:r w:rsidR="00DE3D0C" w:rsidRPr="00C72AB5">
        <w:rPr>
          <w:rFonts w:ascii="GHEA Grapalat" w:hAnsi="GHEA Grapalat" w:cs="Arial"/>
        </w:rPr>
        <w:t xml:space="preserve"> հ</w:t>
      </w:r>
      <w:r w:rsidR="006F6098" w:rsidRPr="00C72AB5">
        <w:rPr>
          <w:rFonts w:ascii="GHEA Grapalat" w:hAnsi="GHEA Grapalat"/>
        </w:rPr>
        <w:t xml:space="preserve">ոդվածներում համագործակից երկրների առաջին տասնյակը ըստ </w:t>
      </w:r>
      <w:r w:rsidR="00744E08">
        <w:rPr>
          <w:rFonts w:ascii="GHEA Grapalat" w:hAnsi="GHEA Grapalat"/>
        </w:rPr>
        <w:t>Հայաստանի Հանրապետության</w:t>
      </w:r>
      <w:r w:rsidR="006F6098" w:rsidRPr="00C72AB5">
        <w:rPr>
          <w:rFonts w:ascii="GHEA Grapalat" w:hAnsi="GHEA Grapalat"/>
        </w:rPr>
        <w:t xml:space="preserve"> հետ համատեղ հրապարակված հոդվածների քանակի</w:t>
      </w:r>
      <w:r w:rsidR="001F490D" w:rsidRPr="00C72AB5">
        <w:rPr>
          <w:rFonts w:ascii="GHEA Grapalat" w:hAnsi="GHEA Grapalat"/>
        </w:rPr>
        <w:t xml:space="preserve"> (առանց խոշոր համագործակցությունների)</w:t>
      </w:r>
      <w:r w:rsidR="006F6098" w:rsidRPr="00C72AB5">
        <w:rPr>
          <w:rFonts w:ascii="GHEA Grapalat" w:hAnsi="GHEA Grapalat"/>
        </w:rPr>
        <w:t>, ներառյալ այդ հոդվածների վրա հղումների քանակը</w:t>
      </w:r>
      <w:r w:rsidR="00014B85" w:rsidRPr="00C72AB5">
        <w:rPr>
          <w:rFonts w:ascii="GHEA Grapalat" w:hAnsi="GHEA Grapalat"/>
        </w:rPr>
        <w:t xml:space="preserve"> և դրանցում 1-ին քառորդում հապարակումների բաժինը (%)</w:t>
      </w:r>
      <w:r w:rsidR="00887E3F" w:rsidRPr="00C72AB5">
        <w:rPr>
          <w:rStyle w:val="FootnoteReference"/>
          <w:rFonts w:ascii="GHEA Grapalat" w:hAnsi="GHEA Grapalat"/>
        </w:rPr>
        <w:footnoteReference w:id="45"/>
      </w:r>
      <w:r w:rsidR="006F6098" w:rsidRPr="00C72AB5">
        <w:rPr>
          <w:rFonts w:ascii="GHEA Grapalat" w:hAnsi="GHEA Grapalat"/>
        </w:rPr>
        <w:t>:</w:t>
      </w:r>
    </w:p>
    <w:p w14:paraId="6B8C7524" w14:textId="77777777" w:rsidR="001C6BC3" w:rsidRPr="00C72AB5" w:rsidRDefault="001C6BC3" w:rsidP="0049437D">
      <w:pPr>
        <w:tabs>
          <w:tab w:val="left" w:pos="851"/>
        </w:tabs>
        <w:spacing w:line="276" w:lineRule="auto"/>
        <w:ind w:left="567" w:hanging="567"/>
        <w:jc w:val="both"/>
        <w:rPr>
          <w:rFonts w:ascii="GHEA Grapalat" w:hAnsi="GHEA Grapalat"/>
        </w:rPr>
      </w:pPr>
    </w:p>
    <w:p w14:paraId="3F53F7CA" w14:textId="106D75CA" w:rsidR="001C6BC3" w:rsidRPr="00C72AB5" w:rsidRDefault="00310FCE" w:rsidP="001C6BC3">
      <w:pPr>
        <w:tabs>
          <w:tab w:val="left" w:pos="851"/>
        </w:tabs>
        <w:spacing w:line="276" w:lineRule="auto"/>
        <w:ind w:firstLine="426"/>
        <w:jc w:val="both"/>
        <w:rPr>
          <w:rFonts w:ascii="GHEA Grapalat" w:hAnsi="GHEA Grapalat"/>
          <w:sz w:val="24"/>
          <w:szCs w:val="24"/>
        </w:rPr>
      </w:pPr>
      <w:r w:rsidRPr="00C72AB5">
        <w:rPr>
          <w:rFonts w:ascii="GHEA Grapalat" w:eastAsia="Calibri" w:hAnsi="GHEA Grapalat" w:cs="Arial"/>
          <w:sz w:val="24"/>
          <w:szCs w:val="24"/>
          <w:lang w:eastAsia="en-US"/>
        </w:rPr>
        <w:t>31</w:t>
      </w:r>
      <w:r w:rsidR="001C6BC3" w:rsidRPr="00C72AB5">
        <w:rPr>
          <w:rFonts w:ascii="GHEA Grapalat" w:eastAsia="Calibri" w:hAnsi="GHEA Grapalat" w:cs="Arial"/>
          <w:sz w:val="24"/>
          <w:szCs w:val="24"/>
          <w:lang w:eastAsia="en-US"/>
        </w:rPr>
        <w:t xml:space="preserve">. Հայաստանի Հանրապետության գիտահետազոտական կազմակերպությունների և բուհերի </w:t>
      </w:r>
      <w:r w:rsidR="001C6BC3" w:rsidRPr="00C72AB5">
        <w:rPr>
          <w:rFonts w:ascii="GHEA Grapalat" w:hAnsi="GHEA Grapalat"/>
          <w:sz w:val="24"/>
          <w:szCs w:val="24"/>
        </w:rPr>
        <w:t>կողմից</w:t>
      </w:r>
      <w:r w:rsidR="001C6BC3" w:rsidRPr="00C72AB5">
        <w:rPr>
          <w:rFonts w:ascii="GHEA Grapalat" w:eastAsia="Calibri" w:hAnsi="GHEA Grapalat" w:cs="Arial"/>
          <w:sz w:val="24"/>
          <w:szCs w:val="24"/>
          <w:lang w:eastAsia="en-US"/>
        </w:rPr>
        <w:t xml:space="preserve"> 2015-2024 </w:t>
      </w:r>
      <w:r w:rsidR="00131219">
        <w:rPr>
          <w:rFonts w:ascii="GHEA Grapalat" w:eastAsia="Calibri" w:hAnsi="GHEA Grapalat" w:cs="Arial"/>
          <w:sz w:val="24"/>
          <w:szCs w:val="24"/>
          <w:lang w:eastAsia="en-US"/>
        </w:rPr>
        <w:t>թվականներին</w:t>
      </w:r>
      <w:r w:rsidR="001C6BC3" w:rsidRPr="00C72AB5">
        <w:rPr>
          <w:rFonts w:ascii="GHEA Grapalat" w:eastAsia="Calibri" w:hAnsi="GHEA Grapalat" w:cs="Arial"/>
          <w:sz w:val="24"/>
          <w:szCs w:val="24"/>
          <w:lang w:eastAsia="en-US"/>
        </w:rPr>
        <w:t xml:space="preserve"> հրապարակ</w:t>
      </w:r>
      <w:r w:rsidR="00131219">
        <w:rPr>
          <w:rFonts w:ascii="GHEA Grapalat" w:eastAsia="Calibri" w:hAnsi="GHEA Grapalat" w:cs="Arial"/>
          <w:sz w:val="24"/>
          <w:szCs w:val="24"/>
          <w:lang w:eastAsia="en-US"/>
        </w:rPr>
        <w:t>վ</w:t>
      </w:r>
      <w:r w:rsidR="001C6BC3" w:rsidRPr="00C72AB5">
        <w:rPr>
          <w:rFonts w:ascii="GHEA Grapalat" w:eastAsia="Calibri" w:hAnsi="GHEA Grapalat" w:cs="Arial"/>
          <w:sz w:val="24"/>
          <w:szCs w:val="24"/>
          <w:lang w:eastAsia="en-US"/>
        </w:rPr>
        <w:t xml:space="preserve">ած գիտական հոդվածների վերլուծությունը ցույց է տալիս, որ անհատական մակարդակում, առանց հաշվի առնելու խոշոր միջազգային </w:t>
      </w:r>
      <w:r w:rsidR="001C6BC3" w:rsidRPr="00C72AB5">
        <w:rPr>
          <w:rFonts w:ascii="GHEA Grapalat" w:hAnsi="GHEA Grapalat" w:cs="Sylfaen"/>
          <w:sz w:val="24"/>
          <w:szCs w:val="24"/>
        </w:rPr>
        <w:t>համագործակցությունները</w:t>
      </w:r>
      <w:r w:rsidR="001C6BC3" w:rsidRPr="00C72AB5">
        <w:rPr>
          <w:rStyle w:val="FootnoteReference"/>
          <w:rFonts w:ascii="GHEA Grapalat" w:hAnsi="GHEA Grapalat" w:cs="Sylfaen"/>
          <w:sz w:val="24"/>
          <w:szCs w:val="24"/>
        </w:rPr>
        <w:footnoteReference w:id="46"/>
      </w:r>
      <w:r w:rsidR="001C6BC3" w:rsidRPr="00C72AB5">
        <w:rPr>
          <w:rFonts w:ascii="GHEA Grapalat" w:eastAsia="Calibri" w:hAnsi="GHEA Grapalat" w:cs="Arial"/>
          <w:sz w:val="24"/>
          <w:szCs w:val="24"/>
          <w:lang w:eastAsia="en-US"/>
        </w:rPr>
        <w:t xml:space="preserve">, առկա է համագործակցություն աշխարհի 167 երկրների գիտնականների կամ գիտական կենտրոնների հետ: Առաջին </w:t>
      </w:r>
      <w:r w:rsidR="00131219">
        <w:rPr>
          <w:rFonts w:ascii="GHEA Grapalat" w:eastAsia="Calibri" w:hAnsi="GHEA Grapalat" w:cs="Arial"/>
          <w:sz w:val="24"/>
          <w:szCs w:val="24"/>
          <w:lang w:eastAsia="en-US"/>
        </w:rPr>
        <w:t>տասնյակն</w:t>
      </w:r>
      <w:r w:rsidR="001C6BC3" w:rsidRPr="00C72AB5">
        <w:rPr>
          <w:rFonts w:ascii="GHEA Grapalat" w:eastAsia="Calibri" w:hAnsi="GHEA Grapalat" w:cs="Arial"/>
          <w:sz w:val="24"/>
          <w:szCs w:val="24"/>
          <w:lang w:eastAsia="en-US"/>
        </w:rPr>
        <w:t xml:space="preserve"> ըստ համատեղ հրապարակված հոդվածների</w:t>
      </w:r>
      <w:r w:rsidR="00131219">
        <w:rPr>
          <w:rFonts w:ascii="GHEA Grapalat" w:eastAsia="Calibri" w:hAnsi="GHEA Grapalat" w:cs="Arial"/>
          <w:sz w:val="24"/>
          <w:szCs w:val="24"/>
          <w:lang w:eastAsia="en-US"/>
        </w:rPr>
        <w:t>,</w:t>
      </w:r>
      <w:r w:rsidR="001C6BC3" w:rsidRPr="00C72AB5">
        <w:rPr>
          <w:rFonts w:ascii="GHEA Grapalat" w:eastAsia="Calibri" w:hAnsi="GHEA Grapalat" w:cs="Arial"/>
          <w:sz w:val="24"/>
          <w:szCs w:val="24"/>
          <w:lang w:eastAsia="en-US"/>
        </w:rPr>
        <w:t xml:space="preserve"> այդ թվում</w:t>
      </w:r>
      <w:r w:rsidR="00131219">
        <w:rPr>
          <w:rFonts w:ascii="GHEA Grapalat" w:eastAsia="Calibri" w:hAnsi="GHEA Grapalat" w:cs="Arial"/>
          <w:sz w:val="24"/>
          <w:szCs w:val="24"/>
          <w:lang w:eastAsia="en-US"/>
        </w:rPr>
        <w:t>՝</w:t>
      </w:r>
      <w:r w:rsidR="001C6BC3" w:rsidRPr="00C72AB5">
        <w:rPr>
          <w:rFonts w:ascii="GHEA Grapalat" w:eastAsia="Calibri" w:hAnsi="GHEA Grapalat" w:cs="Arial"/>
          <w:sz w:val="24"/>
          <w:szCs w:val="24"/>
          <w:lang w:eastAsia="en-US"/>
        </w:rPr>
        <w:t xml:space="preserve"> այդ հոդվածների վրա հղումների քանակների ներկայացված </w:t>
      </w:r>
      <w:r w:rsidR="00BA5B1D" w:rsidRPr="00C30A31">
        <w:rPr>
          <w:rFonts w:ascii="GHEA Grapalat" w:eastAsia="Calibri" w:hAnsi="GHEA Grapalat" w:cs="Arial"/>
          <w:sz w:val="24"/>
          <w:szCs w:val="24"/>
          <w:lang w:eastAsia="en-US"/>
        </w:rPr>
        <w:t>են</w:t>
      </w:r>
      <w:r w:rsidR="001C6BC3" w:rsidRPr="00C30A31">
        <w:rPr>
          <w:rFonts w:ascii="GHEA Grapalat" w:eastAsia="Calibri" w:hAnsi="GHEA Grapalat" w:cs="Arial"/>
          <w:sz w:val="24"/>
          <w:szCs w:val="24"/>
          <w:lang w:eastAsia="en-US"/>
        </w:rPr>
        <w:t xml:space="preserve"> </w:t>
      </w:r>
      <w:r w:rsidR="005F7C93" w:rsidRPr="00C72AB5">
        <w:rPr>
          <w:rFonts w:ascii="GHEA Grapalat" w:eastAsia="Calibri" w:hAnsi="GHEA Grapalat" w:cs="Arial"/>
          <w:sz w:val="24"/>
          <w:szCs w:val="24"/>
          <w:lang w:eastAsia="en-US"/>
        </w:rPr>
        <w:t>Գծապատկեր</w:t>
      </w:r>
      <w:r w:rsidR="001C6BC3" w:rsidRPr="00C72AB5">
        <w:rPr>
          <w:rFonts w:ascii="GHEA Grapalat" w:eastAsia="Calibri" w:hAnsi="GHEA Grapalat" w:cs="Arial"/>
          <w:sz w:val="24"/>
          <w:szCs w:val="24"/>
          <w:lang w:eastAsia="en-US"/>
        </w:rPr>
        <w:t xml:space="preserve"> 14-ում:</w:t>
      </w:r>
    </w:p>
    <w:p w14:paraId="56295344" w14:textId="35D11D44" w:rsidR="000526D5" w:rsidRPr="00C30A31" w:rsidRDefault="00310FCE" w:rsidP="00DE4BDD">
      <w:pPr>
        <w:tabs>
          <w:tab w:val="left" w:pos="851"/>
        </w:tabs>
        <w:spacing w:line="276" w:lineRule="auto"/>
        <w:ind w:firstLine="426"/>
        <w:jc w:val="both"/>
        <w:rPr>
          <w:rFonts w:ascii="GHEA Grapalat" w:hAnsi="GHEA Grapalat"/>
          <w:sz w:val="24"/>
          <w:szCs w:val="24"/>
        </w:rPr>
      </w:pPr>
      <w:r w:rsidRPr="00C72AB5">
        <w:rPr>
          <w:rFonts w:ascii="GHEA Grapalat" w:hAnsi="GHEA Grapalat"/>
          <w:sz w:val="24"/>
          <w:szCs w:val="24"/>
        </w:rPr>
        <w:t>32</w:t>
      </w:r>
      <w:r w:rsidR="00DE4BDD" w:rsidRPr="00C72AB5">
        <w:rPr>
          <w:rFonts w:ascii="GHEA Grapalat" w:hAnsi="GHEA Grapalat"/>
          <w:sz w:val="24"/>
          <w:szCs w:val="24"/>
        </w:rPr>
        <w:t xml:space="preserve">. </w:t>
      </w:r>
      <w:r w:rsidR="005628C7" w:rsidRPr="00C72AB5">
        <w:rPr>
          <w:rFonts w:ascii="GHEA Grapalat" w:hAnsi="GHEA Grapalat"/>
          <w:sz w:val="24"/>
          <w:szCs w:val="24"/>
        </w:rPr>
        <w:t xml:space="preserve">Ինչպես երևում է </w:t>
      </w:r>
      <w:r w:rsidR="005F7C93" w:rsidRPr="00C72AB5">
        <w:rPr>
          <w:rFonts w:ascii="GHEA Grapalat" w:hAnsi="GHEA Grapalat"/>
          <w:sz w:val="24"/>
          <w:szCs w:val="24"/>
        </w:rPr>
        <w:t>Գծապատկեր</w:t>
      </w:r>
      <w:r w:rsidR="006F6098" w:rsidRPr="00C72AB5">
        <w:rPr>
          <w:rFonts w:ascii="GHEA Grapalat" w:hAnsi="GHEA Grapalat"/>
          <w:sz w:val="24"/>
          <w:szCs w:val="24"/>
        </w:rPr>
        <w:t>ներ</w:t>
      </w:r>
      <w:r w:rsidR="005628C7" w:rsidRPr="00C72AB5">
        <w:rPr>
          <w:rFonts w:ascii="GHEA Grapalat" w:hAnsi="GHEA Grapalat"/>
          <w:sz w:val="24"/>
          <w:szCs w:val="24"/>
        </w:rPr>
        <w:t xml:space="preserve"> </w:t>
      </w:r>
      <w:r w:rsidR="00295DAA" w:rsidRPr="00C72AB5">
        <w:rPr>
          <w:rFonts w:ascii="GHEA Grapalat" w:hAnsi="GHEA Grapalat"/>
          <w:sz w:val="24"/>
          <w:szCs w:val="24"/>
        </w:rPr>
        <w:t>1</w:t>
      </w:r>
      <w:r w:rsidR="0009583F" w:rsidRPr="00C72AB5">
        <w:rPr>
          <w:rFonts w:ascii="GHEA Grapalat" w:hAnsi="GHEA Grapalat"/>
          <w:sz w:val="24"/>
          <w:szCs w:val="24"/>
        </w:rPr>
        <w:t>1</w:t>
      </w:r>
      <w:r w:rsidR="008E308A" w:rsidRPr="00C72AB5">
        <w:rPr>
          <w:rFonts w:ascii="GHEA Grapalat" w:hAnsi="GHEA Grapalat"/>
          <w:sz w:val="24"/>
          <w:szCs w:val="24"/>
        </w:rPr>
        <w:t xml:space="preserve"> և </w:t>
      </w:r>
      <w:r w:rsidR="00295DAA" w:rsidRPr="00C72AB5">
        <w:rPr>
          <w:rFonts w:ascii="GHEA Grapalat" w:hAnsi="GHEA Grapalat"/>
          <w:sz w:val="24"/>
          <w:szCs w:val="24"/>
        </w:rPr>
        <w:t>1</w:t>
      </w:r>
      <w:r w:rsidR="0009583F" w:rsidRPr="00C72AB5">
        <w:rPr>
          <w:rFonts w:ascii="GHEA Grapalat" w:hAnsi="GHEA Grapalat"/>
          <w:sz w:val="24"/>
          <w:szCs w:val="24"/>
        </w:rPr>
        <w:t>2</w:t>
      </w:r>
      <w:r w:rsidR="005628C7" w:rsidRPr="00C72AB5">
        <w:rPr>
          <w:rFonts w:ascii="GHEA Grapalat" w:hAnsi="GHEA Grapalat"/>
          <w:sz w:val="24"/>
          <w:szCs w:val="24"/>
        </w:rPr>
        <w:t>-ից, մ</w:t>
      </w:r>
      <w:r w:rsidR="00D357F8" w:rsidRPr="00C72AB5">
        <w:rPr>
          <w:rFonts w:ascii="GHEA Grapalat" w:hAnsi="GHEA Grapalat"/>
          <w:sz w:val="24"/>
          <w:szCs w:val="24"/>
        </w:rPr>
        <w:t xml:space="preserve">իջազգային </w:t>
      </w:r>
      <w:r w:rsidR="00D357F8" w:rsidRPr="00C72AB5">
        <w:rPr>
          <w:rFonts w:ascii="GHEA Grapalat" w:eastAsia="Calibri" w:hAnsi="GHEA Grapalat" w:cs="Arial"/>
          <w:sz w:val="24"/>
          <w:szCs w:val="24"/>
          <w:lang w:eastAsia="en-US"/>
        </w:rPr>
        <w:t>համագործակցությ</w:t>
      </w:r>
      <w:r w:rsidR="008E308A" w:rsidRPr="00C72AB5">
        <w:rPr>
          <w:rFonts w:ascii="GHEA Grapalat" w:eastAsia="Calibri" w:hAnsi="GHEA Grapalat" w:cs="Arial"/>
          <w:sz w:val="24"/>
          <w:szCs w:val="24"/>
          <w:lang w:eastAsia="en-US"/>
        </w:rPr>
        <w:t>ունը</w:t>
      </w:r>
      <w:r w:rsidR="008E308A" w:rsidRPr="00C72AB5">
        <w:rPr>
          <w:rFonts w:ascii="GHEA Grapalat" w:hAnsi="GHEA Grapalat"/>
          <w:sz w:val="24"/>
          <w:szCs w:val="24"/>
        </w:rPr>
        <w:t xml:space="preserve"> հատկապես մեծ է եվրոպական </w:t>
      </w:r>
      <w:r w:rsidR="008E308A" w:rsidRPr="00C30A31">
        <w:rPr>
          <w:rFonts w:ascii="GHEA Grapalat" w:hAnsi="GHEA Grapalat"/>
          <w:sz w:val="24"/>
          <w:szCs w:val="24"/>
        </w:rPr>
        <w:t>հ</w:t>
      </w:r>
      <w:r w:rsidR="00131219">
        <w:rPr>
          <w:rFonts w:ascii="GHEA Grapalat" w:hAnsi="GHEA Grapalat"/>
          <w:sz w:val="24"/>
          <w:szCs w:val="24"/>
        </w:rPr>
        <w:t>անրապետությունների և հատկապես Եվրոպական միության</w:t>
      </w:r>
      <w:r w:rsidR="008E308A" w:rsidRPr="00C30A31">
        <w:rPr>
          <w:rFonts w:ascii="GHEA Grapalat" w:hAnsi="GHEA Grapalat"/>
          <w:sz w:val="24"/>
          <w:szCs w:val="24"/>
        </w:rPr>
        <w:t xml:space="preserve"> անդամ </w:t>
      </w:r>
      <w:r w:rsidR="008E308A" w:rsidRPr="00C30A31">
        <w:rPr>
          <w:rFonts w:ascii="GHEA Grapalat" w:hAnsi="GHEA Grapalat" w:cs="Sylfaen"/>
          <w:sz w:val="24"/>
          <w:szCs w:val="24"/>
        </w:rPr>
        <w:t>պետությունների</w:t>
      </w:r>
      <w:r w:rsidR="008E308A" w:rsidRPr="00C30A31">
        <w:rPr>
          <w:rFonts w:ascii="GHEA Grapalat" w:hAnsi="GHEA Grapalat"/>
          <w:sz w:val="24"/>
          <w:szCs w:val="24"/>
        </w:rPr>
        <w:t xml:space="preserve"> հետ: </w:t>
      </w:r>
    </w:p>
    <w:p w14:paraId="4B00D472" w14:textId="4B1F22F9" w:rsidR="0088742C" w:rsidRPr="00C72AB5" w:rsidRDefault="007B519E" w:rsidP="0049437D">
      <w:pPr>
        <w:tabs>
          <w:tab w:val="left" w:pos="851"/>
        </w:tabs>
        <w:spacing w:line="276" w:lineRule="auto"/>
        <w:jc w:val="center"/>
        <w:rPr>
          <w:rFonts w:ascii="GHEA Grapalat" w:hAnsi="GHEA Grapalat"/>
          <w:sz w:val="24"/>
          <w:szCs w:val="24"/>
        </w:rPr>
      </w:pPr>
      <w:r w:rsidRPr="00C72AB5">
        <w:rPr>
          <w:rFonts w:ascii="GHEA Grapalat" w:hAnsi="GHEA Grapalat"/>
          <w:noProof/>
          <w:sz w:val="24"/>
          <w:szCs w:val="24"/>
          <w:lang w:val="en-US" w:eastAsia="en-US"/>
        </w:rPr>
        <w:lastRenderedPageBreak/>
        <w:drawing>
          <wp:inline distT="0" distB="0" distL="0" distR="0" wp14:anchorId="4E45C091" wp14:editId="5EC8F596">
            <wp:extent cx="6307200" cy="3841200"/>
            <wp:effectExtent l="0" t="0" r="0" b="698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07200" cy="3841200"/>
                    </a:xfrm>
                    <a:prstGeom prst="rect">
                      <a:avLst/>
                    </a:prstGeom>
                    <a:noFill/>
                    <a:ln>
                      <a:noFill/>
                    </a:ln>
                  </pic:spPr>
                </pic:pic>
              </a:graphicData>
            </a:graphic>
          </wp:inline>
        </w:drawing>
      </w:r>
      <w:r w:rsidR="00E7152F" w:rsidRPr="00C72AB5">
        <w:rPr>
          <w:rFonts w:ascii="GHEA Grapalat" w:hAnsi="GHEA Grapalat"/>
          <w:sz w:val="24"/>
          <w:szCs w:val="24"/>
          <w:lang w:eastAsia="en-US"/>
        </w:rPr>
        <w:t xml:space="preserve"> </w:t>
      </w:r>
    </w:p>
    <w:p w14:paraId="79E2EC95" w14:textId="2AD498BA" w:rsidR="0088742C" w:rsidRPr="00C72AB5" w:rsidRDefault="005F7C93" w:rsidP="00181F43">
      <w:pPr>
        <w:tabs>
          <w:tab w:val="left" w:pos="851"/>
        </w:tabs>
        <w:ind w:left="567" w:hanging="567"/>
        <w:jc w:val="both"/>
        <w:rPr>
          <w:rFonts w:ascii="GHEA Grapalat" w:hAnsi="GHEA Grapalat"/>
        </w:rPr>
      </w:pPr>
      <w:r w:rsidRPr="00C72AB5">
        <w:rPr>
          <w:rFonts w:ascii="GHEA Grapalat" w:hAnsi="GHEA Grapalat"/>
          <w:b/>
        </w:rPr>
        <w:t>Գծապատկեր</w:t>
      </w:r>
      <w:r w:rsidR="0088742C" w:rsidRPr="00C72AB5">
        <w:rPr>
          <w:rFonts w:ascii="GHEA Grapalat" w:hAnsi="GHEA Grapalat"/>
          <w:b/>
        </w:rPr>
        <w:t xml:space="preserve"> </w:t>
      </w:r>
      <w:r w:rsidR="008F575B" w:rsidRPr="00C72AB5">
        <w:rPr>
          <w:rFonts w:ascii="GHEA Grapalat" w:hAnsi="GHEA Grapalat"/>
          <w:b/>
        </w:rPr>
        <w:t>1</w:t>
      </w:r>
      <w:r w:rsidR="00FC614D" w:rsidRPr="00C72AB5">
        <w:rPr>
          <w:rFonts w:ascii="GHEA Grapalat" w:hAnsi="GHEA Grapalat"/>
          <w:b/>
        </w:rPr>
        <w:t>5</w:t>
      </w:r>
      <w:r w:rsidR="0088742C" w:rsidRPr="00C72AB5">
        <w:rPr>
          <w:rFonts w:ascii="GHEA Grapalat" w:hAnsi="GHEA Grapalat"/>
        </w:rPr>
        <w:t>.</w:t>
      </w:r>
      <w:r w:rsidR="00744E08" w:rsidRPr="00744E08">
        <w:rPr>
          <w:rFonts w:ascii="GHEA Grapalat" w:hAnsi="GHEA Grapalat"/>
        </w:rPr>
        <w:t xml:space="preserve"> </w:t>
      </w:r>
      <w:r w:rsidR="00744E08">
        <w:rPr>
          <w:rFonts w:ascii="GHEA Grapalat" w:hAnsi="GHEA Grapalat"/>
        </w:rPr>
        <w:t>Եվրոպական միության</w:t>
      </w:r>
      <w:r w:rsidR="0088742C" w:rsidRPr="00C72AB5">
        <w:rPr>
          <w:rFonts w:ascii="GHEA Grapalat" w:hAnsi="GHEA Grapalat"/>
        </w:rPr>
        <w:t xml:space="preserve"> Հորիզոն 2020 շրջանակային ծրագրի դրամաշնորհային ծրագրերին մասնակցած </w:t>
      </w:r>
      <w:r w:rsidR="00744E08">
        <w:rPr>
          <w:rFonts w:ascii="GHEA Grapalat" w:hAnsi="GHEA Grapalat"/>
        </w:rPr>
        <w:t>Հայաստանի Հանրապետության</w:t>
      </w:r>
      <w:r w:rsidR="0088742C" w:rsidRPr="00C72AB5">
        <w:rPr>
          <w:rFonts w:ascii="GHEA Grapalat" w:hAnsi="GHEA Grapalat"/>
        </w:rPr>
        <w:t xml:space="preserve"> կազմակերպությունները</w:t>
      </w:r>
      <w:r w:rsidR="00A706B9" w:rsidRPr="00C72AB5">
        <w:rPr>
          <w:rStyle w:val="FootnoteReference"/>
          <w:rFonts w:ascii="GHEA Grapalat" w:hAnsi="GHEA Grapalat"/>
        </w:rPr>
        <w:footnoteReference w:id="47"/>
      </w:r>
      <w:r w:rsidR="00D97BE1" w:rsidRPr="00C72AB5">
        <w:rPr>
          <w:rFonts w:ascii="GHEA Grapalat" w:hAnsi="GHEA Grapalat"/>
        </w:rPr>
        <w:t xml:space="preserve"> (ներկայացված հայտերի քանակը)</w:t>
      </w:r>
      <w:r w:rsidR="0088742C" w:rsidRPr="00C72AB5">
        <w:rPr>
          <w:rFonts w:ascii="GHEA Grapalat" w:hAnsi="GHEA Grapalat"/>
        </w:rPr>
        <w:t xml:space="preserve"> և </w:t>
      </w:r>
      <w:r w:rsidR="00744E08">
        <w:rPr>
          <w:rFonts w:ascii="GHEA Grapalat" w:hAnsi="GHEA Grapalat"/>
        </w:rPr>
        <w:t>Եվրոպական միության</w:t>
      </w:r>
      <w:r w:rsidR="0088742C" w:rsidRPr="00C72AB5">
        <w:rPr>
          <w:rFonts w:ascii="GHEA Grapalat" w:hAnsi="GHEA Grapalat"/>
        </w:rPr>
        <w:t xml:space="preserve"> կողմից ստացած դրամաշնորհների ծավալները (հազ. եվրո):</w:t>
      </w:r>
      <w:r w:rsidR="00D97BE1" w:rsidRPr="00C72AB5">
        <w:rPr>
          <w:rStyle w:val="FootnoteReference"/>
          <w:rFonts w:ascii="GHEA Grapalat" w:hAnsi="GHEA Grapalat"/>
        </w:rPr>
        <w:footnoteReference w:id="48"/>
      </w:r>
    </w:p>
    <w:p w14:paraId="29C7585D" w14:textId="77777777" w:rsidR="000526D5" w:rsidRPr="00C72AB5" w:rsidRDefault="000526D5" w:rsidP="0049437D">
      <w:pPr>
        <w:tabs>
          <w:tab w:val="left" w:pos="851"/>
        </w:tabs>
        <w:spacing w:line="276" w:lineRule="auto"/>
        <w:ind w:firstLine="567"/>
        <w:jc w:val="both"/>
        <w:rPr>
          <w:rFonts w:ascii="GHEA Grapalat" w:hAnsi="GHEA Grapalat"/>
          <w:sz w:val="24"/>
          <w:szCs w:val="24"/>
        </w:rPr>
      </w:pPr>
    </w:p>
    <w:p w14:paraId="77C53F44" w14:textId="5F49A952" w:rsidR="00295DAA" w:rsidRPr="00C72AB5" w:rsidRDefault="00310FCE" w:rsidP="0049437D">
      <w:pPr>
        <w:tabs>
          <w:tab w:val="left" w:pos="851"/>
        </w:tabs>
        <w:spacing w:line="276" w:lineRule="auto"/>
        <w:ind w:firstLine="567"/>
        <w:jc w:val="both"/>
        <w:rPr>
          <w:rFonts w:ascii="GHEA Grapalat" w:hAnsi="GHEA Grapalat" w:cs="Arial"/>
          <w:b/>
          <w:bCs/>
          <w:sz w:val="24"/>
          <w:szCs w:val="24"/>
        </w:rPr>
      </w:pPr>
      <w:r w:rsidRPr="00C72AB5">
        <w:rPr>
          <w:rFonts w:ascii="GHEA Grapalat" w:hAnsi="GHEA Grapalat"/>
          <w:sz w:val="24"/>
          <w:szCs w:val="24"/>
        </w:rPr>
        <w:t>33</w:t>
      </w:r>
      <w:r w:rsidR="000526D5" w:rsidRPr="00C72AB5">
        <w:rPr>
          <w:rFonts w:ascii="GHEA Grapalat" w:hAnsi="GHEA Grapalat"/>
          <w:sz w:val="24"/>
          <w:szCs w:val="24"/>
        </w:rPr>
        <w:t xml:space="preserve">. Միջազգային կապերի հետագա զարգացման և </w:t>
      </w:r>
      <w:r w:rsidR="00ED4244">
        <w:rPr>
          <w:rFonts w:ascii="GHEA Grapalat" w:hAnsi="GHEA Grapalat"/>
          <w:sz w:val="24"/>
          <w:szCs w:val="24"/>
        </w:rPr>
        <w:t>ԵՀՏ-ում</w:t>
      </w:r>
      <w:r w:rsidR="000526D5" w:rsidRPr="00C72AB5">
        <w:rPr>
          <w:rFonts w:ascii="GHEA Grapalat" w:hAnsi="GHEA Grapalat"/>
          <w:sz w:val="24"/>
          <w:szCs w:val="24"/>
        </w:rPr>
        <w:t xml:space="preserve"> ինտեգրման ուղղությամբ կարևորագույն քայլ էր Եվրոպական </w:t>
      </w:r>
      <w:r w:rsidR="00131219">
        <w:rPr>
          <w:rFonts w:ascii="GHEA Grapalat" w:hAnsi="GHEA Grapalat"/>
          <w:sz w:val="24"/>
          <w:szCs w:val="24"/>
        </w:rPr>
        <w:t>մ</w:t>
      </w:r>
      <w:r w:rsidR="000526D5" w:rsidRPr="00C72AB5">
        <w:rPr>
          <w:rFonts w:ascii="GHEA Grapalat" w:hAnsi="GHEA Grapalat"/>
          <w:sz w:val="24"/>
          <w:szCs w:val="24"/>
        </w:rPr>
        <w:t xml:space="preserve">իության հետազոտությունների և նորարարության «Հորիզոն-2020» ծրագրին Հայաստանի Հանրապետության ասոցացված անդամակցությունը, որի վերաբերյալ համաձայնագիրը վավերացվել է Հայաստանի Հանրապետության Ազգային </w:t>
      </w:r>
      <w:r w:rsidR="00131219">
        <w:rPr>
          <w:rFonts w:ascii="GHEA Grapalat" w:hAnsi="GHEA Grapalat"/>
          <w:sz w:val="24"/>
          <w:szCs w:val="24"/>
        </w:rPr>
        <w:t>ժ</w:t>
      </w:r>
      <w:r w:rsidR="000526D5" w:rsidRPr="00C72AB5">
        <w:rPr>
          <w:rFonts w:ascii="GHEA Grapalat" w:hAnsi="GHEA Grapalat"/>
          <w:sz w:val="24"/>
          <w:szCs w:val="24"/>
        </w:rPr>
        <w:t>ողովի կողմից 2016 թվականի հոկտեմբերի 19-ին</w:t>
      </w:r>
      <w:r w:rsidR="000526D5" w:rsidRPr="00C30A31">
        <w:rPr>
          <w:rFonts w:ascii="GHEA Grapalat" w:hAnsi="GHEA Grapalat"/>
          <w:sz w:val="24"/>
          <w:szCs w:val="24"/>
        </w:rPr>
        <w:t xml:space="preserve">: </w:t>
      </w:r>
      <w:r w:rsidR="00865318" w:rsidRPr="00C30A31">
        <w:rPr>
          <w:rFonts w:ascii="GHEA Grapalat" w:hAnsi="GHEA Grapalat"/>
          <w:sz w:val="24"/>
          <w:szCs w:val="24"/>
        </w:rPr>
        <w:t xml:space="preserve">«Հորիզոն-2020» </w:t>
      </w:r>
      <w:r w:rsidR="000526D5" w:rsidRPr="00C30A31">
        <w:rPr>
          <w:rFonts w:ascii="GHEA Grapalat" w:hAnsi="GHEA Grapalat"/>
          <w:sz w:val="24"/>
          <w:szCs w:val="24"/>
        </w:rPr>
        <w:t xml:space="preserve">ծրագրին </w:t>
      </w:r>
      <w:r w:rsidR="000526D5" w:rsidRPr="00C72AB5">
        <w:rPr>
          <w:rFonts w:ascii="GHEA Grapalat" w:hAnsi="GHEA Grapalat"/>
          <w:sz w:val="24"/>
          <w:szCs w:val="24"/>
        </w:rPr>
        <w:t xml:space="preserve">մասնակցության համար </w:t>
      </w:r>
      <w:r w:rsidR="00865318" w:rsidRPr="00C30A31">
        <w:rPr>
          <w:rFonts w:ascii="GHEA Grapalat" w:hAnsi="GHEA Grapalat"/>
          <w:sz w:val="24"/>
          <w:szCs w:val="24"/>
        </w:rPr>
        <w:t>Հայաստանի Հանրապետության</w:t>
      </w:r>
      <w:r w:rsidR="000526D5" w:rsidRPr="00C30A31">
        <w:rPr>
          <w:rFonts w:ascii="GHEA Grapalat" w:hAnsi="GHEA Grapalat"/>
          <w:sz w:val="24"/>
          <w:szCs w:val="24"/>
        </w:rPr>
        <w:t xml:space="preserve"> </w:t>
      </w:r>
      <w:r w:rsidR="000526D5" w:rsidRPr="00C72AB5">
        <w:rPr>
          <w:rFonts w:ascii="GHEA Grapalat" w:hAnsi="GHEA Grapalat"/>
          <w:sz w:val="24"/>
          <w:szCs w:val="24"/>
        </w:rPr>
        <w:t xml:space="preserve">կառավարության կողմից վճարվել է 8,212,574.90 եվրո անդամակցության վճար, որից 3,04 </w:t>
      </w:r>
      <w:r w:rsidR="00865318" w:rsidRPr="00C30A31">
        <w:rPr>
          <w:rFonts w:ascii="GHEA Grapalat" w:hAnsi="GHEA Grapalat"/>
          <w:sz w:val="24"/>
          <w:szCs w:val="24"/>
        </w:rPr>
        <w:t>մ</w:t>
      </w:r>
      <w:r w:rsidR="000526D5" w:rsidRPr="00C30A31">
        <w:rPr>
          <w:rFonts w:ascii="GHEA Grapalat" w:hAnsi="GHEA Grapalat"/>
          <w:sz w:val="24"/>
          <w:szCs w:val="24"/>
        </w:rPr>
        <w:t>լն</w:t>
      </w:r>
      <w:r w:rsidR="000526D5" w:rsidRPr="00C72AB5">
        <w:rPr>
          <w:rFonts w:ascii="GHEA Grapalat" w:hAnsi="GHEA Grapalat"/>
          <w:sz w:val="24"/>
          <w:szCs w:val="24"/>
        </w:rPr>
        <w:t xml:space="preserve"> եվրո փոխհատուցվել է </w:t>
      </w:r>
      <w:r w:rsidR="00865318" w:rsidRPr="00C30A31">
        <w:rPr>
          <w:rFonts w:ascii="GHEA Grapalat" w:hAnsi="GHEA Grapalat"/>
          <w:sz w:val="24"/>
          <w:szCs w:val="24"/>
        </w:rPr>
        <w:t>Հայաստանի Հանրապետության</w:t>
      </w:r>
      <w:r w:rsidR="000526D5" w:rsidRPr="00C30A31">
        <w:rPr>
          <w:rFonts w:ascii="GHEA Grapalat" w:hAnsi="GHEA Grapalat"/>
          <w:sz w:val="24"/>
          <w:szCs w:val="24"/>
        </w:rPr>
        <w:t xml:space="preserve"> </w:t>
      </w:r>
      <w:r w:rsidR="00131219">
        <w:rPr>
          <w:rFonts w:ascii="GHEA Grapalat" w:hAnsi="GHEA Grapalat"/>
          <w:sz w:val="24"/>
          <w:szCs w:val="24"/>
        </w:rPr>
        <w:t>Եվրոպական միության</w:t>
      </w:r>
      <w:r w:rsidR="000526D5" w:rsidRPr="00C72AB5">
        <w:rPr>
          <w:rFonts w:ascii="GHEA Grapalat" w:hAnsi="GHEA Grapalat"/>
          <w:sz w:val="24"/>
          <w:szCs w:val="24"/>
        </w:rPr>
        <w:t xml:space="preserve"> պատվիրակության կողմից: Ծրագրի ավարտին հայաստանյան կազմակերպությունները կարողացել են ներգրավել ընդհանուր 4,196,514.36 եվրո ծավալով դրամաշնորհներ: Ընդհանուր առմամբ 2016-2020</w:t>
      </w:r>
      <w:r w:rsidR="004F4068">
        <w:rPr>
          <w:rFonts w:ascii="GHEA Grapalat" w:hAnsi="GHEA Grapalat"/>
          <w:sz w:val="24"/>
          <w:szCs w:val="24"/>
        </w:rPr>
        <w:t xml:space="preserve"> թվականներին </w:t>
      </w:r>
      <w:r w:rsidR="00865318" w:rsidRPr="00C30A31">
        <w:rPr>
          <w:rFonts w:ascii="GHEA Grapalat" w:hAnsi="GHEA Grapalat"/>
          <w:sz w:val="24"/>
          <w:szCs w:val="24"/>
        </w:rPr>
        <w:t>Հայաստանի Հանրապետության</w:t>
      </w:r>
      <w:r w:rsidR="000526D5" w:rsidRPr="00C30A31">
        <w:rPr>
          <w:rFonts w:ascii="GHEA Grapalat" w:hAnsi="GHEA Grapalat"/>
          <w:sz w:val="24"/>
          <w:szCs w:val="24"/>
        </w:rPr>
        <w:t xml:space="preserve"> կազմակերպությունների կողմից կամ դրանց մասնակցությամբ </w:t>
      </w:r>
      <w:r w:rsidR="00865318" w:rsidRPr="00C30A31">
        <w:rPr>
          <w:rFonts w:ascii="GHEA Grapalat" w:hAnsi="GHEA Grapalat"/>
          <w:sz w:val="24"/>
          <w:szCs w:val="24"/>
        </w:rPr>
        <w:t xml:space="preserve">«Հորիզոն-2020» </w:t>
      </w:r>
      <w:r w:rsidR="000526D5" w:rsidRPr="00C30A31">
        <w:rPr>
          <w:rFonts w:ascii="GHEA Grapalat" w:hAnsi="GHEA Grapalat"/>
          <w:sz w:val="24"/>
          <w:szCs w:val="24"/>
        </w:rPr>
        <w:t>ծ</w:t>
      </w:r>
      <w:r w:rsidR="000526D5" w:rsidRPr="00C72AB5">
        <w:rPr>
          <w:rFonts w:ascii="GHEA Grapalat" w:hAnsi="GHEA Grapalat"/>
          <w:sz w:val="24"/>
          <w:szCs w:val="24"/>
        </w:rPr>
        <w:t xml:space="preserve">րագրերին ներկայացվել </w:t>
      </w:r>
      <w:r w:rsidR="004F4068">
        <w:rPr>
          <w:rFonts w:ascii="GHEA Grapalat" w:hAnsi="GHEA Grapalat"/>
          <w:sz w:val="24"/>
          <w:szCs w:val="24"/>
        </w:rPr>
        <w:t>են</w:t>
      </w:r>
      <w:r w:rsidR="000526D5" w:rsidRPr="00C72AB5">
        <w:rPr>
          <w:rFonts w:ascii="GHEA Grapalat" w:hAnsi="GHEA Grapalat"/>
          <w:sz w:val="24"/>
          <w:szCs w:val="24"/>
        </w:rPr>
        <w:t xml:space="preserve"> 312 հայտ, որոնցից դիտարկման ենթակա </w:t>
      </w:r>
      <w:r w:rsidR="004F4068">
        <w:rPr>
          <w:rFonts w:ascii="GHEA Grapalat" w:hAnsi="GHEA Grapalat"/>
          <w:sz w:val="24"/>
          <w:szCs w:val="24"/>
        </w:rPr>
        <w:t>են</w:t>
      </w:r>
      <w:r w:rsidR="000526D5" w:rsidRPr="00C72AB5">
        <w:rPr>
          <w:rFonts w:ascii="GHEA Grapalat" w:hAnsi="GHEA Grapalat"/>
          <w:sz w:val="24"/>
          <w:szCs w:val="24"/>
        </w:rPr>
        <w:t xml:space="preserve"> եղել 271-ը</w:t>
      </w:r>
      <w:r w:rsidR="000526D5" w:rsidRPr="00C30A31">
        <w:rPr>
          <w:rFonts w:ascii="GHEA Grapalat" w:hAnsi="GHEA Grapalat"/>
          <w:sz w:val="24"/>
          <w:szCs w:val="24"/>
        </w:rPr>
        <w:t xml:space="preserve">, </w:t>
      </w:r>
      <w:r w:rsidR="00865318" w:rsidRPr="00C30A31">
        <w:rPr>
          <w:rFonts w:ascii="GHEA Grapalat" w:hAnsi="GHEA Grapalat"/>
          <w:sz w:val="24"/>
          <w:szCs w:val="24"/>
        </w:rPr>
        <w:t>իսկ</w:t>
      </w:r>
      <w:r w:rsidR="000526D5" w:rsidRPr="00C30A31">
        <w:rPr>
          <w:rFonts w:ascii="GHEA Grapalat" w:hAnsi="GHEA Grapalat"/>
          <w:sz w:val="24"/>
          <w:szCs w:val="24"/>
        </w:rPr>
        <w:t xml:space="preserve"> ֆինանսավորման են երաշխավորվել 35 հայտ, որոնց մասնակցում </w:t>
      </w:r>
      <w:r w:rsidR="004F4068">
        <w:rPr>
          <w:rFonts w:ascii="GHEA Grapalat" w:hAnsi="GHEA Grapalat"/>
          <w:sz w:val="24"/>
          <w:szCs w:val="24"/>
        </w:rPr>
        <w:t>են</w:t>
      </w:r>
      <w:r w:rsidR="000526D5" w:rsidRPr="00C30A31">
        <w:rPr>
          <w:rFonts w:ascii="GHEA Grapalat" w:hAnsi="GHEA Grapalat"/>
          <w:sz w:val="24"/>
          <w:szCs w:val="24"/>
        </w:rPr>
        <w:t xml:space="preserve"> 43 կազմակերպություն</w:t>
      </w:r>
      <w:r w:rsidR="00865318" w:rsidRPr="00C30A31">
        <w:rPr>
          <w:rFonts w:ascii="GHEA Grapalat" w:hAnsi="GHEA Grapalat"/>
          <w:sz w:val="24"/>
          <w:szCs w:val="24"/>
        </w:rPr>
        <w:t>ներ</w:t>
      </w:r>
      <w:r w:rsidR="000526D5" w:rsidRPr="00C30A31">
        <w:rPr>
          <w:rFonts w:ascii="GHEA Grapalat" w:hAnsi="GHEA Grapalat"/>
          <w:sz w:val="24"/>
          <w:szCs w:val="24"/>
        </w:rPr>
        <w:t xml:space="preserve"> </w:t>
      </w:r>
      <w:r w:rsidR="00865318" w:rsidRPr="00C30A31">
        <w:rPr>
          <w:rFonts w:ascii="GHEA Grapalat" w:hAnsi="GHEA Grapalat"/>
          <w:sz w:val="24"/>
          <w:szCs w:val="24"/>
        </w:rPr>
        <w:t>Հայաստանի Հանրապետության</w:t>
      </w:r>
      <w:r w:rsidR="000526D5" w:rsidRPr="00C30A31">
        <w:rPr>
          <w:rFonts w:ascii="GHEA Grapalat" w:hAnsi="GHEA Grapalat"/>
          <w:sz w:val="24"/>
          <w:szCs w:val="24"/>
        </w:rPr>
        <w:t>ից</w:t>
      </w:r>
      <w:r w:rsidR="000526D5" w:rsidRPr="00C72AB5">
        <w:rPr>
          <w:rFonts w:ascii="GHEA Grapalat" w:hAnsi="GHEA Grapalat"/>
          <w:sz w:val="24"/>
          <w:szCs w:val="24"/>
        </w:rPr>
        <w:t xml:space="preserve">: 35-ից 10 հայտերի համակարգող կողմ են հանդիսանում </w:t>
      </w:r>
      <w:r w:rsidR="00C30A31" w:rsidRPr="00C30A31">
        <w:rPr>
          <w:rFonts w:ascii="GHEA Grapalat" w:hAnsi="GHEA Grapalat"/>
          <w:sz w:val="24"/>
          <w:szCs w:val="24"/>
        </w:rPr>
        <w:lastRenderedPageBreak/>
        <w:t>Հ</w:t>
      </w:r>
      <w:r w:rsidR="004A6F22" w:rsidRPr="00C30A31">
        <w:rPr>
          <w:rFonts w:ascii="GHEA Grapalat" w:hAnsi="GHEA Grapalat"/>
          <w:sz w:val="24"/>
          <w:szCs w:val="24"/>
        </w:rPr>
        <w:t>ա</w:t>
      </w:r>
      <w:r w:rsidR="00C30A31" w:rsidRPr="00C30A31">
        <w:rPr>
          <w:rFonts w:ascii="GHEA Grapalat" w:hAnsi="GHEA Grapalat"/>
          <w:sz w:val="24"/>
          <w:szCs w:val="24"/>
        </w:rPr>
        <w:t>յաստանում</w:t>
      </w:r>
      <w:r w:rsidR="004A6F22" w:rsidRPr="00C30A31">
        <w:rPr>
          <w:rFonts w:ascii="GHEA Grapalat" w:hAnsi="GHEA Grapalat"/>
          <w:sz w:val="24"/>
          <w:szCs w:val="24"/>
        </w:rPr>
        <w:t xml:space="preserve"> </w:t>
      </w:r>
      <w:r w:rsidR="000526D5" w:rsidRPr="00C30A31">
        <w:rPr>
          <w:rFonts w:ascii="GHEA Grapalat" w:hAnsi="GHEA Grapalat"/>
          <w:sz w:val="24"/>
          <w:szCs w:val="24"/>
        </w:rPr>
        <w:t>գրանցված կազմակերպություններ (</w:t>
      </w:r>
      <w:r w:rsidR="0009583F" w:rsidRPr="00C30A31">
        <w:rPr>
          <w:rFonts w:ascii="GHEA Grapalat" w:hAnsi="GHEA Grapalat"/>
          <w:sz w:val="24"/>
          <w:szCs w:val="24"/>
        </w:rPr>
        <w:t>տե՛ս</w:t>
      </w:r>
      <w:r w:rsidR="00C30A31">
        <w:rPr>
          <w:rFonts w:ascii="GHEA Grapalat" w:hAnsi="GHEA Grapalat"/>
          <w:sz w:val="24"/>
          <w:szCs w:val="24"/>
        </w:rPr>
        <w:t>,</w:t>
      </w:r>
      <w:r w:rsidR="0009583F" w:rsidRPr="00C30A31">
        <w:rPr>
          <w:rFonts w:ascii="GHEA Grapalat" w:hAnsi="GHEA Grapalat"/>
          <w:sz w:val="24"/>
          <w:szCs w:val="24"/>
        </w:rPr>
        <w:t xml:space="preserve"> </w:t>
      </w:r>
      <w:r w:rsidR="005F7C93" w:rsidRPr="00C30A31">
        <w:rPr>
          <w:rFonts w:ascii="GHEA Grapalat" w:hAnsi="GHEA Grapalat"/>
          <w:sz w:val="24"/>
          <w:szCs w:val="24"/>
        </w:rPr>
        <w:t>Գծապատկեր</w:t>
      </w:r>
      <w:r w:rsidR="000526D5" w:rsidRPr="00C30A31">
        <w:rPr>
          <w:rFonts w:ascii="GHEA Grapalat" w:hAnsi="GHEA Grapalat"/>
          <w:sz w:val="24"/>
          <w:szCs w:val="24"/>
        </w:rPr>
        <w:t xml:space="preserve"> 15):</w:t>
      </w:r>
      <w:r w:rsidR="000526D5" w:rsidRPr="00C30A31">
        <w:rPr>
          <w:rFonts w:ascii="GHEA Grapalat" w:hAnsi="GHEA Grapalat" w:cs="Arial"/>
          <w:sz w:val="24"/>
          <w:szCs w:val="24"/>
        </w:rPr>
        <w:t xml:space="preserve"> </w:t>
      </w:r>
      <w:r w:rsidR="00C30A31">
        <w:rPr>
          <w:rFonts w:ascii="GHEA Grapalat" w:hAnsi="GHEA Grapalat" w:cs="Sylfaen"/>
          <w:sz w:val="24"/>
          <w:szCs w:val="24"/>
        </w:rPr>
        <w:t>Կ</w:t>
      </w:r>
      <w:r w:rsidR="004A6F22" w:rsidRPr="00C72AB5">
        <w:rPr>
          <w:rFonts w:ascii="GHEA Grapalat" w:hAnsi="GHEA Grapalat" w:cs="Sylfaen"/>
          <w:sz w:val="24"/>
          <w:szCs w:val="24"/>
        </w:rPr>
        <w:t xml:space="preserve">ոմիտեի </w:t>
      </w:r>
      <w:r w:rsidR="000526D5" w:rsidRPr="00C72AB5">
        <w:rPr>
          <w:rFonts w:ascii="GHEA Grapalat" w:hAnsi="GHEA Grapalat" w:cs="Arial"/>
          <w:sz w:val="24"/>
          <w:szCs w:val="24"/>
        </w:rPr>
        <w:t>խնդրանքով Գե</w:t>
      </w:r>
      <w:r w:rsidR="00EE64B9">
        <w:rPr>
          <w:rFonts w:ascii="GHEA Grapalat" w:hAnsi="GHEA Grapalat" w:cs="Arial"/>
          <w:sz w:val="24"/>
          <w:szCs w:val="24"/>
        </w:rPr>
        <w:t xml:space="preserve">րմանական համագործակցության և </w:t>
      </w:r>
      <w:r w:rsidR="004F4068">
        <w:rPr>
          <w:rFonts w:ascii="GHEA Grapalat" w:hAnsi="GHEA Grapalat" w:cs="Arial"/>
          <w:sz w:val="24"/>
          <w:szCs w:val="24"/>
        </w:rPr>
        <w:t>Եվրոպական միությունն</w:t>
      </w:r>
      <w:r w:rsidR="000526D5" w:rsidRPr="00C72AB5">
        <w:rPr>
          <w:rFonts w:ascii="GHEA Grapalat" w:hAnsi="GHEA Grapalat" w:cs="Arial"/>
          <w:sz w:val="24"/>
          <w:szCs w:val="24"/>
        </w:rPr>
        <w:t xml:space="preserve"> հանուն </w:t>
      </w:r>
      <w:r w:rsidR="000526D5" w:rsidRPr="00C30A31">
        <w:rPr>
          <w:rFonts w:ascii="GHEA Grapalat" w:hAnsi="GHEA Grapalat" w:cs="Arial"/>
          <w:sz w:val="24"/>
          <w:szCs w:val="24"/>
        </w:rPr>
        <w:t xml:space="preserve">գործարարության ծրագրերի շրջանակներում իրականացվել է </w:t>
      </w:r>
      <w:r w:rsidR="004F4068">
        <w:rPr>
          <w:rFonts w:ascii="GHEA Grapalat" w:hAnsi="GHEA Grapalat" w:cs="Arial"/>
          <w:sz w:val="24"/>
          <w:szCs w:val="24"/>
        </w:rPr>
        <w:t>Եվրոպական միության</w:t>
      </w:r>
      <w:r w:rsidR="000526D5" w:rsidRPr="00C30A31">
        <w:rPr>
          <w:rFonts w:ascii="GHEA Grapalat" w:hAnsi="GHEA Grapalat" w:cs="Arial"/>
          <w:sz w:val="24"/>
          <w:szCs w:val="24"/>
        </w:rPr>
        <w:t xml:space="preserve"> շրջանակային ծրագրերին </w:t>
      </w:r>
      <w:r w:rsidR="00EE64B9" w:rsidRPr="00C30A31">
        <w:rPr>
          <w:rFonts w:ascii="GHEA Grapalat" w:hAnsi="GHEA Grapalat" w:cs="Sylfaen"/>
          <w:sz w:val="24"/>
          <w:szCs w:val="24"/>
        </w:rPr>
        <w:t xml:space="preserve">Հայաստանի Հանրապետության </w:t>
      </w:r>
      <w:r w:rsidR="004F4068">
        <w:rPr>
          <w:rFonts w:ascii="GHEA Grapalat" w:hAnsi="GHEA Grapalat" w:cs="Arial"/>
          <w:sz w:val="24"/>
          <w:szCs w:val="24"/>
        </w:rPr>
        <w:t>մասնակցության խթանմանն</w:t>
      </w:r>
      <w:r w:rsidR="000526D5" w:rsidRPr="00C72AB5">
        <w:rPr>
          <w:rFonts w:ascii="GHEA Grapalat" w:hAnsi="GHEA Grapalat" w:cs="Arial"/>
          <w:sz w:val="24"/>
          <w:szCs w:val="24"/>
        </w:rPr>
        <w:t xml:space="preserve"> ուղղված վերլուծություն և ներկայացվել են ռազմավարական առաջարկություններ, որոնք հաշվի են առնվում որոշ միջոցառումների մշակման ժամանակ:</w:t>
      </w:r>
    </w:p>
    <w:p w14:paraId="58CE6708" w14:textId="6E3EEFA2" w:rsidR="00BE5A67" w:rsidRPr="00C72AB5" w:rsidRDefault="00BE5A67" w:rsidP="0049437D">
      <w:pPr>
        <w:tabs>
          <w:tab w:val="left" w:pos="851"/>
        </w:tabs>
        <w:spacing w:line="276" w:lineRule="auto"/>
        <w:ind w:firstLine="567"/>
        <w:jc w:val="both"/>
        <w:rPr>
          <w:rFonts w:ascii="GHEA Grapalat" w:hAnsi="GHEA Grapalat" w:cs="Arial"/>
          <w:sz w:val="14"/>
          <w:szCs w:val="14"/>
        </w:rPr>
      </w:pPr>
    </w:p>
    <w:tbl>
      <w:tblPr>
        <w:tblW w:w="9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1"/>
        <w:gridCol w:w="1842"/>
        <w:gridCol w:w="1629"/>
      </w:tblGrid>
      <w:tr w:rsidR="00E94950" w:rsidRPr="00C72AB5" w14:paraId="237CBF6A" w14:textId="77777777" w:rsidTr="007B1BEA">
        <w:trPr>
          <w:trHeight w:val="300"/>
        </w:trPr>
        <w:tc>
          <w:tcPr>
            <w:tcW w:w="6091" w:type="dxa"/>
            <w:shd w:val="clear" w:color="auto" w:fill="DEEAF6" w:themeFill="accent1" w:themeFillTint="33"/>
            <w:noWrap/>
            <w:vAlign w:val="center"/>
            <w:hideMark/>
          </w:tcPr>
          <w:p w14:paraId="3798A987" w14:textId="77777777" w:rsidR="00E94950" w:rsidRPr="00C72AB5" w:rsidRDefault="00E94950" w:rsidP="00D31312">
            <w:pPr>
              <w:jc w:val="center"/>
              <w:rPr>
                <w:rFonts w:ascii="GHEA Grapalat" w:hAnsi="GHEA Grapalat" w:cs="Calibri"/>
                <w:color w:val="000000"/>
                <w:sz w:val="22"/>
                <w:szCs w:val="22"/>
                <w:lang w:eastAsia="en-US"/>
              </w:rPr>
            </w:pPr>
            <w:r w:rsidRPr="00C72AB5">
              <w:rPr>
                <w:rFonts w:ascii="GHEA Grapalat" w:hAnsi="GHEA Grapalat" w:cs="Calibri"/>
                <w:color w:val="000000"/>
                <w:sz w:val="22"/>
                <w:szCs w:val="22"/>
                <w:lang w:eastAsia="en-US"/>
              </w:rPr>
              <w:t>Կազմակերպություն</w:t>
            </w:r>
          </w:p>
        </w:tc>
        <w:tc>
          <w:tcPr>
            <w:tcW w:w="1842" w:type="dxa"/>
            <w:shd w:val="clear" w:color="auto" w:fill="DEEAF6" w:themeFill="accent1" w:themeFillTint="33"/>
            <w:noWrap/>
            <w:vAlign w:val="center"/>
            <w:hideMark/>
          </w:tcPr>
          <w:p w14:paraId="76AC80C6" w14:textId="77777777" w:rsidR="00E94950" w:rsidRPr="00C72AB5" w:rsidRDefault="00E94950" w:rsidP="00D31312">
            <w:pPr>
              <w:jc w:val="center"/>
              <w:rPr>
                <w:rFonts w:ascii="GHEA Grapalat" w:hAnsi="GHEA Grapalat" w:cs="Calibri"/>
                <w:color w:val="000000"/>
                <w:sz w:val="22"/>
                <w:szCs w:val="22"/>
                <w:lang w:eastAsia="en-US"/>
              </w:rPr>
            </w:pPr>
            <w:r w:rsidRPr="00C72AB5">
              <w:rPr>
                <w:rFonts w:ascii="GHEA Grapalat" w:hAnsi="GHEA Grapalat" w:cs="Calibri"/>
                <w:color w:val="000000"/>
                <w:sz w:val="22"/>
                <w:szCs w:val="22"/>
                <w:lang w:eastAsia="en-US"/>
              </w:rPr>
              <w:t>ԵՄ ներդրումը</w:t>
            </w:r>
          </w:p>
        </w:tc>
        <w:tc>
          <w:tcPr>
            <w:tcW w:w="1629" w:type="dxa"/>
            <w:shd w:val="clear" w:color="auto" w:fill="DEEAF6" w:themeFill="accent1" w:themeFillTint="33"/>
            <w:noWrap/>
            <w:vAlign w:val="center"/>
            <w:hideMark/>
          </w:tcPr>
          <w:p w14:paraId="52D518E0" w14:textId="65097771" w:rsidR="00E94950" w:rsidRPr="00C72AB5" w:rsidRDefault="00D31312" w:rsidP="00D31312">
            <w:pPr>
              <w:jc w:val="center"/>
              <w:rPr>
                <w:rFonts w:ascii="GHEA Grapalat" w:hAnsi="GHEA Grapalat" w:cs="Calibri"/>
                <w:color w:val="000000"/>
                <w:sz w:val="22"/>
                <w:szCs w:val="22"/>
                <w:lang w:eastAsia="en-US"/>
              </w:rPr>
            </w:pPr>
            <w:r w:rsidRPr="00C72AB5">
              <w:rPr>
                <w:rFonts w:ascii="GHEA Grapalat" w:hAnsi="GHEA Grapalat" w:cs="Calibri"/>
                <w:color w:val="000000"/>
                <w:sz w:val="22"/>
                <w:szCs w:val="22"/>
                <w:lang w:eastAsia="en-US"/>
              </w:rPr>
              <w:t>Մասնակցած ծ</w:t>
            </w:r>
            <w:r w:rsidR="00E94950" w:rsidRPr="00C72AB5">
              <w:rPr>
                <w:rFonts w:ascii="GHEA Grapalat" w:hAnsi="GHEA Grapalat" w:cs="Calibri"/>
                <w:color w:val="000000"/>
                <w:sz w:val="22"/>
                <w:szCs w:val="22"/>
                <w:lang w:eastAsia="en-US"/>
              </w:rPr>
              <w:t>րագրերի քանակ / համակարգող</w:t>
            </w:r>
          </w:p>
        </w:tc>
      </w:tr>
      <w:tr w:rsidR="00E94950" w:rsidRPr="00C72AB5" w14:paraId="0C783145" w14:textId="77777777" w:rsidTr="007B1BEA">
        <w:trPr>
          <w:trHeight w:val="300"/>
        </w:trPr>
        <w:tc>
          <w:tcPr>
            <w:tcW w:w="6091" w:type="dxa"/>
            <w:noWrap/>
            <w:vAlign w:val="bottom"/>
            <w:hideMark/>
          </w:tcPr>
          <w:p w14:paraId="03C7F7F0" w14:textId="77777777" w:rsidR="00E94950" w:rsidRPr="00C72AB5" w:rsidRDefault="00E94950" w:rsidP="00E94950">
            <w:pPr>
              <w:rPr>
                <w:rFonts w:ascii="GHEA Grapalat" w:hAnsi="GHEA Grapalat" w:cs="Calibri"/>
                <w:color w:val="000000"/>
                <w:sz w:val="22"/>
                <w:szCs w:val="22"/>
                <w:lang w:eastAsia="en-US"/>
              </w:rPr>
            </w:pPr>
            <w:r w:rsidRPr="00C72AB5">
              <w:rPr>
                <w:rFonts w:ascii="GHEA Grapalat" w:hAnsi="GHEA Grapalat" w:cs="Calibri"/>
                <w:color w:val="000000"/>
                <w:sz w:val="22"/>
                <w:szCs w:val="22"/>
                <w:lang w:eastAsia="en-US"/>
              </w:rPr>
              <w:t>Հայաստանի Ամերիկյան Համալսարան</w:t>
            </w:r>
          </w:p>
        </w:tc>
        <w:tc>
          <w:tcPr>
            <w:tcW w:w="1842" w:type="dxa"/>
            <w:noWrap/>
            <w:vAlign w:val="center"/>
            <w:hideMark/>
          </w:tcPr>
          <w:p w14:paraId="297F6F08" w14:textId="6F5A8B5D" w:rsidR="00E94950" w:rsidRPr="00C72AB5" w:rsidRDefault="00E94950" w:rsidP="00D31312">
            <w:pPr>
              <w:rPr>
                <w:rFonts w:ascii="GHEA Grapalat" w:hAnsi="GHEA Grapalat" w:cs="Calibri"/>
                <w:color w:val="000000"/>
                <w:sz w:val="22"/>
                <w:szCs w:val="22"/>
                <w:lang w:eastAsia="en-US"/>
              </w:rPr>
            </w:pPr>
            <w:r w:rsidRPr="00C72AB5">
              <w:rPr>
                <w:rFonts w:ascii="GHEA Grapalat" w:hAnsi="GHEA Grapalat" w:cs="Calibri"/>
                <w:color w:val="000000"/>
                <w:sz w:val="22"/>
                <w:szCs w:val="22"/>
                <w:lang w:eastAsia="en-US"/>
              </w:rPr>
              <w:t xml:space="preserve"> €</w:t>
            </w:r>
            <w:r w:rsidR="00D31312" w:rsidRPr="00C72AB5">
              <w:rPr>
                <w:rFonts w:ascii="GHEA Grapalat" w:hAnsi="GHEA Grapalat" w:cs="Calibri"/>
                <w:color w:val="000000"/>
                <w:sz w:val="22"/>
                <w:szCs w:val="22"/>
                <w:lang w:eastAsia="en-US"/>
              </w:rPr>
              <w:t xml:space="preserve"> </w:t>
            </w:r>
            <w:r w:rsidRPr="00C72AB5">
              <w:rPr>
                <w:rFonts w:ascii="GHEA Grapalat" w:hAnsi="GHEA Grapalat" w:cs="Calibri"/>
                <w:color w:val="000000"/>
                <w:sz w:val="22"/>
                <w:szCs w:val="22"/>
                <w:lang w:eastAsia="en-US"/>
              </w:rPr>
              <w:t xml:space="preserve">3,238,221.31 </w:t>
            </w:r>
          </w:p>
        </w:tc>
        <w:tc>
          <w:tcPr>
            <w:tcW w:w="1629" w:type="dxa"/>
            <w:noWrap/>
            <w:vAlign w:val="center"/>
            <w:hideMark/>
          </w:tcPr>
          <w:p w14:paraId="18D34C44" w14:textId="165FEA32" w:rsidR="00E94950" w:rsidRPr="00C72AB5" w:rsidRDefault="00E94950" w:rsidP="00D31312">
            <w:pPr>
              <w:rPr>
                <w:rFonts w:ascii="GHEA Grapalat" w:hAnsi="GHEA Grapalat" w:cs="Calibri"/>
                <w:color w:val="000000"/>
                <w:sz w:val="22"/>
                <w:szCs w:val="22"/>
                <w:lang w:eastAsia="en-US"/>
              </w:rPr>
            </w:pPr>
            <w:r w:rsidRPr="00C72AB5">
              <w:rPr>
                <w:rFonts w:ascii="GHEA Grapalat" w:hAnsi="GHEA Grapalat" w:cs="Calibri"/>
                <w:color w:val="000000"/>
                <w:sz w:val="22"/>
                <w:szCs w:val="22"/>
                <w:lang w:eastAsia="en-US"/>
              </w:rPr>
              <w:t>4/3</w:t>
            </w:r>
          </w:p>
        </w:tc>
      </w:tr>
      <w:tr w:rsidR="00E94950" w:rsidRPr="00C72AB5" w14:paraId="5F0B104E" w14:textId="77777777" w:rsidTr="007B1BEA">
        <w:trPr>
          <w:trHeight w:val="300"/>
        </w:trPr>
        <w:tc>
          <w:tcPr>
            <w:tcW w:w="6091" w:type="dxa"/>
            <w:noWrap/>
            <w:vAlign w:val="bottom"/>
            <w:hideMark/>
          </w:tcPr>
          <w:p w14:paraId="7A06DDAF" w14:textId="77777777" w:rsidR="00E94950" w:rsidRPr="00C72AB5" w:rsidRDefault="00E94950" w:rsidP="00E94950">
            <w:pPr>
              <w:rPr>
                <w:rFonts w:ascii="GHEA Grapalat" w:hAnsi="GHEA Grapalat" w:cs="Calibri"/>
                <w:color w:val="000000"/>
                <w:sz w:val="22"/>
                <w:szCs w:val="22"/>
                <w:lang w:eastAsia="en-US"/>
              </w:rPr>
            </w:pPr>
            <w:r w:rsidRPr="00C72AB5">
              <w:rPr>
                <w:rFonts w:ascii="GHEA Grapalat" w:hAnsi="GHEA Grapalat" w:cs="Calibri"/>
                <w:color w:val="000000"/>
                <w:sz w:val="22"/>
                <w:szCs w:val="22"/>
                <w:lang w:eastAsia="en-US"/>
              </w:rPr>
              <w:t>ՀՀ ԳԱԱ Լ. Օրբելու անվան ֆիզիոլոգիայի ինստիտուտ</w:t>
            </w:r>
          </w:p>
        </w:tc>
        <w:tc>
          <w:tcPr>
            <w:tcW w:w="1842" w:type="dxa"/>
            <w:noWrap/>
            <w:vAlign w:val="center"/>
            <w:hideMark/>
          </w:tcPr>
          <w:p w14:paraId="7473768F" w14:textId="6E11FE54" w:rsidR="00E94950" w:rsidRPr="00C72AB5" w:rsidRDefault="00E94950" w:rsidP="00D31312">
            <w:pPr>
              <w:rPr>
                <w:rFonts w:ascii="GHEA Grapalat" w:hAnsi="GHEA Grapalat" w:cs="Calibri"/>
                <w:color w:val="000000"/>
                <w:sz w:val="22"/>
                <w:szCs w:val="22"/>
                <w:lang w:eastAsia="en-US"/>
              </w:rPr>
            </w:pPr>
            <w:r w:rsidRPr="00C72AB5">
              <w:rPr>
                <w:rFonts w:ascii="GHEA Grapalat" w:hAnsi="GHEA Grapalat" w:cs="Calibri"/>
                <w:color w:val="000000"/>
                <w:sz w:val="22"/>
                <w:szCs w:val="22"/>
                <w:lang w:eastAsia="en-US"/>
              </w:rPr>
              <w:t xml:space="preserve"> €</w:t>
            </w:r>
            <w:r w:rsidR="00D31312" w:rsidRPr="00C72AB5">
              <w:rPr>
                <w:rFonts w:ascii="GHEA Grapalat" w:hAnsi="GHEA Grapalat" w:cs="Calibri"/>
                <w:color w:val="000000"/>
                <w:sz w:val="22"/>
                <w:szCs w:val="22"/>
                <w:lang w:eastAsia="en-US"/>
              </w:rPr>
              <w:t xml:space="preserve"> </w:t>
            </w:r>
            <w:r w:rsidRPr="00C72AB5">
              <w:rPr>
                <w:rFonts w:ascii="GHEA Grapalat" w:hAnsi="GHEA Grapalat" w:cs="Calibri"/>
                <w:color w:val="000000"/>
                <w:sz w:val="22"/>
                <w:szCs w:val="22"/>
                <w:lang w:eastAsia="en-US"/>
              </w:rPr>
              <w:t xml:space="preserve">2,415,000.00 </w:t>
            </w:r>
          </w:p>
        </w:tc>
        <w:tc>
          <w:tcPr>
            <w:tcW w:w="1629" w:type="dxa"/>
            <w:noWrap/>
            <w:vAlign w:val="center"/>
            <w:hideMark/>
          </w:tcPr>
          <w:p w14:paraId="0C98530C" w14:textId="6AA36BC9" w:rsidR="00E94950" w:rsidRPr="00C72AB5" w:rsidRDefault="00E94950" w:rsidP="00D31312">
            <w:pPr>
              <w:rPr>
                <w:rFonts w:ascii="GHEA Grapalat" w:hAnsi="GHEA Grapalat" w:cs="Calibri"/>
                <w:color w:val="000000"/>
                <w:sz w:val="22"/>
                <w:szCs w:val="22"/>
                <w:lang w:eastAsia="en-US"/>
              </w:rPr>
            </w:pPr>
            <w:r w:rsidRPr="00C72AB5">
              <w:rPr>
                <w:rFonts w:ascii="GHEA Grapalat" w:hAnsi="GHEA Grapalat" w:cs="Calibri"/>
                <w:color w:val="000000"/>
                <w:sz w:val="22"/>
                <w:szCs w:val="22"/>
                <w:lang w:eastAsia="en-US"/>
              </w:rPr>
              <w:t>1/1</w:t>
            </w:r>
          </w:p>
        </w:tc>
      </w:tr>
      <w:tr w:rsidR="00E94950" w:rsidRPr="00C72AB5" w14:paraId="29255AB0" w14:textId="77777777" w:rsidTr="007B1BEA">
        <w:trPr>
          <w:trHeight w:val="300"/>
        </w:trPr>
        <w:tc>
          <w:tcPr>
            <w:tcW w:w="6091" w:type="dxa"/>
            <w:noWrap/>
            <w:vAlign w:val="bottom"/>
            <w:hideMark/>
          </w:tcPr>
          <w:p w14:paraId="467D6CE8" w14:textId="77777777" w:rsidR="00E94950" w:rsidRPr="00C72AB5" w:rsidRDefault="00E94950" w:rsidP="00E94950">
            <w:pPr>
              <w:rPr>
                <w:rFonts w:ascii="GHEA Grapalat" w:hAnsi="GHEA Grapalat" w:cs="Calibri"/>
                <w:color w:val="000000"/>
                <w:sz w:val="22"/>
                <w:szCs w:val="22"/>
                <w:lang w:eastAsia="en-US"/>
              </w:rPr>
            </w:pPr>
            <w:r w:rsidRPr="00C72AB5">
              <w:rPr>
                <w:rFonts w:ascii="GHEA Grapalat" w:hAnsi="GHEA Grapalat" w:cs="Calibri"/>
                <w:color w:val="000000"/>
                <w:sz w:val="22"/>
                <w:szCs w:val="22"/>
                <w:lang w:eastAsia="en-US"/>
              </w:rPr>
              <w:t>Ա.Ի. Ալիխանյանի անվան ազգային գիտական լաբորատորիա</w:t>
            </w:r>
          </w:p>
        </w:tc>
        <w:tc>
          <w:tcPr>
            <w:tcW w:w="1842" w:type="dxa"/>
            <w:noWrap/>
            <w:vAlign w:val="center"/>
            <w:hideMark/>
          </w:tcPr>
          <w:p w14:paraId="54C7E1B0" w14:textId="39D1F216" w:rsidR="00E94950" w:rsidRPr="00C72AB5" w:rsidRDefault="00E94950" w:rsidP="00D31312">
            <w:pPr>
              <w:rPr>
                <w:rFonts w:ascii="GHEA Grapalat" w:hAnsi="GHEA Grapalat" w:cs="Calibri"/>
                <w:color w:val="000000"/>
                <w:sz w:val="22"/>
                <w:szCs w:val="22"/>
                <w:lang w:eastAsia="en-US"/>
              </w:rPr>
            </w:pPr>
            <w:r w:rsidRPr="00C72AB5">
              <w:rPr>
                <w:rFonts w:ascii="GHEA Grapalat" w:hAnsi="GHEA Grapalat" w:cs="Calibri"/>
                <w:color w:val="000000"/>
                <w:sz w:val="22"/>
                <w:szCs w:val="22"/>
                <w:lang w:eastAsia="en-US"/>
              </w:rPr>
              <w:t xml:space="preserve"> €</w:t>
            </w:r>
            <w:r w:rsidR="00D31312" w:rsidRPr="00C72AB5">
              <w:rPr>
                <w:rFonts w:ascii="GHEA Grapalat" w:hAnsi="GHEA Grapalat" w:cs="Calibri"/>
                <w:color w:val="000000"/>
                <w:sz w:val="22"/>
                <w:szCs w:val="22"/>
                <w:lang w:eastAsia="en-US"/>
              </w:rPr>
              <w:t xml:space="preserve"> </w:t>
            </w:r>
            <w:r w:rsidRPr="00C72AB5">
              <w:rPr>
                <w:rFonts w:ascii="GHEA Grapalat" w:hAnsi="GHEA Grapalat" w:cs="Calibri"/>
                <w:color w:val="000000"/>
                <w:sz w:val="22"/>
                <w:szCs w:val="22"/>
                <w:lang w:eastAsia="en-US"/>
              </w:rPr>
              <w:t xml:space="preserve">597,579.12 </w:t>
            </w:r>
          </w:p>
        </w:tc>
        <w:tc>
          <w:tcPr>
            <w:tcW w:w="1629" w:type="dxa"/>
            <w:noWrap/>
            <w:vAlign w:val="center"/>
            <w:hideMark/>
          </w:tcPr>
          <w:p w14:paraId="1329FBE0" w14:textId="59867D2A" w:rsidR="00E94950" w:rsidRPr="00C72AB5" w:rsidRDefault="00E94950" w:rsidP="00D31312">
            <w:pPr>
              <w:rPr>
                <w:rFonts w:ascii="GHEA Grapalat" w:hAnsi="GHEA Grapalat" w:cs="Calibri"/>
                <w:color w:val="000000"/>
                <w:sz w:val="22"/>
                <w:szCs w:val="22"/>
                <w:lang w:eastAsia="en-US"/>
              </w:rPr>
            </w:pPr>
            <w:r w:rsidRPr="00C72AB5">
              <w:rPr>
                <w:rFonts w:ascii="GHEA Grapalat" w:hAnsi="GHEA Grapalat" w:cs="Calibri"/>
                <w:color w:val="000000"/>
                <w:sz w:val="22"/>
                <w:szCs w:val="22"/>
                <w:lang w:eastAsia="en-US"/>
              </w:rPr>
              <w:t>1/0</w:t>
            </w:r>
          </w:p>
        </w:tc>
      </w:tr>
      <w:tr w:rsidR="00E94950" w:rsidRPr="00C72AB5" w14:paraId="1232C381" w14:textId="77777777" w:rsidTr="007B1BEA">
        <w:trPr>
          <w:trHeight w:val="300"/>
        </w:trPr>
        <w:tc>
          <w:tcPr>
            <w:tcW w:w="6091" w:type="dxa"/>
            <w:noWrap/>
            <w:vAlign w:val="bottom"/>
            <w:hideMark/>
          </w:tcPr>
          <w:p w14:paraId="1914D347" w14:textId="77777777" w:rsidR="00E94950" w:rsidRPr="00C72AB5" w:rsidRDefault="00E94950" w:rsidP="00E94950">
            <w:pPr>
              <w:rPr>
                <w:rFonts w:ascii="GHEA Grapalat" w:hAnsi="GHEA Grapalat" w:cs="Calibri"/>
                <w:color w:val="000000"/>
                <w:sz w:val="22"/>
                <w:szCs w:val="22"/>
                <w:lang w:eastAsia="en-US"/>
              </w:rPr>
            </w:pPr>
            <w:r w:rsidRPr="00C72AB5">
              <w:rPr>
                <w:rFonts w:ascii="GHEA Grapalat" w:hAnsi="GHEA Grapalat" w:cs="Calibri"/>
                <w:color w:val="000000"/>
                <w:sz w:val="22"/>
                <w:szCs w:val="22"/>
                <w:lang w:eastAsia="en-US"/>
              </w:rPr>
              <w:t>Գիտական և նորարարական գործընկերությանն աջակցման կենտրոն</w:t>
            </w:r>
          </w:p>
        </w:tc>
        <w:tc>
          <w:tcPr>
            <w:tcW w:w="1842" w:type="dxa"/>
            <w:noWrap/>
            <w:vAlign w:val="center"/>
            <w:hideMark/>
          </w:tcPr>
          <w:p w14:paraId="4EFA0D41" w14:textId="49D826BD" w:rsidR="00E94950" w:rsidRPr="00C72AB5" w:rsidRDefault="00E94950" w:rsidP="00D31312">
            <w:pPr>
              <w:rPr>
                <w:rFonts w:ascii="GHEA Grapalat" w:hAnsi="GHEA Grapalat" w:cs="Calibri"/>
                <w:color w:val="000000"/>
                <w:sz w:val="22"/>
                <w:szCs w:val="22"/>
                <w:lang w:eastAsia="en-US"/>
              </w:rPr>
            </w:pPr>
            <w:r w:rsidRPr="00C72AB5">
              <w:rPr>
                <w:rFonts w:ascii="GHEA Grapalat" w:hAnsi="GHEA Grapalat" w:cs="Calibri"/>
                <w:color w:val="000000"/>
                <w:sz w:val="22"/>
                <w:szCs w:val="22"/>
                <w:lang w:eastAsia="en-US"/>
              </w:rPr>
              <w:t xml:space="preserve"> €</w:t>
            </w:r>
            <w:r w:rsidR="00D31312" w:rsidRPr="00C72AB5">
              <w:rPr>
                <w:rFonts w:ascii="GHEA Grapalat" w:hAnsi="GHEA Grapalat" w:cs="Calibri"/>
                <w:color w:val="000000"/>
                <w:sz w:val="22"/>
                <w:szCs w:val="22"/>
                <w:lang w:eastAsia="en-US"/>
              </w:rPr>
              <w:t xml:space="preserve"> </w:t>
            </w:r>
            <w:r w:rsidRPr="00C72AB5">
              <w:rPr>
                <w:rFonts w:ascii="GHEA Grapalat" w:hAnsi="GHEA Grapalat" w:cs="Calibri"/>
                <w:color w:val="000000"/>
                <w:sz w:val="22"/>
                <w:szCs w:val="22"/>
                <w:lang w:eastAsia="en-US"/>
              </w:rPr>
              <w:t xml:space="preserve">513,611.25 </w:t>
            </w:r>
          </w:p>
        </w:tc>
        <w:tc>
          <w:tcPr>
            <w:tcW w:w="1629" w:type="dxa"/>
            <w:noWrap/>
            <w:vAlign w:val="center"/>
            <w:hideMark/>
          </w:tcPr>
          <w:p w14:paraId="69DB54DF" w14:textId="1FAC2F08" w:rsidR="00E94950" w:rsidRPr="00C72AB5" w:rsidRDefault="00E94950" w:rsidP="00D31312">
            <w:pPr>
              <w:rPr>
                <w:rFonts w:ascii="GHEA Grapalat" w:hAnsi="GHEA Grapalat" w:cs="Calibri"/>
                <w:color w:val="000000"/>
                <w:sz w:val="22"/>
                <w:szCs w:val="22"/>
                <w:lang w:eastAsia="en-US"/>
              </w:rPr>
            </w:pPr>
            <w:r w:rsidRPr="00C72AB5">
              <w:rPr>
                <w:rFonts w:ascii="GHEA Grapalat" w:hAnsi="GHEA Grapalat" w:cs="Calibri"/>
                <w:color w:val="000000"/>
                <w:sz w:val="22"/>
                <w:szCs w:val="22"/>
                <w:lang w:eastAsia="en-US"/>
              </w:rPr>
              <w:t>8/0</w:t>
            </w:r>
          </w:p>
        </w:tc>
      </w:tr>
      <w:tr w:rsidR="00E94950" w:rsidRPr="00C72AB5" w14:paraId="51614D41" w14:textId="77777777" w:rsidTr="007B1BEA">
        <w:trPr>
          <w:trHeight w:val="300"/>
        </w:trPr>
        <w:tc>
          <w:tcPr>
            <w:tcW w:w="6091" w:type="dxa"/>
            <w:noWrap/>
            <w:vAlign w:val="bottom"/>
            <w:hideMark/>
          </w:tcPr>
          <w:p w14:paraId="4082E9D4" w14:textId="77777777" w:rsidR="00E94950" w:rsidRPr="00C72AB5" w:rsidRDefault="00E94950" w:rsidP="00E94950">
            <w:pPr>
              <w:rPr>
                <w:rFonts w:ascii="GHEA Grapalat" w:hAnsi="GHEA Grapalat" w:cs="Calibri"/>
                <w:color w:val="000000"/>
                <w:sz w:val="22"/>
                <w:szCs w:val="22"/>
                <w:lang w:eastAsia="en-US"/>
              </w:rPr>
            </w:pPr>
            <w:r w:rsidRPr="00C72AB5">
              <w:rPr>
                <w:rFonts w:ascii="GHEA Grapalat" w:hAnsi="GHEA Grapalat" w:cs="Calibri"/>
                <w:color w:val="000000"/>
                <w:sz w:val="22"/>
                <w:szCs w:val="22"/>
                <w:lang w:eastAsia="en-US"/>
              </w:rPr>
              <w:t>ՀՀ ԳԱԱ Ինֆորմատիկայի և ավտոմատացման պրոբլեմների ինստիտուտ</w:t>
            </w:r>
          </w:p>
        </w:tc>
        <w:tc>
          <w:tcPr>
            <w:tcW w:w="1842" w:type="dxa"/>
            <w:noWrap/>
            <w:vAlign w:val="center"/>
            <w:hideMark/>
          </w:tcPr>
          <w:p w14:paraId="79514C2B" w14:textId="7FD6815B" w:rsidR="00E94950" w:rsidRPr="00C72AB5" w:rsidRDefault="00E94950" w:rsidP="00D31312">
            <w:pPr>
              <w:rPr>
                <w:rFonts w:ascii="GHEA Grapalat" w:hAnsi="GHEA Grapalat" w:cs="Calibri"/>
                <w:color w:val="000000"/>
                <w:sz w:val="22"/>
                <w:szCs w:val="22"/>
                <w:lang w:eastAsia="en-US"/>
              </w:rPr>
            </w:pPr>
            <w:r w:rsidRPr="00C72AB5">
              <w:rPr>
                <w:rFonts w:ascii="GHEA Grapalat" w:hAnsi="GHEA Grapalat" w:cs="Calibri"/>
                <w:color w:val="000000"/>
                <w:sz w:val="22"/>
                <w:szCs w:val="22"/>
                <w:lang w:eastAsia="en-US"/>
              </w:rPr>
              <w:t xml:space="preserve"> €</w:t>
            </w:r>
            <w:r w:rsidR="00D31312" w:rsidRPr="00C72AB5">
              <w:rPr>
                <w:rFonts w:ascii="GHEA Grapalat" w:hAnsi="GHEA Grapalat" w:cs="Calibri"/>
                <w:color w:val="000000"/>
                <w:sz w:val="22"/>
                <w:szCs w:val="22"/>
                <w:lang w:eastAsia="en-US"/>
              </w:rPr>
              <w:t xml:space="preserve"> </w:t>
            </w:r>
            <w:r w:rsidRPr="00C72AB5">
              <w:rPr>
                <w:rFonts w:ascii="GHEA Grapalat" w:hAnsi="GHEA Grapalat" w:cs="Calibri"/>
                <w:color w:val="000000"/>
                <w:sz w:val="22"/>
                <w:szCs w:val="22"/>
                <w:lang w:eastAsia="en-US"/>
              </w:rPr>
              <w:t xml:space="preserve">254,177.00 </w:t>
            </w:r>
          </w:p>
        </w:tc>
        <w:tc>
          <w:tcPr>
            <w:tcW w:w="1629" w:type="dxa"/>
            <w:noWrap/>
            <w:vAlign w:val="center"/>
            <w:hideMark/>
          </w:tcPr>
          <w:p w14:paraId="3EE40BE0" w14:textId="12267D1D" w:rsidR="00E94950" w:rsidRPr="00C72AB5" w:rsidRDefault="00E94950" w:rsidP="00D31312">
            <w:pPr>
              <w:rPr>
                <w:rFonts w:ascii="GHEA Grapalat" w:hAnsi="GHEA Grapalat" w:cs="Calibri"/>
                <w:color w:val="000000"/>
                <w:sz w:val="22"/>
                <w:szCs w:val="22"/>
                <w:lang w:eastAsia="en-US"/>
              </w:rPr>
            </w:pPr>
            <w:r w:rsidRPr="00C72AB5">
              <w:rPr>
                <w:rFonts w:ascii="GHEA Grapalat" w:hAnsi="GHEA Grapalat" w:cs="Calibri"/>
                <w:color w:val="000000"/>
                <w:sz w:val="22"/>
                <w:szCs w:val="22"/>
                <w:lang w:eastAsia="en-US"/>
              </w:rPr>
              <w:t>4/0</w:t>
            </w:r>
          </w:p>
        </w:tc>
      </w:tr>
      <w:tr w:rsidR="00E94950" w:rsidRPr="00C72AB5" w14:paraId="72E97CBC" w14:textId="77777777" w:rsidTr="007B1BEA">
        <w:trPr>
          <w:trHeight w:val="300"/>
        </w:trPr>
        <w:tc>
          <w:tcPr>
            <w:tcW w:w="6091" w:type="dxa"/>
            <w:noWrap/>
            <w:vAlign w:val="bottom"/>
            <w:hideMark/>
          </w:tcPr>
          <w:p w14:paraId="1CDD9D58" w14:textId="77777777" w:rsidR="00E94950" w:rsidRPr="00C72AB5" w:rsidRDefault="00E94950" w:rsidP="00E94950">
            <w:pPr>
              <w:rPr>
                <w:rFonts w:ascii="GHEA Grapalat" w:hAnsi="GHEA Grapalat" w:cs="Calibri"/>
                <w:color w:val="000000"/>
                <w:sz w:val="22"/>
                <w:szCs w:val="22"/>
                <w:lang w:eastAsia="en-US"/>
              </w:rPr>
            </w:pPr>
            <w:r w:rsidRPr="00C72AB5">
              <w:rPr>
                <w:rFonts w:ascii="GHEA Grapalat" w:hAnsi="GHEA Grapalat" w:cs="Calibri"/>
                <w:color w:val="000000"/>
                <w:sz w:val="22"/>
                <w:szCs w:val="22"/>
                <w:lang w:eastAsia="en-US"/>
              </w:rPr>
              <w:t>ՀՀ ԳԱԱ Ա.Բ. Նալբանդյանի անվան քիմիական ֆիզիկայի ինստիտուտ</w:t>
            </w:r>
          </w:p>
        </w:tc>
        <w:tc>
          <w:tcPr>
            <w:tcW w:w="1842" w:type="dxa"/>
            <w:noWrap/>
            <w:vAlign w:val="center"/>
            <w:hideMark/>
          </w:tcPr>
          <w:p w14:paraId="7CE9ED91" w14:textId="63C0DA88" w:rsidR="00E94950" w:rsidRPr="00C72AB5" w:rsidRDefault="00E94950" w:rsidP="00D31312">
            <w:pPr>
              <w:rPr>
                <w:rFonts w:ascii="GHEA Grapalat" w:hAnsi="GHEA Grapalat" w:cs="Calibri"/>
                <w:color w:val="000000"/>
                <w:sz w:val="22"/>
                <w:szCs w:val="22"/>
                <w:lang w:eastAsia="en-US"/>
              </w:rPr>
            </w:pPr>
            <w:r w:rsidRPr="00C72AB5">
              <w:rPr>
                <w:rFonts w:ascii="GHEA Grapalat" w:hAnsi="GHEA Grapalat" w:cs="Calibri"/>
                <w:color w:val="000000"/>
                <w:sz w:val="22"/>
                <w:szCs w:val="22"/>
                <w:lang w:eastAsia="en-US"/>
              </w:rPr>
              <w:t xml:space="preserve"> €</w:t>
            </w:r>
            <w:r w:rsidR="00D31312" w:rsidRPr="00C72AB5">
              <w:rPr>
                <w:rFonts w:ascii="GHEA Grapalat" w:hAnsi="GHEA Grapalat" w:cs="Calibri"/>
                <w:color w:val="000000"/>
                <w:sz w:val="22"/>
                <w:szCs w:val="22"/>
                <w:lang w:eastAsia="en-US"/>
              </w:rPr>
              <w:t xml:space="preserve"> </w:t>
            </w:r>
            <w:r w:rsidRPr="00C72AB5">
              <w:rPr>
                <w:rFonts w:ascii="GHEA Grapalat" w:hAnsi="GHEA Grapalat" w:cs="Calibri"/>
                <w:color w:val="000000"/>
                <w:sz w:val="22"/>
                <w:szCs w:val="22"/>
                <w:lang w:eastAsia="en-US"/>
              </w:rPr>
              <w:t xml:space="preserve">252,250.00 </w:t>
            </w:r>
          </w:p>
        </w:tc>
        <w:tc>
          <w:tcPr>
            <w:tcW w:w="1629" w:type="dxa"/>
            <w:noWrap/>
            <w:vAlign w:val="center"/>
            <w:hideMark/>
          </w:tcPr>
          <w:p w14:paraId="354BC126" w14:textId="68732423" w:rsidR="00E94950" w:rsidRPr="00C72AB5" w:rsidRDefault="00E94950" w:rsidP="00D31312">
            <w:pPr>
              <w:rPr>
                <w:rFonts w:ascii="GHEA Grapalat" w:hAnsi="GHEA Grapalat" w:cs="Calibri"/>
                <w:color w:val="000000"/>
                <w:sz w:val="22"/>
                <w:szCs w:val="22"/>
                <w:lang w:eastAsia="en-US"/>
              </w:rPr>
            </w:pPr>
            <w:r w:rsidRPr="00C72AB5">
              <w:rPr>
                <w:rFonts w:ascii="GHEA Grapalat" w:hAnsi="GHEA Grapalat" w:cs="Calibri"/>
                <w:color w:val="000000"/>
                <w:sz w:val="22"/>
                <w:szCs w:val="22"/>
                <w:lang w:eastAsia="en-US"/>
              </w:rPr>
              <w:t>1/0</w:t>
            </w:r>
          </w:p>
        </w:tc>
      </w:tr>
      <w:tr w:rsidR="00E94950" w:rsidRPr="00C72AB5" w14:paraId="4D8FA7BE" w14:textId="77777777" w:rsidTr="007B1BEA">
        <w:trPr>
          <w:trHeight w:val="300"/>
        </w:trPr>
        <w:tc>
          <w:tcPr>
            <w:tcW w:w="6091" w:type="dxa"/>
            <w:noWrap/>
            <w:vAlign w:val="bottom"/>
            <w:hideMark/>
          </w:tcPr>
          <w:p w14:paraId="02633E33" w14:textId="77777777" w:rsidR="00E94950" w:rsidRPr="00C72AB5" w:rsidRDefault="00E94950" w:rsidP="00E94950">
            <w:pPr>
              <w:rPr>
                <w:rFonts w:ascii="GHEA Grapalat" w:hAnsi="GHEA Grapalat" w:cs="Calibri"/>
                <w:color w:val="000000"/>
                <w:sz w:val="22"/>
                <w:szCs w:val="22"/>
                <w:lang w:eastAsia="en-US"/>
              </w:rPr>
            </w:pPr>
            <w:r w:rsidRPr="00C72AB5">
              <w:rPr>
                <w:rFonts w:ascii="GHEA Grapalat" w:hAnsi="GHEA Grapalat" w:cs="Calibri"/>
                <w:color w:val="000000"/>
                <w:sz w:val="22"/>
                <w:szCs w:val="22"/>
                <w:lang w:eastAsia="en-US"/>
              </w:rPr>
              <w:t>Էներգետիկայի գիտահետազոտական ինստիտուտ</w:t>
            </w:r>
          </w:p>
        </w:tc>
        <w:tc>
          <w:tcPr>
            <w:tcW w:w="1842" w:type="dxa"/>
            <w:noWrap/>
            <w:vAlign w:val="center"/>
            <w:hideMark/>
          </w:tcPr>
          <w:p w14:paraId="3455CE6B" w14:textId="4358413C" w:rsidR="00E94950" w:rsidRPr="00C72AB5" w:rsidRDefault="00E94950" w:rsidP="00D31312">
            <w:pPr>
              <w:rPr>
                <w:rFonts w:ascii="GHEA Grapalat" w:hAnsi="GHEA Grapalat" w:cs="Calibri"/>
                <w:color w:val="000000"/>
                <w:sz w:val="22"/>
                <w:szCs w:val="22"/>
                <w:lang w:eastAsia="en-US"/>
              </w:rPr>
            </w:pPr>
            <w:r w:rsidRPr="00C72AB5">
              <w:rPr>
                <w:rFonts w:ascii="GHEA Grapalat" w:hAnsi="GHEA Grapalat" w:cs="Calibri"/>
                <w:color w:val="000000"/>
                <w:sz w:val="22"/>
                <w:szCs w:val="22"/>
                <w:lang w:eastAsia="en-US"/>
              </w:rPr>
              <w:t xml:space="preserve"> €</w:t>
            </w:r>
            <w:r w:rsidR="00D31312" w:rsidRPr="00C72AB5">
              <w:rPr>
                <w:rFonts w:ascii="GHEA Grapalat" w:hAnsi="GHEA Grapalat" w:cs="Calibri"/>
                <w:color w:val="000000"/>
                <w:sz w:val="22"/>
                <w:szCs w:val="22"/>
                <w:lang w:eastAsia="en-US"/>
              </w:rPr>
              <w:t xml:space="preserve"> </w:t>
            </w:r>
            <w:r w:rsidRPr="00C72AB5">
              <w:rPr>
                <w:rFonts w:ascii="GHEA Grapalat" w:hAnsi="GHEA Grapalat" w:cs="Calibri"/>
                <w:color w:val="000000"/>
                <w:sz w:val="22"/>
                <w:szCs w:val="22"/>
                <w:lang w:eastAsia="en-US"/>
              </w:rPr>
              <w:t xml:space="preserve">126,245.00 </w:t>
            </w:r>
          </w:p>
        </w:tc>
        <w:tc>
          <w:tcPr>
            <w:tcW w:w="1629" w:type="dxa"/>
            <w:noWrap/>
            <w:vAlign w:val="center"/>
            <w:hideMark/>
          </w:tcPr>
          <w:p w14:paraId="5ADCB8F0" w14:textId="00965162" w:rsidR="00E94950" w:rsidRPr="00C72AB5" w:rsidRDefault="00E94950" w:rsidP="00D31312">
            <w:pPr>
              <w:rPr>
                <w:rFonts w:ascii="GHEA Grapalat" w:hAnsi="GHEA Grapalat" w:cs="Calibri"/>
                <w:color w:val="000000"/>
                <w:sz w:val="22"/>
                <w:szCs w:val="22"/>
                <w:lang w:eastAsia="en-US"/>
              </w:rPr>
            </w:pPr>
            <w:r w:rsidRPr="00C72AB5">
              <w:rPr>
                <w:rFonts w:ascii="GHEA Grapalat" w:hAnsi="GHEA Grapalat" w:cs="Calibri"/>
                <w:color w:val="000000"/>
                <w:sz w:val="22"/>
                <w:szCs w:val="22"/>
                <w:lang w:eastAsia="en-US"/>
              </w:rPr>
              <w:t>1/0</w:t>
            </w:r>
          </w:p>
        </w:tc>
      </w:tr>
      <w:tr w:rsidR="00E94950" w:rsidRPr="00C72AB5" w14:paraId="671CF485" w14:textId="77777777" w:rsidTr="007B1BEA">
        <w:trPr>
          <w:trHeight w:val="300"/>
        </w:trPr>
        <w:tc>
          <w:tcPr>
            <w:tcW w:w="6091" w:type="dxa"/>
            <w:noWrap/>
            <w:vAlign w:val="bottom"/>
            <w:hideMark/>
          </w:tcPr>
          <w:p w14:paraId="1B22F433" w14:textId="77777777" w:rsidR="00E94950" w:rsidRPr="00C72AB5" w:rsidRDefault="00E94950" w:rsidP="00E94950">
            <w:pPr>
              <w:rPr>
                <w:rFonts w:ascii="GHEA Grapalat" w:hAnsi="GHEA Grapalat" w:cs="Calibri"/>
                <w:color w:val="000000"/>
                <w:sz w:val="22"/>
                <w:szCs w:val="22"/>
                <w:lang w:eastAsia="en-US"/>
              </w:rPr>
            </w:pPr>
            <w:r w:rsidRPr="00C72AB5">
              <w:rPr>
                <w:rFonts w:ascii="GHEA Grapalat" w:hAnsi="GHEA Grapalat" w:cs="Calibri"/>
                <w:color w:val="000000"/>
                <w:sz w:val="22"/>
                <w:szCs w:val="22"/>
                <w:lang w:eastAsia="en-US"/>
              </w:rPr>
              <w:t>Հայաստանի ազգային պոլիտեխնիկական համալսարան</w:t>
            </w:r>
          </w:p>
        </w:tc>
        <w:tc>
          <w:tcPr>
            <w:tcW w:w="1842" w:type="dxa"/>
            <w:noWrap/>
            <w:vAlign w:val="center"/>
            <w:hideMark/>
          </w:tcPr>
          <w:p w14:paraId="26FF09A4" w14:textId="34A5C126" w:rsidR="00E94950" w:rsidRPr="00C72AB5" w:rsidRDefault="00E94950" w:rsidP="00D31312">
            <w:pPr>
              <w:rPr>
                <w:rFonts w:ascii="GHEA Grapalat" w:hAnsi="GHEA Grapalat" w:cs="Calibri"/>
                <w:color w:val="000000"/>
                <w:sz w:val="22"/>
                <w:szCs w:val="22"/>
                <w:lang w:eastAsia="en-US"/>
              </w:rPr>
            </w:pPr>
            <w:r w:rsidRPr="00C72AB5">
              <w:rPr>
                <w:rFonts w:ascii="GHEA Grapalat" w:hAnsi="GHEA Grapalat" w:cs="Calibri"/>
                <w:color w:val="000000"/>
                <w:sz w:val="22"/>
                <w:szCs w:val="22"/>
                <w:lang w:eastAsia="en-US"/>
              </w:rPr>
              <w:t xml:space="preserve"> €</w:t>
            </w:r>
            <w:r w:rsidR="00D31312" w:rsidRPr="00C72AB5">
              <w:rPr>
                <w:rFonts w:ascii="GHEA Grapalat" w:hAnsi="GHEA Grapalat" w:cs="Calibri"/>
                <w:color w:val="000000"/>
                <w:sz w:val="22"/>
                <w:szCs w:val="22"/>
                <w:lang w:eastAsia="en-US"/>
              </w:rPr>
              <w:t xml:space="preserve"> </w:t>
            </w:r>
            <w:r w:rsidRPr="00C72AB5">
              <w:rPr>
                <w:rFonts w:ascii="GHEA Grapalat" w:hAnsi="GHEA Grapalat" w:cs="Calibri"/>
                <w:color w:val="000000"/>
                <w:sz w:val="22"/>
                <w:szCs w:val="22"/>
                <w:lang w:eastAsia="en-US"/>
              </w:rPr>
              <w:t xml:space="preserve">121,245.00 </w:t>
            </w:r>
          </w:p>
        </w:tc>
        <w:tc>
          <w:tcPr>
            <w:tcW w:w="1629" w:type="dxa"/>
            <w:noWrap/>
            <w:vAlign w:val="center"/>
            <w:hideMark/>
          </w:tcPr>
          <w:p w14:paraId="2121AC80" w14:textId="622E7075" w:rsidR="00E94950" w:rsidRPr="00C72AB5" w:rsidRDefault="00E94950" w:rsidP="00D31312">
            <w:pPr>
              <w:rPr>
                <w:rFonts w:ascii="GHEA Grapalat" w:hAnsi="GHEA Grapalat" w:cs="Calibri"/>
                <w:color w:val="000000"/>
                <w:sz w:val="22"/>
                <w:szCs w:val="22"/>
                <w:lang w:eastAsia="en-US"/>
              </w:rPr>
            </w:pPr>
            <w:r w:rsidRPr="00C72AB5">
              <w:rPr>
                <w:rFonts w:ascii="GHEA Grapalat" w:hAnsi="GHEA Grapalat" w:cs="Calibri"/>
                <w:color w:val="000000"/>
                <w:sz w:val="22"/>
                <w:szCs w:val="22"/>
                <w:lang w:eastAsia="en-US"/>
              </w:rPr>
              <w:t>1/0</w:t>
            </w:r>
          </w:p>
        </w:tc>
      </w:tr>
      <w:tr w:rsidR="00E94950" w:rsidRPr="00C72AB5" w14:paraId="266C7843" w14:textId="77777777" w:rsidTr="007B1BEA">
        <w:trPr>
          <w:trHeight w:val="300"/>
        </w:trPr>
        <w:tc>
          <w:tcPr>
            <w:tcW w:w="6091" w:type="dxa"/>
            <w:noWrap/>
            <w:vAlign w:val="bottom"/>
            <w:hideMark/>
          </w:tcPr>
          <w:p w14:paraId="5CDD8FAC" w14:textId="77777777" w:rsidR="00E94950" w:rsidRPr="00C72AB5" w:rsidRDefault="00E94950" w:rsidP="00E94950">
            <w:pPr>
              <w:rPr>
                <w:rFonts w:ascii="GHEA Grapalat" w:hAnsi="GHEA Grapalat" w:cs="Calibri"/>
                <w:color w:val="000000"/>
                <w:sz w:val="22"/>
                <w:szCs w:val="22"/>
                <w:lang w:eastAsia="en-US"/>
              </w:rPr>
            </w:pPr>
            <w:r w:rsidRPr="00C72AB5">
              <w:rPr>
                <w:rFonts w:ascii="GHEA Grapalat" w:hAnsi="GHEA Grapalat" w:cs="Calibri"/>
                <w:color w:val="000000"/>
                <w:sz w:val="22"/>
                <w:szCs w:val="22"/>
                <w:lang w:eastAsia="en-US"/>
              </w:rPr>
              <w:t>Երևանի պետական համալսարան</w:t>
            </w:r>
          </w:p>
        </w:tc>
        <w:tc>
          <w:tcPr>
            <w:tcW w:w="1842" w:type="dxa"/>
            <w:noWrap/>
            <w:vAlign w:val="center"/>
            <w:hideMark/>
          </w:tcPr>
          <w:p w14:paraId="3ADD8EE7" w14:textId="66DD8B56" w:rsidR="00E94950" w:rsidRPr="00C72AB5" w:rsidRDefault="00E94950" w:rsidP="00D31312">
            <w:pPr>
              <w:rPr>
                <w:rFonts w:ascii="GHEA Grapalat" w:hAnsi="GHEA Grapalat" w:cs="Calibri"/>
                <w:color w:val="000000"/>
                <w:sz w:val="22"/>
                <w:szCs w:val="22"/>
                <w:lang w:eastAsia="en-US"/>
              </w:rPr>
            </w:pPr>
            <w:r w:rsidRPr="00C72AB5">
              <w:rPr>
                <w:rFonts w:ascii="GHEA Grapalat" w:hAnsi="GHEA Grapalat" w:cs="Calibri"/>
                <w:color w:val="000000"/>
                <w:sz w:val="22"/>
                <w:szCs w:val="22"/>
                <w:lang w:eastAsia="en-US"/>
              </w:rPr>
              <w:t xml:space="preserve"> €</w:t>
            </w:r>
            <w:r w:rsidR="00D31312" w:rsidRPr="00C72AB5">
              <w:rPr>
                <w:rFonts w:ascii="GHEA Grapalat" w:hAnsi="GHEA Grapalat" w:cs="Calibri"/>
                <w:color w:val="000000"/>
                <w:sz w:val="22"/>
                <w:szCs w:val="22"/>
                <w:lang w:eastAsia="en-US"/>
              </w:rPr>
              <w:t xml:space="preserve"> </w:t>
            </w:r>
            <w:r w:rsidRPr="00C72AB5">
              <w:rPr>
                <w:rFonts w:ascii="GHEA Grapalat" w:hAnsi="GHEA Grapalat" w:cs="Calibri"/>
                <w:color w:val="000000"/>
                <w:sz w:val="22"/>
                <w:szCs w:val="22"/>
                <w:lang w:eastAsia="en-US"/>
              </w:rPr>
              <w:t xml:space="preserve">109,898.75 </w:t>
            </w:r>
          </w:p>
        </w:tc>
        <w:tc>
          <w:tcPr>
            <w:tcW w:w="1629" w:type="dxa"/>
            <w:noWrap/>
            <w:vAlign w:val="center"/>
            <w:hideMark/>
          </w:tcPr>
          <w:p w14:paraId="60C01074" w14:textId="67DC8FD8" w:rsidR="00E94950" w:rsidRPr="00C72AB5" w:rsidRDefault="00E94950" w:rsidP="00D31312">
            <w:pPr>
              <w:rPr>
                <w:rFonts w:ascii="GHEA Grapalat" w:hAnsi="GHEA Grapalat" w:cs="Calibri"/>
                <w:color w:val="000000"/>
                <w:sz w:val="22"/>
                <w:szCs w:val="22"/>
                <w:lang w:eastAsia="en-US"/>
              </w:rPr>
            </w:pPr>
            <w:r w:rsidRPr="00C72AB5">
              <w:rPr>
                <w:rFonts w:ascii="GHEA Grapalat" w:hAnsi="GHEA Grapalat" w:cs="Calibri"/>
                <w:color w:val="000000"/>
                <w:sz w:val="22"/>
                <w:szCs w:val="22"/>
                <w:lang w:eastAsia="en-US"/>
              </w:rPr>
              <w:t>2/0</w:t>
            </w:r>
          </w:p>
        </w:tc>
      </w:tr>
      <w:tr w:rsidR="00E94950" w:rsidRPr="00C72AB5" w14:paraId="0F247D8E" w14:textId="77777777" w:rsidTr="007B1BEA">
        <w:trPr>
          <w:trHeight w:val="300"/>
        </w:trPr>
        <w:tc>
          <w:tcPr>
            <w:tcW w:w="6091" w:type="dxa"/>
            <w:noWrap/>
            <w:vAlign w:val="bottom"/>
            <w:hideMark/>
          </w:tcPr>
          <w:p w14:paraId="2A4E57B1" w14:textId="77777777" w:rsidR="00E94950" w:rsidRPr="00C72AB5" w:rsidRDefault="00E94950" w:rsidP="00E94950">
            <w:pPr>
              <w:rPr>
                <w:rFonts w:ascii="GHEA Grapalat" w:hAnsi="GHEA Grapalat" w:cs="Calibri"/>
                <w:color w:val="000000"/>
                <w:sz w:val="22"/>
                <w:szCs w:val="22"/>
                <w:lang w:eastAsia="en-US"/>
              </w:rPr>
            </w:pPr>
            <w:r w:rsidRPr="00C72AB5">
              <w:rPr>
                <w:rFonts w:ascii="GHEA Grapalat" w:hAnsi="GHEA Grapalat" w:cs="Calibri"/>
                <w:color w:val="000000"/>
                <w:sz w:val="22"/>
                <w:szCs w:val="22"/>
                <w:lang w:eastAsia="en-US"/>
              </w:rPr>
              <w:t>ՀՀ ԳԱԱ Ա. Թախտաջյանի անվան բուսաբանության ինստիտուտ</w:t>
            </w:r>
          </w:p>
        </w:tc>
        <w:tc>
          <w:tcPr>
            <w:tcW w:w="1842" w:type="dxa"/>
            <w:noWrap/>
            <w:vAlign w:val="center"/>
            <w:hideMark/>
          </w:tcPr>
          <w:p w14:paraId="1A86E15E" w14:textId="4EAF7BCD" w:rsidR="00E94950" w:rsidRPr="00C72AB5" w:rsidRDefault="00E94950" w:rsidP="00D31312">
            <w:pPr>
              <w:rPr>
                <w:rFonts w:ascii="GHEA Grapalat" w:hAnsi="GHEA Grapalat" w:cs="Calibri"/>
                <w:color w:val="000000"/>
                <w:sz w:val="22"/>
                <w:szCs w:val="22"/>
                <w:lang w:eastAsia="en-US"/>
              </w:rPr>
            </w:pPr>
            <w:r w:rsidRPr="00C72AB5">
              <w:rPr>
                <w:rFonts w:ascii="GHEA Grapalat" w:hAnsi="GHEA Grapalat" w:cs="Calibri"/>
                <w:color w:val="000000"/>
                <w:sz w:val="22"/>
                <w:szCs w:val="22"/>
                <w:lang w:eastAsia="en-US"/>
              </w:rPr>
              <w:t xml:space="preserve"> €</w:t>
            </w:r>
            <w:r w:rsidR="00D31312" w:rsidRPr="00C72AB5">
              <w:rPr>
                <w:rFonts w:ascii="GHEA Grapalat" w:hAnsi="GHEA Grapalat" w:cs="Calibri"/>
                <w:color w:val="000000"/>
                <w:sz w:val="22"/>
                <w:szCs w:val="22"/>
                <w:lang w:eastAsia="en-US"/>
              </w:rPr>
              <w:t xml:space="preserve"> </w:t>
            </w:r>
            <w:r w:rsidRPr="00C72AB5">
              <w:rPr>
                <w:rFonts w:ascii="GHEA Grapalat" w:hAnsi="GHEA Grapalat" w:cs="Calibri"/>
                <w:color w:val="000000"/>
                <w:sz w:val="22"/>
                <w:szCs w:val="22"/>
                <w:lang w:eastAsia="en-US"/>
              </w:rPr>
              <w:t xml:space="preserve">100,000.00 </w:t>
            </w:r>
          </w:p>
        </w:tc>
        <w:tc>
          <w:tcPr>
            <w:tcW w:w="1629" w:type="dxa"/>
            <w:noWrap/>
            <w:vAlign w:val="center"/>
            <w:hideMark/>
          </w:tcPr>
          <w:p w14:paraId="4380923D" w14:textId="450536D1" w:rsidR="00E94950" w:rsidRPr="00C72AB5" w:rsidRDefault="00E94950" w:rsidP="00D31312">
            <w:pPr>
              <w:rPr>
                <w:rFonts w:ascii="GHEA Grapalat" w:hAnsi="GHEA Grapalat" w:cs="Calibri"/>
                <w:color w:val="000000"/>
                <w:sz w:val="22"/>
                <w:szCs w:val="22"/>
                <w:lang w:eastAsia="en-US"/>
              </w:rPr>
            </w:pPr>
            <w:r w:rsidRPr="00C72AB5">
              <w:rPr>
                <w:rFonts w:ascii="GHEA Grapalat" w:hAnsi="GHEA Grapalat" w:cs="Calibri"/>
                <w:color w:val="000000"/>
                <w:sz w:val="22"/>
                <w:szCs w:val="22"/>
                <w:lang w:eastAsia="en-US"/>
              </w:rPr>
              <w:t>1/0</w:t>
            </w:r>
          </w:p>
        </w:tc>
      </w:tr>
      <w:tr w:rsidR="00E94950" w:rsidRPr="00C72AB5" w14:paraId="6F844B9C" w14:textId="77777777" w:rsidTr="007B1BEA">
        <w:trPr>
          <w:trHeight w:val="300"/>
        </w:trPr>
        <w:tc>
          <w:tcPr>
            <w:tcW w:w="6091" w:type="dxa"/>
            <w:noWrap/>
            <w:vAlign w:val="bottom"/>
            <w:hideMark/>
          </w:tcPr>
          <w:p w14:paraId="05F16C28" w14:textId="77777777" w:rsidR="00E94950" w:rsidRPr="00C72AB5" w:rsidRDefault="00E94950" w:rsidP="00E94950">
            <w:pPr>
              <w:rPr>
                <w:rFonts w:ascii="GHEA Grapalat" w:hAnsi="GHEA Grapalat" w:cs="Calibri"/>
                <w:color w:val="000000"/>
                <w:sz w:val="22"/>
                <w:szCs w:val="22"/>
                <w:lang w:eastAsia="en-US"/>
              </w:rPr>
            </w:pPr>
            <w:r w:rsidRPr="00C72AB5">
              <w:rPr>
                <w:rFonts w:ascii="GHEA Grapalat" w:hAnsi="GHEA Grapalat" w:cs="Calibri"/>
                <w:color w:val="000000"/>
                <w:sz w:val="22"/>
                <w:szCs w:val="22"/>
                <w:lang w:eastAsia="en-US"/>
              </w:rPr>
              <w:t>Ճգնաժամային կառավարման պետական ակադեմիա</w:t>
            </w:r>
          </w:p>
        </w:tc>
        <w:tc>
          <w:tcPr>
            <w:tcW w:w="1842" w:type="dxa"/>
            <w:noWrap/>
            <w:vAlign w:val="center"/>
            <w:hideMark/>
          </w:tcPr>
          <w:p w14:paraId="19CEFD85" w14:textId="0ACAFBC6" w:rsidR="00E94950" w:rsidRPr="00C72AB5" w:rsidRDefault="00E94950" w:rsidP="00D31312">
            <w:pPr>
              <w:rPr>
                <w:rFonts w:ascii="GHEA Grapalat" w:hAnsi="GHEA Grapalat" w:cs="Calibri"/>
                <w:color w:val="000000"/>
                <w:sz w:val="22"/>
                <w:szCs w:val="22"/>
                <w:lang w:eastAsia="en-US"/>
              </w:rPr>
            </w:pPr>
            <w:r w:rsidRPr="00C72AB5">
              <w:rPr>
                <w:rFonts w:ascii="GHEA Grapalat" w:hAnsi="GHEA Grapalat" w:cs="Calibri"/>
                <w:color w:val="000000"/>
                <w:sz w:val="22"/>
                <w:szCs w:val="22"/>
                <w:lang w:eastAsia="en-US"/>
              </w:rPr>
              <w:t xml:space="preserve"> €</w:t>
            </w:r>
            <w:r w:rsidR="00D31312" w:rsidRPr="00C72AB5">
              <w:rPr>
                <w:rFonts w:ascii="GHEA Grapalat" w:hAnsi="GHEA Grapalat" w:cs="Calibri"/>
                <w:color w:val="000000"/>
                <w:sz w:val="22"/>
                <w:szCs w:val="22"/>
                <w:lang w:eastAsia="en-US"/>
              </w:rPr>
              <w:t xml:space="preserve"> </w:t>
            </w:r>
            <w:r w:rsidRPr="00C72AB5">
              <w:rPr>
                <w:rFonts w:ascii="GHEA Grapalat" w:hAnsi="GHEA Grapalat" w:cs="Calibri"/>
                <w:color w:val="000000"/>
                <w:sz w:val="22"/>
                <w:szCs w:val="22"/>
                <w:lang w:eastAsia="en-US"/>
              </w:rPr>
              <w:t xml:space="preserve">85,000.00 </w:t>
            </w:r>
          </w:p>
        </w:tc>
        <w:tc>
          <w:tcPr>
            <w:tcW w:w="1629" w:type="dxa"/>
            <w:noWrap/>
            <w:vAlign w:val="center"/>
            <w:hideMark/>
          </w:tcPr>
          <w:p w14:paraId="34E099A1" w14:textId="5DEBE619" w:rsidR="00E94950" w:rsidRPr="00C72AB5" w:rsidRDefault="00E94950" w:rsidP="00D31312">
            <w:pPr>
              <w:rPr>
                <w:rFonts w:ascii="GHEA Grapalat" w:hAnsi="GHEA Grapalat" w:cs="Calibri"/>
                <w:color w:val="000000"/>
                <w:sz w:val="22"/>
                <w:szCs w:val="22"/>
                <w:lang w:eastAsia="en-US"/>
              </w:rPr>
            </w:pPr>
            <w:r w:rsidRPr="00C72AB5">
              <w:rPr>
                <w:rFonts w:ascii="GHEA Grapalat" w:hAnsi="GHEA Grapalat" w:cs="Calibri"/>
                <w:color w:val="000000"/>
                <w:sz w:val="22"/>
                <w:szCs w:val="22"/>
                <w:lang w:eastAsia="en-US"/>
              </w:rPr>
              <w:t>2/0</w:t>
            </w:r>
          </w:p>
        </w:tc>
      </w:tr>
      <w:tr w:rsidR="00E94950" w:rsidRPr="00C72AB5" w14:paraId="7868943C" w14:textId="77777777" w:rsidTr="007B1BEA">
        <w:trPr>
          <w:trHeight w:val="300"/>
        </w:trPr>
        <w:tc>
          <w:tcPr>
            <w:tcW w:w="6091" w:type="dxa"/>
            <w:noWrap/>
            <w:vAlign w:val="bottom"/>
            <w:hideMark/>
          </w:tcPr>
          <w:p w14:paraId="415591B7" w14:textId="77777777" w:rsidR="00E94950" w:rsidRPr="00C72AB5" w:rsidRDefault="00E94950" w:rsidP="00E94950">
            <w:pPr>
              <w:rPr>
                <w:rFonts w:ascii="GHEA Grapalat" w:hAnsi="GHEA Grapalat" w:cs="Calibri"/>
                <w:color w:val="000000"/>
                <w:sz w:val="22"/>
                <w:szCs w:val="22"/>
                <w:lang w:eastAsia="en-US"/>
              </w:rPr>
            </w:pPr>
            <w:r w:rsidRPr="00C72AB5">
              <w:rPr>
                <w:rFonts w:ascii="GHEA Grapalat" w:hAnsi="GHEA Grapalat" w:cs="Calibri"/>
                <w:color w:val="000000"/>
                <w:sz w:val="22"/>
                <w:szCs w:val="22"/>
                <w:lang w:eastAsia="en-US"/>
              </w:rPr>
              <w:t>ԵրևանՆ գիտակրթական հիմնադրամ</w:t>
            </w:r>
          </w:p>
        </w:tc>
        <w:tc>
          <w:tcPr>
            <w:tcW w:w="1842" w:type="dxa"/>
            <w:noWrap/>
            <w:vAlign w:val="center"/>
            <w:hideMark/>
          </w:tcPr>
          <w:p w14:paraId="0AC3DEA5" w14:textId="5F0F2905" w:rsidR="00E94950" w:rsidRPr="00C72AB5" w:rsidRDefault="00E94950" w:rsidP="00D31312">
            <w:pPr>
              <w:rPr>
                <w:rFonts w:ascii="GHEA Grapalat" w:hAnsi="GHEA Grapalat" w:cs="Calibri"/>
                <w:color w:val="000000"/>
                <w:sz w:val="22"/>
                <w:szCs w:val="22"/>
                <w:lang w:eastAsia="en-US"/>
              </w:rPr>
            </w:pPr>
            <w:r w:rsidRPr="00C72AB5">
              <w:rPr>
                <w:rFonts w:ascii="GHEA Grapalat" w:hAnsi="GHEA Grapalat" w:cs="Calibri"/>
                <w:color w:val="000000"/>
                <w:sz w:val="22"/>
                <w:szCs w:val="22"/>
                <w:lang w:eastAsia="en-US"/>
              </w:rPr>
              <w:t xml:space="preserve"> €</w:t>
            </w:r>
            <w:r w:rsidR="00D31312" w:rsidRPr="00C72AB5">
              <w:rPr>
                <w:rFonts w:ascii="GHEA Grapalat" w:hAnsi="GHEA Grapalat" w:cs="Calibri"/>
                <w:color w:val="000000"/>
                <w:sz w:val="22"/>
                <w:szCs w:val="22"/>
                <w:lang w:eastAsia="en-US"/>
              </w:rPr>
              <w:t xml:space="preserve"> </w:t>
            </w:r>
            <w:r w:rsidRPr="00C72AB5">
              <w:rPr>
                <w:rFonts w:ascii="GHEA Grapalat" w:hAnsi="GHEA Grapalat" w:cs="Calibri"/>
                <w:color w:val="000000"/>
                <w:sz w:val="22"/>
                <w:szCs w:val="22"/>
                <w:lang w:eastAsia="en-US"/>
              </w:rPr>
              <w:t xml:space="preserve">81,625.00 </w:t>
            </w:r>
          </w:p>
        </w:tc>
        <w:tc>
          <w:tcPr>
            <w:tcW w:w="1629" w:type="dxa"/>
            <w:noWrap/>
            <w:vAlign w:val="center"/>
            <w:hideMark/>
          </w:tcPr>
          <w:p w14:paraId="17410628" w14:textId="6720852A" w:rsidR="00E94950" w:rsidRPr="00C72AB5" w:rsidRDefault="00E94950" w:rsidP="00D31312">
            <w:pPr>
              <w:rPr>
                <w:rFonts w:ascii="GHEA Grapalat" w:hAnsi="GHEA Grapalat" w:cs="Calibri"/>
                <w:color w:val="000000"/>
                <w:sz w:val="22"/>
                <w:szCs w:val="22"/>
                <w:lang w:eastAsia="en-US"/>
              </w:rPr>
            </w:pPr>
            <w:r w:rsidRPr="00C72AB5">
              <w:rPr>
                <w:rFonts w:ascii="GHEA Grapalat" w:hAnsi="GHEA Grapalat" w:cs="Calibri"/>
                <w:color w:val="000000"/>
                <w:sz w:val="22"/>
                <w:szCs w:val="22"/>
                <w:lang w:eastAsia="en-US"/>
              </w:rPr>
              <w:t>1/0</w:t>
            </w:r>
          </w:p>
        </w:tc>
      </w:tr>
      <w:tr w:rsidR="00E94950" w:rsidRPr="00C72AB5" w14:paraId="4D3A8B12" w14:textId="77777777" w:rsidTr="007B1BEA">
        <w:trPr>
          <w:trHeight w:val="300"/>
        </w:trPr>
        <w:tc>
          <w:tcPr>
            <w:tcW w:w="6091" w:type="dxa"/>
            <w:shd w:val="clear" w:color="auto" w:fill="DEEAF6" w:themeFill="accent1" w:themeFillTint="33"/>
            <w:noWrap/>
            <w:vAlign w:val="bottom"/>
            <w:hideMark/>
          </w:tcPr>
          <w:p w14:paraId="5F0BC0CC" w14:textId="5D03A512" w:rsidR="00E94950" w:rsidRPr="00C72AB5" w:rsidRDefault="00D31312" w:rsidP="00E94950">
            <w:pPr>
              <w:jc w:val="right"/>
              <w:rPr>
                <w:rFonts w:ascii="GHEA Grapalat" w:hAnsi="GHEA Grapalat" w:cs="Calibri"/>
                <w:color w:val="000000"/>
                <w:sz w:val="22"/>
                <w:szCs w:val="22"/>
                <w:lang w:eastAsia="en-US"/>
              </w:rPr>
            </w:pPr>
            <w:r w:rsidRPr="00C72AB5">
              <w:rPr>
                <w:rFonts w:ascii="GHEA Grapalat" w:hAnsi="GHEA Grapalat" w:cs="Calibri"/>
                <w:color w:val="000000"/>
                <w:sz w:val="22"/>
                <w:szCs w:val="22"/>
                <w:lang w:eastAsia="en-US"/>
              </w:rPr>
              <w:t>Ընդհանուր`</w:t>
            </w:r>
          </w:p>
        </w:tc>
        <w:tc>
          <w:tcPr>
            <w:tcW w:w="1842" w:type="dxa"/>
            <w:shd w:val="clear" w:color="auto" w:fill="DEEAF6" w:themeFill="accent1" w:themeFillTint="33"/>
            <w:noWrap/>
            <w:vAlign w:val="center"/>
            <w:hideMark/>
          </w:tcPr>
          <w:p w14:paraId="60F04DD0" w14:textId="0D0DF372" w:rsidR="00E94950" w:rsidRPr="00C72AB5" w:rsidRDefault="00E94950" w:rsidP="00D31312">
            <w:pPr>
              <w:rPr>
                <w:rFonts w:ascii="GHEA Grapalat" w:hAnsi="GHEA Grapalat" w:cs="Calibri"/>
                <w:color w:val="000000"/>
                <w:sz w:val="22"/>
                <w:szCs w:val="22"/>
                <w:lang w:eastAsia="en-US"/>
              </w:rPr>
            </w:pPr>
            <w:r w:rsidRPr="00C72AB5">
              <w:rPr>
                <w:rFonts w:ascii="GHEA Grapalat" w:hAnsi="GHEA Grapalat" w:cs="Calibri"/>
                <w:color w:val="000000"/>
                <w:sz w:val="22"/>
                <w:szCs w:val="22"/>
                <w:lang w:eastAsia="en-US"/>
              </w:rPr>
              <w:t xml:space="preserve"> €</w:t>
            </w:r>
            <w:r w:rsidR="00D31312" w:rsidRPr="00C72AB5">
              <w:rPr>
                <w:rFonts w:ascii="GHEA Grapalat" w:hAnsi="GHEA Grapalat" w:cs="Calibri"/>
                <w:color w:val="000000"/>
                <w:sz w:val="22"/>
                <w:szCs w:val="22"/>
                <w:lang w:eastAsia="en-US"/>
              </w:rPr>
              <w:t xml:space="preserve"> </w:t>
            </w:r>
            <w:r w:rsidRPr="00C72AB5">
              <w:rPr>
                <w:rFonts w:ascii="GHEA Grapalat" w:hAnsi="GHEA Grapalat" w:cs="Calibri"/>
                <w:color w:val="000000"/>
                <w:sz w:val="22"/>
                <w:szCs w:val="22"/>
                <w:lang w:eastAsia="en-US"/>
              </w:rPr>
              <w:t xml:space="preserve">7,894,852.43 </w:t>
            </w:r>
          </w:p>
        </w:tc>
        <w:tc>
          <w:tcPr>
            <w:tcW w:w="1629" w:type="dxa"/>
            <w:shd w:val="clear" w:color="auto" w:fill="DEEAF6" w:themeFill="accent1" w:themeFillTint="33"/>
            <w:noWrap/>
            <w:vAlign w:val="center"/>
          </w:tcPr>
          <w:p w14:paraId="7DE6207E" w14:textId="6FE07C67" w:rsidR="00E94950" w:rsidRPr="00C72AB5" w:rsidRDefault="00D31312" w:rsidP="00D31312">
            <w:pPr>
              <w:rPr>
                <w:rFonts w:ascii="GHEA Grapalat" w:hAnsi="GHEA Grapalat" w:cs="Calibri"/>
                <w:color w:val="000000"/>
                <w:sz w:val="22"/>
                <w:szCs w:val="22"/>
                <w:lang w:eastAsia="en-US"/>
              </w:rPr>
            </w:pPr>
            <w:r w:rsidRPr="00C72AB5">
              <w:rPr>
                <w:rFonts w:ascii="GHEA Grapalat" w:hAnsi="GHEA Grapalat" w:cs="Calibri"/>
                <w:color w:val="000000"/>
                <w:sz w:val="22"/>
                <w:szCs w:val="22"/>
                <w:lang w:eastAsia="en-US"/>
              </w:rPr>
              <w:t>27</w:t>
            </w:r>
            <w:r w:rsidRPr="00C72AB5">
              <w:rPr>
                <w:rStyle w:val="FootnoteReference"/>
                <w:rFonts w:ascii="GHEA Grapalat" w:hAnsi="GHEA Grapalat" w:cs="Calibri"/>
                <w:color w:val="000000"/>
                <w:sz w:val="22"/>
                <w:szCs w:val="22"/>
                <w:lang w:eastAsia="en-US"/>
              </w:rPr>
              <w:footnoteReference w:id="49"/>
            </w:r>
            <w:r w:rsidRPr="00C72AB5">
              <w:rPr>
                <w:rFonts w:ascii="GHEA Grapalat" w:hAnsi="GHEA Grapalat" w:cs="Calibri"/>
                <w:color w:val="000000"/>
                <w:sz w:val="22"/>
                <w:szCs w:val="22"/>
                <w:lang w:eastAsia="en-US"/>
              </w:rPr>
              <w:t>/4</w:t>
            </w:r>
          </w:p>
        </w:tc>
      </w:tr>
    </w:tbl>
    <w:p w14:paraId="294ADC75" w14:textId="0E0A0549" w:rsidR="00BE5A67" w:rsidRPr="00C72AB5" w:rsidRDefault="0063343E" w:rsidP="00181F43">
      <w:pPr>
        <w:tabs>
          <w:tab w:val="left" w:pos="851"/>
        </w:tabs>
        <w:ind w:left="567" w:hanging="567"/>
        <w:jc w:val="both"/>
        <w:rPr>
          <w:rFonts w:ascii="GHEA Grapalat" w:hAnsi="GHEA Grapalat"/>
        </w:rPr>
      </w:pPr>
      <w:r w:rsidRPr="00C72AB5">
        <w:rPr>
          <w:rFonts w:ascii="GHEA Grapalat" w:hAnsi="GHEA Grapalat"/>
          <w:b/>
        </w:rPr>
        <w:t xml:space="preserve">Աղյուսակ </w:t>
      </w:r>
      <w:r w:rsidR="008F575B" w:rsidRPr="00C72AB5">
        <w:rPr>
          <w:rFonts w:ascii="GHEA Grapalat" w:hAnsi="GHEA Grapalat"/>
          <w:b/>
        </w:rPr>
        <w:t>4</w:t>
      </w:r>
      <w:r w:rsidRPr="00C72AB5">
        <w:rPr>
          <w:rFonts w:ascii="GHEA Grapalat" w:hAnsi="GHEA Grapalat"/>
          <w:b/>
        </w:rPr>
        <w:t>:</w:t>
      </w:r>
      <w:r w:rsidRPr="00C72AB5">
        <w:rPr>
          <w:rFonts w:ascii="GHEA Grapalat" w:hAnsi="GHEA Grapalat"/>
        </w:rPr>
        <w:t xml:space="preserve"> 202</w:t>
      </w:r>
      <w:r w:rsidR="00D31312" w:rsidRPr="00C72AB5">
        <w:rPr>
          <w:rFonts w:ascii="GHEA Grapalat" w:hAnsi="GHEA Grapalat"/>
        </w:rPr>
        <w:t>5</w:t>
      </w:r>
      <w:r w:rsidRPr="00C72AB5">
        <w:rPr>
          <w:rFonts w:ascii="GHEA Grapalat" w:hAnsi="GHEA Grapalat"/>
        </w:rPr>
        <w:t xml:space="preserve"> թ. </w:t>
      </w:r>
      <w:r w:rsidR="004F4068">
        <w:rPr>
          <w:rFonts w:ascii="GHEA Grapalat" w:hAnsi="GHEA Grapalat"/>
        </w:rPr>
        <w:t>օ</w:t>
      </w:r>
      <w:r w:rsidR="00D31312" w:rsidRPr="00C72AB5">
        <w:rPr>
          <w:rFonts w:ascii="GHEA Grapalat" w:hAnsi="GHEA Grapalat"/>
        </w:rPr>
        <w:t>գոստոս ամսվա</w:t>
      </w:r>
      <w:r w:rsidRPr="00C72AB5">
        <w:rPr>
          <w:rFonts w:ascii="GHEA Grapalat" w:hAnsi="GHEA Grapalat"/>
        </w:rPr>
        <w:t xml:space="preserve"> դրությամբ</w:t>
      </w:r>
      <w:r w:rsidR="006F7A29" w:rsidRPr="00C72AB5">
        <w:rPr>
          <w:rStyle w:val="FootnoteReference"/>
          <w:rFonts w:ascii="GHEA Grapalat" w:hAnsi="GHEA Grapalat"/>
        </w:rPr>
        <w:footnoteReference w:id="50"/>
      </w:r>
      <w:r w:rsidRPr="00C72AB5">
        <w:rPr>
          <w:rFonts w:ascii="GHEA Grapalat" w:hAnsi="GHEA Grapalat"/>
        </w:rPr>
        <w:t xml:space="preserve"> </w:t>
      </w:r>
      <w:r w:rsidR="00744E08" w:rsidRPr="00744E08">
        <w:rPr>
          <w:rFonts w:ascii="GHEA Grapalat" w:hAnsi="GHEA Grapalat"/>
        </w:rPr>
        <w:t>Հայաստանի Հանրապետության</w:t>
      </w:r>
      <w:r w:rsidR="00744E08" w:rsidRPr="00C72AB5">
        <w:rPr>
          <w:rFonts w:ascii="GHEA Grapalat" w:hAnsi="GHEA Grapalat"/>
        </w:rPr>
        <w:t xml:space="preserve"> </w:t>
      </w:r>
      <w:r w:rsidRPr="00C72AB5">
        <w:rPr>
          <w:rFonts w:ascii="GHEA Grapalat" w:hAnsi="GHEA Grapalat"/>
        </w:rPr>
        <w:t>կազմակերպությունների կողմից  «Հորիզոն Եվրոպա» ծրագրի շրջանակներում ներգրաված դրամաշնորհային ծրագրերի ծավալները:</w:t>
      </w:r>
    </w:p>
    <w:p w14:paraId="4E976020" w14:textId="77777777" w:rsidR="0063343E" w:rsidRPr="00C72AB5" w:rsidRDefault="0063343E" w:rsidP="0049437D">
      <w:pPr>
        <w:tabs>
          <w:tab w:val="left" w:pos="851"/>
        </w:tabs>
        <w:spacing w:line="276" w:lineRule="auto"/>
        <w:ind w:left="567" w:hanging="567"/>
        <w:jc w:val="both"/>
        <w:rPr>
          <w:rFonts w:ascii="GHEA Grapalat" w:hAnsi="GHEA Grapalat"/>
          <w:sz w:val="24"/>
          <w:szCs w:val="24"/>
          <w:highlight w:val="yellow"/>
        </w:rPr>
      </w:pPr>
    </w:p>
    <w:p w14:paraId="6D0211E8" w14:textId="3E25514A" w:rsidR="000526D5" w:rsidRPr="00C30A31" w:rsidRDefault="00310FCE" w:rsidP="0049437D">
      <w:pPr>
        <w:tabs>
          <w:tab w:val="left" w:pos="851"/>
        </w:tabs>
        <w:spacing w:line="276" w:lineRule="auto"/>
        <w:ind w:firstLine="567"/>
        <w:jc w:val="both"/>
        <w:rPr>
          <w:rFonts w:ascii="GHEA Grapalat" w:hAnsi="GHEA Grapalat" w:cs="Arial"/>
          <w:sz w:val="24"/>
          <w:szCs w:val="24"/>
        </w:rPr>
      </w:pPr>
      <w:r w:rsidRPr="00C72AB5">
        <w:rPr>
          <w:rFonts w:ascii="GHEA Grapalat" w:hAnsi="GHEA Grapalat" w:cs="Arial"/>
          <w:sz w:val="24"/>
          <w:szCs w:val="24"/>
        </w:rPr>
        <w:t>34</w:t>
      </w:r>
      <w:r w:rsidR="000526D5" w:rsidRPr="00C72AB5">
        <w:rPr>
          <w:rFonts w:ascii="GHEA Grapalat" w:hAnsi="GHEA Grapalat" w:cs="Arial"/>
          <w:sz w:val="24"/>
          <w:szCs w:val="24"/>
        </w:rPr>
        <w:t xml:space="preserve">. 2021 թվականի նոյեմբերի 12-ին ստորագրվել և </w:t>
      </w:r>
      <w:r w:rsidR="00EE64B9" w:rsidRPr="00C30A31">
        <w:rPr>
          <w:rFonts w:ascii="GHEA Grapalat" w:hAnsi="GHEA Grapalat"/>
          <w:sz w:val="24"/>
          <w:szCs w:val="24"/>
        </w:rPr>
        <w:t xml:space="preserve">Հայաստանի Հանրապետության Ազգային </w:t>
      </w:r>
      <w:r w:rsidR="004F4068">
        <w:rPr>
          <w:rFonts w:ascii="GHEA Grapalat" w:hAnsi="GHEA Grapalat"/>
          <w:sz w:val="24"/>
          <w:szCs w:val="24"/>
        </w:rPr>
        <w:t>ժ</w:t>
      </w:r>
      <w:r w:rsidR="00EE64B9" w:rsidRPr="00C30A31">
        <w:rPr>
          <w:rFonts w:ascii="GHEA Grapalat" w:hAnsi="GHEA Grapalat"/>
          <w:sz w:val="24"/>
          <w:szCs w:val="24"/>
        </w:rPr>
        <w:t>ողովի</w:t>
      </w:r>
      <w:r w:rsidR="00EE64B9" w:rsidRPr="00EE64B9">
        <w:rPr>
          <w:rFonts w:ascii="GHEA Grapalat" w:hAnsi="GHEA Grapalat"/>
          <w:color w:val="FF0000"/>
          <w:sz w:val="24"/>
          <w:szCs w:val="24"/>
        </w:rPr>
        <w:t xml:space="preserve"> </w:t>
      </w:r>
      <w:r w:rsidR="000526D5" w:rsidRPr="00C72AB5">
        <w:rPr>
          <w:rFonts w:ascii="GHEA Grapalat" w:hAnsi="GHEA Grapalat" w:cs="Arial"/>
          <w:sz w:val="24"/>
          <w:szCs w:val="24"/>
        </w:rPr>
        <w:t>կողմից վավերացվելուց հետո` 2022</w:t>
      </w:r>
      <w:r w:rsidR="00EE64B9">
        <w:rPr>
          <w:rFonts w:ascii="GHEA Grapalat" w:hAnsi="GHEA Grapalat" w:cs="Arial"/>
          <w:sz w:val="24"/>
          <w:szCs w:val="24"/>
        </w:rPr>
        <w:t xml:space="preserve"> </w:t>
      </w:r>
      <w:r w:rsidR="00EE64B9" w:rsidRPr="00C30A31">
        <w:rPr>
          <w:rFonts w:ascii="GHEA Grapalat" w:hAnsi="GHEA Grapalat" w:cs="Arial"/>
          <w:sz w:val="24"/>
          <w:szCs w:val="24"/>
        </w:rPr>
        <w:t>թվականի</w:t>
      </w:r>
      <w:r w:rsidR="000526D5" w:rsidRPr="00C30A31">
        <w:rPr>
          <w:rFonts w:ascii="GHEA Grapalat" w:hAnsi="GHEA Grapalat" w:cs="Arial"/>
          <w:sz w:val="24"/>
          <w:szCs w:val="24"/>
        </w:rPr>
        <w:t xml:space="preserve"> </w:t>
      </w:r>
      <w:r w:rsidR="000526D5" w:rsidRPr="00C72AB5">
        <w:rPr>
          <w:rFonts w:ascii="GHEA Grapalat" w:hAnsi="GHEA Grapalat" w:cs="Arial"/>
          <w:sz w:val="24"/>
          <w:szCs w:val="24"/>
        </w:rPr>
        <w:t xml:space="preserve">փետրվարի 11-ին ուժի մեջ է մտել </w:t>
      </w:r>
      <w:r w:rsidR="00600BA7" w:rsidRPr="00600BA7">
        <w:rPr>
          <w:rFonts w:ascii="GHEA Grapalat" w:hAnsi="GHEA Grapalat" w:cs="Arial"/>
          <w:sz w:val="24"/>
          <w:szCs w:val="24"/>
        </w:rPr>
        <w:t xml:space="preserve">Հայաստանի Հանրապետության </w:t>
      </w:r>
      <w:r w:rsidR="00600BA7">
        <w:rPr>
          <w:rFonts w:ascii="GHEA Grapalat" w:hAnsi="GHEA Grapalat" w:cs="Arial"/>
          <w:sz w:val="24"/>
          <w:szCs w:val="24"/>
        </w:rPr>
        <w:t xml:space="preserve">և </w:t>
      </w:r>
      <w:r w:rsidR="000526D5" w:rsidRPr="00C72AB5">
        <w:rPr>
          <w:rFonts w:ascii="GHEA Grapalat" w:hAnsi="GHEA Grapalat" w:cs="Arial"/>
          <w:sz w:val="24"/>
          <w:szCs w:val="24"/>
        </w:rPr>
        <w:t>Եվրոպական միության միջև Միության «Հորիզոն Եվրոպա» հետազոտությունների և նորարարության շրջանակային 9-րդ ծրագրին Հայաստանի Հանրապետության մասնակցության համաձայնագիրը: 2025 թվականի օգոստոս ամսվա դրությամբ «Հորիզոն Եվրոպա» ծրագրի շրջանակներում Հայաստանի Հանրապետության կազմակերպությունները ներգրավել են 7,894,852.</w:t>
      </w:r>
      <w:r w:rsidR="000526D5" w:rsidRPr="00C30A31">
        <w:rPr>
          <w:rFonts w:ascii="GHEA Grapalat" w:hAnsi="GHEA Grapalat" w:cs="Arial"/>
          <w:sz w:val="24"/>
          <w:szCs w:val="24"/>
        </w:rPr>
        <w:t xml:space="preserve">43 </w:t>
      </w:r>
      <w:r w:rsidR="00EE64B9" w:rsidRPr="00C30A31">
        <w:rPr>
          <w:rFonts w:ascii="GHEA Grapalat" w:hAnsi="GHEA Grapalat" w:cs="Arial"/>
          <w:sz w:val="24"/>
          <w:szCs w:val="24"/>
        </w:rPr>
        <w:t>ե</w:t>
      </w:r>
      <w:r w:rsidR="000526D5" w:rsidRPr="00C30A31">
        <w:rPr>
          <w:rFonts w:ascii="GHEA Grapalat" w:hAnsi="GHEA Grapalat" w:cs="Arial"/>
          <w:sz w:val="24"/>
          <w:szCs w:val="24"/>
        </w:rPr>
        <w:t xml:space="preserve">վրո ծավալով </w:t>
      </w:r>
      <w:r w:rsidR="000526D5" w:rsidRPr="00C72AB5">
        <w:rPr>
          <w:rFonts w:ascii="GHEA Grapalat" w:hAnsi="GHEA Grapalat" w:cs="Arial"/>
          <w:sz w:val="24"/>
          <w:szCs w:val="24"/>
        </w:rPr>
        <w:t xml:space="preserve">դրամաշնորհային ֆինանսավորում` մասնակցելով 23 ծրագրերի, որոնցից 4-ում </w:t>
      </w:r>
      <w:r w:rsidR="002E64B9" w:rsidRPr="00C72AB5">
        <w:rPr>
          <w:rFonts w:ascii="GHEA Grapalat" w:hAnsi="GHEA Grapalat" w:cs="Arial"/>
          <w:sz w:val="24"/>
          <w:szCs w:val="24"/>
        </w:rPr>
        <w:t xml:space="preserve">Հայաստանի </w:t>
      </w:r>
      <w:r w:rsidR="002E64B9" w:rsidRPr="00C72AB5">
        <w:rPr>
          <w:rFonts w:ascii="GHEA Grapalat" w:hAnsi="GHEA Grapalat" w:cs="Arial"/>
          <w:sz w:val="24"/>
          <w:szCs w:val="24"/>
        </w:rPr>
        <w:lastRenderedPageBreak/>
        <w:t>Հանրապետության</w:t>
      </w:r>
      <w:r w:rsidR="00C30A31" w:rsidRPr="00C30A31">
        <w:rPr>
          <w:rFonts w:ascii="Calibri" w:hAnsi="Calibri" w:cs="Arial"/>
          <w:sz w:val="24"/>
          <w:szCs w:val="24"/>
        </w:rPr>
        <w:t> </w:t>
      </w:r>
      <w:r w:rsidR="00C30A31" w:rsidRPr="00C30A31">
        <w:rPr>
          <w:rFonts w:ascii="Sylfaen" w:hAnsi="Sylfaen" w:cs="Arial"/>
          <w:sz w:val="24"/>
          <w:szCs w:val="24"/>
        </w:rPr>
        <w:t xml:space="preserve"> </w:t>
      </w:r>
      <w:r w:rsidR="000526D5" w:rsidRPr="00C30A31">
        <w:rPr>
          <w:rFonts w:ascii="GHEA Grapalat" w:hAnsi="GHEA Grapalat" w:cs="Arial"/>
          <w:sz w:val="24"/>
          <w:szCs w:val="24"/>
        </w:rPr>
        <w:t>կազմակերպությունները հանդիսանում են ծրագրի համակարգող (</w:t>
      </w:r>
      <w:r w:rsidR="0009583F" w:rsidRPr="00C30A31">
        <w:rPr>
          <w:rFonts w:ascii="GHEA Grapalat" w:hAnsi="GHEA Grapalat" w:cs="Arial"/>
          <w:sz w:val="24"/>
          <w:szCs w:val="24"/>
        </w:rPr>
        <w:t xml:space="preserve">տե՛ս, </w:t>
      </w:r>
      <w:r w:rsidR="000526D5" w:rsidRPr="00C30A31">
        <w:rPr>
          <w:rFonts w:ascii="GHEA Grapalat" w:hAnsi="GHEA Grapalat" w:cs="Arial"/>
          <w:sz w:val="24"/>
          <w:szCs w:val="24"/>
        </w:rPr>
        <w:t xml:space="preserve">Աղյուսակ </w:t>
      </w:r>
      <w:r w:rsidR="0009583F" w:rsidRPr="00C30A31">
        <w:rPr>
          <w:rFonts w:ascii="GHEA Grapalat" w:hAnsi="GHEA Grapalat" w:cs="Arial"/>
          <w:sz w:val="24"/>
          <w:szCs w:val="24"/>
        </w:rPr>
        <w:t>4</w:t>
      </w:r>
      <w:r w:rsidR="000526D5" w:rsidRPr="00C30A31">
        <w:rPr>
          <w:rFonts w:ascii="GHEA Grapalat" w:hAnsi="GHEA Grapalat" w:cs="Arial"/>
          <w:sz w:val="24"/>
          <w:szCs w:val="24"/>
        </w:rPr>
        <w:t>):</w:t>
      </w:r>
    </w:p>
    <w:p w14:paraId="5A0B11DB" w14:textId="302191D8" w:rsidR="00ED4D42" w:rsidRPr="00C30A31" w:rsidRDefault="00310FCE" w:rsidP="0049437D">
      <w:pPr>
        <w:tabs>
          <w:tab w:val="left" w:pos="851"/>
        </w:tabs>
        <w:spacing w:line="276" w:lineRule="auto"/>
        <w:ind w:firstLine="567"/>
        <w:jc w:val="both"/>
        <w:rPr>
          <w:rFonts w:ascii="GHEA Grapalat" w:hAnsi="GHEA Grapalat"/>
          <w:sz w:val="24"/>
          <w:szCs w:val="24"/>
        </w:rPr>
      </w:pPr>
      <w:r w:rsidRPr="00C30A31">
        <w:rPr>
          <w:rFonts w:ascii="GHEA Grapalat" w:hAnsi="GHEA Grapalat" w:cs="Arial"/>
          <w:sz w:val="24"/>
          <w:szCs w:val="24"/>
        </w:rPr>
        <w:t>35</w:t>
      </w:r>
      <w:r w:rsidR="008E1602" w:rsidRPr="00C30A31">
        <w:rPr>
          <w:rFonts w:ascii="GHEA Grapalat" w:hAnsi="GHEA Grapalat" w:cs="Arial"/>
          <w:sz w:val="24"/>
          <w:szCs w:val="24"/>
        </w:rPr>
        <w:t xml:space="preserve">. </w:t>
      </w:r>
      <w:r w:rsidR="00ED4D42" w:rsidRPr="00C30A31">
        <w:rPr>
          <w:rFonts w:ascii="GHEA Grapalat" w:hAnsi="GHEA Grapalat" w:cs="Arial"/>
          <w:sz w:val="24"/>
          <w:szCs w:val="24"/>
        </w:rPr>
        <w:t>199</w:t>
      </w:r>
      <w:r w:rsidR="00FC5C4E" w:rsidRPr="00C30A31">
        <w:rPr>
          <w:rFonts w:ascii="GHEA Grapalat" w:hAnsi="GHEA Grapalat" w:cs="Arial"/>
          <w:sz w:val="24"/>
          <w:szCs w:val="24"/>
        </w:rPr>
        <w:t>4</w:t>
      </w:r>
      <w:r w:rsidR="00ED4D42" w:rsidRPr="00C30A31">
        <w:rPr>
          <w:rFonts w:ascii="GHEA Grapalat" w:hAnsi="GHEA Grapalat" w:cs="Arial"/>
          <w:sz w:val="24"/>
          <w:szCs w:val="24"/>
        </w:rPr>
        <w:t xml:space="preserve"> թվ</w:t>
      </w:r>
      <w:r w:rsidR="002E64B9">
        <w:rPr>
          <w:rFonts w:ascii="GHEA Grapalat" w:hAnsi="GHEA Grapalat" w:cs="Arial"/>
          <w:sz w:val="24"/>
          <w:szCs w:val="24"/>
        </w:rPr>
        <w:t>ա</w:t>
      </w:r>
      <w:r w:rsidR="00ED4D42" w:rsidRPr="00C30A31">
        <w:rPr>
          <w:rFonts w:ascii="GHEA Grapalat" w:hAnsi="GHEA Grapalat" w:cs="Arial"/>
          <w:sz w:val="24"/>
          <w:szCs w:val="24"/>
        </w:rPr>
        <w:t xml:space="preserve">կանից </w:t>
      </w:r>
      <w:r w:rsidR="00EE64B9" w:rsidRPr="00C30A31">
        <w:rPr>
          <w:rFonts w:ascii="GHEA Grapalat" w:hAnsi="GHEA Grapalat" w:cs="Arial"/>
          <w:sz w:val="24"/>
          <w:szCs w:val="24"/>
        </w:rPr>
        <w:t xml:space="preserve">Հայաստանի Հանրապետությունը </w:t>
      </w:r>
      <w:r w:rsidR="00ED4D42" w:rsidRPr="00C72AB5">
        <w:rPr>
          <w:rFonts w:ascii="GHEA Grapalat" w:hAnsi="GHEA Grapalat" w:cs="Arial"/>
          <w:sz w:val="24"/>
          <w:szCs w:val="24"/>
        </w:rPr>
        <w:t xml:space="preserve">հանդիսանում է </w:t>
      </w:r>
      <w:r w:rsidR="002E64B9">
        <w:rPr>
          <w:rFonts w:ascii="GHEA Grapalat" w:hAnsi="GHEA Grapalat" w:cs="Arial"/>
          <w:sz w:val="24"/>
          <w:szCs w:val="24"/>
        </w:rPr>
        <w:t>Մ</w:t>
      </w:r>
      <w:r w:rsidR="00FC5C4E" w:rsidRPr="00C72AB5">
        <w:rPr>
          <w:rFonts w:ascii="GHEA Grapalat" w:hAnsi="GHEA Grapalat" w:cs="Arial"/>
          <w:sz w:val="24"/>
          <w:szCs w:val="24"/>
        </w:rPr>
        <w:t>իջազգային գիտատեխնիկական կենտրոնի (Մ</w:t>
      </w:r>
      <w:r w:rsidR="00ED4D42" w:rsidRPr="00C72AB5">
        <w:rPr>
          <w:rFonts w:ascii="GHEA Grapalat" w:hAnsi="GHEA Grapalat" w:cs="Arial"/>
          <w:sz w:val="24"/>
          <w:szCs w:val="24"/>
        </w:rPr>
        <w:t>ԳՏԿ</w:t>
      </w:r>
      <w:r w:rsidR="00FC5C4E" w:rsidRPr="00C72AB5">
        <w:rPr>
          <w:rFonts w:ascii="GHEA Grapalat" w:hAnsi="GHEA Grapalat" w:cs="Arial"/>
          <w:sz w:val="24"/>
          <w:szCs w:val="24"/>
        </w:rPr>
        <w:t>)</w:t>
      </w:r>
      <w:r w:rsidR="00FC5C4E" w:rsidRPr="00C72AB5">
        <w:rPr>
          <w:rStyle w:val="FootnoteReference"/>
          <w:rFonts w:ascii="GHEA Grapalat" w:hAnsi="GHEA Grapalat" w:cs="Arial"/>
          <w:sz w:val="24"/>
          <w:szCs w:val="24"/>
        </w:rPr>
        <w:footnoteReference w:id="51"/>
      </w:r>
      <w:r w:rsidR="00ED4D42" w:rsidRPr="00C72AB5">
        <w:rPr>
          <w:rFonts w:ascii="GHEA Grapalat" w:hAnsi="GHEA Grapalat" w:cs="Arial"/>
          <w:sz w:val="24"/>
          <w:szCs w:val="24"/>
        </w:rPr>
        <w:t xml:space="preserve"> հիմնադիր պետություն, ըստ որում </w:t>
      </w:r>
      <w:r w:rsidR="00FC5C4E" w:rsidRPr="00C72AB5">
        <w:rPr>
          <w:rFonts w:ascii="GHEA Grapalat" w:hAnsi="GHEA Grapalat" w:cs="Arial"/>
          <w:sz w:val="24"/>
          <w:szCs w:val="24"/>
        </w:rPr>
        <w:t xml:space="preserve">1994-2020 թվականների ժամանակահատվածում </w:t>
      </w:r>
      <w:r w:rsidR="00ED4D42" w:rsidRPr="00C72AB5">
        <w:rPr>
          <w:rFonts w:ascii="GHEA Grapalat" w:hAnsi="GHEA Grapalat" w:cs="Arial"/>
          <w:sz w:val="24"/>
          <w:szCs w:val="24"/>
        </w:rPr>
        <w:t xml:space="preserve">ՄԳՏԿ շրջանակներում </w:t>
      </w:r>
      <w:r w:rsidR="002E64B9">
        <w:rPr>
          <w:rFonts w:ascii="GHEA Grapalat" w:hAnsi="GHEA Grapalat" w:cs="Arial"/>
          <w:sz w:val="24"/>
          <w:szCs w:val="24"/>
        </w:rPr>
        <w:t>Հայաստանի Հանրապետության</w:t>
      </w:r>
      <w:r w:rsidR="00C30A31" w:rsidRPr="00C30A31">
        <w:rPr>
          <w:rFonts w:ascii="GHEA Grapalat" w:hAnsi="GHEA Grapalat" w:cs="Arial"/>
          <w:sz w:val="24"/>
          <w:szCs w:val="24"/>
        </w:rPr>
        <w:t xml:space="preserve"> </w:t>
      </w:r>
      <w:r w:rsidR="00ED4D42" w:rsidRPr="00C30A31">
        <w:rPr>
          <w:rFonts w:ascii="GHEA Grapalat" w:hAnsi="GHEA Grapalat" w:cs="Arial"/>
          <w:sz w:val="24"/>
          <w:szCs w:val="24"/>
        </w:rPr>
        <w:t>գիտական կազմակերպություններին, և ավելի լայն մասնագիտական շրջանակներին</w:t>
      </w:r>
      <w:r w:rsidR="00C91F51" w:rsidRPr="00C30A31">
        <w:rPr>
          <w:rFonts w:ascii="GHEA Grapalat" w:hAnsi="GHEA Grapalat" w:cs="Arial"/>
          <w:sz w:val="24"/>
          <w:szCs w:val="24"/>
        </w:rPr>
        <w:t xml:space="preserve"> 215 ծրագրերի միջոցով </w:t>
      </w:r>
      <w:r w:rsidR="00ED4D42" w:rsidRPr="00C30A31">
        <w:rPr>
          <w:rFonts w:ascii="GHEA Grapalat" w:hAnsi="GHEA Grapalat" w:cs="Arial"/>
          <w:sz w:val="24"/>
          <w:szCs w:val="24"/>
        </w:rPr>
        <w:t xml:space="preserve">հատկացվել է </w:t>
      </w:r>
      <w:r w:rsidR="00FC5C4E" w:rsidRPr="00C30A31">
        <w:rPr>
          <w:rFonts w:ascii="GHEA Grapalat" w:hAnsi="GHEA Grapalat" w:cs="Arial"/>
          <w:sz w:val="24"/>
          <w:szCs w:val="24"/>
        </w:rPr>
        <w:t xml:space="preserve">30,847,255.00 ԱՄՆ դոլար դրամաշնորհային կամ </w:t>
      </w:r>
      <w:r w:rsidR="006D2E17" w:rsidRPr="00C30A31">
        <w:rPr>
          <w:rFonts w:ascii="GHEA Grapalat" w:hAnsi="GHEA Grapalat" w:cs="Arial"/>
          <w:sz w:val="24"/>
          <w:szCs w:val="24"/>
        </w:rPr>
        <w:t>ծրագրային</w:t>
      </w:r>
      <w:r w:rsidR="00FC5C4E" w:rsidRPr="00C30A31">
        <w:rPr>
          <w:rFonts w:ascii="GHEA Grapalat" w:hAnsi="GHEA Grapalat" w:cs="Arial"/>
          <w:sz w:val="24"/>
          <w:szCs w:val="24"/>
        </w:rPr>
        <w:t xml:space="preserve"> աջակցություն:</w:t>
      </w:r>
    </w:p>
    <w:p w14:paraId="45CF6A26" w14:textId="77777777" w:rsidR="00F34D0A" w:rsidRPr="00C30A31" w:rsidRDefault="00F34D0A" w:rsidP="00F34D0A">
      <w:pPr>
        <w:tabs>
          <w:tab w:val="left" w:pos="851"/>
        </w:tabs>
        <w:spacing w:line="276" w:lineRule="auto"/>
        <w:jc w:val="both"/>
        <w:rPr>
          <w:rFonts w:ascii="GHEA Grapalat" w:hAnsi="GHEA Grapalat" w:cs="Arial"/>
          <w:sz w:val="24"/>
          <w:szCs w:val="24"/>
        </w:rPr>
      </w:pPr>
    </w:p>
    <w:p w14:paraId="18AA8BF0" w14:textId="64CEE7D9" w:rsidR="00BD6616" w:rsidRPr="00C30A31" w:rsidRDefault="004956AA" w:rsidP="00BD6616">
      <w:pPr>
        <w:pStyle w:val="Heading2"/>
      </w:pPr>
      <w:bookmarkStart w:id="8" w:name="_Toc215422087"/>
      <w:r w:rsidRPr="00C30A31">
        <w:t xml:space="preserve">2.4 </w:t>
      </w:r>
      <w:r w:rsidR="00BD6616" w:rsidRPr="00C30A31">
        <w:t>ԳԻՏԱԿԱՆ ԱՐԴՅՈՒՆԱՎԵՏՈՒԹՅՈՒՆԸ</w:t>
      </w:r>
      <w:bookmarkEnd w:id="8"/>
    </w:p>
    <w:p w14:paraId="70A163BE" w14:textId="77777777" w:rsidR="00F33222" w:rsidRPr="00C72AB5" w:rsidRDefault="00F33222" w:rsidP="0073444C"/>
    <w:p w14:paraId="337797D1" w14:textId="53F3D0F7" w:rsidR="00DF6AAC" w:rsidRPr="00C72AB5" w:rsidRDefault="00310FCE" w:rsidP="00086238">
      <w:pPr>
        <w:tabs>
          <w:tab w:val="left" w:pos="851"/>
        </w:tabs>
        <w:spacing w:line="276" w:lineRule="auto"/>
        <w:ind w:firstLine="567"/>
        <w:jc w:val="both"/>
        <w:rPr>
          <w:rFonts w:ascii="GHEA Grapalat" w:hAnsi="GHEA Grapalat" w:cs="Arial"/>
          <w:sz w:val="24"/>
          <w:szCs w:val="24"/>
        </w:rPr>
      </w:pPr>
      <w:r w:rsidRPr="00C72AB5">
        <w:rPr>
          <w:rFonts w:ascii="GHEA Grapalat" w:hAnsi="GHEA Grapalat" w:cs="Arial"/>
          <w:sz w:val="24"/>
          <w:szCs w:val="24"/>
        </w:rPr>
        <w:t>36</w:t>
      </w:r>
      <w:r w:rsidR="008E1602" w:rsidRPr="00C72AB5">
        <w:rPr>
          <w:rFonts w:ascii="GHEA Grapalat" w:hAnsi="GHEA Grapalat" w:cs="Arial"/>
          <w:sz w:val="24"/>
          <w:szCs w:val="24"/>
        </w:rPr>
        <w:t xml:space="preserve">. </w:t>
      </w:r>
      <w:r w:rsidR="00DF6AAC" w:rsidRPr="00C72AB5">
        <w:rPr>
          <w:rFonts w:ascii="GHEA Grapalat" w:hAnsi="GHEA Grapalat" w:cs="Arial"/>
          <w:sz w:val="24"/>
          <w:szCs w:val="24"/>
        </w:rPr>
        <w:t xml:space="preserve">Գիտական </w:t>
      </w:r>
      <w:r w:rsidR="002A24E0" w:rsidRPr="00C72AB5">
        <w:rPr>
          <w:rFonts w:ascii="GHEA Grapalat" w:hAnsi="GHEA Grapalat" w:cs="Arial"/>
          <w:sz w:val="24"/>
          <w:szCs w:val="24"/>
        </w:rPr>
        <w:t xml:space="preserve">աշխատանքի </w:t>
      </w:r>
      <w:r w:rsidR="002A24E0" w:rsidRPr="00C72AB5">
        <w:rPr>
          <w:rFonts w:ascii="GHEA Grapalat" w:hAnsi="GHEA Grapalat" w:cs="Sylfaen"/>
          <w:sz w:val="24"/>
          <w:szCs w:val="24"/>
        </w:rPr>
        <w:t>արդյունավետության</w:t>
      </w:r>
      <w:r w:rsidR="002A24E0" w:rsidRPr="00C72AB5">
        <w:rPr>
          <w:rFonts w:ascii="GHEA Grapalat" w:hAnsi="GHEA Grapalat" w:cs="Arial"/>
          <w:sz w:val="24"/>
          <w:szCs w:val="24"/>
        </w:rPr>
        <w:t xml:space="preserve"> գնահատման համար վերլուծության է ենթակվել Հայաստանի</w:t>
      </w:r>
      <w:r w:rsidR="00295DAA" w:rsidRPr="00C72AB5">
        <w:rPr>
          <w:rFonts w:ascii="GHEA Grapalat" w:hAnsi="GHEA Grapalat" w:cs="Arial"/>
          <w:sz w:val="24"/>
          <w:szCs w:val="24"/>
        </w:rPr>
        <w:t xml:space="preserve"> Հանրապետության</w:t>
      </w:r>
      <w:r w:rsidR="002A24E0" w:rsidRPr="00C72AB5">
        <w:rPr>
          <w:rFonts w:ascii="GHEA Grapalat" w:hAnsi="GHEA Grapalat" w:cs="Arial"/>
          <w:sz w:val="24"/>
          <w:szCs w:val="24"/>
        </w:rPr>
        <w:t xml:space="preserve"> պատկանելությամբ կազմակերպությունների կամ հետազոտողների կողմից Վեբ օֆ Սայնս (Web of Science) գիտատեղեկատվական շտեմարանում մատենագրվող պարբերականներում </w:t>
      </w:r>
      <w:r w:rsidR="008E1602" w:rsidRPr="00C72AB5">
        <w:rPr>
          <w:rFonts w:ascii="GHEA Grapalat" w:hAnsi="GHEA Grapalat" w:cs="Arial"/>
          <w:sz w:val="24"/>
          <w:szCs w:val="24"/>
        </w:rPr>
        <w:t>վերջին 10 ամ</w:t>
      </w:r>
      <w:r w:rsidR="002E64B9">
        <w:rPr>
          <w:rFonts w:ascii="GHEA Grapalat" w:hAnsi="GHEA Grapalat" w:cs="Arial"/>
          <w:sz w:val="24"/>
          <w:szCs w:val="24"/>
        </w:rPr>
        <w:t>բողջական տարիների (2015-2024 թվականներին</w:t>
      </w:r>
      <w:r w:rsidR="008E1602" w:rsidRPr="00C72AB5">
        <w:rPr>
          <w:rFonts w:ascii="GHEA Grapalat" w:hAnsi="GHEA Grapalat" w:cs="Arial"/>
          <w:sz w:val="24"/>
          <w:szCs w:val="24"/>
        </w:rPr>
        <w:t xml:space="preserve">) </w:t>
      </w:r>
      <w:r w:rsidR="00DF6AAC" w:rsidRPr="00C72AB5">
        <w:rPr>
          <w:rFonts w:ascii="GHEA Grapalat" w:hAnsi="GHEA Grapalat" w:cs="Arial"/>
          <w:sz w:val="24"/>
          <w:szCs w:val="24"/>
        </w:rPr>
        <w:t xml:space="preserve">հրապարակումների քանակը </w:t>
      </w:r>
      <w:r w:rsidR="002A24E0" w:rsidRPr="00C72AB5">
        <w:rPr>
          <w:rFonts w:ascii="GHEA Grapalat" w:hAnsi="GHEA Grapalat" w:cs="Arial"/>
          <w:sz w:val="24"/>
          <w:szCs w:val="24"/>
        </w:rPr>
        <w:t>և դրանց որակական բնութագիչները:</w:t>
      </w:r>
    </w:p>
    <w:p w14:paraId="0E0808B7" w14:textId="18F22377" w:rsidR="00DF6AAC" w:rsidRPr="00C72AB5" w:rsidRDefault="00DF6AAC" w:rsidP="00086238">
      <w:pPr>
        <w:tabs>
          <w:tab w:val="left" w:pos="851"/>
        </w:tabs>
        <w:spacing w:line="276" w:lineRule="auto"/>
        <w:ind w:firstLine="567"/>
        <w:jc w:val="both"/>
        <w:rPr>
          <w:rFonts w:ascii="GHEA Grapalat" w:hAnsi="GHEA Grapalat" w:cs="Arial"/>
          <w:sz w:val="14"/>
          <w:szCs w:val="14"/>
        </w:rPr>
      </w:pPr>
    </w:p>
    <w:p w14:paraId="65431B83" w14:textId="117459EF" w:rsidR="0020054A" w:rsidRPr="00C72AB5" w:rsidRDefault="00AF7D29" w:rsidP="0049437D">
      <w:pPr>
        <w:pStyle w:val="ListParagraph"/>
        <w:tabs>
          <w:tab w:val="left" w:pos="851"/>
          <w:tab w:val="left" w:pos="993"/>
        </w:tabs>
        <w:spacing w:after="0" w:line="276" w:lineRule="auto"/>
        <w:ind w:left="0"/>
        <w:jc w:val="both"/>
        <w:rPr>
          <w:rFonts w:ascii="GHEA Grapalat" w:hAnsi="GHEA Grapalat" w:cs="Arial"/>
          <w:sz w:val="24"/>
          <w:szCs w:val="24"/>
          <w:highlight w:val="yellow"/>
        </w:rPr>
      </w:pPr>
      <w:r>
        <w:rPr>
          <w:noProof/>
          <w:lang w:val="en-US"/>
        </w:rPr>
        <w:drawing>
          <wp:inline distT="0" distB="0" distL="0" distR="0" wp14:anchorId="37AAEE0E" wp14:editId="65B24817">
            <wp:extent cx="6119495" cy="3182620"/>
            <wp:effectExtent l="0" t="0" r="0" b="0"/>
            <wp:docPr id="459850344" name="Chart 1">
              <a:extLst xmlns:a="http://schemas.openxmlformats.org/drawingml/2006/main">
                <a:ext uri="{FF2B5EF4-FFF2-40B4-BE49-F238E27FC236}">
                  <a16:creationId xmlns:a16="http://schemas.microsoft.com/office/drawing/2014/main" id="{84199DCB-522A-48F0-8811-21E8F6EAC84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59FF551A" w14:textId="472E427A" w:rsidR="00B070A7" w:rsidRDefault="005F7C93" w:rsidP="00181F43">
      <w:pPr>
        <w:tabs>
          <w:tab w:val="left" w:pos="851"/>
        </w:tabs>
        <w:ind w:left="709" w:hanging="709"/>
        <w:jc w:val="both"/>
        <w:rPr>
          <w:rFonts w:ascii="GHEA Grapalat" w:hAnsi="GHEA Grapalat" w:cs="Arial"/>
        </w:rPr>
      </w:pPr>
      <w:r w:rsidRPr="00C72AB5">
        <w:rPr>
          <w:rFonts w:ascii="GHEA Grapalat" w:hAnsi="GHEA Grapalat" w:cs="Arial"/>
          <w:b/>
        </w:rPr>
        <w:t>Գծապատկեր</w:t>
      </w:r>
      <w:r w:rsidR="00DF6AAC" w:rsidRPr="00C72AB5">
        <w:rPr>
          <w:rFonts w:ascii="GHEA Grapalat" w:hAnsi="GHEA Grapalat" w:cs="Arial"/>
          <w:b/>
        </w:rPr>
        <w:t xml:space="preserve"> </w:t>
      </w:r>
      <w:r w:rsidR="008F575B" w:rsidRPr="00C72AB5">
        <w:rPr>
          <w:rFonts w:ascii="GHEA Grapalat" w:hAnsi="GHEA Grapalat" w:cs="Arial"/>
          <w:b/>
        </w:rPr>
        <w:t>1</w:t>
      </w:r>
      <w:r w:rsidR="00FC614D" w:rsidRPr="00C72AB5">
        <w:rPr>
          <w:rFonts w:ascii="GHEA Grapalat" w:hAnsi="GHEA Grapalat" w:cs="Arial"/>
          <w:b/>
        </w:rPr>
        <w:t>6</w:t>
      </w:r>
      <w:r w:rsidR="00DF6AAC" w:rsidRPr="00C72AB5">
        <w:rPr>
          <w:rFonts w:ascii="GHEA Grapalat" w:hAnsi="GHEA Grapalat" w:cs="Arial"/>
        </w:rPr>
        <w:t>. Հայաստանի գիտահետազոտական կազմակերպությունների և բուհերի կողմից 20</w:t>
      </w:r>
      <w:r w:rsidR="00002695" w:rsidRPr="00C72AB5">
        <w:rPr>
          <w:rFonts w:ascii="GHEA Grapalat" w:hAnsi="GHEA Grapalat" w:cs="Arial"/>
        </w:rPr>
        <w:t>1</w:t>
      </w:r>
      <w:r w:rsidR="00DA5867" w:rsidRPr="00C72AB5">
        <w:rPr>
          <w:rFonts w:ascii="GHEA Grapalat" w:hAnsi="GHEA Grapalat" w:cs="Arial"/>
        </w:rPr>
        <w:t>5</w:t>
      </w:r>
      <w:r w:rsidR="00DF6AAC" w:rsidRPr="00C72AB5">
        <w:rPr>
          <w:rFonts w:ascii="GHEA Grapalat" w:hAnsi="GHEA Grapalat" w:cs="Arial"/>
        </w:rPr>
        <w:t>-20</w:t>
      </w:r>
      <w:r w:rsidR="0020054A" w:rsidRPr="00C72AB5">
        <w:rPr>
          <w:rFonts w:ascii="GHEA Grapalat" w:hAnsi="GHEA Grapalat" w:cs="Arial"/>
        </w:rPr>
        <w:t>2</w:t>
      </w:r>
      <w:r w:rsidR="00DA5867" w:rsidRPr="00C72AB5">
        <w:rPr>
          <w:rFonts w:ascii="GHEA Grapalat" w:hAnsi="GHEA Grapalat" w:cs="Arial"/>
        </w:rPr>
        <w:t>4</w:t>
      </w:r>
      <w:r w:rsidR="00DF6AAC" w:rsidRPr="00C72AB5">
        <w:rPr>
          <w:rFonts w:ascii="Calibri" w:hAnsi="Calibri" w:cs="Calibri"/>
        </w:rPr>
        <w:t> </w:t>
      </w:r>
      <w:r w:rsidR="00DF6AAC" w:rsidRPr="00C72AB5">
        <w:rPr>
          <w:rFonts w:ascii="GHEA Grapalat" w:hAnsi="GHEA Grapalat" w:cs="GHEA Grapalat"/>
        </w:rPr>
        <w:t>թվականներին</w:t>
      </w:r>
      <w:r w:rsidR="00DF6AAC" w:rsidRPr="00C72AB5">
        <w:rPr>
          <w:rFonts w:ascii="GHEA Grapalat" w:hAnsi="GHEA Grapalat" w:cs="Arial"/>
        </w:rPr>
        <w:t xml:space="preserve"> </w:t>
      </w:r>
      <w:r w:rsidR="00DF6AAC" w:rsidRPr="00C72AB5">
        <w:rPr>
          <w:rFonts w:ascii="GHEA Grapalat" w:hAnsi="GHEA Grapalat" w:cs="GHEA Grapalat"/>
        </w:rPr>
        <w:t>հրապարակած</w:t>
      </w:r>
      <w:r w:rsidR="00DF6AAC" w:rsidRPr="00C72AB5">
        <w:rPr>
          <w:rFonts w:ascii="GHEA Grapalat" w:hAnsi="GHEA Grapalat" w:cs="Arial"/>
        </w:rPr>
        <w:t xml:space="preserve"> </w:t>
      </w:r>
      <w:r w:rsidR="00DF6AAC" w:rsidRPr="00C72AB5">
        <w:rPr>
          <w:rFonts w:ascii="GHEA Grapalat" w:hAnsi="GHEA Grapalat" w:cs="GHEA Grapalat"/>
        </w:rPr>
        <w:t>գիտական</w:t>
      </w:r>
      <w:r w:rsidR="00DF6AAC" w:rsidRPr="00C72AB5">
        <w:rPr>
          <w:rFonts w:ascii="GHEA Grapalat" w:hAnsi="GHEA Grapalat" w:cs="Arial"/>
        </w:rPr>
        <w:t xml:space="preserve"> </w:t>
      </w:r>
      <w:r w:rsidR="00DA5867" w:rsidRPr="00C72AB5">
        <w:rPr>
          <w:rFonts w:ascii="GHEA Grapalat" w:hAnsi="GHEA Grapalat" w:cs="GHEA Grapalat"/>
        </w:rPr>
        <w:t>աշխատությունների</w:t>
      </w:r>
      <w:r w:rsidR="00DF6AAC" w:rsidRPr="00C72AB5">
        <w:rPr>
          <w:rFonts w:ascii="GHEA Grapalat" w:hAnsi="GHEA Grapalat" w:cs="Arial"/>
        </w:rPr>
        <w:t xml:space="preserve"> </w:t>
      </w:r>
      <w:r w:rsidR="00DF6AAC" w:rsidRPr="00C72AB5">
        <w:rPr>
          <w:rFonts w:ascii="GHEA Grapalat" w:hAnsi="GHEA Grapalat" w:cs="GHEA Grapalat"/>
        </w:rPr>
        <w:t>քանակ</w:t>
      </w:r>
      <w:r w:rsidR="00EF167E" w:rsidRPr="00C72AB5">
        <w:rPr>
          <w:rFonts w:ascii="GHEA Grapalat" w:hAnsi="GHEA Grapalat" w:cs="GHEA Grapalat"/>
        </w:rPr>
        <w:t>ը և դրանց բաշխումը ամսագրերի դասակարգման քառորդներում</w:t>
      </w:r>
      <w:r w:rsidR="00887E3F" w:rsidRPr="00C72AB5">
        <w:rPr>
          <w:rStyle w:val="FootnoteReference"/>
          <w:rFonts w:ascii="GHEA Grapalat" w:hAnsi="GHEA Grapalat" w:cs="GHEA Grapalat"/>
        </w:rPr>
        <w:footnoteReference w:id="52"/>
      </w:r>
      <w:r w:rsidR="00BF770A">
        <w:rPr>
          <w:rFonts w:ascii="GHEA Grapalat" w:hAnsi="GHEA Grapalat" w:cs="GHEA Grapalat"/>
        </w:rPr>
        <w:t>:</w:t>
      </w:r>
      <w:r w:rsidR="00932434">
        <w:rPr>
          <w:rFonts w:ascii="GHEA Grapalat" w:hAnsi="GHEA Grapalat" w:cs="GHEA Grapalat"/>
        </w:rPr>
        <w:t xml:space="preserve"> </w:t>
      </w:r>
      <w:r w:rsidR="00BF770A">
        <w:rPr>
          <w:rFonts w:ascii="GHEA Grapalat" w:hAnsi="GHEA Grapalat" w:cs="GHEA Grapalat"/>
        </w:rPr>
        <w:t>Փ</w:t>
      </w:r>
      <w:r w:rsidR="00932434">
        <w:rPr>
          <w:rFonts w:ascii="GHEA Grapalat" w:hAnsi="GHEA Grapalat" w:cs="GHEA Grapalat"/>
        </w:rPr>
        <w:t xml:space="preserve">ակագծերում բերված են յուրաքանչյուր քառորդում հրապարակումների այն մասնաբաժինները, որոնցում </w:t>
      </w:r>
      <w:r w:rsidR="00744E08" w:rsidRPr="00744E08">
        <w:rPr>
          <w:rFonts w:ascii="GHEA Grapalat" w:hAnsi="GHEA Grapalat"/>
        </w:rPr>
        <w:t>Հայաստանի Հանրապետության</w:t>
      </w:r>
      <w:r w:rsidR="00932434">
        <w:rPr>
          <w:rFonts w:ascii="GHEA Grapalat" w:hAnsi="GHEA Grapalat" w:cs="GHEA Grapalat"/>
        </w:rPr>
        <w:t xml:space="preserve"> համահեղինակները ունեն առաջին, վերջին կամ գրագրություն պահող դիրքերը</w:t>
      </w:r>
      <w:r w:rsidR="00DF6AAC" w:rsidRPr="00C72AB5">
        <w:rPr>
          <w:rFonts w:ascii="GHEA Grapalat" w:hAnsi="GHEA Grapalat" w:cs="Arial"/>
        </w:rPr>
        <w:t>:</w:t>
      </w:r>
    </w:p>
    <w:p w14:paraId="7AEAA2B2" w14:textId="3370B364" w:rsidR="00FA6890" w:rsidRPr="00C72AB5" w:rsidRDefault="00FA6890" w:rsidP="00DA5867">
      <w:pPr>
        <w:tabs>
          <w:tab w:val="left" w:pos="851"/>
        </w:tabs>
        <w:spacing w:line="276" w:lineRule="auto"/>
        <w:ind w:left="709" w:hanging="709"/>
        <w:jc w:val="both"/>
        <w:rPr>
          <w:rFonts w:ascii="GHEA Grapalat" w:hAnsi="GHEA Grapalat" w:cs="Arial"/>
        </w:rPr>
      </w:pPr>
    </w:p>
    <w:p w14:paraId="52C4AADB" w14:textId="2B59668E" w:rsidR="008E1602" w:rsidRPr="00F344DB" w:rsidRDefault="000526D5" w:rsidP="008E1602">
      <w:pPr>
        <w:pStyle w:val="ListParagraph"/>
        <w:tabs>
          <w:tab w:val="left" w:pos="851"/>
          <w:tab w:val="left" w:pos="993"/>
        </w:tabs>
        <w:spacing w:after="0" w:line="276" w:lineRule="auto"/>
        <w:ind w:left="0" w:firstLine="567"/>
        <w:jc w:val="both"/>
        <w:rPr>
          <w:rFonts w:ascii="GHEA Grapalat" w:hAnsi="GHEA Grapalat" w:cs="Arial"/>
          <w:b/>
          <w:bCs/>
          <w:sz w:val="24"/>
          <w:szCs w:val="24"/>
          <w:highlight w:val="yellow"/>
        </w:rPr>
      </w:pPr>
      <w:r w:rsidRPr="00C72AB5">
        <w:rPr>
          <w:rFonts w:ascii="GHEA Grapalat" w:hAnsi="GHEA Grapalat" w:cs="Arial"/>
          <w:sz w:val="24"/>
          <w:szCs w:val="24"/>
        </w:rPr>
        <w:t xml:space="preserve">1) </w:t>
      </w:r>
      <w:r w:rsidR="002E64B9">
        <w:rPr>
          <w:rFonts w:ascii="GHEA Grapalat" w:hAnsi="GHEA Grapalat" w:cs="Arial"/>
          <w:sz w:val="24"/>
          <w:szCs w:val="24"/>
        </w:rPr>
        <w:t>ը</w:t>
      </w:r>
      <w:r w:rsidRPr="00C72AB5">
        <w:rPr>
          <w:rFonts w:ascii="GHEA Grapalat" w:hAnsi="GHEA Grapalat" w:cs="Arial"/>
          <w:sz w:val="24"/>
          <w:szCs w:val="24"/>
        </w:rPr>
        <w:t xml:space="preserve">ստ Վեբ օֆ Սայնս (Web of Science)-ի ԻնՍայտս (InCites) շտեմարանի տվյալների Հայաստանի Հանրապետության գիտահետազոտական կազմակերպությունների և </w:t>
      </w:r>
      <w:r w:rsidRPr="00C72AB5">
        <w:rPr>
          <w:rFonts w:ascii="GHEA Grapalat" w:hAnsi="GHEA Grapalat" w:cs="Arial"/>
          <w:sz w:val="24"/>
          <w:szCs w:val="24"/>
        </w:rPr>
        <w:lastRenderedPageBreak/>
        <w:t>բուհերի կողմից հրապարակած և Վեբ օֆ Սայնս (Web of Science)-ում ընդգրկված գիտական հոդվածների քանակը 2015-2024 թվականներին եղել է ընդհանուր 137</w:t>
      </w:r>
      <w:r w:rsidR="00AF7D29">
        <w:rPr>
          <w:rFonts w:ascii="GHEA Grapalat" w:hAnsi="GHEA Grapalat" w:cs="Arial"/>
          <w:sz w:val="24"/>
          <w:szCs w:val="24"/>
        </w:rPr>
        <w:t>43</w:t>
      </w:r>
      <w:r w:rsidRPr="00C72AB5">
        <w:rPr>
          <w:rFonts w:ascii="GHEA Grapalat" w:hAnsi="GHEA Grapalat" w:cs="Arial"/>
          <w:sz w:val="24"/>
          <w:szCs w:val="24"/>
        </w:rPr>
        <w:t xml:space="preserve"> </w:t>
      </w:r>
      <w:r w:rsidRPr="00C72AB5">
        <w:rPr>
          <w:rFonts w:ascii="GHEA Grapalat" w:hAnsi="GHEA Grapalat"/>
          <w:sz w:val="24"/>
          <w:szCs w:val="24"/>
        </w:rPr>
        <w:t>(</w:t>
      </w:r>
      <w:r w:rsidRPr="00C72AB5">
        <w:rPr>
          <w:rFonts w:ascii="GHEA Grapalat" w:hAnsi="GHEA Grapalat" w:cs="Sylfaen"/>
          <w:sz w:val="24"/>
          <w:szCs w:val="24"/>
        </w:rPr>
        <w:t>տե΄ս,</w:t>
      </w:r>
      <w:r w:rsidRPr="00C72AB5">
        <w:rPr>
          <w:rFonts w:ascii="GHEA Grapalat" w:hAnsi="GHEA Grapalat" w:cs="Arial Armenian"/>
          <w:sz w:val="24"/>
          <w:szCs w:val="24"/>
        </w:rPr>
        <w:t xml:space="preserve"> </w:t>
      </w:r>
      <w:r w:rsidR="005F7C93" w:rsidRPr="00C72AB5">
        <w:rPr>
          <w:rFonts w:ascii="GHEA Grapalat" w:hAnsi="GHEA Grapalat" w:cs="Sylfaen"/>
          <w:sz w:val="24"/>
          <w:szCs w:val="24"/>
        </w:rPr>
        <w:t>Գծապատկեր</w:t>
      </w:r>
      <w:r w:rsidRPr="00C72AB5">
        <w:rPr>
          <w:rFonts w:ascii="GHEA Grapalat" w:hAnsi="GHEA Grapalat" w:cs="Arial Armenian"/>
          <w:sz w:val="24"/>
          <w:szCs w:val="24"/>
        </w:rPr>
        <w:t xml:space="preserve"> 16):</w:t>
      </w:r>
      <w:r w:rsidRPr="00C72AB5">
        <w:rPr>
          <w:rFonts w:ascii="GHEA Grapalat" w:hAnsi="GHEA Grapalat" w:cs="Arial"/>
          <w:sz w:val="24"/>
          <w:szCs w:val="24"/>
        </w:rPr>
        <w:t xml:space="preserve"> Համաձայն Հայաստանի վերափոխման</w:t>
      </w:r>
      <w:r w:rsidR="002E64B9">
        <w:rPr>
          <w:rFonts w:ascii="GHEA Grapalat" w:hAnsi="GHEA Grapalat" w:cs="Arial"/>
          <w:sz w:val="24"/>
          <w:szCs w:val="24"/>
        </w:rPr>
        <w:t>՝ մինչև 2050 թվականի</w:t>
      </w:r>
      <w:r w:rsidRPr="00C72AB5">
        <w:rPr>
          <w:rFonts w:ascii="GHEA Grapalat" w:hAnsi="GHEA Grapalat" w:cs="Arial"/>
          <w:sz w:val="24"/>
          <w:szCs w:val="24"/>
        </w:rPr>
        <w:t xml:space="preserve"> ռազմավարության սահմանած ցուցանիշների` 2025 թվականի </w:t>
      </w:r>
      <w:r w:rsidRPr="00C30A31">
        <w:rPr>
          <w:rFonts w:ascii="GHEA Grapalat" w:hAnsi="GHEA Grapalat" w:cs="Arial"/>
          <w:sz w:val="24"/>
          <w:szCs w:val="24"/>
        </w:rPr>
        <w:t xml:space="preserve">դրությամբ </w:t>
      </w:r>
      <w:r w:rsidR="00F33222" w:rsidRPr="00C30A31">
        <w:rPr>
          <w:rFonts w:ascii="GHEA Grapalat" w:hAnsi="GHEA Grapalat" w:cs="Arial"/>
          <w:sz w:val="24"/>
          <w:szCs w:val="24"/>
        </w:rPr>
        <w:t>Հայաստանի Հանրապետության</w:t>
      </w:r>
      <w:r w:rsidRPr="00C30A31">
        <w:rPr>
          <w:rFonts w:ascii="GHEA Grapalat" w:hAnsi="GHEA Grapalat" w:cs="Arial"/>
          <w:sz w:val="24"/>
          <w:szCs w:val="24"/>
        </w:rPr>
        <w:t xml:space="preserve"> պատկանելությամբ հրապարակումների քանակը պետք է կազմի 1800 հրապարակում, իսկ 2030 թվականի համար` 3200, ինչը իրագործելի է` հեղինակավոր պարբերականներում հրապարակումները խրախուսող քաղաքականության շարունակության պարագայում: Համաձայն </w:t>
      </w:r>
      <w:r w:rsidR="005F7C93" w:rsidRPr="00C30A31">
        <w:rPr>
          <w:rFonts w:ascii="GHEA Grapalat" w:hAnsi="GHEA Grapalat" w:cs="Arial"/>
          <w:sz w:val="24"/>
          <w:szCs w:val="24"/>
        </w:rPr>
        <w:t>Գծապատկեր</w:t>
      </w:r>
      <w:r w:rsidRPr="00C30A31">
        <w:rPr>
          <w:rFonts w:ascii="GHEA Grapalat" w:hAnsi="GHEA Grapalat" w:cs="Arial"/>
          <w:sz w:val="24"/>
          <w:szCs w:val="24"/>
        </w:rPr>
        <w:t xml:space="preserve"> 16-ի` 2015 թվականից սկսած հրապարակումների մեծ մասնաբաժ</w:t>
      </w:r>
      <w:r w:rsidR="00F33222" w:rsidRPr="00C30A31">
        <w:rPr>
          <w:rFonts w:ascii="GHEA Grapalat" w:hAnsi="GHEA Grapalat" w:cs="Arial"/>
          <w:sz w:val="24"/>
          <w:szCs w:val="24"/>
        </w:rPr>
        <w:t>ի</w:t>
      </w:r>
      <w:r w:rsidRPr="00C30A31">
        <w:rPr>
          <w:rFonts w:ascii="GHEA Grapalat" w:hAnsi="GHEA Grapalat" w:cs="Arial"/>
          <w:sz w:val="24"/>
          <w:szCs w:val="24"/>
        </w:rPr>
        <w:t xml:space="preserve">նը կազմում են հրապարակումներ </w:t>
      </w:r>
      <w:r w:rsidR="002E64B9">
        <w:rPr>
          <w:rFonts w:ascii="GHEA Grapalat" w:hAnsi="GHEA Grapalat" w:cs="Arial"/>
          <w:sz w:val="24"/>
          <w:szCs w:val="24"/>
        </w:rPr>
        <w:t xml:space="preserve">ազդեցության գործակից </w:t>
      </w:r>
      <w:r w:rsidR="002E64B9" w:rsidRPr="002E64B9">
        <w:rPr>
          <w:rFonts w:ascii="GHEA Grapalat" w:hAnsi="GHEA Grapalat" w:cs="Arial"/>
          <w:sz w:val="24"/>
          <w:szCs w:val="24"/>
        </w:rPr>
        <w:t>(</w:t>
      </w:r>
      <w:r w:rsidR="002E64B9">
        <w:rPr>
          <w:rFonts w:ascii="GHEA Grapalat" w:hAnsi="GHEA Grapalat" w:cs="Arial"/>
          <w:sz w:val="24"/>
          <w:szCs w:val="24"/>
        </w:rPr>
        <w:t>այսուհետ՝ ԱԳ</w:t>
      </w:r>
      <w:r w:rsidR="002E64B9" w:rsidRPr="002E64B9">
        <w:rPr>
          <w:rFonts w:ascii="GHEA Grapalat" w:hAnsi="GHEA Grapalat" w:cs="Arial"/>
          <w:sz w:val="24"/>
          <w:szCs w:val="24"/>
        </w:rPr>
        <w:t>)</w:t>
      </w:r>
      <w:r w:rsidR="002E64B9">
        <w:rPr>
          <w:rFonts w:ascii="GHEA Grapalat" w:hAnsi="GHEA Grapalat" w:cs="Arial"/>
          <w:sz w:val="24"/>
          <w:szCs w:val="24"/>
        </w:rPr>
        <w:t xml:space="preserve"> </w:t>
      </w:r>
      <w:r w:rsidRPr="00C30A31">
        <w:rPr>
          <w:rFonts w:ascii="GHEA Grapalat" w:hAnsi="GHEA Grapalat" w:cs="Arial"/>
          <w:sz w:val="24"/>
          <w:szCs w:val="24"/>
        </w:rPr>
        <w:t>ունեցող և պարբերականների լավագույն առաջին քառորդում ընդգրկված ամսագրերում:</w:t>
      </w:r>
      <w:r w:rsidR="00932434" w:rsidRPr="00C30A31">
        <w:rPr>
          <w:rFonts w:ascii="GHEA Grapalat" w:hAnsi="GHEA Grapalat" w:cs="Arial"/>
          <w:sz w:val="24"/>
          <w:szCs w:val="24"/>
        </w:rPr>
        <w:t xml:space="preserve"> </w:t>
      </w:r>
    </w:p>
    <w:p w14:paraId="775CF419" w14:textId="0ADE9AE0" w:rsidR="00FA6890" w:rsidRPr="00C72AB5" w:rsidRDefault="00C87E35" w:rsidP="0049437D">
      <w:pPr>
        <w:tabs>
          <w:tab w:val="left" w:pos="851"/>
        </w:tabs>
        <w:spacing w:line="276" w:lineRule="auto"/>
        <w:jc w:val="both"/>
        <w:rPr>
          <w:rFonts w:ascii="GHEA Grapalat" w:hAnsi="GHEA Grapalat" w:cs="Arial"/>
          <w:sz w:val="24"/>
          <w:szCs w:val="24"/>
          <w:highlight w:val="yellow"/>
        </w:rPr>
      </w:pPr>
      <w:r>
        <w:rPr>
          <w:noProof/>
          <w:lang w:val="en-US" w:eastAsia="en-US"/>
        </w:rPr>
        <w:drawing>
          <wp:inline distT="0" distB="0" distL="0" distR="0" wp14:anchorId="18E8355B" wp14:editId="2A226CCF">
            <wp:extent cx="6119495" cy="3070747"/>
            <wp:effectExtent l="0" t="0" r="0" b="0"/>
            <wp:docPr id="1969294648" name="Chart 1">
              <a:extLst xmlns:a="http://schemas.openxmlformats.org/drawingml/2006/main">
                <a:ext uri="{FF2B5EF4-FFF2-40B4-BE49-F238E27FC236}">
                  <a16:creationId xmlns:a16="http://schemas.microsoft.com/office/drawing/2014/main" id="{848A703C-07DD-BB5A-FAA8-C51001C5A8A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440D5546" w14:textId="33C000FE" w:rsidR="00FA6890" w:rsidRDefault="005F7C93" w:rsidP="00181F43">
      <w:pPr>
        <w:tabs>
          <w:tab w:val="left" w:pos="851"/>
        </w:tabs>
        <w:ind w:left="567" w:hanging="567"/>
        <w:jc w:val="both"/>
        <w:rPr>
          <w:rFonts w:ascii="GHEA Grapalat" w:hAnsi="GHEA Grapalat" w:cs="Arial"/>
        </w:rPr>
      </w:pPr>
      <w:r w:rsidRPr="00C72AB5">
        <w:rPr>
          <w:rFonts w:ascii="GHEA Grapalat" w:hAnsi="GHEA Grapalat" w:cs="Arial"/>
          <w:b/>
        </w:rPr>
        <w:t>Գծապատկեր</w:t>
      </w:r>
      <w:r w:rsidR="00FA6890" w:rsidRPr="00C72AB5">
        <w:rPr>
          <w:rFonts w:ascii="GHEA Grapalat" w:hAnsi="GHEA Grapalat" w:cs="Arial"/>
          <w:b/>
        </w:rPr>
        <w:t xml:space="preserve"> </w:t>
      </w:r>
      <w:r w:rsidR="008F575B" w:rsidRPr="00C72AB5">
        <w:rPr>
          <w:rFonts w:ascii="GHEA Grapalat" w:hAnsi="GHEA Grapalat" w:cs="Arial"/>
          <w:b/>
        </w:rPr>
        <w:t>1</w:t>
      </w:r>
      <w:r w:rsidR="00FC614D" w:rsidRPr="00C72AB5">
        <w:rPr>
          <w:rFonts w:ascii="GHEA Grapalat" w:hAnsi="GHEA Grapalat" w:cs="Arial"/>
          <w:b/>
        </w:rPr>
        <w:t>7</w:t>
      </w:r>
      <w:r w:rsidR="00FA6890" w:rsidRPr="00C72AB5">
        <w:rPr>
          <w:rFonts w:ascii="GHEA Grapalat" w:hAnsi="GHEA Grapalat" w:cs="Arial"/>
        </w:rPr>
        <w:t xml:space="preserve">. </w:t>
      </w:r>
      <w:r w:rsidR="006A4D6A" w:rsidRPr="00C72AB5">
        <w:rPr>
          <w:rFonts w:ascii="GHEA Grapalat" w:hAnsi="GHEA Grapalat" w:cs="Arial"/>
        </w:rPr>
        <w:t>Հայաստանի գիտահետազոտական կազմակերպությունների և բուհերի կողմից 201</w:t>
      </w:r>
      <w:r w:rsidR="00E52570" w:rsidRPr="00C72AB5">
        <w:rPr>
          <w:rFonts w:ascii="GHEA Grapalat" w:hAnsi="GHEA Grapalat" w:cs="Arial"/>
        </w:rPr>
        <w:t>5</w:t>
      </w:r>
      <w:r w:rsidR="006A4D6A" w:rsidRPr="00C72AB5">
        <w:rPr>
          <w:rFonts w:ascii="GHEA Grapalat" w:hAnsi="GHEA Grapalat" w:cs="Arial"/>
        </w:rPr>
        <w:t>-202</w:t>
      </w:r>
      <w:r w:rsidR="00E52570" w:rsidRPr="00C72AB5">
        <w:rPr>
          <w:rFonts w:ascii="GHEA Grapalat" w:hAnsi="GHEA Grapalat" w:cs="Arial"/>
        </w:rPr>
        <w:t>4</w:t>
      </w:r>
      <w:r w:rsidR="006A4D6A" w:rsidRPr="00C72AB5">
        <w:rPr>
          <w:rFonts w:ascii="Calibri" w:hAnsi="Calibri" w:cs="Calibri"/>
        </w:rPr>
        <w:t> </w:t>
      </w:r>
      <w:r w:rsidR="006A4D6A" w:rsidRPr="00C72AB5">
        <w:rPr>
          <w:rFonts w:ascii="GHEA Grapalat" w:hAnsi="GHEA Grapalat" w:cs="GHEA Grapalat"/>
        </w:rPr>
        <w:t>թվականներին</w:t>
      </w:r>
      <w:r w:rsidR="006A4D6A" w:rsidRPr="00C72AB5">
        <w:rPr>
          <w:rFonts w:ascii="GHEA Grapalat" w:hAnsi="GHEA Grapalat" w:cs="Arial"/>
        </w:rPr>
        <w:t xml:space="preserve"> </w:t>
      </w:r>
      <w:r w:rsidR="006A4D6A" w:rsidRPr="00C72AB5">
        <w:rPr>
          <w:rFonts w:ascii="GHEA Grapalat" w:hAnsi="GHEA Grapalat" w:cs="GHEA Grapalat"/>
        </w:rPr>
        <w:t>հրապարակած</w:t>
      </w:r>
      <w:r w:rsidR="006A4D6A" w:rsidRPr="00C72AB5">
        <w:rPr>
          <w:rFonts w:ascii="GHEA Grapalat" w:hAnsi="GHEA Grapalat" w:cs="Arial"/>
        </w:rPr>
        <w:t xml:space="preserve"> </w:t>
      </w:r>
      <w:r w:rsidR="006A4D6A" w:rsidRPr="00C72AB5">
        <w:rPr>
          <w:rFonts w:ascii="GHEA Grapalat" w:hAnsi="GHEA Grapalat" w:cs="GHEA Grapalat"/>
        </w:rPr>
        <w:t>գիտական</w:t>
      </w:r>
      <w:r w:rsidR="006A4D6A" w:rsidRPr="00C72AB5">
        <w:rPr>
          <w:rFonts w:ascii="GHEA Grapalat" w:hAnsi="GHEA Grapalat" w:cs="Arial"/>
        </w:rPr>
        <w:t xml:space="preserve"> </w:t>
      </w:r>
      <w:r w:rsidR="00E52570" w:rsidRPr="00C72AB5">
        <w:rPr>
          <w:rFonts w:ascii="GHEA Grapalat" w:hAnsi="GHEA Grapalat" w:cs="GHEA Grapalat"/>
        </w:rPr>
        <w:t>աշխատությունների</w:t>
      </w:r>
      <w:r w:rsidR="006A4D6A" w:rsidRPr="00C72AB5">
        <w:rPr>
          <w:rFonts w:ascii="GHEA Grapalat" w:hAnsi="GHEA Grapalat" w:cs="Arial"/>
        </w:rPr>
        <w:t xml:space="preserve"> </w:t>
      </w:r>
      <w:r w:rsidR="006A4D6A" w:rsidRPr="00C72AB5">
        <w:rPr>
          <w:rFonts w:ascii="GHEA Grapalat" w:hAnsi="GHEA Grapalat" w:cs="GHEA Grapalat"/>
        </w:rPr>
        <w:t>քանակը և դրանց բաշխումը ամսագրերի դասակարգման քառորդներում</w:t>
      </w:r>
      <w:r w:rsidR="00887E3F" w:rsidRPr="00C72AB5">
        <w:rPr>
          <w:rFonts w:ascii="GHEA Grapalat" w:hAnsi="GHEA Grapalat" w:cs="Arial"/>
        </w:rPr>
        <w:t xml:space="preserve"> առանց խոշոր համագործակցությունների</w:t>
      </w:r>
      <w:r w:rsidR="00887E3F" w:rsidRPr="00C72AB5">
        <w:rPr>
          <w:rStyle w:val="FootnoteReference"/>
          <w:rFonts w:ascii="GHEA Grapalat" w:hAnsi="GHEA Grapalat" w:cs="Arial"/>
        </w:rPr>
        <w:footnoteReference w:id="53"/>
      </w:r>
      <w:r w:rsidR="00BF770A">
        <w:rPr>
          <w:rFonts w:ascii="GHEA Grapalat" w:hAnsi="GHEA Grapalat" w:cs="Arial"/>
        </w:rPr>
        <w:t>: Փ</w:t>
      </w:r>
      <w:r w:rsidR="00BF770A">
        <w:rPr>
          <w:rFonts w:ascii="GHEA Grapalat" w:hAnsi="GHEA Grapalat" w:cs="GHEA Grapalat"/>
        </w:rPr>
        <w:t xml:space="preserve">ակագծերում բերված են յուրաքանչյուր քառորդում հրապարակումների այն մասնաբաժինները, որոնցում </w:t>
      </w:r>
      <w:r w:rsidR="00744E08" w:rsidRPr="00744E08">
        <w:rPr>
          <w:rFonts w:ascii="GHEA Grapalat" w:hAnsi="GHEA Grapalat"/>
        </w:rPr>
        <w:t>Հայաստանի Հանրապետության</w:t>
      </w:r>
      <w:r w:rsidR="00BF770A">
        <w:rPr>
          <w:rFonts w:ascii="GHEA Grapalat" w:hAnsi="GHEA Grapalat" w:cs="GHEA Grapalat"/>
        </w:rPr>
        <w:t xml:space="preserve"> համահեղինակները ունեն առաջին, վերջին կամ գրագրություն պահող դիրքերը</w:t>
      </w:r>
      <w:r w:rsidR="00BF770A" w:rsidRPr="00C72AB5">
        <w:rPr>
          <w:rFonts w:ascii="GHEA Grapalat" w:hAnsi="GHEA Grapalat" w:cs="Arial"/>
        </w:rPr>
        <w:t>:</w:t>
      </w:r>
    </w:p>
    <w:p w14:paraId="142623EB" w14:textId="77777777" w:rsidR="00181F43" w:rsidRDefault="00181F43" w:rsidP="00181F43">
      <w:pPr>
        <w:tabs>
          <w:tab w:val="left" w:pos="851"/>
        </w:tabs>
        <w:ind w:left="567" w:hanging="567"/>
        <w:jc w:val="both"/>
        <w:rPr>
          <w:rFonts w:ascii="GHEA Grapalat" w:hAnsi="GHEA Grapalat" w:cs="Arial"/>
        </w:rPr>
      </w:pPr>
    </w:p>
    <w:p w14:paraId="0E9C0EAA" w14:textId="13EB3FDD" w:rsidR="00181F43" w:rsidRPr="00C72AB5" w:rsidRDefault="00181F43" w:rsidP="00181F43">
      <w:pPr>
        <w:pStyle w:val="ListParagraph"/>
        <w:tabs>
          <w:tab w:val="left" w:pos="851"/>
          <w:tab w:val="left" w:pos="993"/>
        </w:tabs>
        <w:spacing w:after="0" w:line="276" w:lineRule="auto"/>
        <w:ind w:left="0"/>
        <w:jc w:val="both"/>
        <w:rPr>
          <w:rFonts w:ascii="GHEA Grapalat" w:hAnsi="GHEA Grapalat" w:cs="Arial"/>
        </w:rPr>
      </w:pPr>
      <w:r w:rsidRPr="00C30A31">
        <w:rPr>
          <w:rFonts w:ascii="GHEA Grapalat" w:hAnsi="GHEA Grapalat" w:cs="Arial"/>
          <w:sz w:val="24"/>
          <w:szCs w:val="24"/>
        </w:rPr>
        <w:t>Հետաքրքրական է, որ ավելի ցածր քառորդներում ներգրավված պարբերականներում հրապարակումներում Հայաստանի Հանրապետության հեղինակների դերակատարումն ավելի բարձր է, այսպես` 2024 թվականին Q1 պարբերականներում հրապարակված 596 հոդվածների 59%-ում է Հայաստանի Հանրապետության համահեղինակ</w:t>
      </w:r>
      <w:r>
        <w:rPr>
          <w:rFonts w:ascii="GHEA Grapalat" w:hAnsi="GHEA Grapalat" w:cs="Arial"/>
          <w:sz w:val="24"/>
          <w:szCs w:val="24"/>
        </w:rPr>
        <w:t>ներ</w:t>
      </w:r>
      <w:r w:rsidRPr="00C30A31">
        <w:rPr>
          <w:rFonts w:ascii="GHEA Grapalat" w:hAnsi="GHEA Grapalat" w:cs="Arial"/>
          <w:sz w:val="24"/>
          <w:szCs w:val="24"/>
        </w:rPr>
        <w:t xml:space="preserve">ը զբաղեցնում </w:t>
      </w:r>
      <w:r>
        <w:rPr>
          <w:rFonts w:ascii="GHEA Grapalat" w:hAnsi="GHEA Grapalat" w:cs="Arial"/>
          <w:sz w:val="24"/>
          <w:szCs w:val="24"/>
        </w:rPr>
        <w:t xml:space="preserve">են </w:t>
      </w:r>
      <w:r w:rsidRPr="00C30A31">
        <w:rPr>
          <w:rFonts w:ascii="GHEA Grapalat" w:hAnsi="GHEA Grapalat" w:cs="Arial"/>
          <w:sz w:val="24"/>
          <w:szCs w:val="24"/>
        </w:rPr>
        <w:t xml:space="preserve">առաջին, վերջին կամ նամակագրություն պահող դիրքերը, իսկ օրինակ նույն թվականի Q4 պարբերականներում հրապարակված </w:t>
      </w:r>
      <w:r>
        <w:rPr>
          <w:rFonts w:ascii="GHEA Grapalat" w:hAnsi="GHEA Grapalat" w:cs="Arial"/>
          <w:sz w:val="24"/>
          <w:szCs w:val="24"/>
        </w:rPr>
        <w:t>հոդվածների արդեն 93</w:t>
      </w:r>
      <w:r w:rsidRPr="003F34B8">
        <w:rPr>
          <w:rFonts w:ascii="GHEA Grapalat" w:hAnsi="GHEA Grapalat" w:cs="Arial"/>
          <w:sz w:val="24"/>
          <w:szCs w:val="24"/>
        </w:rPr>
        <w:t>%-</w:t>
      </w:r>
      <w:r>
        <w:rPr>
          <w:rFonts w:ascii="GHEA Grapalat" w:hAnsi="GHEA Grapalat" w:cs="Arial"/>
          <w:sz w:val="24"/>
          <w:szCs w:val="24"/>
        </w:rPr>
        <w:t xml:space="preserve">ում </w:t>
      </w:r>
      <w:r w:rsidRPr="00C30A31">
        <w:rPr>
          <w:rFonts w:ascii="GHEA Grapalat" w:hAnsi="GHEA Grapalat" w:cs="Arial"/>
          <w:sz w:val="24"/>
          <w:szCs w:val="24"/>
        </w:rPr>
        <w:t>Հայաստանի Հանրապետության</w:t>
      </w:r>
      <w:r>
        <w:rPr>
          <w:rFonts w:ascii="GHEA Grapalat" w:hAnsi="GHEA Grapalat" w:cs="Arial"/>
          <w:sz w:val="24"/>
          <w:szCs w:val="24"/>
        </w:rPr>
        <w:t xml:space="preserve"> համահեղինակները զբաղեցնում են նշված դիրքերը, ինչը նշանակում է, որ ներքին կարողությունները դեռևս զարգանալու տեղ ունեն` ավելի առաջադեմ պարբերականներում հրապարակման կարողությունների իմաստով</w:t>
      </w:r>
      <w:r w:rsidRPr="00D40EDF">
        <w:rPr>
          <w:rFonts w:ascii="GHEA Grapalat" w:hAnsi="GHEA Grapalat" w:cs="Arial"/>
          <w:color w:val="FF0000"/>
          <w:sz w:val="24"/>
          <w:szCs w:val="24"/>
        </w:rPr>
        <w:t>,</w:t>
      </w:r>
      <w:r>
        <w:rPr>
          <w:rFonts w:ascii="GHEA Grapalat" w:hAnsi="GHEA Grapalat" w:cs="Arial"/>
          <w:sz w:val="24"/>
          <w:szCs w:val="24"/>
        </w:rPr>
        <w:t xml:space="preserve"> ինչպես </w:t>
      </w:r>
      <w:r>
        <w:rPr>
          <w:rFonts w:ascii="GHEA Grapalat" w:hAnsi="GHEA Grapalat" w:cs="Arial"/>
          <w:sz w:val="24"/>
          <w:szCs w:val="24"/>
        </w:rPr>
        <w:lastRenderedPageBreak/>
        <w:t>նաև մրցունակ գիտական միտք առաջադրելու կամ դրա լուծման մեջ էական ներդրում ունենալու իմաստներով․</w:t>
      </w:r>
    </w:p>
    <w:p w14:paraId="4C445E22" w14:textId="5362FAE4" w:rsidR="001C6BC3" w:rsidRPr="00C72AB5" w:rsidRDefault="001C6BC3" w:rsidP="001C6BC3">
      <w:pPr>
        <w:pStyle w:val="ListParagraph"/>
        <w:tabs>
          <w:tab w:val="left" w:pos="851"/>
          <w:tab w:val="left" w:pos="993"/>
        </w:tabs>
        <w:spacing w:after="0" w:line="276" w:lineRule="auto"/>
        <w:ind w:left="0" w:firstLine="567"/>
        <w:jc w:val="both"/>
        <w:rPr>
          <w:rFonts w:ascii="GHEA Grapalat" w:hAnsi="GHEA Grapalat" w:cs="Arial"/>
          <w:sz w:val="24"/>
          <w:szCs w:val="24"/>
        </w:rPr>
      </w:pPr>
      <w:r w:rsidRPr="00C72AB5">
        <w:rPr>
          <w:rFonts w:ascii="GHEA Grapalat" w:hAnsi="GHEA Grapalat" w:cs="Arial"/>
          <w:sz w:val="24"/>
          <w:szCs w:val="24"/>
        </w:rPr>
        <w:t xml:space="preserve">2) </w:t>
      </w:r>
      <w:r w:rsidR="00A76557">
        <w:rPr>
          <w:rFonts w:ascii="GHEA Grapalat" w:hAnsi="GHEA Grapalat" w:cs="Arial"/>
          <w:sz w:val="24"/>
          <w:szCs w:val="24"/>
        </w:rPr>
        <w:t>պ</w:t>
      </w:r>
      <w:r w:rsidRPr="00C72AB5">
        <w:rPr>
          <w:rFonts w:ascii="GHEA Grapalat" w:hAnsi="GHEA Grapalat" w:cs="Arial"/>
          <w:sz w:val="24"/>
          <w:szCs w:val="24"/>
        </w:rPr>
        <w:t>ատկերը որոշակիորեն փոփոխվում է երբ հրապարակումների ընդհանուր ցանկից բացառվում են խոշոր միջազգային համագործակցությունների շրջանակներում հրատարակված աշխատանքները</w:t>
      </w:r>
      <w:r w:rsidRPr="00C72AB5">
        <w:rPr>
          <w:rStyle w:val="FootnoteReference"/>
          <w:rFonts w:ascii="GHEA Grapalat" w:hAnsi="GHEA Grapalat" w:cs="Arial"/>
          <w:sz w:val="24"/>
          <w:szCs w:val="24"/>
        </w:rPr>
        <w:footnoteReference w:id="54"/>
      </w:r>
      <w:r w:rsidRPr="00C72AB5">
        <w:rPr>
          <w:rFonts w:ascii="GHEA Grapalat" w:hAnsi="GHEA Grapalat" w:cs="Arial"/>
          <w:sz w:val="24"/>
          <w:szCs w:val="24"/>
        </w:rPr>
        <w:t xml:space="preserve"> (տե՛ս</w:t>
      </w:r>
      <w:r w:rsidR="00544C73">
        <w:rPr>
          <w:rFonts w:ascii="GHEA Grapalat" w:hAnsi="GHEA Grapalat" w:cs="Arial"/>
          <w:sz w:val="24"/>
          <w:szCs w:val="24"/>
        </w:rPr>
        <w:t>,</w:t>
      </w:r>
      <w:r w:rsidRPr="00C72AB5">
        <w:rPr>
          <w:rFonts w:ascii="GHEA Grapalat" w:hAnsi="GHEA Grapalat" w:cs="Arial"/>
          <w:sz w:val="24"/>
          <w:szCs w:val="24"/>
        </w:rPr>
        <w:t xml:space="preserve"> </w:t>
      </w:r>
      <w:r w:rsidR="005F7C93" w:rsidRPr="00C72AB5">
        <w:rPr>
          <w:rFonts w:ascii="GHEA Grapalat" w:hAnsi="GHEA Grapalat" w:cs="Arial"/>
          <w:sz w:val="24"/>
          <w:szCs w:val="24"/>
        </w:rPr>
        <w:t>Գծապատկեր</w:t>
      </w:r>
      <w:r w:rsidRPr="00C72AB5">
        <w:rPr>
          <w:rFonts w:ascii="GHEA Grapalat" w:hAnsi="GHEA Grapalat" w:cs="Arial"/>
          <w:sz w:val="24"/>
          <w:szCs w:val="24"/>
        </w:rPr>
        <w:t xml:space="preserve"> 17), այս դեպքում հրապարակվել են ընդհանուր 11066 գիտական աշխատություն, որոնց մեջ մինչև 2023 թվականը գերակշռում է պարբերականների չորրորդ քառորդում տպագրված հոդվածների քանակը, ինչը ցույց է տալիս, որ միջազգային համագործակցությունների ներդրումը քանակականից բացի ունի նաև որակական նշանակություն, պատկերը փոխվում է 2023 և 2024 թվականներին, ինչը հետևանք է նաև 2021 թվականից իրականացվող հետազոտական դրամաշնորհային ծրագրերի </w:t>
      </w:r>
      <w:r w:rsidR="008473CC" w:rsidRPr="00C72AB5">
        <w:rPr>
          <w:rFonts w:ascii="GHEA Grapalat" w:hAnsi="GHEA Grapalat" w:cs="Arial"/>
          <w:sz w:val="24"/>
          <w:szCs w:val="24"/>
        </w:rPr>
        <w:t>պայման</w:t>
      </w:r>
      <w:r w:rsidRPr="00C72AB5">
        <w:rPr>
          <w:rFonts w:ascii="GHEA Grapalat" w:hAnsi="GHEA Grapalat" w:cs="Arial"/>
          <w:sz w:val="24"/>
          <w:szCs w:val="24"/>
        </w:rPr>
        <w:t xml:space="preserve">ներում հրապարակումների որակին առաջադրվող պահանջների հստակեցման և </w:t>
      </w:r>
      <w:r w:rsidR="00187F19" w:rsidRPr="00C30A31">
        <w:rPr>
          <w:rFonts w:ascii="GHEA Grapalat" w:hAnsi="GHEA Grapalat" w:cs="Arial"/>
          <w:sz w:val="24"/>
          <w:szCs w:val="24"/>
        </w:rPr>
        <w:t>Հայաստանի Հանրապետության կ</w:t>
      </w:r>
      <w:r w:rsidRPr="00C30A31">
        <w:rPr>
          <w:rFonts w:ascii="GHEA Grapalat" w:hAnsi="GHEA Grapalat" w:cs="Arial"/>
          <w:sz w:val="24"/>
          <w:szCs w:val="24"/>
        </w:rPr>
        <w:t>առավ</w:t>
      </w:r>
      <w:r w:rsidRPr="00C72AB5">
        <w:rPr>
          <w:rFonts w:ascii="GHEA Grapalat" w:hAnsi="GHEA Grapalat" w:cs="Arial"/>
          <w:sz w:val="24"/>
          <w:szCs w:val="24"/>
        </w:rPr>
        <w:t xml:space="preserve">արության 2023 թվականի </w:t>
      </w:r>
      <w:r w:rsidR="00544C73">
        <w:rPr>
          <w:rFonts w:ascii="GHEA Grapalat" w:hAnsi="GHEA Grapalat" w:cs="Arial"/>
          <w:sz w:val="24"/>
          <w:szCs w:val="24"/>
        </w:rPr>
        <w:t xml:space="preserve">դեկտեմբերի 21-ի </w:t>
      </w:r>
      <w:r w:rsidRPr="00C72AB5">
        <w:rPr>
          <w:rFonts w:ascii="GHEA Grapalat" w:hAnsi="GHEA Grapalat" w:cs="Arial"/>
          <w:sz w:val="24"/>
          <w:szCs w:val="24"/>
        </w:rPr>
        <w:t>N 2298-Ն որոշմամբ հաստատված գիտական կադրերի ատեստավորման նոր կարգով գիտական աշխատողների տարակարգերին ներկայացվող օբյեկտիվ պահանջների սահմանման</w:t>
      </w:r>
      <w:r w:rsidR="00544C73">
        <w:rPr>
          <w:rFonts w:ascii="GHEA Grapalat" w:hAnsi="GHEA Grapalat" w:cs="Arial"/>
          <w:sz w:val="24"/>
          <w:szCs w:val="24"/>
        </w:rPr>
        <w:t>․</w:t>
      </w:r>
    </w:p>
    <w:p w14:paraId="0AE83D07" w14:textId="5500BCB1" w:rsidR="0082191B" w:rsidRPr="00C30A31" w:rsidRDefault="00086238" w:rsidP="0049437D">
      <w:pPr>
        <w:tabs>
          <w:tab w:val="left" w:pos="851"/>
        </w:tabs>
        <w:spacing w:line="276" w:lineRule="auto"/>
        <w:ind w:firstLine="567"/>
        <w:jc w:val="both"/>
        <w:rPr>
          <w:rFonts w:ascii="GHEA Grapalat" w:hAnsi="GHEA Grapalat" w:cs="Arial"/>
          <w:sz w:val="24"/>
          <w:szCs w:val="24"/>
        </w:rPr>
      </w:pPr>
      <w:r w:rsidRPr="00C72AB5">
        <w:rPr>
          <w:rFonts w:ascii="GHEA Grapalat" w:hAnsi="GHEA Grapalat" w:cs="Arial"/>
          <w:sz w:val="24"/>
          <w:szCs w:val="24"/>
        </w:rPr>
        <w:t xml:space="preserve">3) </w:t>
      </w:r>
      <w:r w:rsidR="00544C73">
        <w:rPr>
          <w:rFonts w:ascii="GHEA Grapalat" w:hAnsi="GHEA Grapalat" w:cs="Arial"/>
          <w:sz w:val="24"/>
          <w:szCs w:val="24"/>
        </w:rPr>
        <w:t>ց</w:t>
      </w:r>
      <w:r w:rsidR="0082191B" w:rsidRPr="00C72AB5">
        <w:rPr>
          <w:rFonts w:ascii="GHEA Grapalat" w:hAnsi="GHEA Grapalat" w:cs="Arial"/>
          <w:sz w:val="24"/>
          <w:szCs w:val="24"/>
        </w:rPr>
        <w:t xml:space="preserve">ածր է նաև ամսագրերի դասակարգման </w:t>
      </w:r>
      <w:r w:rsidR="0082191B" w:rsidRPr="00C30A31">
        <w:rPr>
          <w:rFonts w:ascii="GHEA Grapalat" w:hAnsi="GHEA Grapalat" w:cs="Arial"/>
          <w:sz w:val="24"/>
          <w:szCs w:val="24"/>
        </w:rPr>
        <w:t>առաջին 1</w:t>
      </w:r>
      <w:r w:rsidR="00B8506A" w:rsidRPr="00C30A31">
        <w:rPr>
          <w:rFonts w:ascii="GHEA Grapalat" w:hAnsi="GHEA Grapalat" w:cs="Arial"/>
          <w:sz w:val="24"/>
          <w:szCs w:val="24"/>
        </w:rPr>
        <w:t>%</w:t>
      </w:r>
      <w:r w:rsidR="0082191B" w:rsidRPr="00C30A31">
        <w:rPr>
          <w:rFonts w:ascii="GHEA Grapalat" w:hAnsi="GHEA Grapalat" w:cs="Arial"/>
          <w:sz w:val="24"/>
          <w:szCs w:val="24"/>
        </w:rPr>
        <w:t xml:space="preserve"> և 10% -ներում դասված ամսագրերում հրապարակումների բաժինը </w:t>
      </w:r>
      <w:r w:rsidR="00D10FB3" w:rsidRPr="00C30A31">
        <w:rPr>
          <w:rFonts w:ascii="GHEA Grapalat" w:hAnsi="GHEA Grapalat" w:cs="Arial"/>
          <w:sz w:val="24"/>
          <w:szCs w:val="24"/>
        </w:rPr>
        <w:t>(</w:t>
      </w:r>
      <w:r w:rsidR="008473CC" w:rsidRPr="00C30A31">
        <w:rPr>
          <w:rFonts w:ascii="GHEA Grapalat" w:hAnsi="GHEA Grapalat" w:cs="Arial"/>
          <w:sz w:val="24"/>
          <w:szCs w:val="24"/>
        </w:rPr>
        <w:t xml:space="preserve">տե՛ս, </w:t>
      </w:r>
      <w:r w:rsidR="005F7C93" w:rsidRPr="00C30A31">
        <w:rPr>
          <w:rFonts w:ascii="GHEA Grapalat" w:hAnsi="GHEA Grapalat" w:cs="Arial"/>
          <w:sz w:val="24"/>
          <w:szCs w:val="24"/>
        </w:rPr>
        <w:t>Գծապատկեր</w:t>
      </w:r>
      <w:r w:rsidR="0082191B" w:rsidRPr="00C30A31">
        <w:rPr>
          <w:rFonts w:ascii="GHEA Grapalat" w:hAnsi="GHEA Grapalat" w:cs="Arial"/>
          <w:sz w:val="24"/>
          <w:szCs w:val="24"/>
        </w:rPr>
        <w:t xml:space="preserve"> 18</w:t>
      </w:r>
      <w:r w:rsidR="00D10FB3" w:rsidRPr="00C30A31">
        <w:rPr>
          <w:rFonts w:ascii="GHEA Grapalat" w:hAnsi="GHEA Grapalat" w:cs="Arial"/>
          <w:sz w:val="24"/>
          <w:szCs w:val="24"/>
        </w:rPr>
        <w:t>)</w:t>
      </w:r>
      <w:r w:rsidR="00544C73">
        <w:rPr>
          <w:rFonts w:ascii="GHEA Grapalat" w:hAnsi="GHEA Grapalat" w:cs="Arial"/>
          <w:sz w:val="24"/>
          <w:szCs w:val="24"/>
        </w:rPr>
        <w:t>․</w:t>
      </w:r>
    </w:p>
    <w:p w14:paraId="0BABEFB6" w14:textId="77777777" w:rsidR="00EF3551" w:rsidRPr="00C72AB5" w:rsidRDefault="00EF3551" w:rsidP="00EF3551">
      <w:pPr>
        <w:tabs>
          <w:tab w:val="left" w:pos="851"/>
        </w:tabs>
        <w:spacing w:line="276" w:lineRule="auto"/>
        <w:jc w:val="center"/>
        <w:rPr>
          <w:rFonts w:ascii="GHEA Grapalat" w:hAnsi="GHEA Grapalat" w:cs="Arial"/>
          <w:b/>
          <w:sz w:val="24"/>
          <w:szCs w:val="24"/>
          <w:highlight w:val="yellow"/>
        </w:rPr>
      </w:pPr>
      <w:r w:rsidRPr="00C72AB5">
        <w:rPr>
          <w:noProof/>
          <w:lang w:val="en-US" w:eastAsia="en-US"/>
        </w:rPr>
        <w:drawing>
          <wp:inline distT="0" distB="0" distL="0" distR="0" wp14:anchorId="75991A6B" wp14:editId="64275499">
            <wp:extent cx="4343400" cy="2006221"/>
            <wp:effectExtent l="0" t="0" r="0" b="0"/>
            <wp:docPr id="1962601007" name="Chart 1">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5083847D" w14:textId="4F90FBF8" w:rsidR="00705C44" w:rsidRPr="00C72AB5" w:rsidRDefault="005F7C93" w:rsidP="0059171B">
      <w:pPr>
        <w:tabs>
          <w:tab w:val="left" w:pos="851"/>
        </w:tabs>
        <w:ind w:left="567" w:hanging="567"/>
        <w:jc w:val="both"/>
        <w:rPr>
          <w:rFonts w:ascii="GHEA Grapalat" w:hAnsi="GHEA Grapalat" w:cs="Arial"/>
        </w:rPr>
      </w:pPr>
      <w:r w:rsidRPr="00C72AB5">
        <w:rPr>
          <w:rFonts w:ascii="GHEA Grapalat" w:hAnsi="GHEA Grapalat" w:cs="Arial"/>
          <w:b/>
        </w:rPr>
        <w:t>Գծապատկեր</w:t>
      </w:r>
      <w:r w:rsidR="00705C44" w:rsidRPr="00C72AB5">
        <w:rPr>
          <w:rFonts w:ascii="GHEA Grapalat" w:hAnsi="GHEA Grapalat" w:cs="Arial"/>
          <w:b/>
        </w:rPr>
        <w:t xml:space="preserve"> </w:t>
      </w:r>
      <w:r w:rsidR="008F575B" w:rsidRPr="00C72AB5">
        <w:rPr>
          <w:rFonts w:ascii="GHEA Grapalat" w:hAnsi="GHEA Grapalat" w:cs="Arial"/>
          <w:b/>
        </w:rPr>
        <w:t>1</w:t>
      </w:r>
      <w:r w:rsidR="00FC614D" w:rsidRPr="00C72AB5">
        <w:rPr>
          <w:rFonts w:ascii="GHEA Grapalat" w:hAnsi="GHEA Grapalat" w:cs="Arial"/>
          <w:b/>
        </w:rPr>
        <w:t>8</w:t>
      </w:r>
      <w:r w:rsidR="00705C44" w:rsidRPr="00C72AB5">
        <w:rPr>
          <w:rFonts w:ascii="GHEA Grapalat" w:hAnsi="GHEA Grapalat" w:cs="Arial"/>
        </w:rPr>
        <w:t>. Հայաստանի գի</w:t>
      </w:r>
      <w:r w:rsidR="00A42EC8" w:rsidRPr="00C72AB5">
        <w:rPr>
          <w:rFonts w:ascii="GHEA Grapalat" w:hAnsi="GHEA Grapalat" w:cs="Arial"/>
        </w:rPr>
        <w:softHyphen/>
      </w:r>
      <w:r w:rsidR="00705C44" w:rsidRPr="00C72AB5">
        <w:rPr>
          <w:rFonts w:ascii="GHEA Grapalat" w:hAnsi="GHEA Grapalat" w:cs="Arial"/>
        </w:rPr>
        <w:t>տա</w:t>
      </w:r>
      <w:r w:rsidR="00A42EC8" w:rsidRPr="00C72AB5">
        <w:rPr>
          <w:rFonts w:ascii="GHEA Grapalat" w:hAnsi="GHEA Grapalat" w:cs="Arial"/>
        </w:rPr>
        <w:softHyphen/>
      </w:r>
      <w:r w:rsidR="00705C44" w:rsidRPr="00C72AB5">
        <w:rPr>
          <w:rFonts w:ascii="GHEA Grapalat" w:hAnsi="GHEA Grapalat" w:cs="Arial"/>
        </w:rPr>
        <w:t>հե</w:t>
      </w:r>
      <w:r w:rsidR="00A42EC8" w:rsidRPr="00C72AB5">
        <w:rPr>
          <w:rFonts w:ascii="GHEA Grapalat" w:hAnsi="GHEA Grapalat" w:cs="Arial"/>
        </w:rPr>
        <w:softHyphen/>
      </w:r>
      <w:r w:rsidR="00705C44" w:rsidRPr="00C72AB5">
        <w:rPr>
          <w:rFonts w:ascii="GHEA Grapalat" w:hAnsi="GHEA Grapalat" w:cs="Arial"/>
        </w:rPr>
        <w:t>տա</w:t>
      </w:r>
      <w:r w:rsidR="00A42EC8" w:rsidRPr="00C72AB5">
        <w:rPr>
          <w:rFonts w:ascii="GHEA Grapalat" w:hAnsi="GHEA Grapalat" w:cs="Arial"/>
        </w:rPr>
        <w:softHyphen/>
      </w:r>
      <w:r w:rsidR="00705C44" w:rsidRPr="00C72AB5">
        <w:rPr>
          <w:rFonts w:ascii="GHEA Grapalat" w:hAnsi="GHEA Grapalat" w:cs="Arial"/>
        </w:rPr>
        <w:t>զո</w:t>
      </w:r>
      <w:r w:rsidR="00A42EC8" w:rsidRPr="00C72AB5">
        <w:rPr>
          <w:rFonts w:ascii="GHEA Grapalat" w:hAnsi="GHEA Grapalat" w:cs="Arial"/>
        </w:rPr>
        <w:softHyphen/>
      </w:r>
      <w:r w:rsidR="00705C44" w:rsidRPr="00C72AB5">
        <w:rPr>
          <w:rFonts w:ascii="GHEA Grapalat" w:hAnsi="GHEA Grapalat" w:cs="Arial"/>
        </w:rPr>
        <w:t>տական կազ</w:t>
      </w:r>
      <w:r w:rsidR="00EE531F" w:rsidRPr="00C72AB5">
        <w:rPr>
          <w:rFonts w:ascii="GHEA Grapalat" w:hAnsi="GHEA Grapalat" w:cs="Arial"/>
        </w:rPr>
        <w:softHyphen/>
      </w:r>
      <w:r w:rsidR="00705C44" w:rsidRPr="00C72AB5">
        <w:rPr>
          <w:rFonts w:ascii="GHEA Grapalat" w:hAnsi="GHEA Grapalat" w:cs="Arial"/>
        </w:rPr>
        <w:t>մա</w:t>
      </w:r>
      <w:r w:rsidR="00EE531F" w:rsidRPr="00C72AB5">
        <w:rPr>
          <w:rFonts w:ascii="GHEA Grapalat" w:hAnsi="GHEA Grapalat" w:cs="Arial"/>
        </w:rPr>
        <w:softHyphen/>
      </w:r>
      <w:r w:rsidR="00705C44" w:rsidRPr="00C72AB5">
        <w:rPr>
          <w:rFonts w:ascii="GHEA Grapalat" w:hAnsi="GHEA Grapalat" w:cs="Arial"/>
        </w:rPr>
        <w:t>կեր</w:t>
      </w:r>
      <w:r w:rsidR="00EE531F" w:rsidRPr="00C72AB5">
        <w:rPr>
          <w:rFonts w:ascii="GHEA Grapalat" w:hAnsi="GHEA Grapalat" w:cs="Arial"/>
        </w:rPr>
        <w:softHyphen/>
      </w:r>
      <w:r w:rsidR="00295DAA" w:rsidRPr="00C72AB5">
        <w:rPr>
          <w:rFonts w:ascii="GHEA Grapalat" w:hAnsi="GHEA Grapalat" w:cs="Arial"/>
        </w:rPr>
        <w:t xml:space="preserve">պությունների և բուհերի կողմից </w:t>
      </w:r>
      <w:r w:rsidR="00705C44" w:rsidRPr="00C72AB5">
        <w:rPr>
          <w:rFonts w:ascii="GHEA Grapalat" w:hAnsi="GHEA Grapalat" w:cs="Arial"/>
        </w:rPr>
        <w:t>201</w:t>
      </w:r>
      <w:r w:rsidR="00AD3C69" w:rsidRPr="00C72AB5">
        <w:rPr>
          <w:rFonts w:ascii="GHEA Grapalat" w:hAnsi="GHEA Grapalat" w:cs="Arial"/>
        </w:rPr>
        <w:t>5</w:t>
      </w:r>
      <w:r w:rsidR="00705C44" w:rsidRPr="00C72AB5">
        <w:rPr>
          <w:rFonts w:ascii="GHEA Grapalat" w:hAnsi="GHEA Grapalat" w:cs="Arial"/>
        </w:rPr>
        <w:t>-202</w:t>
      </w:r>
      <w:r w:rsidR="00AD3C69" w:rsidRPr="00C72AB5">
        <w:rPr>
          <w:rFonts w:ascii="GHEA Grapalat" w:hAnsi="GHEA Grapalat" w:cs="Arial"/>
        </w:rPr>
        <w:t>4</w:t>
      </w:r>
      <w:r w:rsidR="00705C44" w:rsidRPr="00C72AB5">
        <w:rPr>
          <w:rFonts w:ascii="Calibri" w:hAnsi="Calibri" w:cs="Calibri"/>
        </w:rPr>
        <w:t> </w:t>
      </w:r>
      <w:r w:rsidR="00705C44" w:rsidRPr="00C72AB5">
        <w:rPr>
          <w:rFonts w:ascii="GHEA Grapalat" w:hAnsi="GHEA Grapalat" w:cs="GHEA Grapalat"/>
        </w:rPr>
        <w:t>թվա</w:t>
      </w:r>
      <w:r w:rsidR="00A42EC8" w:rsidRPr="00C72AB5">
        <w:rPr>
          <w:rFonts w:ascii="GHEA Grapalat" w:hAnsi="GHEA Grapalat" w:cs="GHEA Grapalat"/>
        </w:rPr>
        <w:softHyphen/>
      </w:r>
      <w:r w:rsidR="00705C44" w:rsidRPr="00C72AB5">
        <w:rPr>
          <w:rFonts w:ascii="GHEA Grapalat" w:hAnsi="GHEA Grapalat" w:cs="GHEA Grapalat"/>
        </w:rPr>
        <w:t>կաններին</w:t>
      </w:r>
      <w:r w:rsidR="00705C44" w:rsidRPr="00C72AB5">
        <w:rPr>
          <w:rFonts w:ascii="GHEA Grapalat" w:hAnsi="GHEA Grapalat" w:cs="Arial"/>
        </w:rPr>
        <w:t xml:space="preserve"> </w:t>
      </w:r>
      <w:r w:rsidR="00705C44" w:rsidRPr="00C72AB5">
        <w:rPr>
          <w:rFonts w:ascii="GHEA Grapalat" w:hAnsi="GHEA Grapalat" w:cs="GHEA Grapalat"/>
        </w:rPr>
        <w:t>հրապարակած</w:t>
      </w:r>
      <w:r w:rsidR="00705C44" w:rsidRPr="00C72AB5">
        <w:rPr>
          <w:rFonts w:ascii="GHEA Grapalat" w:hAnsi="GHEA Grapalat" w:cs="Arial"/>
        </w:rPr>
        <w:t xml:space="preserve"> </w:t>
      </w:r>
      <w:r w:rsidR="00705C44" w:rsidRPr="00C72AB5">
        <w:rPr>
          <w:rFonts w:ascii="GHEA Grapalat" w:hAnsi="GHEA Grapalat" w:cs="GHEA Grapalat"/>
        </w:rPr>
        <w:t>գիտական</w:t>
      </w:r>
      <w:r w:rsidR="00705C44" w:rsidRPr="00C72AB5">
        <w:rPr>
          <w:rFonts w:ascii="GHEA Grapalat" w:hAnsi="GHEA Grapalat" w:cs="Arial"/>
        </w:rPr>
        <w:t xml:space="preserve"> </w:t>
      </w:r>
      <w:r w:rsidR="00705C44" w:rsidRPr="00C72AB5">
        <w:rPr>
          <w:rFonts w:ascii="GHEA Grapalat" w:hAnsi="GHEA Grapalat" w:cs="GHEA Grapalat"/>
        </w:rPr>
        <w:t xml:space="preserve">հոդվածների մասնաբաժինը </w:t>
      </w:r>
      <w:r w:rsidR="006C09AB" w:rsidRPr="00C72AB5">
        <w:rPr>
          <w:rFonts w:ascii="GHEA Grapalat" w:hAnsi="GHEA Grapalat" w:cs="GHEA Grapalat"/>
        </w:rPr>
        <w:t xml:space="preserve">(%) </w:t>
      </w:r>
      <w:r w:rsidR="00705C44" w:rsidRPr="00C72AB5">
        <w:rPr>
          <w:rFonts w:ascii="GHEA Grapalat" w:hAnsi="GHEA Grapalat" w:cs="GHEA Grapalat"/>
        </w:rPr>
        <w:t>ամ</w:t>
      </w:r>
      <w:r w:rsidR="00A42EC8" w:rsidRPr="00C72AB5">
        <w:rPr>
          <w:rFonts w:ascii="GHEA Grapalat" w:hAnsi="GHEA Grapalat" w:cs="GHEA Grapalat"/>
        </w:rPr>
        <w:softHyphen/>
      </w:r>
      <w:r w:rsidR="00705C44" w:rsidRPr="00C72AB5">
        <w:rPr>
          <w:rFonts w:ascii="GHEA Grapalat" w:hAnsi="GHEA Grapalat" w:cs="GHEA Grapalat"/>
        </w:rPr>
        <w:t>սա</w:t>
      </w:r>
      <w:r w:rsidR="00A42EC8" w:rsidRPr="00C72AB5">
        <w:rPr>
          <w:rFonts w:ascii="GHEA Grapalat" w:hAnsi="GHEA Grapalat" w:cs="GHEA Grapalat"/>
        </w:rPr>
        <w:softHyphen/>
      </w:r>
      <w:r w:rsidR="00705C44" w:rsidRPr="00C72AB5">
        <w:rPr>
          <w:rFonts w:ascii="GHEA Grapalat" w:hAnsi="GHEA Grapalat" w:cs="GHEA Grapalat"/>
        </w:rPr>
        <w:t>գրերի դասակարգման առաջին 1% և 10% պարբերականներում</w:t>
      </w:r>
      <w:r w:rsidR="00705C44" w:rsidRPr="00C72AB5">
        <w:rPr>
          <w:rFonts w:ascii="GHEA Grapalat" w:hAnsi="GHEA Grapalat" w:cs="Arial"/>
        </w:rPr>
        <w:t>` առանց խոշոր համագործակցությունների:</w:t>
      </w:r>
    </w:p>
    <w:p w14:paraId="23E5830C" w14:textId="77777777" w:rsidR="004B738B" w:rsidRPr="00C72AB5" w:rsidRDefault="004B738B" w:rsidP="00EF3551">
      <w:pPr>
        <w:tabs>
          <w:tab w:val="left" w:pos="851"/>
        </w:tabs>
        <w:spacing w:line="276" w:lineRule="auto"/>
        <w:ind w:left="567" w:hanging="567"/>
        <w:jc w:val="both"/>
        <w:rPr>
          <w:rFonts w:ascii="GHEA Grapalat" w:hAnsi="GHEA Grapalat" w:cs="Arial"/>
        </w:rPr>
      </w:pPr>
    </w:p>
    <w:p w14:paraId="170D7BCA" w14:textId="2398D921" w:rsidR="00CF53FA" w:rsidRPr="00C30A31" w:rsidRDefault="00086238" w:rsidP="00086238">
      <w:pPr>
        <w:tabs>
          <w:tab w:val="left" w:pos="851"/>
        </w:tabs>
        <w:spacing w:line="276" w:lineRule="auto"/>
        <w:ind w:firstLine="567"/>
        <w:jc w:val="both"/>
        <w:rPr>
          <w:rFonts w:ascii="GHEA Grapalat" w:hAnsi="GHEA Grapalat" w:cs="Arial"/>
          <w:sz w:val="24"/>
          <w:szCs w:val="24"/>
        </w:rPr>
      </w:pPr>
      <w:r w:rsidRPr="00C72AB5">
        <w:rPr>
          <w:rFonts w:ascii="GHEA Grapalat" w:hAnsi="GHEA Grapalat" w:cs="Arial"/>
          <w:sz w:val="24"/>
          <w:szCs w:val="24"/>
        </w:rPr>
        <w:t xml:space="preserve">4) </w:t>
      </w:r>
      <w:r w:rsidR="00C30A31" w:rsidRPr="00C30A31">
        <w:rPr>
          <w:rFonts w:ascii="GHEA Grapalat" w:hAnsi="GHEA Grapalat" w:cs="Arial"/>
          <w:sz w:val="24"/>
          <w:szCs w:val="24"/>
        </w:rPr>
        <w:t>Կ</w:t>
      </w:r>
      <w:r w:rsidR="00C10879" w:rsidRPr="00C30A31">
        <w:rPr>
          <w:rFonts w:ascii="GHEA Grapalat" w:hAnsi="GHEA Grapalat" w:cs="Arial"/>
          <w:sz w:val="24"/>
          <w:szCs w:val="24"/>
        </w:rPr>
        <w:t>ոմի</w:t>
      </w:r>
      <w:r w:rsidR="00C10879" w:rsidRPr="00C72AB5">
        <w:rPr>
          <w:rFonts w:ascii="GHEA Grapalat" w:hAnsi="GHEA Grapalat" w:cs="Arial"/>
          <w:sz w:val="24"/>
          <w:szCs w:val="24"/>
        </w:rPr>
        <w:t xml:space="preserve">տեն որպես գիտության բնագավառների և մասնագիտությունների դասակարգիչ կիրառում է ՏՀԶԿ (OECD) Ֆրասկատի ձեռնարկով սահմանված </w:t>
      </w:r>
      <w:r w:rsidR="00F36F23">
        <w:rPr>
          <w:rFonts w:ascii="GHEA Grapalat" w:hAnsi="GHEA Grapalat" w:cs="Arial"/>
          <w:sz w:val="24"/>
          <w:szCs w:val="24"/>
        </w:rPr>
        <w:t>ՀևՄ</w:t>
      </w:r>
      <w:r w:rsidR="00F36F23" w:rsidRPr="00C72AB5">
        <w:rPr>
          <w:rFonts w:ascii="GHEA Grapalat" w:hAnsi="GHEA Grapalat" w:cs="Arial"/>
          <w:sz w:val="24"/>
          <w:szCs w:val="24"/>
        </w:rPr>
        <w:t xml:space="preserve"> </w:t>
      </w:r>
      <w:r w:rsidR="00C10879" w:rsidRPr="00C72AB5">
        <w:rPr>
          <w:rFonts w:ascii="GHEA Grapalat" w:hAnsi="GHEA Grapalat" w:cs="Arial"/>
          <w:sz w:val="24"/>
          <w:szCs w:val="24"/>
        </w:rPr>
        <w:t>բնագավառների դասակարգիչը</w:t>
      </w:r>
      <w:r w:rsidR="00C849B5" w:rsidRPr="00C72AB5">
        <w:rPr>
          <w:rStyle w:val="FootnoteReference"/>
          <w:rFonts w:ascii="GHEA Grapalat" w:hAnsi="GHEA Grapalat" w:cs="Arial"/>
          <w:sz w:val="24"/>
          <w:szCs w:val="24"/>
        </w:rPr>
        <w:footnoteReference w:id="55"/>
      </w:r>
      <w:r w:rsidR="00C10879" w:rsidRPr="00C72AB5">
        <w:rPr>
          <w:rFonts w:ascii="GHEA Grapalat" w:hAnsi="GHEA Grapalat" w:cs="Arial"/>
          <w:sz w:val="24"/>
          <w:szCs w:val="24"/>
        </w:rPr>
        <w:t xml:space="preserve">: </w:t>
      </w:r>
      <w:r w:rsidR="006F00F8" w:rsidRPr="00C72AB5">
        <w:rPr>
          <w:rFonts w:ascii="GHEA Grapalat" w:hAnsi="GHEA Grapalat" w:cs="Arial"/>
          <w:sz w:val="24"/>
          <w:szCs w:val="24"/>
        </w:rPr>
        <w:t>201</w:t>
      </w:r>
      <w:r w:rsidR="007F55D1" w:rsidRPr="00C72AB5">
        <w:rPr>
          <w:rFonts w:ascii="GHEA Grapalat" w:hAnsi="GHEA Grapalat" w:cs="Arial"/>
          <w:sz w:val="24"/>
          <w:szCs w:val="24"/>
        </w:rPr>
        <w:t>5</w:t>
      </w:r>
      <w:r w:rsidR="006F00F8" w:rsidRPr="00C72AB5">
        <w:rPr>
          <w:rFonts w:ascii="GHEA Grapalat" w:hAnsi="GHEA Grapalat" w:cs="Arial"/>
          <w:sz w:val="24"/>
          <w:szCs w:val="24"/>
        </w:rPr>
        <w:t>-202</w:t>
      </w:r>
      <w:r w:rsidR="007F55D1" w:rsidRPr="00C72AB5">
        <w:rPr>
          <w:rFonts w:ascii="GHEA Grapalat" w:hAnsi="GHEA Grapalat" w:cs="Arial"/>
          <w:sz w:val="24"/>
          <w:szCs w:val="24"/>
        </w:rPr>
        <w:t>4</w:t>
      </w:r>
      <w:r w:rsidR="006F00F8" w:rsidRPr="00C72AB5">
        <w:rPr>
          <w:rFonts w:ascii="GHEA Grapalat" w:hAnsi="GHEA Grapalat" w:cs="Arial"/>
          <w:sz w:val="24"/>
          <w:szCs w:val="24"/>
        </w:rPr>
        <w:t xml:space="preserve"> թվականների հրապարակումների համար` ը</w:t>
      </w:r>
      <w:r w:rsidR="003E61C1" w:rsidRPr="00C72AB5">
        <w:rPr>
          <w:rFonts w:ascii="GHEA Grapalat" w:hAnsi="GHEA Grapalat" w:cs="Arial"/>
          <w:sz w:val="24"/>
          <w:szCs w:val="24"/>
        </w:rPr>
        <w:t xml:space="preserve">ստ գիտական և </w:t>
      </w:r>
      <w:r w:rsidR="00DF6AAC" w:rsidRPr="00C72AB5">
        <w:rPr>
          <w:rFonts w:ascii="GHEA Grapalat" w:hAnsi="GHEA Grapalat" w:cs="Arial"/>
          <w:sz w:val="24"/>
          <w:szCs w:val="24"/>
        </w:rPr>
        <w:t xml:space="preserve">գիտատեխնիկական գործունեության </w:t>
      </w:r>
      <w:r w:rsidR="006F00F8" w:rsidRPr="00C72AB5">
        <w:rPr>
          <w:rFonts w:ascii="GHEA Grapalat" w:hAnsi="GHEA Grapalat" w:cs="Arial"/>
          <w:sz w:val="24"/>
          <w:szCs w:val="24"/>
        </w:rPr>
        <w:t>բնագավառ</w:t>
      </w:r>
      <w:r w:rsidR="00694C6C" w:rsidRPr="00C72AB5">
        <w:rPr>
          <w:rFonts w:ascii="GHEA Grapalat" w:hAnsi="GHEA Grapalat" w:cs="Arial"/>
          <w:sz w:val="24"/>
          <w:szCs w:val="24"/>
        </w:rPr>
        <w:t>ների</w:t>
      </w:r>
      <w:r w:rsidR="006F00F8" w:rsidRPr="00C72AB5">
        <w:rPr>
          <w:rFonts w:ascii="GHEA Grapalat" w:hAnsi="GHEA Grapalat" w:cs="Arial"/>
          <w:sz w:val="24"/>
          <w:szCs w:val="24"/>
        </w:rPr>
        <w:t xml:space="preserve"> և մասնագիտությունների </w:t>
      </w:r>
      <w:r w:rsidR="00694C6C" w:rsidRPr="00C72AB5">
        <w:rPr>
          <w:rFonts w:ascii="GHEA Grapalat" w:hAnsi="GHEA Grapalat" w:cs="Arial"/>
          <w:sz w:val="24"/>
          <w:szCs w:val="24"/>
        </w:rPr>
        <w:t xml:space="preserve">բաշխվածությունը ներկայացված է </w:t>
      </w:r>
      <w:r w:rsidR="005F7C93" w:rsidRPr="00C30A31">
        <w:rPr>
          <w:rFonts w:ascii="GHEA Grapalat" w:hAnsi="GHEA Grapalat" w:cs="Arial"/>
          <w:sz w:val="24"/>
          <w:szCs w:val="24"/>
        </w:rPr>
        <w:t>Գծապատկեր</w:t>
      </w:r>
      <w:r w:rsidR="00DF6AAC" w:rsidRPr="00C30A31">
        <w:rPr>
          <w:rFonts w:ascii="GHEA Grapalat" w:hAnsi="GHEA Grapalat" w:cs="Arial"/>
          <w:sz w:val="24"/>
          <w:szCs w:val="24"/>
        </w:rPr>
        <w:t xml:space="preserve"> </w:t>
      </w:r>
      <w:r w:rsidR="00295DAA" w:rsidRPr="00C30A31">
        <w:rPr>
          <w:rFonts w:ascii="GHEA Grapalat" w:hAnsi="GHEA Grapalat" w:cs="Arial"/>
          <w:sz w:val="24"/>
          <w:szCs w:val="24"/>
        </w:rPr>
        <w:t>19</w:t>
      </w:r>
      <w:r w:rsidR="00544C73">
        <w:rPr>
          <w:rFonts w:ascii="GHEA Grapalat" w:hAnsi="GHEA Grapalat" w:cs="Arial"/>
          <w:sz w:val="24"/>
          <w:szCs w:val="24"/>
        </w:rPr>
        <w:t>-ում</w:t>
      </w:r>
      <w:r w:rsidR="00295DAA" w:rsidRPr="00C30A31">
        <w:rPr>
          <w:rFonts w:ascii="GHEA Grapalat" w:hAnsi="GHEA Grapalat" w:cs="Arial"/>
          <w:sz w:val="24"/>
          <w:szCs w:val="24"/>
        </w:rPr>
        <w:t xml:space="preserve"> </w:t>
      </w:r>
      <w:r w:rsidR="00581512" w:rsidRPr="00C30A31">
        <w:rPr>
          <w:rFonts w:ascii="GHEA Grapalat" w:hAnsi="GHEA Grapalat" w:cs="Arial"/>
          <w:sz w:val="24"/>
          <w:szCs w:val="24"/>
        </w:rPr>
        <w:t xml:space="preserve">և </w:t>
      </w:r>
      <w:r w:rsidR="00EF7EA0" w:rsidRPr="00C30A31">
        <w:rPr>
          <w:rFonts w:ascii="GHEA Grapalat" w:hAnsi="GHEA Grapalat" w:cs="Arial"/>
          <w:sz w:val="24"/>
          <w:szCs w:val="24"/>
        </w:rPr>
        <w:t xml:space="preserve">Գծապատկեր </w:t>
      </w:r>
      <w:r w:rsidR="00295DAA" w:rsidRPr="00C30A31">
        <w:rPr>
          <w:rFonts w:ascii="GHEA Grapalat" w:hAnsi="GHEA Grapalat" w:cs="Arial"/>
          <w:sz w:val="24"/>
          <w:szCs w:val="24"/>
        </w:rPr>
        <w:t>20</w:t>
      </w:r>
      <w:r w:rsidR="00544C73">
        <w:rPr>
          <w:rFonts w:ascii="GHEA Grapalat" w:hAnsi="GHEA Grapalat" w:cs="Arial"/>
          <w:sz w:val="24"/>
          <w:szCs w:val="24"/>
        </w:rPr>
        <w:t>-ում</w:t>
      </w:r>
      <w:r w:rsidR="00D5084B" w:rsidRPr="00C30A31">
        <w:rPr>
          <w:rStyle w:val="FootnoteReference"/>
          <w:rFonts w:ascii="GHEA Grapalat" w:hAnsi="GHEA Grapalat" w:cs="Arial"/>
          <w:sz w:val="24"/>
          <w:szCs w:val="24"/>
        </w:rPr>
        <w:footnoteReference w:id="56"/>
      </w:r>
      <w:r w:rsidR="00544C73">
        <w:rPr>
          <w:rFonts w:ascii="GHEA Grapalat" w:hAnsi="GHEA Grapalat" w:cs="Arial"/>
          <w:sz w:val="24"/>
          <w:szCs w:val="24"/>
        </w:rPr>
        <w:t>․</w:t>
      </w:r>
    </w:p>
    <w:p w14:paraId="759491A2" w14:textId="77777777" w:rsidR="004B738B" w:rsidRPr="00C72AB5" w:rsidRDefault="004B738B" w:rsidP="00086238">
      <w:pPr>
        <w:tabs>
          <w:tab w:val="left" w:pos="851"/>
        </w:tabs>
        <w:spacing w:line="276" w:lineRule="auto"/>
        <w:ind w:firstLine="567"/>
        <w:jc w:val="both"/>
        <w:rPr>
          <w:rFonts w:ascii="GHEA Grapalat" w:hAnsi="GHEA Grapalat" w:cs="Arial"/>
          <w:sz w:val="24"/>
          <w:szCs w:val="24"/>
        </w:rPr>
      </w:pPr>
    </w:p>
    <w:p w14:paraId="20576A4C" w14:textId="66BE8D2C" w:rsidR="00E925C9" w:rsidRPr="00C72AB5" w:rsidRDefault="00B60671" w:rsidP="004B738B">
      <w:pPr>
        <w:widowControl w:val="0"/>
        <w:tabs>
          <w:tab w:val="left" w:pos="851"/>
        </w:tabs>
        <w:spacing w:line="276" w:lineRule="auto"/>
        <w:jc w:val="center"/>
        <w:rPr>
          <w:rFonts w:ascii="GHEA Grapalat" w:hAnsi="GHEA Grapalat" w:cs="Arial"/>
          <w:sz w:val="24"/>
          <w:szCs w:val="24"/>
          <w:highlight w:val="yellow"/>
        </w:rPr>
      </w:pPr>
      <w:r w:rsidRPr="00C72AB5">
        <w:rPr>
          <w:noProof/>
          <w:lang w:val="en-US" w:eastAsia="en-US"/>
        </w:rPr>
        <w:lastRenderedPageBreak/>
        <mc:AlternateContent>
          <mc:Choic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Requires="cx1">
            <w:drawing>
              <wp:inline distT="0" distB="0" distL="0" distR="0" wp14:anchorId="728DB2E1" wp14:editId="5A0C2989">
                <wp:extent cx="5676900" cy="2362200"/>
                <wp:effectExtent l="0" t="0" r="0" b="0"/>
                <wp:docPr id="757203812" name="Chart 1">
                  <a:extLst xmlns:a="http://schemas.openxmlformats.org/drawingml/2006/main">
                    <a:ext uri="{FF2B5EF4-FFF2-40B4-BE49-F238E27FC236}">
                      <a16:creationId xmlns:a16="http://schemas.microsoft.com/office/drawing/2014/main" id="{4A319116-BEA0-434F-B999-5534D3A4EAF2}"/>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33"/>
                  </a:graphicData>
                </a:graphic>
              </wp:inline>
            </w:drawing>
          </mc:Choice>
          <mc:Fallback>
            <w:drawing>
              <wp:inline distT="0" distB="0" distL="0" distR="0" wp14:anchorId="728DB2E1" wp14:editId="5A0C2989">
                <wp:extent cx="5676900" cy="2362200"/>
                <wp:effectExtent l="0" t="0" r="0" b="0"/>
                <wp:docPr id="757203812" name="Chart 1">
                  <a:extLst xmlns:a="http://schemas.openxmlformats.org/drawingml/2006/main">
                    <a:ext uri="{FF2B5EF4-FFF2-40B4-BE49-F238E27FC236}">
                      <a16:creationId xmlns:a16="http://schemas.microsoft.com/office/drawing/2014/main" id="{4A319116-BEA0-434F-B999-5534D3A4EAF2}"/>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757203812" name="Chart 1">
                          <a:extLst>
                            <a:ext uri="{FF2B5EF4-FFF2-40B4-BE49-F238E27FC236}">
                              <a16:creationId xmlns:a16="http://schemas.microsoft.com/office/drawing/2014/main" id="{4A319116-BEA0-434F-B999-5534D3A4EAF2}"/>
                            </a:ext>
                          </a:extLst>
                        </pic:cNvPr>
                        <pic:cNvPicPr>
                          <a:picLocks noGrp="1" noRot="1" noChangeAspect="1" noMove="1" noResize="1" noEditPoints="1" noAdjustHandles="1" noChangeArrowheads="1" noChangeShapeType="1"/>
                        </pic:cNvPicPr>
                      </pic:nvPicPr>
                      <pic:blipFill>
                        <a:blip r:embed="rId34"/>
                        <a:stretch>
                          <a:fillRect/>
                        </a:stretch>
                      </pic:blipFill>
                      <pic:spPr>
                        <a:xfrm>
                          <a:off x="0" y="0"/>
                          <a:ext cx="5676900" cy="2362200"/>
                        </a:xfrm>
                        <a:prstGeom prst="rect">
                          <a:avLst/>
                        </a:prstGeom>
                      </pic:spPr>
                    </pic:pic>
                  </a:graphicData>
                </a:graphic>
              </wp:inline>
            </w:drawing>
          </mc:Fallback>
        </mc:AlternateContent>
      </w:r>
    </w:p>
    <w:p w14:paraId="1B2EE353" w14:textId="009DC724" w:rsidR="004B738B" w:rsidRPr="00C72AB5" w:rsidRDefault="005F7C93" w:rsidP="0059171B">
      <w:pPr>
        <w:widowControl w:val="0"/>
        <w:tabs>
          <w:tab w:val="left" w:pos="851"/>
        </w:tabs>
        <w:ind w:left="567" w:hanging="567"/>
        <w:jc w:val="both"/>
        <w:rPr>
          <w:rFonts w:ascii="GHEA Grapalat" w:hAnsi="GHEA Grapalat" w:cs="GHEA Grapalat"/>
          <w:sz w:val="24"/>
          <w:szCs w:val="24"/>
        </w:rPr>
      </w:pPr>
      <w:r w:rsidRPr="00C72AB5">
        <w:rPr>
          <w:rFonts w:ascii="GHEA Grapalat" w:hAnsi="GHEA Grapalat" w:cs="Arial"/>
          <w:b/>
        </w:rPr>
        <w:t>Գծապատկեր</w:t>
      </w:r>
      <w:r w:rsidR="00180B94" w:rsidRPr="00C72AB5">
        <w:rPr>
          <w:rFonts w:ascii="GHEA Grapalat" w:hAnsi="GHEA Grapalat" w:cs="Arial"/>
          <w:b/>
        </w:rPr>
        <w:t xml:space="preserve"> </w:t>
      </w:r>
      <w:r w:rsidR="008F575B" w:rsidRPr="00C72AB5">
        <w:rPr>
          <w:rFonts w:ascii="GHEA Grapalat" w:hAnsi="GHEA Grapalat" w:cs="Arial"/>
          <w:b/>
        </w:rPr>
        <w:t>1</w:t>
      </w:r>
      <w:r w:rsidR="00FC614D" w:rsidRPr="00C72AB5">
        <w:rPr>
          <w:rFonts w:ascii="GHEA Grapalat" w:hAnsi="GHEA Grapalat" w:cs="Arial"/>
          <w:b/>
        </w:rPr>
        <w:t>9</w:t>
      </w:r>
      <w:r w:rsidR="00180B94" w:rsidRPr="00C72AB5">
        <w:rPr>
          <w:rFonts w:ascii="GHEA Grapalat" w:hAnsi="GHEA Grapalat" w:cs="Arial"/>
        </w:rPr>
        <w:t>. Հայաստանի գիտահետազոտական կազմակերպությունների և բուհերի կողմից 201</w:t>
      </w:r>
      <w:r w:rsidR="00B97493" w:rsidRPr="00C72AB5">
        <w:rPr>
          <w:rFonts w:ascii="GHEA Grapalat" w:hAnsi="GHEA Grapalat" w:cs="Arial"/>
        </w:rPr>
        <w:t>5</w:t>
      </w:r>
      <w:r w:rsidR="00180B94" w:rsidRPr="00C72AB5">
        <w:rPr>
          <w:rFonts w:ascii="GHEA Grapalat" w:hAnsi="GHEA Grapalat" w:cs="Arial"/>
        </w:rPr>
        <w:t>-20</w:t>
      </w:r>
      <w:r w:rsidR="00581512" w:rsidRPr="00C72AB5">
        <w:rPr>
          <w:rFonts w:ascii="GHEA Grapalat" w:hAnsi="GHEA Grapalat" w:cs="Arial"/>
        </w:rPr>
        <w:t>2</w:t>
      </w:r>
      <w:r w:rsidR="00B97493" w:rsidRPr="00C72AB5">
        <w:rPr>
          <w:rFonts w:ascii="GHEA Grapalat" w:hAnsi="GHEA Grapalat" w:cs="Arial"/>
        </w:rPr>
        <w:t>4</w:t>
      </w:r>
      <w:r w:rsidR="00180B94" w:rsidRPr="00C72AB5">
        <w:rPr>
          <w:rFonts w:ascii="Calibri" w:hAnsi="Calibri" w:cs="Calibri"/>
        </w:rPr>
        <w:t> </w:t>
      </w:r>
      <w:r w:rsidR="00180B94" w:rsidRPr="00C72AB5">
        <w:rPr>
          <w:rFonts w:ascii="GHEA Grapalat" w:hAnsi="GHEA Grapalat" w:cs="GHEA Grapalat"/>
        </w:rPr>
        <w:t>թվականներին</w:t>
      </w:r>
      <w:r w:rsidR="00180B94" w:rsidRPr="00C72AB5">
        <w:rPr>
          <w:rFonts w:ascii="GHEA Grapalat" w:hAnsi="GHEA Grapalat" w:cs="Arial"/>
        </w:rPr>
        <w:t xml:space="preserve"> </w:t>
      </w:r>
      <w:r w:rsidR="00180B94" w:rsidRPr="00C72AB5">
        <w:rPr>
          <w:rFonts w:ascii="GHEA Grapalat" w:hAnsi="GHEA Grapalat" w:cs="GHEA Grapalat"/>
        </w:rPr>
        <w:t>հրապարակած</w:t>
      </w:r>
      <w:r w:rsidR="00180B94" w:rsidRPr="00C72AB5">
        <w:rPr>
          <w:rFonts w:ascii="GHEA Grapalat" w:hAnsi="GHEA Grapalat" w:cs="Arial"/>
        </w:rPr>
        <w:t xml:space="preserve"> </w:t>
      </w:r>
      <w:r w:rsidR="00180B94" w:rsidRPr="00C72AB5">
        <w:rPr>
          <w:rFonts w:ascii="GHEA Grapalat" w:hAnsi="GHEA Grapalat" w:cs="GHEA Grapalat"/>
        </w:rPr>
        <w:t>գիտական</w:t>
      </w:r>
      <w:r w:rsidR="00180B94" w:rsidRPr="00C72AB5">
        <w:rPr>
          <w:rFonts w:ascii="GHEA Grapalat" w:hAnsi="GHEA Grapalat" w:cs="Arial"/>
        </w:rPr>
        <w:t xml:space="preserve"> </w:t>
      </w:r>
      <w:r w:rsidR="00086238" w:rsidRPr="00C72AB5">
        <w:rPr>
          <w:rFonts w:ascii="GHEA Grapalat" w:hAnsi="GHEA Grapalat" w:cs="GHEA Grapalat"/>
        </w:rPr>
        <w:t>հրապարակումների</w:t>
      </w:r>
      <w:r w:rsidR="00180B94" w:rsidRPr="00C72AB5">
        <w:rPr>
          <w:rFonts w:ascii="GHEA Grapalat" w:hAnsi="GHEA Grapalat" w:cs="Arial"/>
        </w:rPr>
        <w:t xml:space="preserve"> </w:t>
      </w:r>
      <w:r w:rsidR="00180B94" w:rsidRPr="00C72AB5">
        <w:rPr>
          <w:rFonts w:ascii="GHEA Grapalat" w:hAnsi="GHEA Grapalat" w:cs="GHEA Grapalat"/>
        </w:rPr>
        <w:t>քանակն</w:t>
      </w:r>
      <w:r w:rsidR="00180B94" w:rsidRPr="00C72AB5">
        <w:rPr>
          <w:rFonts w:ascii="GHEA Grapalat" w:hAnsi="GHEA Grapalat" w:cs="Arial"/>
        </w:rPr>
        <w:t xml:space="preserve"> ըստ </w:t>
      </w:r>
      <w:r w:rsidR="00581512" w:rsidRPr="00C72AB5">
        <w:rPr>
          <w:rFonts w:ascii="GHEA Grapalat" w:hAnsi="GHEA Grapalat" w:cs="Arial"/>
        </w:rPr>
        <w:t>բնագավառների</w:t>
      </w:r>
      <w:r w:rsidR="00E7152F" w:rsidRPr="00C72AB5">
        <w:rPr>
          <w:rStyle w:val="FootnoteReference"/>
          <w:rFonts w:ascii="GHEA Grapalat" w:hAnsi="GHEA Grapalat" w:cs="Arial"/>
        </w:rPr>
        <w:footnoteReference w:id="57"/>
      </w:r>
      <w:r w:rsidR="00180B94" w:rsidRPr="00C72AB5">
        <w:rPr>
          <w:rFonts w:ascii="GHEA Grapalat" w:hAnsi="GHEA Grapalat" w:cs="Arial"/>
        </w:rPr>
        <w:t>:</w:t>
      </w:r>
    </w:p>
    <w:p w14:paraId="11B988C7" w14:textId="08F43200" w:rsidR="00E842D9" w:rsidRPr="00C72AB5" w:rsidRDefault="00E73682" w:rsidP="00E73682">
      <w:pPr>
        <w:tabs>
          <w:tab w:val="left" w:pos="851"/>
        </w:tabs>
        <w:spacing w:line="276" w:lineRule="auto"/>
        <w:jc w:val="center"/>
        <w:rPr>
          <w:rFonts w:ascii="GHEA Grapalat" w:hAnsi="GHEA Grapalat" w:cs="GHEA Grapalat"/>
          <w:sz w:val="24"/>
          <w:szCs w:val="24"/>
          <w:highlight w:val="yellow"/>
        </w:rPr>
      </w:pPr>
      <w:r w:rsidRPr="00C72AB5">
        <w:rPr>
          <w:noProof/>
          <w:lang w:val="en-US" w:eastAsia="en-US"/>
        </w:rPr>
        <mc:AlternateContent>
          <mc:Choic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Requires="cx1">
            <w:drawing>
              <wp:inline distT="0" distB="0" distL="0" distR="0" wp14:anchorId="062B35EC" wp14:editId="7912D151">
                <wp:extent cx="6038850" cy="2219325"/>
                <wp:effectExtent l="0" t="0" r="0" b="9525"/>
                <wp:docPr id="362886828"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35"/>
                  </a:graphicData>
                </a:graphic>
              </wp:inline>
            </w:drawing>
          </mc:Choice>
          <mc:Fallback>
            <w:drawing>
              <wp:inline distT="0" distB="0" distL="0" distR="0" wp14:anchorId="062B35EC" wp14:editId="7912D151">
                <wp:extent cx="6038850" cy="2219325"/>
                <wp:effectExtent l="0" t="0" r="0" b="9525"/>
                <wp:docPr id="362886828" name="Chart 1">
                  <a:extLst xmlns:a="http://schemas.openxmlformats.org/drawingml/2006/main">
                    <a:ext uri="{FF2B5EF4-FFF2-40B4-BE49-F238E27FC236}">
                      <a16:creationId xmlns:a16="http://schemas.microsoft.com/office/drawing/2014/main" id="{00000000-0008-0000-0000-000002000000}"/>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362886828" name="Chart 1">
                          <a:extLst>
                            <a:ext uri="{FF2B5EF4-FFF2-40B4-BE49-F238E27FC236}">
                              <a16:creationId xmlns:a16="http://schemas.microsoft.com/office/drawing/2014/main" id="{00000000-0008-0000-0000-000002000000}"/>
                            </a:ext>
                          </a:extLst>
                        </pic:cNvPr>
                        <pic:cNvPicPr>
                          <a:picLocks noGrp="1" noRot="1" noChangeAspect="1" noMove="1" noResize="1" noEditPoints="1" noAdjustHandles="1" noChangeArrowheads="1" noChangeShapeType="1"/>
                        </pic:cNvPicPr>
                      </pic:nvPicPr>
                      <pic:blipFill>
                        <a:blip r:embed="rId36"/>
                        <a:stretch>
                          <a:fillRect/>
                        </a:stretch>
                      </pic:blipFill>
                      <pic:spPr>
                        <a:xfrm>
                          <a:off x="0" y="0"/>
                          <a:ext cx="6038850" cy="2219325"/>
                        </a:xfrm>
                        <a:prstGeom prst="rect">
                          <a:avLst/>
                        </a:prstGeom>
                      </pic:spPr>
                    </pic:pic>
                  </a:graphicData>
                </a:graphic>
              </wp:inline>
            </w:drawing>
          </mc:Fallback>
        </mc:AlternateContent>
      </w:r>
    </w:p>
    <w:p w14:paraId="3D6B9F15" w14:textId="381F559C" w:rsidR="006C09AB" w:rsidRPr="00C72AB5" w:rsidRDefault="005F7C93" w:rsidP="0059171B">
      <w:pPr>
        <w:tabs>
          <w:tab w:val="left" w:pos="851"/>
        </w:tabs>
        <w:ind w:left="567" w:hanging="567"/>
        <w:jc w:val="both"/>
        <w:rPr>
          <w:rFonts w:ascii="GHEA Grapalat" w:hAnsi="GHEA Grapalat" w:cs="Arial"/>
        </w:rPr>
      </w:pPr>
      <w:r w:rsidRPr="00C72AB5">
        <w:rPr>
          <w:rFonts w:ascii="GHEA Grapalat" w:hAnsi="GHEA Grapalat" w:cs="Arial"/>
          <w:b/>
        </w:rPr>
        <w:t>Գծապատկեր</w:t>
      </w:r>
      <w:r w:rsidR="004E29F9" w:rsidRPr="00C72AB5">
        <w:rPr>
          <w:rFonts w:ascii="GHEA Grapalat" w:hAnsi="GHEA Grapalat" w:cs="Arial"/>
          <w:b/>
        </w:rPr>
        <w:t xml:space="preserve"> </w:t>
      </w:r>
      <w:r w:rsidR="00FC614D" w:rsidRPr="00C72AB5">
        <w:rPr>
          <w:rFonts w:ascii="GHEA Grapalat" w:hAnsi="GHEA Grapalat" w:cs="Arial"/>
          <w:b/>
        </w:rPr>
        <w:t>20</w:t>
      </w:r>
      <w:r w:rsidR="004E29F9" w:rsidRPr="00C72AB5">
        <w:rPr>
          <w:rFonts w:ascii="GHEA Grapalat" w:hAnsi="GHEA Grapalat" w:cs="Arial"/>
        </w:rPr>
        <w:t>. Հայաստանի գիտահետազոտական կազմակերպությունների և բուհերի կողմից 201</w:t>
      </w:r>
      <w:r w:rsidR="00B97493" w:rsidRPr="00C72AB5">
        <w:rPr>
          <w:rFonts w:ascii="GHEA Grapalat" w:hAnsi="GHEA Grapalat" w:cs="Arial"/>
        </w:rPr>
        <w:t>5</w:t>
      </w:r>
      <w:r w:rsidR="004E29F9" w:rsidRPr="00C72AB5">
        <w:rPr>
          <w:rFonts w:ascii="GHEA Grapalat" w:hAnsi="GHEA Grapalat" w:cs="Arial"/>
        </w:rPr>
        <w:t>-20</w:t>
      </w:r>
      <w:r w:rsidR="009E4794" w:rsidRPr="00C72AB5">
        <w:rPr>
          <w:rFonts w:ascii="GHEA Grapalat" w:hAnsi="GHEA Grapalat" w:cs="Arial"/>
        </w:rPr>
        <w:t>2</w:t>
      </w:r>
      <w:r w:rsidR="00B97493" w:rsidRPr="00C72AB5">
        <w:rPr>
          <w:rFonts w:ascii="GHEA Grapalat" w:hAnsi="GHEA Grapalat" w:cs="Arial"/>
        </w:rPr>
        <w:t>4</w:t>
      </w:r>
      <w:r w:rsidR="004E29F9" w:rsidRPr="00C72AB5">
        <w:rPr>
          <w:rFonts w:ascii="Calibri" w:hAnsi="Calibri" w:cs="Calibri"/>
        </w:rPr>
        <w:t> </w:t>
      </w:r>
      <w:r w:rsidR="004E29F9" w:rsidRPr="00C72AB5">
        <w:rPr>
          <w:rFonts w:ascii="GHEA Grapalat" w:hAnsi="GHEA Grapalat" w:cs="GHEA Grapalat"/>
        </w:rPr>
        <w:t>թվականներին</w:t>
      </w:r>
      <w:r w:rsidR="004E29F9" w:rsidRPr="00C72AB5">
        <w:rPr>
          <w:rFonts w:ascii="GHEA Grapalat" w:hAnsi="GHEA Grapalat" w:cs="Arial"/>
        </w:rPr>
        <w:t xml:space="preserve"> </w:t>
      </w:r>
      <w:r w:rsidR="004E29F9" w:rsidRPr="00C72AB5">
        <w:rPr>
          <w:rFonts w:ascii="GHEA Grapalat" w:hAnsi="GHEA Grapalat" w:cs="GHEA Grapalat"/>
        </w:rPr>
        <w:t>հրապարակած</w:t>
      </w:r>
      <w:r w:rsidR="004E29F9" w:rsidRPr="00C72AB5">
        <w:rPr>
          <w:rFonts w:ascii="GHEA Grapalat" w:hAnsi="GHEA Grapalat" w:cs="Arial"/>
        </w:rPr>
        <w:t xml:space="preserve"> </w:t>
      </w:r>
      <w:r w:rsidR="004E29F9" w:rsidRPr="00C72AB5">
        <w:rPr>
          <w:rFonts w:ascii="GHEA Grapalat" w:hAnsi="GHEA Grapalat" w:cs="GHEA Grapalat"/>
        </w:rPr>
        <w:t>գիտական</w:t>
      </w:r>
      <w:r w:rsidR="004E29F9" w:rsidRPr="00C72AB5">
        <w:rPr>
          <w:rFonts w:ascii="GHEA Grapalat" w:hAnsi="GHEA Grapalat" w:cs="Arial"/>
        </w:rPr>
        <w:t xml:space="preserve"> </w:t>
      </w:r>
      <w:r w:rsidR="00E73682" w:rsidRPr="00C72AB5">
        <w:rPr>
          <w:rFonts w:ascii="GHEA Grapalat" w:hAnsi="GHEA Grapalat" w:cs="GHEA Grapalat"/>
        </w:rPr>
        <w:t>հրապարակումների</w:t>
      </w:r>
      <w:r w:rsidR="004E29F9" w:rsidRPr="00C72AB5">
        <w:rPr>
          <w:rFonts w:ascii="GHEA Grapalat" w:hAnsi="GHEA Grapalat" w:cs="Arial"/>
        </w:rPr>
        <w:t xml:space="preserve"> </w:t>
      </w:r>
      <w:r w:rsidR="004E29F9" w:rsidRPr="00C72AB5">
        <w:rPr>
          <w:rFonts w:ascii="GHEA Grapalat" w:hAnsi="GHEA Grapalat" w:cs="GHEA Grapalat"/>
        </w:rPr>
        <w:t>քանակն</w:t>
      </w:r>
      <w:r w:rsidR="004E29F9" w:rsidRPr="00C72AB5">
        <w:rPr>
          <w:rFonts w:ascii="GHEA Grapalat" w:hAnsi="GHEA Grapalat" w:cs="Arial"/>
        </w:rPr>
        <w:t xml:space="preserve"> ըստ մասնագիտությունների</w:t>
      </w:r>
      <w:r w:rsidR="00E7152F" w:rsidRPr="00C72AB5">
        <w:rPr>
          <w:rStyle w:val="FootnoteReference"/>
          <w:rFonts w:ascii="GHEA Grapalat" w:hAnsi="GHEA Grapalat" w:cs="Arial"/>
        </w:rPr>
        <w:footnoteReference w:id="58"/>
      </w:r>
      <w:r w:rsidR="004E29F9" w:rsidRPr="00C72AB5">
        <w:rPr>
          <w:rFonts w:ascii="GHEA Grapalat" w:hAnsi="GHEA Grapalat" w:cs="Arial"/>
        </w:rPr>
        <w:t xml:space="preserve"> առաջին տասնյակի</w:t>
      </w:r>
      <w:r w:rsidR="00887E3F" w:rsidRPr="00C72AB5">
        <w:rPr>
          <w:rStyle w:val="FootnoteReference"/>
          <w:rFonts w:ascii="GHEA Grapalat" w:hAnsi="GHEA Grapalat" w:cs="Arial"/>
        </w:rPr>
        <w:footnoteReference w:id="59"/>
      </w:r>
      <w:r w:rsidR="004E29F9" w:rsidRPr="00C72AB5">
        <w:rPr>
          <w:rFonts w:ascii="GHEA Grapalat" w:hAnsi="GHEA Grapalat" w:cs="Arial"/>
        </w:rPr>
        <w:t>:</w:t>
      </w:r>
    </w:p>
    <w:p w14:paraId="6133D12E" w14:textId="77777777" w:rsidR="00887E3F" w:rsidRPr="00C72AB5" w:rsidRDefault="00887E3F" w:rsidP="00887E3F">
      <w:pPr>
        <w:tabs>
          <w:tab w:val="left" w:pos="851"/>
        </w:tabs>
        <w:spacing w:line="276" w:lineRule="auto"/>
        <w:ind w:left="567" w:hanging="567"/>
        <w:jc w:val="both"/>
        <w:rPr>
          <w:rFonts w:ascii="GHEA Grapalat" w:hAnsi="GHEA Grapalat" w:cs="Arial"/>
          <w:sz w:val="16"/>
          <w:szCs w:val="16"/>
          <w:highlight w:val="yellow"/>
        </w:rPr>
      </w:pPr>
    </w:p>
    <w:p w14:paraId="25EFCA6C" w14:textId="7717EF53" w:rsidR="00DF6AAC" w:rsidRPr="00C72AB5" w:rsidRDefault="000526D5" w:rsidP="001D4A32">
      <w:pPr>
        <w:tabs>
          <w:tab w:val="left" w:pos="851"/>
        </w:tabs>
        <w:spacing w:line="276" w:lineRule="auto"/>
        <w:ind w:firstLine="567"/>
        <w:jc w:val="both"/>
        <w:rPr>
          <w:rFonts w:ascii="GHEA Grapalat" w:hAnsi="GHEA Grapalat" w:cs="GHEA Grapalat"/>
          <w:sz w:val="24"/>
          <w:szCs w:val="24"/>
        </w:rPr>
      </w:pPr>
      <w:r w:rsidRPr="00C72AB5">
        <w:rPr>
          <w:rFonts w:ascii="GHEA Grapalat" w:hAnsi="GHEA Grapalat" w:cs="GHEA Grapalat"/>
          <w:sz w:val="24"/>
          <w:szCs w:val="24"/>
        </w:rPr>
        <w:t xml:space="preserve">5) </w:t>
      </w:r>
      <w:r w:rsidR="001D4A32">
        <w:rPr>
          <w:rFonts w:ascii="GHEA Grapalat" w:hAnsi="GHEA Grapalat" w:cs="GHEA Grapalat"/>
          <w:sz w:val="24"/>
          <w:szCs w:val="24"/>
        </w:rPr>
        <w:t>ի</w:t>
      </w:r>
      <w:r w:rsidR="00E925C9" w:rsidRPr="00C72AB5">
        <w:rPr>
          <w:rFonts w:ascii="GHEA Grapalat" w:hAnsi="GHEA Grapalat" w:cs="GHEA Grapalat"/>
          <w:sz w:val="24"/>
          <w:szCs w:val="24"/>
        </w:rPr>
        <w:t xml:space="preserve">նչպես երևում է </w:t>
      </w:r>
      <w:r w:rsidR="005F7C93" w:rsidRPr="00C72AB5">
        <w:rPr>
          <w:rFonts w:ascii="GHEA Grapalat" w:hAnsi="GHEA Grapalat" w:cs="GHEA Grapalat"/>
          <w:sz w:val="24"/>
          <w:szCs w:val="24"/>
        </w:rPr>
        <w:t>Գծապատկեր</w:t>
      </w:r>
      <w:r w:rsidR="00AC04C7" w:rsidRPr="00C72AB5">
        <w:rPr>
          <w:rFonts w:ascii="GHEA Grapalat" w:hAnsi="GHEA Grapalat" w:cs="GHEA Grapalat"/>
          <w:sz w:val="24"/>
          <w:szCs w:val="24"/>
        </w:rPr>
        <w:t xml:space="preserve"> </w:t>
      </w:r>
      <w:r w:rsidR="00295DAA" w:rsidRPr="00C72AB5">
        <w:rPr>
          <w:rFonts w:ascii="GHEA Grapalat" w:hAnsi="GHEA Grapalat" w:cs="GHEA Grapalat"/>
          <w:sz w:val="24"/>
          <w:szCs w:val="24"/>
        </w:rPr>
        <w:t>20</w:t>
      </w:r>
      <w:r w:rsidR="00AC04C7" w:rsidRPr="00C72AB5">
        <w:rPr>
          <w:rFonts w:ascii="GHEA Grapalat" w:hAnsi="GHEA Grapalat" w:cs="GHEA Grapalat"/>
          <w:sz w:val="24"/>
          <w:szCs w:val="24"/>
        </w:rPr>
        <w:t>-</w:t>
      </w:r>
      <w:r w:rsidR="00E925C9" w:rsidRPr="00C72AB5">
        <w:rPr>
          <w:rFonts w:ascii="GHEA Grapalat" w:hAnsi="GHEA Grapalat" w:cs="GHEA Grapalat"/>
          <w:sz w:val="24"/>
          <w:szCs w:val="24"/>
        </w:rPr>
        <w:t xml:space="preserve">ից` </w:t>
      </w:r>
      <w:r w:rsidR="00DF6AAC" w:rsidRPr="00C72AB5">
        <w:rPr>
          <w:rFonts w:ascii="GHEA Grapalat" w:hAnsi="GHEA Grapalat" w:cs="GHEA Grapalat"/>
          <w:sz w:val="24"/>
          <w:szCs w:val="24"/>
        </w:rPr>
        <w:t xml:space="preserve">գիտական հոդվածների քանակն ըստ </w:t>
      </w:r>
      <w:r w:rsidR="00E925C9" w:rsidRPr="00C72AB5">
        <w:rPr>
          <w:rFonts w:ascii="GHEA Grapalat" w:hAnsi="GHEA Grapalat" w:cs="GHEA Grapalat"/>
          <w:sz w:val="24"/>
          <w:szCs w:val="24"/>
        </w:rPr>
        <w:t>մասնագիտությունների</w:t>
      </w:r>
      <w:r w:rsidR="00DF6AAC" w:rsidRPr="00C72AB5">
        <w:rPr>
          <w:rFonts w:ascii="GHEA Grapalat" w:hAnsi="GHEA Grapalat" w:cs="GHEA Grapalat"/>
          <w:sz w:val="24"/>
          <w:szCs w:val="24"/>
        </w:rPr>
        <w:t xml:space="preserve"> մնում է անհավասարաչափ բաշխված</w:t>
      </w:r>
      <w:r w:rsidR="00E925C9" w:rsidRPr="00C72AB5">
        <w:rPr>
          <w:rFonts w:ascii="GHEA Grapalat" w:hAnsi="GHEA Grapalat" w:cs="GHEA Grapalat"/>
          <w:sz w:val="24"/>
          <w:szCs w:val="24"/>
        </w:rPr>
        <w:t xml:space="preserve">` հրապարկումների մեծ մասը` </w:t>
      </w:r>
      <w:r w:rsidR="00A902D8" w:rsidRPr="00C72AB5">
        <w:rPr>
          <w:rFonts w:ascii="GHEA Grapalat" w:hAnsi="GHEA Grapalat" w:cs="GHEA Grapalat"/>
          <w:sz w:val="24"/>
          <w:szCs w:val="24"/>
        </w:rPr>
        <w:t>33.3</w:t>
      </w:r>
      <w:r w:rsidR="00E925C9" w:rsidRPr="00C72AB5">
        <w:rPr>
          <w:rFonts w:ascii="GHEA Grapalat" w:hAnsi="GHEA Grapalat" w:cs="GHEA Grapalat"/>
          <w:sz w:val="24"/>
          <w:szCs w:val="24"/>
        </w:rPr>
        <w:t xml:space="preserve">% լինելով </w:t>
      </w:r>
      <w:r w:rsidR="00DF6AAC" w:rsidRPr="00C72AB5">
        <w:rPr>
          <w:rFonts w:ascii="GHEA Grapalat" w:hAnsi="GHEA Grapalat" w:cs="GHEA Grapalat"/>
          <w:sz w:val="24"/>
          <w:szCs w:val="24"/>
        </w:rPr>
        <w:t xml:space="preserve">ֆիզիկա և </w:t>
      </w:r>
      <w:r w:rsidR="00E925C9" w:rsidRPr="00C72AB5">
        <w:rPr>
          <w:rFonts w:ascii="GHEA Grapalat" w:hAnsi="GHEA Grapalat" w:cs="GHEA Grapalat"/>
          <w:sz w:val="24"/>
          <w:szCs w:val="24"/>
        </w:rPr>
        <w:t>աստղագիտություն մասնագիտությունից</w:t>
      </w:r>
      <w:r w:rsidR="00043EC1" w:rsidRPr="00C72AB5">
        <w:rPr>
          <w:rFonts w:ascii="GHEA Grapalat" w:hAnsi="GHEA Grapalat" w:cs="GHEA Grapalat"/>
          <w:sz w:val="24"/>
          <w:szCs w:val="24"/>
        </w:rPr>
        <w:t xml:space="preserve">, որին հաջորդում է </w:t>
      </w:r>
      <w:r w:rsidR="00A902D8" w:rsidRPr="00C72AB5">
        <w:rPr>
          <w:rFonts w:ascii="GHEA Grapalat" w:hAnsi="GHEA Grapalat" w:cs="GHEA Grapalat"/>
          <w:sz w:val="24"/>
          <w:szCs w:val="24"/>
        </w:rPr>
        <w:t>կլինիկական բժշկությունը</w:t>
      </w:r>
      <w:r w:rsidR="00043EC1" w:rsidRPr="00C72AB5">
        <w:rPr>
          <w:rFonts w:ascii="GHEA Grapalat" w:hAnsi="GHEA Grapalat" w:cs="GHEA Grapalat"/>
          <w:sz w:val="24"/>
          <w:szCs w:val="24"/>
        </w:rPr>
        <w:t xml:space="preserve">` </w:t>
      </w:r>
      <w:r w:rsidR="00A902D8" w:rsidRPr="00C72AB5">
        <w:rPr>
          <w:rFonts w:ascii="GHEA Grapalat" w:hAnsi="GHEA Grapalat" w:cs="GHEA Grapalat"/>
          <w:sz w:val="24"/>
          <w:szCs w:val="24"/>
        </w:rPr>
        <w:t>6.1</w:t>
      </w:r>
      <w:r w:rsidR="00043EC1" w:rsidRPr="00C72AB5">
        <w:rPr>
          <w:rFonts w:ascii="GHEA Grapalat" w:hAnsi="GHEA Grapalat" w:cs="GHEA Grapalat"/>
          <w:sz w:val="24"/>
          <w:szCs w:val="24"/>
        </w:rPr>
        <w:t xml:space="preserve">%, </w:t>
      </w:r>
      <w:r w:rsidR="00A902D8" w:rsidRPr="00C30A31">
        <w:rPr>
          <w:rFonts w:ascii="GHEA Grapalat" w:hAnsi="GHEA Grapalat" w:cs="GHEA Grapalat"/>
          <w:sz w:val="24"/>
          <w:szCs w:val="24"/>
        </w:rPr>
        <w:t>կենսաբանությունը</w:t>
      </w:r>
      <w:r w:rsidR="00C25230" w:rsidRPr="00C30A31">
        <w:rPr>
          <w:rFonts w:ascii="GHEA Grapalat" w:hAnsi="GHEA Grapalat" w:cs="GHEA Grapalat"/>
          <w:sz w:val="24"/>
          <w:szCs w:val="24"/>
        </w:rPr>
        <w:t>՝</w:t>
      </w:r>
      <w:r w:rsidR="00043EC1" w:rsidRPr="00C30A31">
        <w:rPr>
          <w:rFonts w:ascii="GHEA Grapalat" w:hAnsi="GHEA Grapalat" w:cs="GHEA Grapalat"/>
          <w:sz w:val="24"/>
          <w:szCs w:val="24"/>
        </w:rPr>
        <w:t xml:space="preserve"> </w:t>
      </w:r>
      <w:r w:rsidR="00A902D8" w:rsidRPr="00C72AB5">
        <w:rPr>
          <w:rFonts w:ascii="GHEA Grapalat" w:hAnsi="GHEA Grapalat" w:cs="GHEA Grapalat"/>
          <w:sz w:val="24"/>
          <w:szCs w:val="24"/>
        </w:rPr>
        <w:t>5.0</w:t>
      </w:r>
      <w:r w:rsidR="00043EC1" w:rsidRPr="00C72AB5">
        <w:rPr>
          <w:rFonts w:ascii="GHEA Grapalat" w:hAnsi="GHEA Grapalat" w:cs="GHEA Grapalat"/>
          <w:sz w:val="24"/>
          <w:szCs w:val="24"/>
        </w:rPr>
        <w:t xml:space="preserve">% և այլն: Ընդ որում, ֆիզիկա և աստղագիտություն մասնագիտությունը պահպանում է առաջատար դիրքերը նաև առանց </w:t>
      </w:r>
      <w:r w:rsidR="00FB69B9" w:rsidRPr="00C72AB5">
        <w:rPr>
          <w:rFonts w:ascii="GHEA Grapalat" w:hAnsi="GHEA Grapalat" w:cs="GHEA Grapalat"/>
          <w:sz w:val="24"/>
          <w:szCs w:val="24"/>
        </w:rPr>
        <w:t xml:space="preserve">միջազգային </w:t>
      </w:r>
      <w:r w:rsidR="00043EC1" w:rsidRPr="00C72AB5">
        <w:rPr>
          <w:rFonts w:ascii="GHEA Grapalat" w:hAnsi="GHEA Grapalat" w:cs="GHEA Grapalat"/>
          <w:sz w:val="24"/>
          <w:szCs w:val="24"/>
        </w:rPr>
        <w:t>խոշոր համագործակցային ծրագրեր</w:t>
      </w:r>
      <w:r w:rsidR="0022528C" w:rsidRPr="00C72AB5">
        <w:rPr>
          <w:rFonts w:ascii="GHEA Grapalat" w:hAnsi="GHEA Grapalat" w:cs="GHEA Grapalat"/>
          <w:sz w:val="24"/>
          <w:szCs w:val="24"/>
        </w:rPr>
        <w:t>ով</w:t>
      </w:r>
      <w:r w:rsidR="00B97493" w:rsidRPr="00C72AB5">
        <w:rPr>
          <w:rFonts w:ascii="GHEA Grapalat" w:hAnsi="GHEA Grapalat" w:cs="GHEA Grapalat"/>
          <w:sz w:val="24"/>
          <w:szCs w:val="24"/>
        </w:rPr>
        <w:t xml:space="preserve"> և միայն ԱԳ ունեցող պարբերականներում </w:t>
      </w:r>
      <w:r w:rsidR="0022528C" w:rsidRPr="00C72AB5">
        <w:rPr>
          <w:rFonts w:ascii="GHEA Grapalat" w:hAnsi="GHEA Grapalat" w:cs="GHEA Grapalat"/>
          <w:sz w:val="24"/>
          <w:szCs w:val="24"/>
        </w:rPr>
        <w:t>տպագրված</w:t>
      </w:r>
      <w:r w:rsidR="00043EC1" w:rsidRPr="00C72AB5">
        <w:rPr>
          <w:rFonts w:ascii="GHEA Grapalat" w:hAnsi="GHEA Grapalat" w:cs="GHEA Grapalat"/>
          <w:sz w:val="24"/>
          <w:szCs w:val="24"/>
        </w:rPr>
        <w:t xml:space="preserve"> հոդվածների</w:t>
      </w:r>
      <w:r w:rsidR="003F4CC7" w:rsidRPr="00C72AB5">
        <w:rPr>
          <w:rStyle w:val="FootnoteReference"/>
          <w:rFonts w:ascii="GHEA Grapalat" w:hAnsi="GHEA Grapalat" w:cs="GHEA Grapalat"/>
          <w:sz w:val="24"/>
          <w:szCs w:val="24"/>
        </w:rPr>
        <w:footnoteReference w:id="60"/>
      </w:r>
      <w:r w:rsidR="00AC04C7" w:rsidRPr="00C72AB5">
        <w:rPr>
          <w:rFonts w:ascii="GHEA Grapalat" w:hAnsi="GHEA Grapalat" w:cs="GHEA Grapalat"/>
          <w:sz w:val="24"/>
          <w:szCs w:val="24"/>
        </w:rPr>
        <w:t xml:space="preserve"> (տե՛ս</w:t>
      </w:r>
      <w:r w:rsidR="00C30A31">
        <w:rPr>
          <w:rFonts w:ascii="GHEA Grapalat" w:hAnsi="GHEA Grapalat" w:cs="GHEA Grapalat"/>
          <w:sz w:val="24"/>
          <w:szCs w:val="24"/>
        </w:rPr>
        <w:t>,</w:t>
      </w:r>
      <w:r w:rsidR="00AC04C7" w:rsidRPr="00C72AB5">
        <w:rPr>
          <w:rFonts w:ascii="GHEA Grapalat" w:hAnsi="GHEA Grapalat" w:cs="GHEA Grapalat"/>
          <w:sz w:val="24"/>
          <w:szCs w:val="24"/>
        </w:rPr>
        <w:t xml:space="preserve"> </w:t>
      </w:r>
      <w:r w:rsidR="005F7C93" w:rsidRPr="00C72AB5">
        <w:rPr>
          <w:rFonts w:ascii="GHEA Grapalat" w:hAnsi="GHEA Grapalat" w:cs="GHEA Grapalat"/>
          <w:sz w:val="24"/>
          <w:szCs w:val="24"/>
        </w:rPr>
        <w:t>Գծապատկեր</w:t>
      </w:r>
      <w:r w:rsidR="00AC04C7" w:rsidRPr="00C72AB5">
        <w:rPr>
          <w:rFonts w:ascii="GHEA Grapalat" w:hAnsi="GHEA Grapalat" w:cs="GHEA Grapalat"/>
          <w:sz w:val="24"/>
          <w:szCs w:val="24"/>
        </w:rPr>
        <w:t xml:space="preserve"> </w:t>
      </w:r>
      <w:r w:rsidR="00E55F3A" w:rsidRPr="00C72AB5">
        <w:rPr>
          <w:rFonts w:ascii="GHEA Grapalat" w:hAnsi="GHEA Grapalat" w:cs="GHEA Grapalat"/>
          <w:sz w:val="24"/>
          <w:szCs w:val="24"/>
        </w:rPr>
        <w:t>21</w:t>
      </w:r>
      <w:r w:rsidR="00C25230">
        <w:rPr>
          <w:rFonts w:ascii="GHEA Grapalat" w:hAnsi="GHEA Grapalat" w:cs="GHEA Grapalat"/>
          <w:sz w:val="24"/>
          <w:szCs w:val="24"/>
        </w:rPr>
        <w:t>.</w:t>
      </w:r>
      <w:r w:rsidR="00AC04C7" w:rsidRPr="00C72AB5">
        <w:rPr>
          <w:rFonts w:ascii="GHEA Grapalat" w:hAnsi="GHEA Grapalat" w:cs="GHEA Grapalat"/>
          <w:sz w:val="24"/>
          <w:szCs w:val="24"/>
        </w:rPr>
        <w:t>)</w:t>
      </w:r>
      <w:r w:rsidR="001D4A32">
        <w:rPr>
          <w:rFonts w:ascii="GHEA Grapalat" w:hAnsi="GHEA Grapalat" w:cs="GHEA Grapalat"/>
          <w:sz w:val="24"/>
          <w:szCs w:val="24"/>
        </w:rPr>
        <w:t>․</w:t>
      </w:r>
    </w:p>
    <w:p w14:paraId="7B354AA0" w14:textId="46C5C9B9" w:rsidR="00FB69B9" w:rsidRPr="00C72AB5" w:rsidRDefault="00B97493" w:rsidP="004B738B">
      <w:pPr>
        <w:widowControl w:val="0"/>
        <w:tabs>
          <w:tab w:val="left" w:pos="851"/>
        </w:tabs>
        <w:spacing w:line="276" w:lineRule="auto"/>
        <w:jc w:val="both"/>
        <w:rPr>
          <w:rFonts w:ascii="GHEA Grapalat" w:hAnsi="GHEA Grapalat" w:cs="Arial"/>
          <w:sz w:val="24"/>
          <w:szCs w:val="24"/>
          <w:highlight w:val="yellow"/>
        </w:rPr>
      </w:pPr>
      <w:r w:rsidRPr="00C72AB5">
        <w:rPr>
          <w:noProof/>
          <w:lang w:val="en-US" w:eastAsia="en-US"/>
        </w:rPr>
        <w:lastRenderedPageBreak/>
        <mc:AlternateContent>
          <mc:Choic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Requires="cx1">
            <w:drawing>
              <wp:inline distT="0" distB="0" distL="0" distR="0" wp14:anchorId="2CD8A349" wp14:editId="5E679F4C">
                <wp:extent cx="5981700" cy="2276475"/>
                <wp:effectExtent l="0" t="0" r="0" b="9525"/>
                <wp:docPr id="1296323593" name="Chart 1">
                  <a:extLst xmlns:a="http://schemas.openxmlformats.org/drawingml/2006/main">
                    <a:ext uri="{FF2B5EF4-FFF2-40B4-BE49-F238E27FC236}">
                      <a16:creationId xmlns:a16="http://schemas.microsoft.com/office/drawing/2014/main" id="{E1EB9549-1309-B29C-20A0-61A67F5217D7}"/>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37"/>
                  </a:graphicData>
                </a:graphic>
              </wp:inline>
            </w:drawing>
          </mc:Choice>
          <mc:Fallback>
            <w:drawing>
              <wp:inline distT="0" distB="0" distL="0" distR="0" wp14:anchorId="2CD8A349" wp14:editId="5E679F4C">
                <wp:extent cx="5981700" cy="2276475"/>
                <wp:effectExtent l="0" t="0" r="0" b="9525"/>
                <wp:docPr id="1296323593" name="Chart 1">
                  <a:extLst xmlns:a="http://schemas.openxmlformats.org/drawingml/2006/main">
                    <a:ext uri="{FF2B5EF4-FFF2-40B4-BE49-F238E27FC236}">
                      <a16:creationId xmlns:a16="http://schemas.microsoft.com/office/drawing/2014/main" id="{E1EB9549-1309-B29C-20A0-61A67F5217D7}"/>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296323593" name="Chart 1">
                          <a:extLst>
                            <a:ext uri="{FF2B5EF4-FFF2-40B4-BE49-F238E27FC236}">
                              <a16:creationId xmlns:a16="http://schemas.microsoft.com/office/drawing/2014/main" id="{E1EB9549-1309-B29C-20A0-61A67F5217D7}"/>
                            </a:ext>
                          </a:extLst>
                        </pic:cNvPr>
                        <pic:cNvPicPr>
                          <a:picLocks noGrp="1" noRot="1" noChangeAspect="1" noMove="1" noResize="1" noEditPoints="1" noAdjustHandles="1" noChangeArrowheads="1" noChangeShapeType="1"/>
                        </pic:cNvPicPr>
                      </pic:nvPicPr>
                      <pic:blipFill>
                        <a:blip r:embed="rId38"/>
                        <a:stretch>
                          <a:fillRect/>
                        </a:stretch>
                      </pic:blipFill>
                      <pic:spPr>
                        <a:xfrm>
                          <a:off x="0" y="0"/>
                          <a:ext cx="5981700" cy="2276475"/>
                        </a:xfrm>
                        <a:prstGeom prst="rect">
                          <a:avLst/>
                        </a:prstGeom>
                      </pic:spPr>
                    </pic:pic>
                  </a:graphicData>
                </a:graphic>
              </wp:inline>
            </w:drawing>
          </mc:Fallback>
        </mc:AlternateContent>
      </w:r>
    </w:p>
    <w:p w14:paraId="104323C4" w14:textId="07EECB3E" w:rsidR="004B738B" w:rsidRPr="00C72AB5" w:rsidRDefault="005F7C93" w:rsidP="0059171B">
      <w:pPr>
        <w:widowControl w:val="0"/>
        <w:tabs>
          <w:tab w:val="left" w:pos="851"/>
        </w:tabs>
        <w:ind w:left="567" w:hanging="567"/>
        <w:jc w:val="both"/>
        <w:rPr>
          <w:rFonts w:ascii="GHEA Grapalat" w:hAnsi="GHEA Grapalat" w:cs="Arial"/>
        </w:rPr>
      </w:pPr>
      <w:r w:rsidRPr="00C72AB5">
        <w:rPr>
          <w:rFonts w:ascii="GHEA Grapalat" w:hAnsi="GHEA Grapalat" w:cs="Arial"/>
          <w:b/>
        </w:rPr>
        <w:t>Գծապատկեր</w:t>
      </w:r>
      <w:r w:rsidR="00FB69B9" w:rsidRPr="00C72AB5">
        <w:rPr>
          <w:rFonts w:ascii="GHEA Grapalat" w:hAnsi="GHEA Grapalat" w:cs="Arial"/>
          <w:b/>
        </w:rPr>
        <w:t xml:space="preserve"> </w:t>
      </w:r>
      <w:r w:rsidR="008F575B" w:rsidRPr="00C72AB5">
        <w:rPr>
          <w:rFonts w:ascii="GHEA Grapalat" w:hAnsi="GHEA Grapalat" w:cs="Arial"/>
          <w:b/>
        </w:rPr>
        <w:t>2</w:t>
      </w:r>
      <w:r w:rsidR="00FC614D" w:rsidRPr="00C72AB5">
        <w:rPr>
          <w:rFonts w:ascii="GHEA Grapalat" w:hAnsi="GHEA Grapalat" w:cs="Arial"/>
          <w:b/>
        </w:rPr>
        <w:t>1</w:t>
      </w:r>
      <w:r w:rsidR="00FB69B9" w:rsidRPr="00C72AB5">
        <w:rPr>
          <w:rFonts w:ascii="GHEA Grapalat" w:hAnsi="GHEA Grapalat" w:cs="Arial"/>
        </w:rPr>
        <w:t xml:space="preserve">. </w:t>
      </w:r>
      <w:r w:rsidR="00B97493" w:rsidRPr="00C72AB5">
        <w:rPr>
          <w:rFonts w:ascii="GHEA Grapalat" w:hAnsi="GHEA Grapalat" w:cs="Arial"/>
        </w:rPr>
        <w:t>Հայաստանի գիտահետազոտական կազմակերպությունների և բուհերի կողմից 201</w:t>
      </w:r>
      <w:r w:rsidR="001362BE" w:rsidRPr="00C72AB5">
        <w:rPr>
          <w:rFonts w:ascii="GHEA Grapalat" w:hAnsi="GHEA Grapalat" w:cs="Arial"/>
        </w:rPr>
        <w:t>5</w:t>
      </w:r>
      <w:r w:rsidR="00B97493" w:rsidRPr="00C72AB5">
        <w:rPr>
          <w:rFonts w:ascii="GHEA Grapalat" w:hAnsi="GHEA Grapalat" w:cs="Arial"/>
        </w:rPr>
        <w:t>-202</w:t>
      </w:r>
      <w:r w:rsidR="001362BE" w:rsidRPr="00C72AB5">
        <w:rPr>
          <w:rFonts w:ascii="GHEA Grapalat" w:hAnsi="GHEA Grapalat" w:cs="Arial"/>
        </w:rPr>
        <w:t>4</w:t>
      </w:r>
      <w:r w:rsidR="00B97493" w:rsidRPr="00C72AB5">
        <w:rPr>
          <w:rFonts w:ascii="Calibri" w:hAnsi="Calibri" w:cs="Calibri"/>
        </w:rPr>
        <w:t> </w:t>
      </w:r>
      <w:r w:rsidR="00B97493" w:rsidRPr="00C72AB5">
        <w:rPr>
          <w:rFonts w:ascii="GHEA Grapalat" w:hAnsi="GHEA Grapalat" w:cs="GHEA Grapalat"/>
        </w:rPr>
        <w:t>թվականներին</w:t>
      </w:r>
      <w:r w:rsidR="00B97493" w:rsidRPr="00C72AB5">
        <w:rPr>
          <w:rFonts w:ascii="GHEA Grapalat" w:hAnsi="GHEA Grapalat" w:cs="Arial"/>
        </w:rPr>
        <w:t xml:space="preserve"> ԱԳ ունեցող պարբերականներում </w:t>
      </w:r>
      <w:r w:rsidR="00B97493" w:rsidRPr="00C72AB5">
        <w:rPr>
          <w:rFonts w:ascii="GHEA Grapalat" w:hAnsi="GHEA Grapalat" w:cs="GHEA Grapalat"/>
        </w:rPr>
        <w:t>հրապարակած</w:t>
      </w:r>
      <w:r w:rsidR="00B97493" w:rsidRPr="00C72AB5">
        <w:rPr>
          <w:rFonts w:ascii="GHEA Grapalat" w:hAnsi="GHEA Grapalat" w:cs="Arial"/>
        </w:rPr>
        <w:t xml:space="preserve"> </w:t>
      </w:r>
      <w:r w:rsidR="00B97493" w:rsidRPr="00C72AB5">
        <w:rPr>
          <w:rFonts w:ascii="GHEA Grapalat" w:hAnsi="GHEA Grapalat" w:cs="GHEA Grapalat"/>
        </w:rPr>
        <w:t>գիտական</w:t>
      </w:r>
      <w:r w:rsidR="00B97493" w:rsidRPr="00C72AB5">
        <w:rPr>
          <w:rFonts w:ascii="GHEA Grapalat" w:hAnsi="GHEA Grapalat" w:cs="Arial"/>
        </w:rPr>
        <w:t xml:space="preserve"> </w:t>
      </w:r>
      <w:r w:rsidR="00B97493" w:rsidRPr="00C72AB5">
        <w:rPr>
          <w:rFonts w:ascii="GHEA Grapalat" w:hAnsi="GHEA Grapalat" w:cs="GHEA Grapalat"/>
        </w:rPr>
        <w:t>հոդվածների</w:t>
      </w:r>
      <w:r w:rsidR="008473CC" w:rsidRPr="00C72AB5">
        <w:rPr>
          <w:rFonts w:ascii="GHEA Grapalat" w:hAnsi="GHEA Grapalat" w:cs="GHEA Grapalat"/>
          <w:vertAlign w:val="superscript"/>
        </w:rPr>
        <w:t>57</w:t>
      </w:r>
      <w:r w:rsidR="00B97493" w:rsidRPr="00C72AB5">
        <w:rPr>
          <w:rFonts w:ascii="GHEA Grapalat" w:hAnsi="GHEA Grapalat" w:cs="Arial"/>
        </w:rPr>
        <w:t xml:space="preserve"> </w:t>
      </w:r>
      <w:r w:rsidR="00B97493" w:rsidRPr="00C72AB5">
        <w:rPr>
          <w:rFonts w:ascii="GHEA Grapalat" w:hAnsi="GHEA Grapalat" w:cs="GHEA Grapalat"/>
        </w:rPr>
        <w:t>քանակն</w:t>
      </w:r>
      <w:r w:rsidR="00B97493" w:rsidRPr="00C72AB5">
        <w:rPr>
          <w:rFonts w:ascii="GHEA Grapalat" w:hAnsi="GHEA Grapalat" w:cs="Arial"/>
        </w:rPr>
        <w:t xml:space="preserve"> ըստ մասնագիտությունների</w:t>
      </w:r>
      <w:r w:rsidR="00B97493" w:rsidRPr="00C72AB5">
        <w:rPr>
          <w:rStyle w:val="FootnoteReference"/>
          <w:rFonts w:ascii="GHEA Grapalat" w:hAnsi="GHEA Grapalat" w:cs="Arial"/>
        </w:rPr>
        <w:footnoteReference w:id="61"/>
      </w:r>
      <w:r w:rsidR="00B97493" w:rsidRPr="00C72AB5">
        <w:rPr>
          <w:rFonts w:ascii="GHEA Grapalat" w:hAnsi="GHEA Grapalat" w:cs="Arial"/>
        </w:rPr>
        <w:t xml:space="preserve"> առաջին տասնյակի</w:t>
      </w:r>
      <w:r w:rsidR="00887E3F" w:rsidRPr="00C72AB5">
        <w:rPr>
          <w:rStyle w:val="FootnoteReference"/>
          <w:rFonts w:ascii="GHEA Grapalat" w:hAnsi="GHEA Grapalat" w:cs="Arial"/>
        </w:rPr>
        <w:footnoteReference w:id="62"/>
      </w:r>
      <w:r w:rsidR="00B97493" w:rsidRPr="00C72AB5">
        <w:rPr>
          <w:rFonts w:ascii="GHEA Grapalat" w:hAnsi="GHEA Grapalat" w:cs="Arial"/>
        </w:rPr>
        <w:t>:</w:t>
      </w:r>
    </w:p>
    <w:p w14:paraId="31625771" w14:textId="77777777" w:rsidR="004B738B" w:rsidRPr="00C72AB5" w:rsidRDefault="004B738B" w:rsidP="004B738B">
      <w:pPr>
        <w:widowControl w:val="0"/>
        <w:tabs>
          <w:tab w:val="left" w:pos="851"/>
        </w:tabs>
        <w:spacing w:line="276" w:lineRule="auto"/>
        <w:ind w:firstLine="567"/>
        <w:jc w:val="both"/>
        <w:rPr>
          <w:rFonts w:ascii="GHEA Grapalat" w:hAnsi="GHEA Grapalat" w:cs="GHEA Grapalat"/>
          <w:sz w:val="24"/>
          <w:szCs w:val="24"/>
        </w:rPr>
      </w:pPr>
    </w:p>
    <w:p w14:paraId="0A77630C" w14:textId="59662DBB" w:rsidR="009E1D71" w:rsidRPr="00C72AB5" w:rsidRDefault="0068358C" w:rsidP="004B738B">
      <w:pPr>
        <w:widowControl w:val="0"/>
        <w:tabs>
          <w:tab w:val="left" w:pos="851"/>
        </w:tabs>
        <w:spacing w:line="276" w:lineRule="auto"/>
        <w:ind w:firstLine="567"/>
        <w:jc w:val="both"/>
        <w:rPr>
          <w:rFonts w:ascii="GHEA Grapalat" w:eastAsia="Calibri" w:hAnsi="GHEA Grapalat" w:cs="Arial"/>
          <w:sz w:val="24"/>
          <w:szCs w:val="24"/>
          <w:lang w:eastAsia="en-US"/>
        </w:rPr>
      </w:pPr>
      <w:r w:rsidRPr="00C72AB5">
        <w:rPr>
          <w:rFonts w:ascii="GHEA Grapalat" w:hAnsi="GHEA Grapalat" w:cs="GHEA Grapalat"/>
          <w:sz w:val="24"/>
          <w:szCs w:val="24"/>
        </w:rPr>
        <w:t>6</w:t>
      </w:r>
      <w:r w:rsidR="009B5333" w:rsidRPr="00C72AB5">
        <w:rPr>
          <w:rFonts w:ascii="GHEA Grapalat" w:hAnsi="GHEA Grapalat" w:cs="GHEA Grapalat"/>
          <w:sz w:val="24"/>
          <w:szCs w:val="24"/>
        </w:rPr>
        <w:t xml:space="preserve">) </w:t>
      </w:r>
      <w:r w:rsidR="001D4A32">
        <w:rPr>
          <w:rFonts w:ascii="GHEA Grapalat" w:hAnsi="GHEA Grapalat" w:cs="GHEA Grapalat"/>
          <w:sz w:val="24"/>
          <w:szCs w:val="24"/>
        </w:rPr>
        <w:t>հ</w:t>
      </w:r>
      <w:r w:rsidR="002570F2" w:rsidRPr="00C72AB5">
        <w:rPr>
          <w:rFonts w:ascii="GHEA Grapalat" w:hAnsi="GHEA Grapalat" w:cs="GHEA Grapalat"/>
          <w:sz w:val="24"/>
          <w:szCs w:val="24"/>
        </w:rPr>
        <w:t xml:space="preserve">ասարակական և հումանիտար գիտություններ </w:t>
      </w:r>
      <w:r w:rsidR="00AC6E04" w:rsidRPr="00C72AB5">
        <w:rPr>
          <w:rFonts w:ascii="GHEA Grapalat" w:hAnsi="GHEA Grapalat" w:cs="GHEA Grapalat"/>
          <w:sz w:val="24"/>
          <w:szCs w:val="24"/>
        </w:rPr>
        <w:t xml:space="preserve">բնագավառներում </w:t>
      </w:r>
      <w:r w:rsidR="002570F2" w:rsidRPr="00C72AB5">
        <w:rPr>
          <w:rFonts w:ascii="GHEA Grapalat" w:hAnsi="GHEA Grapalat" w:cs="GHEA Grapalat"/>
          <w:sz w:val="24"/>
          <w:szCs w:val="24"/>
        </w:rPr>
        <w:t>201</w:t>
      </w:r>
      <w:r w:rsidR="001362BE" w:rsidRPr="00C72AB5">
        <w:rPr>
          <w:rFonts w:ascii="GHEA Grapalat" w:hAnsi="GHEA Grapalat" w:cs="GHEA Grapalat"/>
          <w:sz w:val="24"/>
          <w:szCs w:val="24"/>
        </w:rPr>
        <w:t>5</w:t>
      </w:r>
      <w:r w:rsidR="002570F2" w:rsidRPr="00C72AB5">
        <w:rPr>
          <w:rFonts w:ascii="GHEA Grapalat" w:hAnsi="GHEA Grapalat" w:cs="GHEA Grapalat"/>
          <w:sz w:val="24"/>
          <w:szCs w:val="24"/>
        </w:rPr>
        <w:t>-20</w:t>
      </w:r>
      <w:r w:rsidR="00CB78EC" w:rsidRPr="00C72AB5">
        <w:rPr>
          <w:rFonts w:ascii="GHEA Grapalat" w:hAnsi="GHEA Grapalat" w:cs="GHEA Grapalat"/>
          <w:sz w:val="24"/>
          <w:szCs w:val="24"/>
        </w:rPr>
        <w:t>2</w:t>
      </w:r>
      <w:r w:rsidR="001362BE" w:rsidRPr="00C72AB5">
        <w:rPr>
          <w:rFonts w:ascii="GHEA Grapalat" w:hAnsi="GHEA Grapalat" w:cs="GHEA Grapalat"/>
          <w:sz w:val="24"/>
          <w:szCs w:val="24"/>
        </w:rPr>
        <w:t>4</w:t>
      </w:r>
      <w:r w:rsidR="002570F2" w:rsidRPr="00C72AB5">
        <w:rPr>
          <w:rFonts w:ascii="GHEA Grapalat" w:hAnsi="GHEA Grapalat" w:cs="GHEA Grapalat"/>
          <w:sz w:val="24"/>
          <w:szCs w:val="24"/>
        </w:rPr>
        <w:t xml:space="preserve"> թվականներին </w:t>
      </w:r>
      <w:r w:rsidR="002570F2" w:rsidRPr="00C72AB5">
        <w:rPr>
          <w:rFonts w:ascii="GHEA Grapalat" w:eastAsia="Calibri" w:hAnsi="GHEA Grapalat" w:cs="Arial"/>
          <w:sz w:val="24"/>
          <w:szCs w:val="24"/>
          <w:lang w:eastAsia="en-US"/>
        </w:rPr>
        <w:t xml:space="preserve">ըստ Վեբ օֆ Սայնս (Web of Science)-ի ԻնՍայտես (InCites) շտեմարանի տվյալների հրապարակվել են համապատասխան </w:t>
      </w:r>
      <w:r w:rsidR="002B50A0" w:rsidRPr="00C72AB5">
        <w:rPr>
          <w:rFonts w:ascii="GHEA Grapalat" w:eastAsia="Calibri" w:hAnsi="GHEA Grapalat" w:cs="Arial"/>
          <w:sz w:val="24"/>
          <w:szCs w:val="24"/>
          <w:lang w:eastAsia="en-US"/>
        </w:rPr>
        <w:t>738</w:t>
      </w:r>
      <w:r w:rsidR="002570F2" w:rsidRPr="00C72AB5">
        <w:rPr>
          <w:rFonts w:ascii="GHEA Grapalat" w:eastAsia="Calibri" w:hAnsi="GHEA Grapalat" w:cs="Arial"/>
          <w:sz w:val="24"/>
          <w:szCs w:val="24"/>
          <w:lang w:eastAsia="en-US"/>
        </w:rPr>
        <w:t xml:space="preserve"> և </w:t>
      </w:r>
      <w:r w:rsidR="002B50A0" w:rsidRPr="00C72AB5">
        <w:rPr>
          <w:rFonts w:ascii="GHEA Grapalat" w:eastAsia="Calibri" w:hAnsi="GHEA Grapalat" w:cs="Arial"/>
          <w:sz w:val="24"/>
          <w:szCs w:val="24"/>
          <w:lang w:eastAsia="en-US"/>
        </w:rPr>
        <w:t>661</w:t>
      </w:r>
      <w:r w:rsidR="002570F2" w:rsidRPr="00C72AB5">
        <w:rPr>
          <w:rFonts w:ascii="GHEA Grapalat" w:eastAsia="Calibri" w:hAnsi="GHEA Grapalat" w:cs="Arial"/>
          <w:sz w:val="24"/>
          <w:szCs w:val="24"/>
          <w:lang w:eastAsia="en-US"/>
        </w:rPr>
        <w:t xml:space="preserve"> գիտական </w:t>
      </w:r>
      <w:r w:rsidR="002B50A0" w:rsidRPr="00C72AB5">
        <w:rPr>
          <w:rFonts w:ascii="GHEA Grapalat" w:eastAsia="Calibri" w:hAnsi="GHEA Grapalat" w:cs="Arial"/>
          <w:sz w:val="24"/>
          <w:szCs w:val="24"/>
          <w:lang w:eastAsia="en-US"/>
        </w:rPr>
        <w:t>հրապարակումներ</w:t>
      </w:r>
      <w:r w:rsidR="00D372D4" w:rsidRPr="00C72AB5">
        <w:rPr>
          <w:rFonts w:ascii="GHEA Grapalat" w:eastAsia="Calibri" w:hAnsi="GHEA Grapalat" w:cs="Arial"/>
          <w:sz w:val="24"/>
          <w:szCs w:val="24"/>
          <w:lang w:eastAsia="en-US"/>
        </w:rPr>
        <w:t xml:space="preserve"> (</w:t>
      </w:r>
      <w:r w:rsidR="001D4A32" w:rsidRPr="00C72AB5">
        <w:rPr>
          <w:rFonts w:ascii="GHEA Grapalat" w:hAnsi="GHEA Grapalat" w:cs="GHEA Grapalat"/>
          <w:sz w:val="24"/>
          <w:szCs w:val="24"/>
        </w:rPr>
        <w:t>տե՛ս</w:t>
      </w:r>
      <w:r w:rsidR="001D4A32">
        <w:rPr>
          <w:rFonts w:ascii="GHEA Grapalat" w:hAnsi="GHEA Grapalat" w:cs="GHEA Grapalat"/>
          <w:sz w:val="24"/>
          <w:szCs w:val="24"/>
        </w:rPr>
        <w:t xml:space="preserve">, </w:t>
      </w:r>
      <w:r w:rsidR="005F7C93" w:rsidRPr="00C72AB5">
        <w:rPr>
          <w:rFonts w:ascii="GHEA Grapalat" w:eastAsia="Calibri" w:hAnsi="GHEA Grapalat" w:cs="Arial"/>
          <w:sz w:val="24"/>
          <w:szCs w:val="24"/>
          <w:lang w:eastAsia="en-US"/>
        </w:rPr>
        <w:t>Գծապատկեր</w:t>
      </w:r>
      <w:r w:rsidR="00D372D4" w:rsidRPr="00C72AB5">
        <w:rPr>
          <w:rFonts w:ascii="GHEA Grapalat" w:eastAsia="Calibri" w:hAnsi="GHEA Grapalat" w:cs="Arial"/>
          <w:sz w:val="24"/>
          <w:szCs w:val="24"/>
          <w:lang w:eastAsia="en-US"/>
        </w:rPr>
        <w:t xml:space="preserve"> 22 և 2</w:t>
      </w:r>
      <w:r w:rsidR="000A65F2" w:rsidRPr="00C72AB5">
        <w:rPr>
          <w:rFonts w:ascii="GHEA Grapalat" w:eastAsia="Calibri" w:hAnsi="GHEA Grapalat" w:cs="Arial"/>
          <w:sz w:val="24"/>
          <w:szCs w:val="24"/>
          <w:lang w:eastAsia="en-US"/>
        </w:rPr>
        <w:t>3</w:t>
      </w:r>
      <w:r w:rsidR="00D372D4" w:rsidRPr="00C72AB5">
        <w:rPr>
          <w:rFonts w:ascii="GHEA Grapalat" w:eastAsia="Calibri" w:hAnsi="GHEA Grapalat" w:cs="Arial"/>
          <w:sz w:val="24"/>
          <w:szCs w:val="24"/>
          <w:lang w:eastAsia="en-US"/>
        </w:rPr>
        <w:t>)</w:t>
      </w:r>
      <w:r w:rsidR="00C50F64" w:rsidRPr="00C72AB5">
        <w:rPr>
          <w:rFonts w:ascii="GHEA Grapalat" w:eastAsia="Calibri" w:hAnsi="GHEA Grapalat" w:cs="Arial"/>
          <w:sz w:val="24"/>
          <w:szCs w:val="24"/>
          <w:lang w:eastAsia="en-US"/>
        </w:rPr>
        <w:t xml:space="preserve">, որոնցից </w:t>
      </w:r>
      <w:r w:rsidR="00507BE2" w:rsidRPr="00C72AB5">
        <w:rPr>
          <w:rFonts w:ascii="GHEA Grapalat" w:eastAsia="Calibri" w:hAnsi="GHEA Grapalat" w:cs="Arial"/>
          <w:sz w:val="24"/>
          <w:szCs w:val="24"/>
          <w:lang w:eastAsia="en-US"/>
        </w:rPr>
        <w:t xml:space="preserve">համապատասխանաբար </w:t>
      </w:r>
      <w:r w:rsidR="00C50F64" w:rsidRPr="00C72AB5">
        <w:rPr>
          <w:rFonts w:ascii="GHEA Grapalat" w:eastAsia="Calibri" w:hAnsi="GHEA Grapalat" w:cs="Arial"/>
          <w:sz w:val="24"/>
          <w:szCs w:val="24"/>
          <w:lang w:eastAsia="en-US"/>
        </w:rPr>
        <w:t>378 և 93 -ը ԱԳ ունեցող պարբերականներում</w:t>
      </w:r>
      <w:r w:rsidR="001D4A32">
        <w:rPr>
          <w:rFonts w:ascii="GHEA Grapalat" w:eastAsia="Calibri" w:hAnsi="GHEA Grapalat" w:cs="Arial"/>
          <w:sz w:val="24"/>
          <w:szCs w:val="24"/>
          <w:lang w:eastAsia="en-US"/>
        </w:rPr>
        <w:t>․</w:t>
      </w:r>
    </w:p>
    <w:p w14:paraId="0B401FDA" w14:textId="3A7E60CF" w:rsidR="00DD25AD" w:rsidRPr="00C72AB5" w:rsidRDefault="00C50F64" w:rsidP="0049437D">
      <w:pPr>
        <w:tabs>
          <w:tab w:val="left" w:pos="851"/>
        </w:tabs>
        <w:spacing w:line="276" w:lineRule="auto"/>
        <w:jc w:val="both"/>
        <w:rPr>
          <w:rFonts w:ascii="GHEA Grapalat" w:hAnsi="GHEA Grapalat" w:cs="Arial"/>
          <w:sz w:val="24"/>
          <w:szCs w:val="24"/>
          <w:highlight w:val="yellow"/>
        </w:rPr>
      </w:pPr>
      <w:r w:rsidRPr="00C72AB5">
        <w:rPr>
          <w:noProof/>
          <w:lang w:val="en-US" w:eastAsia="en-US"/>
        </w:rPr>
        <w:drawing>
          <wp:inline distT="0" distB="0" distL="0" distR="0" wp14:anchorId="1D54C496" wp14:editId="72963107">
            <wp:extent cx="6119495" cy="2209800"/>
            <wp:effectExtent l="0" t="0" r="0" b="0"/>
            <wp:docPr id="465289441" name="Chart 1">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r w:rsidR="00011D1A" w:rsidRPr="00C72AB5">
        <w:rPr>
          <w:rFonts w:ascii="GHEA Grapalat" w:hAnsi="GHEA Grapalat" w:cs="Arial"/>
          <w:sz w:val="24"/>
          <w:szCs w:val="24"/>
          <w:highlight w:val="yellow"/>
        </w:rPr>
        <w:t xml:space="preserve"> </w:t>
      </w:r>
    </w:p>
    <w:p w14:paraId="371C3924" w14:textId="77777777" w:rsidR="00DD25AD" w:rsidRPr="00C72AB5" w:rsidRDefault="00DD25AD" w:rsidP="0049437D">
      <w:pPr>
        <w:tabs>
          <w:tab w:val="left" w:pos="851"/>
        </w:tabs>
        <w:spacing w:line="276" w:lineRule="auto"/>
        <w:jc w:val="both"/>
        <w:rPr>
          <w:rFonts w:ascii="GHEA Grapalat" w:hAnsi="GHEA Grapalat" w:cs="Arial"/>
        </w:rPr>
      </w:pPr>
    </w:p>
    <w:p w14:paraId="211F8154" w14:textId="7211AB13" w:rsidR="009E1D71" w:rsidRPr="00C72AB5" w:rsidRDefault="005F7C93" w:rsidP="0059171B">
      <w:pPr>
        <w:tabs>
          <w:tab w:val="left" w:pos="851"/>
        </w:tabs>
        <w:ind w:left="567" w:hanging="567"/>
        <w:jc w:val="both"/>
        <w:rPr>
          <w:rFonts w:ascii="GHEA Grapalat" w:hAnsi="GHEA Grapalat" w:cs="Arial"/>
        </w:rPr>
      </w:pPr>
      <w:r w:rsidRPr="00C72AB5">
        <w:rPr>
          <w:rFonts w:ascii="GHEA Grapalat" w:hAnsi="GHEA Grapalat" w:cs="Arial"/>
          <w:b/>
        </w:rPr>
        <w:t>Գծապատկեր</w:t>
      </w:r>
      <w:r w:rsidR="00011D1A" w:rsidRPr="00C72AB5">
        <w:rPr>
          <w:rFonts w:ascii="GHEA Grapalat" w:hAnsi="GHEA Grapalat" w:cs="Arial"/>
          <w:b/>
        </w:rPr>
        <w:t xml:space="preserve"> </w:t>
      </w:r>
      <w:r w:rsidR="008F575B" w:rsidRPr="00C72AB5">
        <w:rPr>
          <w:rFonts w:ascii="GHEA Grapalat" w:hAnsi="GHEA Grapalat" w:cs="Arial"/>
          <w:b/>
        </w:rPr>
        <w:t>2</w:t>
      </w:r>
      <w:r w:rsidR="00FC614D" w:rsidRPr="00C72AB5">
        <w:rPr>
          <w:rFonts w:ascii="GHEA Grapalat" w:hAnsi="GHEA Grapalat" w:cs="Arial"/>
          <w:b/>
        </w:rPr>
        <w:t>2</w:t>
      </w:r>
      <w:r w:rsidR="005359D9" w:rsidRPr="00C72AB5">
        <w:rPr>
          <w:rFonts w:ascii="GHEA Grapalat" w:hAnsi="GHEA Grapalat" w:cs="Arial"/>
        </w:rPr>
        <w:t>.</w:t>
      </w:r>
      <w:r w:rsidR="00011D1A" w:rsidRPr="00C72AB5">
        <w:rPr>
          <w:rFonts w:ascii="GHEA Grapalat" w:hAnsi="GHEA Grapalat" w:cs="Arial"/>
        </w:rPr>
        <w:t xml:space="preserve"> Հայաստանի գիտահետազոտական կազմակերպությունների և բուհերի կողմից 201</w:t>
      </w:r>
      <w:r w:rsidR="00507BE2" w:rsidRPr="00C72AB5">
        <w:rPr>
          <w:rFonts w:ascii="GHEA Grapalat" w:hAnsi="GHEA Grapalat" w:cs="Arial"/>
        </w:rPr>
        <w:t>5</w:t>
      </w:r>
      <w:r w:rsidR="00011D1A" w:rsidRPr="00C72AB5">
        <w:rPr>
          <w:rFonts w:ascii="GHEA Grapalat" w:hAnsi="GHEA Grapalat" w:cs="Arial"/>
        </w:rPr>
        <w:t>-202</w:t>
      </w:r>
      <w:r w:rsidR="00507BE2" w:rsidRPr="00C72AB5">
        <w:rPr>
          <w:rFonts w:ascii="GHEA Grapalat" w:hAnsi="GHEA Grapalat" w:cs="Arial"/>
        </w:rPr>
        <w:t>4</w:t>
      </w:r>
      <w:r w:rsidR="00011D1A" w:rsidRPr="00C72AB5">
        <w:rPr>
          <w:rFonts w:ascii="Calibri" w:hAnsi="Calibri" w:cs="Calibri"/>
        </w:rPr>
        <w:t> </w:t>
      </w:r>
      <w:r w:rsidR="00011D1A" w:rsidRPr="00C72AB5">
        <w:rPr>
          <w:rFonts w:ascii="GHEA Grapalat" w:hAnsi="GHEA Grapalat" w:cs="GHEA Grapalat"/>
        </w:rPr>
        <w:t>թվականներին</w:t>
      </w:r>
      <w:r w:rsidR="00011D1A" w:rsidRPr="00C72AB5">
        <w:rPr>
          <w:rFonts w:ascii="GHEA Grapalat" w:hAnsi="GHEA Grapalat" w:cs="Arial"/>
        </w:rPr>
        <w:t xml:space="preserve"> </w:t>
      </w:r>
      <w:r w:rsidR="00011D1A" w:rsidRPr="00C72AB5">
        <w:rPr>
          <w:rFonts w:ascii="GHEA Grapalat" w:hAnsi="GHEA Grapalat" w:cs="GHEA Grapalat"/>
        </w:rPr>
        <w:t>հրապարակած</w:t>
      </w:r>
      <w:r w:rsidR="00011D1A" w:rsidRPr="00C72AB5">
        <w:rPr>
          <w:rFonts w:ascii="GHEA Grapalat" w:hAnsi="GHEA Grapalat" w:cs="Arial"/>
        </w:rPr>
        <w:t xml:space="preserve"> </w:t>
      </w:r>
      <w:r w:rsidR="00011D1A" w:rsidRPr="00C72AB5">
        <w:rPr>
          <w:rFonts w:ascii="GHEA Grapalat" w:hAnsi="GHEA Grapalat" w:cs="GHEA Grapalat"/>
        </w:rPr>
        <w:t>գիտական</w:t>
      </w:r>
      <w:r w:rsidR="00011D1A" w:rsidRPr="00C72AB5">
        <w:rPr>
          <w:rFonts w:ascii="GHEA Grapalat" w:hAnsi="GHEA Grapalat" w:cs="Arial"/>
        </w:rPr>
        <w:t xml:space="preserve"> </w:t>
      </w:r>
      <w:r w:rsidR="00507BE2" w:rsidRPr="00C72AB5">
        <w:rPr>
          <w:rFonts w:ascii="GHEA Grapalat" w:hAnsi="GHEA Grapalat" w:cs="GHEA Grapalat"/>
        </w:rPr>
        <w:t>աշխատանքների</w:t>
      </w:r>
      <w:r w:rsidR="00011D1A" w:rsidRPr="00C72AB5">
        <w:rPr>
          <w:rFonts w:ascii="GHEA Grapalat" w:hAnsi="GHEA Grapalat" w:cs="Arial"/>
        </w:rPr>
        <w:t xml:space="preserve"> </w:t>
      </w:r>
      <w:r w:rsidR="00011D1A" w:rsidRPr="00C72AB5">
        <w:rPr>
          <w:rFonts w:ascii="GHEA Grapalat" w:hAnsi="GHEA Grapalat" w:cs="GHEA Grapalat"/>
        </w:rPr>
        <w:t>քանակը</w:t>
      </w:r>
      <w:r w:rsidR="00011D1A" w:rsidRPr="00C72AB5">
        <w:rPr>
          <w:rFonts w:ascii="GHEA Grapalat" w:hAnsi="GHEA Grapalat" w:cs="Arial"/>
        </w:rPr>
        <w:t xml:space="preserve"> </w:t>
      </w:r>
      <w:r w:rsidR="00011D1A" w:rsidRPr="00C72AB5">
        <w:rPr>
          <w:rFonts w:ascii="GHEA Grapalat" w:hAnsi="GHEA Grapalat" w:cs="GHEA Grapalat"/>
        </w:rPr>
        <w:t>հասարակական</w:t>
      </w:r>
      <w:r w:rsidR="00011D1A" w:rsidRPr="00C72AB5">
        <w:rPr>
          <w:rFonts w:ascii="GHEA Grapalat" w:hAnsi="GHEA Grapalat" w:cs="Arial"/>
        </w:rPr>
        <w:t xml:space="preserve"> </w:t>
      </w:r>
      <w:r w:rsidR="00011D1A" w:rsidRPr="00C72AB5">
        <w:rPr>
          <w:rFonts w:ascii="GHEA Grapalat" w:hAnsi="GHEA Grapalat" w:cs="GHEA Grapalat"/>
        </w:rPr>
        <w:t>և</w:t>
      </w:r>
      <w:r w:rsidR="00011D1A" w:rsidRPr="00C72AB5">
        <w:rPr>
          <w:rFonts w:ascii="GHEA Grapalat" w:hAnsi="GHEA Grapalat" w:cs="Arial"/>
        </w:rPr>
        <w:t xml:space="preserve"> </w:t>
      </w:r>
      <w:r w:rsidR="00011D1A" w:rsidRPr="00C72AB5">
        <w:rPr>
          <w:rFonts w:ascii="GHEA Grapalat" w:hAnsi="GHEA Grapalat" w:cs="GHEA Grapalat"/>
        </w:rPr>
        <w:t>հումանիտար</w:t>
      </w:r>
      <w:r w:rsidR="00011D1A" w:rsidRPr="00C72AB5">
        <w:rPr>
          <w:rFonts w:ascii="GHEA Grapalat" w:hAnsi="GHEA Grapalat" w:cs="Arial"/>
        </w:rPr>
        <w:t xml:space="preserve"> </w:t>
      </w:r>
      <w:r w:rsidR="00507BE2" w:rsidRPr="00C72AB5">
        <w:rPr>
          <w:rFonts w:ascii="GHEA Grapalat" w:hAnsi="GHEA Grapalat" w:cs="Arial"/>
        </w:rPr>
        <w:t xml:space="preserve">գիտությունների </w:t>
      </w:r>
      <w:r w:rsidR="00011D1A" w:rsidRPr="00C72AB5">
        <w:rPr>
          <w:rFonts w:ascii="GHEA Grapalat" w:hAnsi="GHEA Grapalat" w:cs="GHEA Grapalat"/>
        </w:rPr>
        <w:t>բնագավառներ</w:t>
      </w:r>
      <w:r w:rsidR="00011D1A" w:rsidRPr="00C72AB5">
        <w:rPr>
          <w:rFonts w:ascii="GHEA Grapalat" w:hAnsi="GHEA Grapalat" w:cs="Arial"/>
        </w:rPr>
        <w:t>ում</w:t>
      </w:r>
      <w:r w:rsidR="00887E3F" w:rsidRPr="00C72AB5">
        <w:rPr>
          <w:rStyle w:val="FootnoteReference"/>
          <w:rFonts w:ascii="GHEA Grapalat" w:hAnsi="GHEA Grapalat" w:cs="Arial"/>
        </w:rPr>
        <w:footnoteReference w:id="63"/>
      </w:r>
      <w:r w:rsidR="00011D1A" w:rsidRPr="00C72AB5">
        <w:rPr>
          <w:rFonts w:ascii="GHEA Grapalat" w:hAnsi="GHEA Grapalat" w:cs="Arial"/>
        </w:rPr>
        <w:t xml:space="preserve"> </w:t>
      </w:r>
    </w:p>
    <w:p w14:paraId="42A6864D" w14:textId="77777777" w:rsidR="00A23F7C" w:rsidRPr="00C72AB5" w:rsidRDefault="00A23F7C" w:rsidP="0049437D">
      <w:pPr>
        <w:tabs>
          <w:tab w:val="left" w:pos="851"/>
        </w:tabs>
        <w:spacing w:line="276" w:lineRule="auto"/>
        <w:ind w:left="1418" w:hanging="1418"/>
        <w:jc w:val="both"/>
        <w:rPr>
          <w:rFonts w:ascii="GHEA Grapalat" w:hAnsi="GHEA Grapalat" w:cs="Arial"/>
          <w:sz w:val="24"/>
          <w:szCs w:val="24"/>
          <w:highlight w:val="yellow"/>
        </w:rPr>
      </w:pPr>
    </w:p>
    <w:p w14:paraId="25AC83B8" w14:textId="67CF4B2A" w:rsidR="000A65F2" w:rsidRPr="00C72AB5" w:rsidRDefault="00EC7ACE" w:rsidP="0049437D">
      <w:pPr>
        <w:tabs>
          <w:tab w:val="left" w:pos="851"/>
        </w:tabs>
        <w:spacing w:line="276" w:lineRule="auto"/>
        <w:jc w:val="both"/>
        <w:rPr>
          <w:rFonts w:ascii="GHEA Grapalat" w:hAnsi="GHEA Grapalat"/>
          <w:sz w:val="24"/>
          <w:szCs w:val="24"/>
          <w:highlight w:val="yellow"/>
          <w:lang w:eastAsia="en-US"/>
        </w:rPr>
      </w:pPr>
      <w:r w:rsidRPr="00C72AB5">
        <w:rPr>
          <w:noProof/>
          <w:lang w:val="en-US" w:eastAsia="en-US"/>
        </w:rPr>
        <w:lastRenderedPageBreak/>
        <mc:AlternateContent>
          <mc:Choic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Requires="cx1">
            <w:drawing>
              <wp:inline distT="0" distB="0" distL="0" distR="0" wp14:anchorId="16837987" wp14:editId="1D7BF0D1">
                <wp:extent cx="6119495" cy="2724150"/>
                <wp:effectExtent l="0" t="0" r="14605" b="0"/>
                <wp:docPr id="1136428465" name="Chart 1">
                  <a:extLst xmlns:a="http://schemas.openxmlformats.org/drawingml/2006/main">
                    <a:ext uri="{FF2B5EF4-FFF2-40B4-BE49-F238E27FC236}">
                      <a16:creationId xmlns:a16="http://schemas.microsoft.com/office/drawing/2014/main" id="{00000000-0008-0000-0200-000002000000}"/>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40"/>
                  </a:graphicData>
                </a:graphic>
              </wp:inline>
            </w:drawing>
          </mc:Choice>
          <mc:Fallback>
            <w:drawing>
              <wp:inline distT="0" distB="0" distL="0" distR="0" wp14:anchorId="16837987" wp14:editId="1D7BF0D1">
                <wp:extent cx="6119495" cy="2724150"/>
                <wp:effectExtent l="0" t="0" r="14605" b="0"/>
                <wp:docPr id="1136428465" name="Chart 1">
                  <a:extLst xmlns:a="http://schemas.openxmlformats.org/drawingml/2006/main">
                    <a:ext uri="{FF2B5EF4-FFF2-40B4-BE49-F238E27FC236}">
                      <a16:creationId xmlns:a16="http://schemas.microsoft.com/office/drawing/2014/main" id="{00000000-0008-0000-0200-000002000000}"/>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136428465" name="Chart 1">
                          <a:extLst>
                            <a:ext uri="{FF2B5EF4-FFF2-40B4-BE49-F238E27FC236}">
                              <a16:creationId xmlns:a16="http://schemas.microsoft.com/office/drawing/2014/main" id="{00000000-0008-0000-0200-000002000000}"/>
                            </a:ext>
                          </a:extLst>
                        </pic:cNvPr>
                        <pic:cNvPicPr>
                          <a:picLocks noGrp="1" noRot="1" noChangeAspect="1" noMove="1" noResize="1" noEditPoints="1" noAdjustHandles="1" noChangeArrowheads="1" noChangeShapeType="1"/>
                        </pic:cNvPicPr>
                      </pic:nvPicPr>
                      <pic:blipFill>
                        <a:blip r:embed="rId41"/>
                        <a:stretch>
                          <a:fillRect/>
                        </a:stretch>
                      </pic:blipFill>
                      <pic:spPr>
                        <a:xfrm>
                          <a:off x="0" y="0"/>
                          <a:ext cx="6119495" cy="2724150"/>
                        </a:xfrm>
                        <a:prstGeom prst="rect">
                          <a:avLst/>
                        </a:prstGeom>
                      </pic:spPr>
                    </pic:pic>
                  </a:graphicData>
                </a:graphic>
              </wp:inline>
            </w:drawing>
          </mc:Fallback>
        </mc:AlternateContent>
      </w:r>
    </w:p>
    <w:p w14:paraId="6BA31A80" w14:textId="1EDB63D5" w:rsidR="000A65F2" w:rsidRDefault="005F7C93" w:rsidP="0059171B">
      <w:pPr>
        <w:tabs>
          <w:tab w:val="left" w:pos="851"/>
        </w:tabs>
        <w:ind w:left="567" w:hanging="567"/>
        <w:jc w:val="both"/>
        <w:rPr>
          <w:rFonts w:ascii="GHEA Grapalat" w:hAnsi="GHEA Grapalat" w:cs="Arial"/>
        </w:rPr>
      </w:pPr>
      <w:r w:rsidRPr="00C72AB5">
        <w:rPr>
          <w:rFonts w:ascii="GHEA Grapalat" w:hAnsi="GHEA Grapalat" w:cs="Arial"/>
          <w:b/>
        </w:rPr>
        <w:t>Գծապատկեր</w:t>
      </w:r>
      <w:r w:rsidR="000A65F2" w:rsidRPr="00C72AB5">
        <w:rPr>
          <w:rFonts w:ascii="GHEA Grapalat" w:hAnsi="GHEA Grapalat" w:cs="Arial"/>
          <w:b/>
        </w:rPr>
        <w:t xml:space="preserve"> </w:t>
      </w:r>
      <w:r w:rsidR="008F575B" w:rsidRPr="00C72AB5">
        <w:rPr>
          <w:rFonts w:ascii="GHEA Grapalat" w:hAnsi="GHEA Grapalat" w:cs="Arial"/>
          <w:b/>
        </w:rPr>
        <w:t>2</w:t>
      </w:r>
      <w:r w:rsidR="00FC614D" w:rsidRPr="00C72AB5">
        <w:rPr>
          <w:rFonts w:ascii="GHEA Grapalat" w:hAnsi="GHEA Grapalat" w:cs="Arial"/>
          <w:b/>
        </w:rPr>
        <w:t>3</w:t>
      </w:r>
      <w:r w:rsidR="005359D9" w:rsidRPr="00C72AB5">
        <w:rPr>
          <w:rFonts w:ascii="GHEA Grapalat" w:hAnsi="GHEA Grapalat" w:cs="Arial"/>
        </w:rPr>
        <w:t>.</w:t>
      </w:r>
      <w:r w:rsidR="000A65F2" w:rsidRPr="00C72AB5">
        <w:rPr>
          <w:rFonts w:ascii="GHEA Grapalat" w:hAnsi="GHEA Grapalat" w:cs="Arial"/>
        </w:rPr>
        <w:t xml:space="preserve"> Հայաստանի գիտահետազոտական կազմակերպությունների և բուհերի կողմից 201</w:t>
      </w:r>
      <w:r w:rsidR="00EC7ACE" w:rsidRPr="00C72AB5">
        <w:rPr>
          <w:rFonts w:ascii="GHEA Grapalat" w:hAnsi="GHEA Grapalat" w:cs="Arial"/>
        </w:rPr>
        <w:t>5</w:t>
      </w:r>
      <w:r w:rsidR="000A65F2" w:rsidRPr="00C72AB5">
        <w:rPr>
          <w:rFonts w:ascii="GHEA Grapalat" w:hAnsi="GHEA Grapalat" w:cs="Arial"/>
        </w:rPr>
        <w:t>-202</w:t>
      </w:r>
      <w:r w:rsidR="00EC7ACE" w:rsidRPr="00C72AB5">
        <w:rPr>
          <w:rFonts w:ascii="GHEA Grapalat" w:hAnsi="GHEA Grapalat" w:cs="Arial"/>
        </w:rPr>
        <w:t>4</w:t>
      </w:r>
      <w:r w:rsidR="000A65F2" w:rsidRPr="00C72AB5">
        <w:rPr>
          <w:rFonts w:ascii="Calibri" w:hAnsi="Calibri" w:cs="Calibri"/>
        </w:rPr>
        <w:t> </w:t>
      </w:r>
      <w:r w:rsidR="000A65F2" w:rsidRPr="00C72AB5">
        <w:rPr>
          <w:rFonts w:ascii="GHEA Grapalat" w:hAnsi="GHEA Grapalat" w:cs="GHEA Grapalat"/>
        </w:rPr>
        <w:t>թվականներին</w:t>
      </w:r>
      <w:r w:rsidR="000A65F2" w:rsidRPr="00C72AB5">
        <w:rPr>
          <w:rFonts w:ascii="GHEA Grapalat" w:hAnsi="GHEA Grapalat" w:cs="Arial"/>
        </w:rPr>
        <w:t xml:space="preserve"> </w:t>
      </w:r>
      <w:r w:rsidR="000A65F2" w:rsidRPr="00C72AB5">
        <w:rPr>
          <w:rFonts w:ascii="GHEA Grapalat" w:hAnsi="GHEA Grapalat" w:cs="GHEA Grapalat"/>
        </w:rPr>
        <w:t>գիտական</w:t>
      </w:r>
      <w:r w:rsidR="000A65F2" w:rsidRPr="00C72AB5">
        <w:rPr>
          <w:rFonts w:ascii="GHEA Grapalat" w:hAnsi="GHEA Grapalat" w:cs="Arial"/>
        </w:rPr>
        <w:t xml:space="preserve"> </w:t>
      </w:r>
      <w:r w:rsidR="00EC7ACE" w:rsidRPr="00C72AB5">
        <w:rPr>
          <w:rFonts w:ascii="GHEA Grapalat" w:hAnsi="GHEA Grapalat" w:cs="GHEA Grapalat"/>
        </w:rPr>
        <w:t>հրապարակումների</w:t>
      </w:r>
      <w:r w:rsidR="000A65F2" w:rsidRPr="00C72AB5">
        <w:rPr>
          <w:rFonts w:ascii="GHEA Grapalat" w:hAnsi="GHEA Grapalat" w:cs="Arial"/>
        </w:rPr>
        <w:t xml:space="preserve"> </w:t>
      </w:r>
      <w:r w:rsidR="000A65F2" w:rsidRPr="00C72AB5">
        <w:rPr>
          <w:rFonts w:ascii="GHEA Grapalat" w:hAnsi="GHEA Grapalat" w:cs="GHEA Grapalat"/>
        </w:rPr>
        <w:t>քանակը</w:t>
      </w:r>
      <w:r w:rsidR="000A65F2" w:rsidRPr="00C72AB5">
        <w:rPr>
          <w:rFonts w:ascii="GHEA Grapalat" w:hAnsi="GHEA Grapalat" w:cs="Arial"/>
        </w:rPr>
        <w:t xml:space="preserve"> </w:t>
      </w:r>
      <w:r w:rsidR="000A65F2" w:rsidRPr="00C72AB5">
        <w:rPr>
          <w:rFonts w:ascii="GHEA Grapalat" w:hAnsi="GHEA Grapalat" w:cs="GHEA Grapalat"/>
        </w:rPr>
        <w:t>հասարակական</w:t>
      </w:r>
      <w:r w:rsidR="000A65F2" w:rsidRPr="00C72AB5">
        <w:rPr>
          <w:rFonts w:ascii="GHEA Grapalat" w:hAnsi="GHEA Grapalat" w:cs="Arial"/>
        </w:rPr>
        <w:t xml:space="preserve"> </w:t>
      </w:r>
      <w:r w:rsidR="000A65F2" w:rsidRPr="00C72AB5">
        <w:rPr>
          <w:rFonts w:ascii="GHEA Grapalat" w:hAnsi="GHEA Grapalat" w:cs="GHEA Grapalat"/>
        </w:rPr>
        <w:t>և</w:t>
      </w:r>
      <w:r w:rsidR="000A65F2" w:rsidRPr="00C72AB5">
        <w:rPr>
          <w:rFonts w:ascii="GHEA Grapalat" w:hAnsi="GHEA Grapalat" w:cs="Arial"/>
        </w:rPr>
        <w:t xml:space="preserve"> </w:t>
      </w:r>
      <w:r w:rsidR="000A65F2" w:rsidRPr="00C72AB5">
        <w:rPr>
          <w:rFonts w:ascii="GHEA Grapalat" w:hAnsi="GHEA Grapalat" w:cs="GHEA Grapalat"/>
        </w:rPr>
        <w:t>հումանիտար</w:t>
      </w:r>
      <w:r w:rsidR="000A65F2" w:rsidRPr="00C72AB5">
        <w:rPr>
          <w:rFonts w:ascii="GHEA Grapalat" w:hAnsi="GHEA Grapalat" w:cs="Arial"/>
        </w:rPr>
        <w:t xml:space="preserve"> </w:t>
      </w:r>
      <w:r w:rsidR="001E1F41" w:rsidRPr="00C72AB5">
        <w:rPr>
          <w:rFonts w:ascii="GHEA Grapalat" w:hAnsi="GHEA Grapalat" w:cs="Arial"/>
        </w:rPr>
        <w:t xml:space="preserve">գիտությունների </w:t>
      </w:r>
      <w:r w:rsidR="000A65F2" w:rsidRPr="00C72AB5">
        <w:rPr>
          <w:rFonts w:ascii="GHEA Grapalat" w:hAnsi="GHEA Grapalat" w:cs="GHEA Grapalat"/>
        </w:rPr>
        <w:t>բնագավառների</w:t>
      </w:r>
      <w:r w:rsidR="000A65F2" w:rsidRPr="00C72AB5">
        <w:rPr>
          <w:rFonts w:ascii="GHEA Grapalat" w:hAnsi="GHEA Grapalat" w:cs="Arial"/>
        </w:rPr>
        <w:t xml:space="preserve"> </w:t>
      </w:r>
      <w:r w:rsidR="000A65F2" w:rsidRPr="00C72AB5">
        <w:rPr>
          <w:rFonts w:ascii="GHEA Grapalat" w:hAnsi="GHEA Grapalat" w:cs="GHEA Grapalat"/>
        </w:rPr>
        <w:t>մասնագիտություններով</w:t>
      </w:r>
      <w:r w:rsidR="000A65F2" w:rsidRPr="00C72AB5">
        <w:rPr>
          <w:rStyle w:val="FootnoteReference"/>
          <w:rFonts w:ascii="GHEA Grapalat" w:hAnsi="GHEA Grapalat" w:cs="Arial"/>
        </w:rPr>
        <w:footnoteReference w:id="64"/>
      </w:r>
      <w:r w:rsidR="000A65F2" w:rsidRPr="00C72AB5">
        <w:rPr>
          <w:rFonts w:ascii="GHEA Grapalat" w:hAnsi="GHEA Grapalat" w:cs="Arial"/>
        </w:rPr>
        <w:t xml:space="preserve"> </w:t>
      </w:r>
    </w:p>
    <w:p w14:paraId="2B9BA84C" w14:textId="77777777" w:rsidR="0059171B" w:rsidRPr="00C72AB5" w:rsidRDefault="0059171B" w:rsidP="0059171B">
      <w:pPr>
        <w:tabs>
          <w:tab w:val="left" w:pos="851"/>
        </w:tabs>
        <w:ind w:left="567" w:hanging="567"/>
        <w:jc w:val="both"/>
        <w:rPr>
          <w:rFonts w:ascii="GHEA Grapalat" w:hAnsi="GHEA Grapalat" w:cs="Arial"/>
          <w:sz w:val="24"/>
          <w:szCs w:val="24"/>
          <w:highlight w:val="yellow"/>
        </w:rPr>
      </w:pPr>
    </w:p>
    <w:p w14:paraId="21B619A3" w14:textId="0F3D4270" w:rsidR="0068584B" w:rsidRPr="00C72AB5" w:rsidRDefault="00162D46" w:rsidP="001C6BC3">
      <w:pPr>
        <w:tabs>
          <w:tab w:val="left" w:pos="851"/>
        </w:tabs>
        <w:spacing w:line="276" w:lineRule="auto"/>
        <w:ind w:firstLine="567"/>
        <w:jc w:val="both"/>
        <w:rPr>
          <w:rFonts w:ascii="GHEA Grapalat" w:hAnsi="GHEA Grapalat" w:cs="GHEA Grapalat"/>
          <w:sz w:val="24"/>
          <w:szCs w:val="24"/>
        </w:rPr>
      </w:pPr>
      <w:r w:rsidRPr="00C72AB5">
        <w:rPr>
          <w:rFonts w:ascii="GHEA Grapalat" w:hAnsi="GHEA Grapalat" w:cs="GHEA Grapalat"/>
          <w:sz w:val="24"/>
          <w:szCs w:val="24"/>
        </w:rPr>
        <w:t xml:space="preserve">7) </w:t>
      </w:r>
      <w:r w:rsidR="001D4A32">
        <w:rPr>
          <w:rFonts w:ascii="GHEA Grapalat" w:hAnsi="GHEA Grapalat" w:cs="GHEA Grapalat"/>
          <w:sz w:val="24"/>
          <w:szCs w:val="24"/>
        </w:rPr>
        <w:t>ի</w:t>
      </w:r>
      <w:r w:rsidR="00D372D4" w:rsidRPr="00C72AB5">
        <w:rPr>
          <w:rFonts w:ascii="GHEA Grapalat" w:hAnsi="GHEA Grapalat" w:cs="GHEA Grapalat"/>
          <w:sz w:val="24"/>
          <w:szCs w:val="24"/>
        </w:rPr>
        <w:t xml:space="preserve">նչպես երևում է </w:t>
      </w:r>
      <w:r w:rsidR="005F7C93" w:rsidRPr="00C72AB5">
        <w:rPr>
          <w:rFonts w:ascii="GHEA Grapalat" w:hAnsi="GHEA Grapalat" w:cs="GHEA Grapalat"/>
          <w:sz w:val="24"/>
          <w:szCs w:val="24"/>
        </w:rPr>
        <w:t>Գծապատկեր</w:t>
      </w:r>
      <w:r w:rsidR="00A23F7C" w:rsidRPr="00C72AB5">
        <w:rPr>
          <w:rFonts w:ascii="GHEA Grapalat" w:hAnsi="GHEA Grapalat" w:cs="GHEA Grapalat"/>
          <w:sz w:val="24"/>
          <w:szCs w:val="24"/>
        </w:rPr>
        <w:t xml:space="preserve"> </w:t>
      </w:r>
      <w:r w:rsidR="00D372D4" w:rsidRPr="00C72AB5">
        <w:rPr>
          <w:rFonts w:ascii="GHEA Grapalat" w:hAnsi="GHEA Grapalat" w:cs="GHEA Grapalat"/>
          <w:sz w:val="24"/>
          <w:szCs w:val="24"/>
        </w:rPr>
        <w:t>2</w:t>
      </w:r>
      <w:r w:rsidR="000A65F2" w:rsidRPr="00C72AB5">
        <w:rPr>
          <w:rFonts w:ascii="GHEA Grapalat" w:hAnsi="GHEA Grapalat" w:cs="GHEA Grapalat"/>
          <w:sz w:val="24"/>
          <w:szCs w:val="24"/>
        </w:rPr>
        <w:t>4</w:t>
      </w:r>
      <w:r w:rsidR="00A23F7C" w:rsidRPr="00C72AB5">
        <w:rPr>
          <w:rFonts w:ascii="GHEA Grapalat" w:hAnsi="GHEA Grapalat" w:cs="GHEA Grapalat"/>
          <w:sz w:val="24"/>
          <w:szCs w:val="24"/>
        </w:rPr>
        <w:t>-</w:t>
      </w:r>
      <w:r w:rsidR="00D372D4" w:rsidRPr="00C72AB5">
        <w:rPr>
          <w:rFonts w:ascii="GHEA Grapalat" w:hAnsi="GHEA Grapalat" w:cs="GHEA Grapalat"/>
          <w:sz w:val="24"/>
          <w:szCs w:val="24"/>
        </w:rPr>
        <w:t>ից,</w:t>
      </w:r>
      <w:r w:rsidR="0068584B" w:rsidRPr="00C72AB5">
        <w:rPr>
          <w:rFonts w:ascii="GHEA Grapalat" w:hAnsi="GHEA Grapalat" w:cs="GHEA Grapalat"/>
          <w:sz w:val="24"/>
          <w:szCs w:val="24"/>
        </w:rPr>
        <w:t xml:space="preserve"> բնակչության համեմատելի քանակությամբ </w:t>
      </w:r>
      <w:r w:rsidR="00D372D4" w:rsidRPr="00C72AB5">
        <w:rPr>
          <w:rFonts w:ascii="GHEA Grapalat" w:hAnsi="GHEA Grapalat" w:cs="GHEA Grapalat"/>
          <w:sz w:val="24"/>
          <w:szCs w:val="24"/>
        </w:rPr>
        <w:t xml:space="preserve">մի շարք </w:t>
      </w:r>
      <w:r w:rsidR="005F5110" w:rsidRPr="00C72AB5">
        <w:rPr>
          <w:rFonts w:ascii="GHEA Grapalat" w:hAnsi="GHEA Grapalat" w:cs="GHEA Grapalat"/>
          <w:sz w:val="24"/>
          <w:szCs w:val="24"/>
        </w:rPr>
        <w:t xml:space="preserve">եվրոպական </w:t>
      </w:r>
      <w:r w:rsidR="00D372D4" w:rsidRPr="00C72AB5">
        <w:rPr>
          <w:rFonts w:ascii="GHEA Grapalat" w:hAnsi="GHEA Grapalat" w:cs="GHEA Grapalat"/>
          <w:sz w:val="24"/>
          <w:szCs w:val="24"/>
        </w:rPr>
        <w:t>երկրներում նշված բնագավառներում հրապարակումների</w:t>
      </w:r>
      <w:r w:rsidR="001D4A32">
        <w:rPr>
          <w:rFonts w:ascii="GHEA Grapalat" w:hAnsi="GHEA Grapalat" w:cs="GHEA Grapalat"/>
          <w:sz w:val="24"/>
          <w:szCs w:val="24"/>
        </w:rPr>
        <w:t xml:space="preserve"> պատկերը տրամագծորեն այլ է․</w:t>
      </w:r>
    </w:p>
    <w:p w14:paraId="3E869317" w14:textId="5FE22253" w:rsidR="00585066" w:rsidRPr="00C72AB5" w:rsidRDefault="00897382" w:rsidP="0049437D">
      <w:pPr>
        <w:tabs>
          <w:tab w:val="left" w:pos="851"/>
        </w:tabs>
        <w:spacing w:line="276" w:lineRule="auto"/>
        <w:jc w:val="center"/>
        <w:rPr>
          <w:rFonts w:ascii="GHEA Grapalat" w:eastAsia="Calibri" w:hAnsi="GHEA Grapalat" w:cs="Arial"/>
          <w:b/>
          <w:sz w:val="24"/>
          <w:szCs w:val="24"/>
          <w:highlight w:val="yellow"/>
          <w:lang w:eastAsia="en-US"/>
        </w:rPr>
      </w:pPr>
      <w:r w:rsidRPr="00C72AB5">
        <w:rPr>
          <w:noProof/>
          <w:lang w:val="en-US" w:eastAsia="en-US"/>
        </w:rPr>
        <w:drawing>
          <wp:inline distT="0" distB="0" distL="0" distR="0" wp14:anchorId="014BB754" wp14:editId="2690E7A7">
            <wp:extent cx="5724525" cy="2142698"/>
            <wp:effectExtent l="0" t="0" r="0" b="0"/>
            <wp:docPr id="1772015370" name="Chart 1">
              <a:extLst xmlns:a="http://schemas.openxmlformats.org/drawingml/2006/main">
                <a:ext uri="{FF2B5EF4-FFF2-40B4-BE49-F238E27FC236}">
                  <a16:creationId xmlns:a16="http://schemas.microsoft.com/office/drawing/2014/main" id="{9E965925-B690-4383-A3FB-B14B8D4EB4F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13842080" w14:textId="0D943D36" w:rsidR="00D372D4" w:rsidRDefault="005F7C93" w:rsidP="0059171B">
      <w:pPr>
        <w:tabs>
          <w:tab w:val="left" w:pos="851"/>
        </w:tabs>
        <w:ind w:left="567" w:hanging="567"/>
        <w:jc w:val="both"/>
        <w:rPr>
          <w:rFonts w:ascii="GHEA Grapalat" w:hAnsi="GHEA Grapalat" w:cs="Arial"/>
        </w:rPr>
      </w:pPr>
      <w:r w:rsidRPr="00C72AB5">
        <w:rPr>
          <w:rFonts w:ascii="GHEA Grapalat" w:hAnsi="GHEA Grapalat" w:cs="Arial"/>
          <w:b/>
        </w:rPr>
        <w:t>Գծապատկեր</w:t>
      </w:r>
      <w:r w:rsidR="0040375A" w:rsidRPr="00C72AB5">
        <w:rPr>
          <w:rFonts w:ascii="GHEA Grapalat" w:hAnsi="GHEA Grapalat" w:cs="Arial"/>
          <w:b/>
        </w:rPr>
        <w:t xml:space="preserve"> </w:t>
      </w:r>
      <w:r w:rsidR="008F575B" w:rsidRPr="00C72AB5">
        <w:rPr>
          <w:rFonts w:ascii="GHEA Grapalat" w:hAnsi="GHEA Grapalat" w:cs="Arial"/>
          <w:b/>
        </w:rPr>
        <w:t>2</w:t>
      </w:r>
      <w:r w:rsidR="00FC614D" w:rsidRPr="00C72AB5">
        <w:rPr>
          <w:rFonts w:ascii="GHEA Grapalat" w:hAnsi="GHEA Grapalat" w:cs="Arial"/>
          <w:b/>
        </w:rPr>
        <w:t>4</w:t>
      </w:r>
      <w:r w:rsidR="005359D9" w:rsidRPr="00C72AB5">
        <w:rPr>
          <w:rFonts w:ascii="GHEA Grapalat" w:hAnsi="GHEA Grapalat" w:cs="Arial"/>
        </w:rPr>
        <w:t>.</w:t>
      </w:r>
      <w:r w:rsidR="0040375A" w:rsidRPr="00C72AB5">
        <w:rPr>
          <w:rFonts w:ascii="GHEA Grapalat" w:hAnsi="GHEA Grapalat" w:cs="Arial"/>
        </w:rPr>
        <w:t xml:space="preserve"> Հայաստանի և բնակչության համեմատելի քանակությամբ այլ երկրների գիտահետազոտական կազմակերպությունների և բուհերի կողմից 201</w:t>
      </w:r>
      <w:r w:rsidR="00466D00" w:rsidRPr="00C72AB5">
        <w:rPr>
          <w:rFonts w:ascii="GHEA Grapalat" w:hAnsi="GHEA Grapalat" w:cs="Arial"/>
        </w:rPr>
        <w:t>5</w:t>
      </w:r>
      <w:r w:rsidR="0040375A" w:rsidRPr="00C72AB5">
        <w:rPr>
          <w:rFonts w:ascii="GHEA Grapalat" w:hAnsi="GHEA Grapalat" w:cs="Arial"/>
        </w:rPr>
        <w:t>-202</w:t>
      </w:r>
      <w:r w:rsidR="00466D00" w:rsidRPr="00C72AB5">
        <w:rPr>
          <w:rFonts w:ascii="GHEA Grapalat" w:hAnsi="GHEA Grapalat" w:cs="Arial"/>
        </w:rPr>
        <w:t>4</w:t>
      </w:r>
      <w:r w:rsidR="00887E3F" w:rsidRPr="00C72AB5">
        <w:rPr>
          <w:rFonts w:ascii="GHEA Grapalat" w:hAnsi="GHEA Grapalat" w:cs="Arial"/>
        </w:rPr>
        <w:t xml:space="preserve"> </w:t>
      </w:r>
      <w:r w:rsidR="0040375A" w:rsidRPr="00C72AB5">
        <w:rPr>
          <w:rFonts w:ascii="GHEA Grapalat" w:hAnsi="GHEA Grapalat" w:cs="GHEA Grapalat"/>
        </w:rPr>
        <w:t>թվականներին</w:t>
      </w:r>
      <w:r w:rsidR="0040375A" w:rsidRPr="00C72AB5">
        <w:rPr>
          <w:rFonts w:ascii="GHEA Grapalat" w:hAnsi="GHEA Grapalat" w:cs="Arial"/>
        </w:rPr>
        <w:t xml:space="preserve"> </w:t>
      </w:r>
      <w:r w:rsidR="0040375A" w:rsidRPr="00C72AB5">
        <w:rPr>
          <w:rFonts w:ascii="GHEA Grapalat" w:hAnsi="GHEA Grapalat" w:cs="GHEA Grapalat"/>
        </w:rPr>
        <w:t>գիտական</w:t>
      </w:r>
      <w:r w:rsidR="0040375A" w:rsidRPr="00C72AB5">
        <w:rPr>
          <w:rFonts w:ascii="GHEA Grapalat" w:hAnsi="GHEA Grapalat" w:cs="Arial"/>
        </w:rPr>
        <w:t xml:space="preserve"> </w:t>
      </w:r>
      <w:r w:rsidR="0040375A" w:rsidRPr="00C72AB5">
        <w:rPr>
          <w:rFonts w:ascii="GHEA Grapalat" w:hAnsi="GHEA Grapalat" w:cs="GHEA Grapalat"/>
        </w:rPr>
        <w:t>հ</w:t>
      </w:r>
      <w:r w:rsidR="00466D00" w:rsidRPr="00C72AB5">
        <w:rPr>
          <w:rFonts w:ascii="GHEA Grapalat" w:hAnsi="GHEA Grapalat" w:cs="GHEA Grapalat"/>
        </w:rPr>
        <w:t>րապարակումների</w:t>
      </w:r>
      <w:r w:rsidR="0040375A" w:rsidRPr="00C72AB5">
        <w:rPr>
          <w:rFonts w:ascii="GHEA Grapalat" w:hAnsi="GHEA Grapalat" w:cs="Arial"/>
        </w:rPr>
        <w:t xml:space="preserve"> </w:t>
      </w:r>
      <w:r w:rsidR="0040375A" w:rsidRPr="00C72AB5">
        <w:rPr>
          <w:rFonts w:ascii="GHEA Grapalat" w:hAnsi="GHEA Grapalat" w:cs="GHEA Grapalat"/>
        </w:rPr>
        <w:t>քանակը</w:t>
      </w:r>
      <w:r w:rsidR="0040375A" w:rsidRPr="00C72AB5">
        <w:rPr>
          <w:rFonts w:ascii="GHEA Grapalat" w:hAnsi="GHEA Grapalat" w:cs="Arial"/>
        </w:rPr>
        <w:t xml:space="preserve"> </w:t>
      </w:r>
      <w:r w:rsidR="0040375A" w:rsidRPr="00C72AB5">
        <w:rPr>
          <w:rFonts w:ascii="GHEA Grapalat" w:hAnsi="GHEA Grapalat" w:cs="GHEA Grapalat"/>
        </w:rPr>
        <w:t>հասարակական</w:t>
      </w:r>
      <w:r w:rsidR="0040375A" w:rsidRPr="00C72AB5">
        <w:rPr>
          <w:rFonts w:ascii="GHEA Grapalat" w:hAnsi="GHEA Grapalat" w:cs="Arial"/>
        </w:rPr>
        <w:t xml:space="preserve"> </w:t>
      </w:r>
      <w:r w:rsidR="0040375A" w:rsidRPr="00C72AB5">
        <w:rPr>
          <w:rFonts w:ascii="GHEA Grapalat" w:hAnsi="GHEA Grapalat" w:cs="GHEA Grapalat"/>
        </w:rPr>
        <w:t>և</w:t>
      </w:r>
      <w:r w:rsidR="0040375A" w:rsidRPr="00C72AB5">
        <w:rPr>
          <w:rFonts w:ascii="GHEA Grapalat" w:hAnsi="GHEA Grapalat" w:cs="Arial"/>
        </w:rPr>
        <w:t xml:space="preserve"> </w:t>
      </w:r>
      <w:r w:rsidR="0040375A" w:rsidRPr="00C72AB5">
        <w:rPr>
          <w:rFonts w:ascii="GHEA Grapalat" w:hAnsi="GHEA Grapalat" w:cs="GHEA Grapalat"/>
        </w:rPr>
        <w:t>հումանիտար</w:t>
      </w:r>
      <w:r w:rsidR="0040375A" w:rsidRPr="00C72AB5">
        <w:rPr>
          <w:rFonts w:ascii="GHEA Grapalat" w:hAnsi="GHEA Grapalat" w:cs="Arial"/>
        </w:rPr>
        <w:t xml:space="preserve"> </w:t>
      </w:r>
      <w:r w:rsidR="0040375A" w:rsidRPr="00C72AB5">
        <w:rPr>
          <w:rFonts w:ascii="GHEA Grapalat" w:hAnsi="GHEA Grapalat" w:cs="GHEA Grapalat"/>
        </w:rPr>
        <w:t>բնագավառներ</w:t>
      </w:r>
      <w:r w:rsidR="0040375A" w:rsidRPr="00C72AB5">
        <w:rPr>
          <w:rFonts w:ascii="GHEA Grapalat" w:hAnsi="GHEA Grapalat" w:cs="Arial"/>
        </w:rPr>
        <w:t>ում:</w:t>
      </w:r>
    </w:p>
    <w:p w14:paraId="24107B32" w14:textId="77777777" w:rsidR="0059171B" w:rsidRPr="0059171B" w:rsidRDefault="0059171B" w:rsidP="0059171B">
      <w:pPr>
        <w:tabs>
          <w:tab w:val="left" w:pos="851"/>
        </w:tabs>
        <w:ind w:left="567" w:hanging="567"/>
        <w:jc w:val="both"/>
        <w:rPr>
          <w:rFonts w:ascii="GHEA Grapalat" w:hAnsi="GHEA Grapalat" w:cs="Arial"/>
        </w:rPr>
      </w:pPr>
    </w:p>
    <w:p w14:paraId="5FAB60D2" w14:textId="5DAA47BD" w:rsidR="0082191B" w:rsidRPr="00C72AB5" w:rsidRDefault="00162D46" w:rsidP="001C6BC3">
      <w:pPr>
        <w:tabs>
          <w:tab w:val="left" w:pos="851"/>
        </w:tabs>
        <w:spacing w:line="276" w:lineRule="auto"/>
        <w:ind w:firstLine="567"/>
        <w:contextualSpacing/>
        <w:jc w:val="both"/>
        <w:rPr>
          <w:rFonts w:ascii="GHEA Grapalat" w:eastAsia="Calibri" w:hAnsi="GHEA Grapalat" w:cs="Arial"/>
          <w:sz w:val="24"/>
          <w:szCs w:val="24"/>
          <w:lang w:eastAsia="en-US"/>
        </w:rPr>
      </w:pPr>
      <w:r w:rsidRPr="00C72AB5">
        <w:rPr>
          <w:rFonts w:ascii="GHEA Grapalat" w:eastAsia="Calibri" w:hAnsi="GHEA Grapalat" w:cs="Arial"/>
          <w:sz w:val="24"/>
          <w:szCs w:val="24"/>
          <w:lang w:eastAsia="en-US"/>
        </w:rPr>
        <w:t xml:space="preserve">8) </w:t>
      </w:r>
      <w:r w:rsidR="004874C5" w:rsidRPr="00C72AB5">
        <w:rPr>
          <w:rFonts w:ascii="GHEA Grapalat" w:eastAsia="Calibri" w:hAnsi="GHEA Grapalat" w:cs="Arial"/>
          <w:sz w:val="24"/>
          <w:szCs w:val="24"/>
          <w:lang w:eastAsia="en-US"/>
        </w:rPr>
        <w:t xml:space="preserve">Հայաստանի Հանրապետության գիտական հրապարակումների </w:t>
      </w:r>
      <w:r w:rsidR="00761E63" w:rsidRPr="00C72AB5">
        <w:rPr>
          <w:rFonts w:ascii="GHEA Grapalat" w:eastAsia="Calibri" w:hAnsi="GHEA Grapalat" w:cs="Arial"/>
          <w:sz w:val="24"/>
          <w:szCs w:val="24"/>
          <w:lang w:eastAsia="en-US"/>
        </w:rPr>
        <w:t>քանակն ըստ 1 միլիոն բնակչության</w:t>
      </w:r>
      <w:r w:rsidR="001C2CEC" w:rsidRPr="00C72AB5">
        <w:rPr>
          <w:rFonts w:ascii="GHEA Grapalat" w:eastAsia="Calibri" w:hAnsi="GHEA Grapalat" w:cs="Arial"/>
          <w:sz w:val="24"/>
          <w:szCs w:val="24"/>
          <w:vertAlign w:val="superscript"/>
          <w:lang w:eastAsia="en-US"/>
        </w:rPr>
        <w:footnoteReference w:id="65"/>
      </w:r>
      <w:r w:rsidR="001C2CEC" w:rsidRPr="00C72AB5">
        <w:rPr>
          <w:rFonts w:ascii="GHEA Grapalat" w:eastAsia="Calibri" w:hAnsi="GHEA Grapalat" w:cs="Arial"/>
          <w:sz w:val="24"/>
          <w:szCs w:val="24"/>
          <w:lang w:eastAsia="en-US"/>
        </w:rPr>
        <w:t xml:space="preserve"> շարունակում է մնալ բարձր ԵՄ արևելյան գործընկերության </w:t>
      </w:r>
      <w:r w:rsidR="00951320" w:rsidRPr="00C72AB5">
        <w:rPr>
          <w:rFonts w:ascii="GHEA Grapalat" w:eastAsia="Calibri" w:hAnsi="GHEA Grapalat" w:cs="Arial"/>
          <w:sz w:val="24"/>
          <w:szCs w:val="24"/>
          <w:lang w:eastAsia="en-US"/>
        </w:rPr>
        <w:t xml:space="preserve">(ԱլԳ) </w:t>
      </w:r>
      <w:r w:rsidR="001C2CEC" w:rsidRPr="00C72AB5">
        <w:rPr>
          <w:rFonts w:ascii="GHEA Grapalat" w:eastAsia="Calibri" w:hAnsi="GHEA Grapalat" w:cs="Arial"/>
          <w:sz w:val="24"/>
          <w:szCs w:val="24"/>
          <w:lang w:eastAsia="en-US"/>
        </w:rPr>
        <w:t xml:space="preserve">պետությունների համեմատ </w:t>
      </w:r>
      <w:r w:rsidR="00E30A17" w:rsidRPr="00C72AB5">
        <w:rPr>
          <w:rFonts w:ascii="GHEA Grapalat" w:eastAsia="Calibri" w:hAnsi="GHEA Grapalat" w:cs="Arial"/>
          <w:sz w:val="24"/>
          <w:szCs w:val="24"/>
          <w:lang w:eastAsia="en-US"/>
        </w:rPr>
        <w:t xml:space="preserve">համաձայն </w:t>
      </w:r>
      <w:r w:rsidR="00C25230" w:rsidRPr="00C72AB5">
        <w:rPr>
          <w:rFonts w:ascii="GHEA Grapalat" w:eastAsia="Calibri" w:hAnsi="GHEA Grapalat" w:cs="Arial"/>
          <w:sz w:val="24"/>
          <w:szCs w:val="24"/>
          <w:lang w:eastAsia="en-US"/>
        </w:rPr>
        <w:t xml:space="preserve">Վեբ օֆ Սայնս </w:t>
      </w:r>
      <w:r w:rsidR="00C25230" w:rsidRPr="000E3D04">
        <w:rPr>
          <w:rFonts w:ascii="GHEA Grapalat" w:eastAsia="Calibri" w:hAnsi="GHEA Grapalat" w:cs="Arial"/>
          <w:sz w:val="24"/>
          <w:szCs w:val="24"/>
          <w:lang w:eastAsia="en-US"/>
        </w:rPr>
        <w:t>(Web of Science</w:t>
      </w:r>
      <w:r w:rsidR="00C25230" w:rsidRPr="00C72AB5">
        <w:rPr>
          <w:rFonts w:ascii="GHEA Grapalat" w:eastAsia="Calibri" w:hAnsi="GHEA Grapalat" w:cs="Arial"/>
          <w:sz w:val="24"/>
          <w:szCs w:val="24"/>
          <w:lang w:eastAsia="en-US"/>
        </w:rPr>
        <w:t>)</w:t>
      </w:r>
      <w:r w:rsidR="00E30A17" w:rsidRPr="00C72AB5">
        <w:rPr>
          <w:rFonts w:ascii="GHEA Grapalat" w:eastAsia="Calibri" w:hAnsi="GHEA Grapalat" w:cs="Arial"/>
          <w:sz w:val="24"/>
          <w:szCs w:val="24"/>
          <w:lang w:eastAsia="en-US"/>
        </w:rPr>
        <w:t xml:space="preserve"> շտեմարանի տվյալների</w:t>
      </w:r>
      <w:r w:rsidR="00E30A17" w:rsidRPr="00C72AB5">
        <w:rPr>
          <w:rFonts w:ascii="GHEA Grapalat" w:hAnsi="GHEA Grapalat" w:cs="Arial"/>
          <w:sz w:val="24"/>
          <w:szCs w:val="24"/>
        </w:rPr>
        <w:t xml:space="preserve"> </w:t>
      </w:r>
      <w:r w:rsidR="001C2CEC" w:rsidRPr="00C72AB5">
        <w:rPr>
          <w:rFonts w:ascii="GHEA Grapalat" w:eastAsia="Calibri" w:hAnsi="GHEA Grapalat" w:cs="Arial"/>
          <w:sz w:val="24"/>
          <w:szCs w:val="24"/>
          <w:lang w:eastAsia="en-US"/>
        </w:rPr>
        <w:t>(տե՛ս</w:t>
      </w:r>
      <w:r w:rsidR="001D4A32">
        <w:rPr>
          <w:rFonts w:ascii="GHEA Grapalat" w:eastAsia="Calibri" w:hAnsi="GHEA Grapalat" w:cs="Arial"/>
          <w:sz w:val="24"/>
          <w:szCs w:val="24"/>
          <w:lang w:eastAsia="en-US"/>
        </w:rPr>
        <w:t>,</w:t>
      </w:r>
      <w:r w:rsidR="001C2CEC" w:rsidRPr="00C72AB5">
        <w:rPr>
          <w:rFonts w:ascii="GHEA Grapalat" w:eastAsia="Calibri" w:hAnsi="GHEA Grapalat" w:cs="Arial"/>
          <w:sz w:val="24"/>
          <w:szCs w:val="24"/>
          <w:lang w:eastAsia="en-US"/>
        </w:rPr>
        <w:t xml:space="preserve"> </w:t>
      </w:r>
      <w:r w:rsidR="005F7C93" w:rsidRPr="00C72AB5">
        <w:rPr>
          <w:rFonts w:ascii="GHEA Grapalat" w:eastAsia="Calibri" w:hAnsi="GHEA Grapalat" w:cs="Arial"/>
          <w:sz w:val="24"/>
          <w:szCs w:val="24"/>
          <w:lang w:eastAsia="en-US"/>
        </w:rPr>
        <w:t>Գծապատկեր</w:t>
      </w:r>
      <w:r w:rsidR="001C2CEC" w:rsidRPr="00C72AB5">
        <w:rPr>
          <w:rFonts w:ascii="GHEA Grapalat" w:eastAsia="Calibri" w:hAnsi="GHEA Grapalat" w:cs="Arial"/>
          <w:sz w:val="24"/>
          <w:szCs w:val="24"/>
          <w:lang w:eastAsia="en-US"/>
        </w:rPr>
        <w:t xml:space="preserve"> </w:t>
      </w:r>
      <w:r w:rsidR="000A65F2" w:rsidRPr="00C72AB5">
        <w:rPr>
          <w:rFonts w:ascii="GHEA Grapalat" w:eastAsia="Calibri" w:hAnsi="GHEA Grapalat" w:cs="Arial"/>
          <w:sz w:val="24"/>
          <w:szCs w:val="24"/>
          <w:lang w:eastAsia="en-US"/>
        </w:rPr>
        <w:t>25</w:t>
      </w:r>
      <w:r w:rsidR="008F3A1B" w:rsidRPr="00C72AB5">
        <w:rPr>
          <w:rFonts w:ascii="GHEA Grapalat" w:eastAsia="Calibri" w:hAnsi="GHEA Grapalat" w:cs="Arial"/>
          <w:sz w:val="24"/>
          <w:szCs w:val="24"/>
          <w:lang w:eastAsia="en-US"/>
        </w:rPr>
        <w:t>)</w:t>
      </w:r>
      <w:r w:rsidR="001D4A32">
        <w:rPr>
          <w:rFonts w:ascii="GHEA Grapalat" w:eastAsia="Calibri" w:hAnsi="GHEA Grapalat" w:cs="Arial"/>
          <w:sz w:val="24"/>
          <w:szCs w:val="24"/>
          <w:lang w:eastAsia="en-US"/>
        </w:rPr>
        <w:t>․</w:t>
      </w:r>
    </w:p>
    <w:p w14:paraId="04C38833" w14:textId="354E3F1B" w:rsidR="00887120" w:rsidRPr="00C72AB5" w:rsidRDefault="00162D46" w:rsidP="0049437D">
      <w:pPr>
        <w:tabs>
          <w:tab w:val="left" w:pos="851"/>
        </w:tabs>
        <w:spacing w:line="276" w:lineRule="auto"/>
        <w:contextualSpacing/>
        <w:jc w:val="both"/>
        <w:rPr>
          <w:rFonts w:ascii="GHEA Grapalat" w:eastAsia="Calibri" w:hAnsi="GHEA Grapalat" w:cs="Arial"/>
          <w:sz w:val="24"/>
          <w:szCs w:val="24"/>
          <w:highlight w:val="yellow"/>
          <w:lang w:eastAsia="en-US"/>
        </w:rPr>
      </w:pPr>
      <w:r w:rsidRPr="00C72AB5">
        <w:rPr>
          <w:noProof/>
          <w:lang w:val="en-US" w:eastAsia="en-US"/>
        </w:rPr>
        <w:lastRenderedPageBreak/>
        <w:drawing>
          <wp:inline distT="0" distB="0" distL="0" distR="0" wp14:anchorId="15D7CA60" wp14:editId="6CC7CD64">
            <wp:extent cx="6119495" cy="2305050"/>
            <wp:effectExtent l="0" t="0" r="0" b="0"/>
            <wp:docPr id="1715951204"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7CD57F7B" w14:textId="214FC992" w:rsidR="0082191B" w:rsidRPr="00C72AB5" w:rsidRDefault="005F7C93" w:rsidP="0059171B">
      <w:pPr>
        <w:tabs>
          <w:tab w:val="left" w:pos="851"/>
        </w:tabs>
        <w:ind w:left="567" w:hanging="567"/>
        <w:jc w:val="both"/>
        <w:rPr>
          <w:rFonts w:ascii="GHEA Grapalat" w:hAnsi="GHEA Grapalat" w:cs="Arial"/>
        </w:rPr>
      </w:pPr>
      <w:r w:rsidRPr="00C72AB5">
        <w:rPr>
          <w:rFonts w:ascii="GHEA Grapalat" w:hAnsi="GHEA Grapalat"/>
          <w:b/>
        </w:rPr>
        <w:t>Գծապատկեր</w:t>
      </w:r>
      <w:r w:rsidR="00887120" w:rsidRPr="00C72AB5">
        <w:rPr>
          <w:rFonts w:ascii="GHEA Grapalat" w:hAnsi="GHEA Grapalat" w:cs="Arial"/>
          <w:b/>
        </w:rPr>
        <w:t xml:space="preserve"> </w:t>
      </w:r>
      <w:r w:rsidR="008F575B" w:rsidRPr="00C72AB5">
        <w:rPr>
          <w:rFonts w:ascii="GHEA Grapalat" w:hAnsi="GHEA Grapalat" w:cs="Arial"/>
          <w:b/>
        </w:rPr>
        <w:t>2</w:t>
      </w:r>
      <w:r w:rsidR="00FC614D" w:rsidRPr="00C72AB5">
        <w:rPr>
          <w:rFonts w:ascii="GHEA Grapalat" w:hAnsi="GHEA Grapalat" w:cs="Arial"/>
          <w:b/>
        </w:rPr>
        <w:t>5</w:t>
      </w:r>
      <w:r w:rsidR="00887120" w:rsidRPr="00C72AB5">
        <w:rPr>
          <w:rFonts w:ascii="GHEA Grapalat" w:hAnsi="GHEA Grapalat" w:cs="Arial"/>
        </w:rPr>
        <w:t>. Արևելյան գործընկերության երկրների 201</w:t>
      </w:r>
      <w:r w:rsidR="00046667" w:rsidRPr="00C72AB5">
        <w:rPr>
          <w:rFonts w:ascii="GHEA Grapalat" w:hAnsi="GHEA Grapalat" w:cs="Arial"/>
        </w:rPr>
        <w:t>5</w:t>
      </w:r>
      <w:r w:rsidR="00887120" w:rsidRPr="00C72AB5">
        <w:rPr>
          <w:rFonts w:ascii="GHEA Grapalat" w:hAnsi="GHEA Grapalat" w:cs="Arial"/>
        </w:rPr>
        <w:t>-20</w:t>
      </w:r>
      <w:r w:rsidR="00EA10A6" w:rsidRPr="00C72AB5">
        <w:rPr>
          <w:rFonts w:ascii="GHEA Grapalat" w:hAnsi="GHEA Grapalat" w:cs="Arial"/>
        </w:rPr>
        <w:t>2</w:t>
      </w:r>
      <w:r w:rsidR="00046667" w:rsidRPr="00C72AB5">
        <w:rPr>
          <w:rFonts w:ascii="GHEA Grapalat" w:hAnsi="GHEA Grapalat" w:cs="Arial"/>
        </w:rPr>
        <w:t>4</w:t>
      </w:r>
      <w:r w:rsidR="00887120" w:rsidRPr="00C72AB5">
        <w:rPr>
          <w:rFonts w:ascii="Calibri" w:hAnsi="Calibri" w:cs="Calibri"/>
        </w:rPr>
        <w:t> </w:t>
      </w:r>
      <w:r w:rsidR="00887120" w:rsidRPr="00C72AB5">
        <w:rPr>
          <w:rFonts w:ascii="GHEA Grapalat" w:hAnsi="GHEA Grapalat" w:cs="GHEA Grapalat"/>
        </w:rPr>
        <w:t>թվա</w:t>
      </w:r>
      <w:r w:rsidR="00887120" w:rsidRPr="00C72AB5">
        <w:rPr>
          <w:rFonts w:ascii="GHEA Grapalat" w:hAnsi="GHEA Grapalat" w:cs="Arial"/>
        </w:rPr>
        <w:t xml:space="preserve">կանների գիտական </w:t>
      </w:r>
      <w:r w:rsidR="00713AFC" w:rsidRPr="00C72AB5">
        <w:rPr>
          <w:rFonts w:ascii="GHEA Grapalat" w:hAnsi="GHEA Grapalat" w:cs="Arial"/>
        </w:rPr>
        <w:t>հրապարակումների</w:t>
      </w:r>
      <w:r w:rsidR="00887120" w:rsidRPr="00C72AB5">
        <w:rPr>
          <w:rFonts w:ascii="GHEA Grapalat" w:hAnsi="GHEA Grapalat" w:cs="Arial"/>
        </w:rPr>
        <w:t xml:space="preserve"> քանակը մեկ միլիոն բնակչության հաշվարկով</w:t>
      </w:r>
      <w:r w:rsidR="00BD4037" w:rsidRPr="00C72AB5">
        <w:rPr>
          <w:rStyle w:val="FootnoteReference"/>
          <w:rFonts w:ascii="GHEA Grapalat" w:hAnsi="GHEA Grapalat" w:cs="Arial"/>
        </w:rPr>
        <w:footnoteReference w:id="66"/>
      </w:r>
    </w:p>
    <w:p w14:paraId="2B8E4667" w14:textId="77777777" w:rsidR="00046667" w:rsidRPr="00B070A7" w:rsidRDefault="00046667" w:rsidP="00713AFC">
      <w:pPr>
        <w:tabs>
          <w:tab w:val="left" w:pos="851"/>
        </w:tabs>
        <w:spacing w:line="276" w:lineRule="auto"/>
        <w:ind w:firstLine="567"/>
        <w:contextualSpacing/>
        <w:jc w:val="both"/>
        <w:rPr>
          <w:rFonts w:ascii="GHEA Grapalat" w:eastAsia="Calibri" w:hAnsi="GHEA Grapalat" w:cs="Arial"/>
          <w:sz w:val="6"/>
          <w:szCs w:val="6"/>
          <w:lang w:eastAsia="en-US"/>
        </w:rPr>
      </w:pPr>
    </w:p>
    <w:p w14:paraId="5EDC7183" w14:textId="5F19E5A9" w:rsidR="00046667" w:rsidRPr="00C72AB5" w:rsidRDefault="001C6BC3" w:rsidP="00046667">
      <w:pPr>
        <w:tabs>
          <w:tab w:val="left" w:pos="851"/>
        </w:tabs>
        <w:spacing w:line="276" w:lineRule="auto"/>
        <w:ind w:firstLine="567"/>
        <w:contextualSpacing/>
        <w:jc w:val="both"/>
        <w:rPr>
          <w:rFonts w:ascii="GHEA Grapalat" w:eastAsia="Calibri" w:hAnsi="GHEA Grapalat" w:cs="Arial"/>
          <w:sz w:val="24"/>
          <w:szCs w:val="24"/>
          <w:lang w:eastAsia="en-US"/>
        </w:rPr>
      </w:pPr>
      <w:r w:rsidRPr="00C72AB5">
        <w:rPr>
          <w:rFonts w:ascii="GHEA Grapalat" w:eastAsia="Calibri" w:hAnsi="GHEA Grapalat" w:cs="Arial"/>
          <w:sz w:val="24"/>
          <w:szCs w:val="24"/>
          <w:lang w:eastAsia="en-US"/>
        </w:rPr>
        <w:t xml:space="preserve">9) </w:t>
      </w:r>
      <w:r w:rsidR="001D4A32">
        <w:rPr>
          <w:rFonts w:ascii="GHEA Grapalat" w:eastAsia="Calibri" w:hAnsi="GHEA Grapalat" w:cs="Arial"/>
          <w:sz w:val="24"/>
          <w:szCs w:val="24"/>
          <w:lang w:eastAsia="en-US"/>
        </w:rPr>
        <w:t>Ս</w:t>
      </w:r>
      <w:r w:rsidR="001D4A32" w:rsidRPr="00C72AB5">
        <w:rPr>
          <w:rFonts w:ascii="GHEA Grapalat" w:eastAsia="Calibri" w:hAnsi="GHEA Grapalat" w:cs="Arial"/>
          <w:sz w:val="24"/>
          <w:szCs w:val="24"/>
          <w:lang w:eastAsia="en-US"/>
        </w:rPr>
        <w:t>ակայն</w:t>
      </w:r>
      <w:r w:rsidR="001D4A32">
        <w:rPr>
          <w:rFonts w:ascii="GHEA Grapalat" w:eastAsia="Calibri" w:hAnsi="GHEA Grapalat" w:cs="Arial"/>
          <w:sz w:val="24"/>
          <w:szCs w:val="24"/>
          <w:lang w:eastAsia="en-US"/>
        </w:rPr>
        <w:t xml:space="preserve"> մ</w:t>
      </w:r>
      <w:r w:rsidR="00046667" w:rsidRPr="00C72AB5">
        <w:rPr>
          <w:rFonts w:ascii="GHEA Grapalat" w:eastAsia="Calibri" w:hAnsi="GHEA Grapalat" w:cs="Arial"/>
          <w:sz w:val="24"/>
          <w:szCs w:val="24"/>
          <w:lang w:eastAsia="en-US"/>
        </w:rPr>
        <w:t xml:space="preserve">իևնույն ժամանակ </w:t>
      </w:r>
      <w:r w:rsidR="00C25230" w:rsidRPr="00C30A31">
        <w:rPr>
          <w:rFonts w:ascii="GHEA Grapalat" w:hAnsi="GHEA Grapalat" w:cs="Arial"/>
          <w:sz w:val="24"/>
          <w:szCs w:val="24"/>
        </w:rPr>
        <w:t>Հայաստանի Հանրապետություն</w:t>
      </w:r>
      <w:r w:rsidR="001D4A32">
        <w:rPr>
          <w:rFonts w:ascii="GHEA Grapalat" w:hAnsi="GHEA Grapalat" w:cs="Arial"/>
          <w:sz w:val="24"/>
          <w:szCs w:val="24"/>
        </w:rPr>
        <w:t>ն</w:t>
      </w:r>
      <w:r w:rsidR="00C25230" w:rsidRPr="00C30A31">
        <w:rPr>
          <w:rFonts w:ascii="GHEA Grapalat" w:hAnsi="GHEA Grapalat" w:cs="Arial"/>
          <w:sz w:val="24"/>
          <w:szCs w:val="24"/>
        </w:rPr>
        <w:t xml:space="preserve"> </w:t>
      </w:r>
      <w:r w:rsidR="00713AFC" w:rsidRPr="00C72AB5">
        <w:rPr>
          <w:rFonts w:ascii="GHEA Grapalat" w:eastAsia="Calibri" w:hAnsi="GHEA Grapalat" w:cs="Arial"/>
          <w:sz w:val="24"/>
          <w:szCs w:val="24"/>
          <w:lang w:eastAsia="en-US"/>
        </w:rPr>
        <w:t>ըստ 1 մլն բնակչության հրապարակումների քանակով զիջում է բնակչության քանակով կամ մակերեսով համեմատելի մի շարք եվրոպական և միջինարևելյան երկրների ցուցանիշին (տե՛ս</w:t>
      </w:r>
      <w:r w:rsidR="001D4A32">
        <w:rPr>
          <w:rFonts w:ascii="GHEA Grapalat" w:eastAsia="Calibri" w:hAnsi="GHEA Grapalat" w:cs="Arial"/>
          <w:sz w:val="24"/>
          <w:szCs w:val="24"/>
          <w:lang w:eastAsia="en-US"/>
        </w:rPr>
        <w:t>,</w:t>
      </w:r>
      <w:r w:rsidR="00713AFC" w:rsidRPr="00C72AB5">
        <w:rPr>
          <w:rFonts w:ascii="GHEA Grapalat" w:eastAsia="Calibri" w:hAnsi="GHEA Grapalat" w:cs="Arial"/>
          <w:sz w:val="24"/>
          <w:szCs w:val="24"/>
          <w:lang w:eastAsia="en-US"/>
        </w:rPr>
        <w:t xml:space="preserve"> </w:t>
      </w:r>
      <w:r w:rsidR="005F7C93" w:rsidRPr="00C72AB5">
        <w:rPr>
          <w:rFonts w:ascii="GHEA Grapalat" w:eastAsia="Calibri" w:hAnsi="GHEA Grapalat" w:cs="Arial"/>
          <w:sz w:val="24"/>
          <w:szCs w:val="24"/>
          <w:lang w:eastAsia="en-US"/>
        </w:rPr>
        <w:t>Գծապատկեր</w:t>
      </w:r>
      <w:r w:rsidR="00713AFC" w:rsidRPr="00C72AB5">
        <w:rPr>
          <w:rFonts w:ascii="GHEA Grapalat" w:eastAsia="Calibri" w:hAnsi="GHEA Grapalat" w:cs="Arial"/>
          <w:sz w:val="24"/>
          <w:szCs w:val="24"/>
          <w:lang w:eastAsia="en-US"/>
        </w:rPr>
        <w:t xml:space="preserve"> </w:t>
      </w:r>
      <w:r w:rsidR="005F5110" w:rsidRPr="00C72AB5">
        <w:rPr>
          <w:rFonts w:ascii="GHEA Grapalat" w:eastAsia="Calibri" w:hAnsi="GHEA Grapalat" w:cs="Arial"/>
          <w:sz w:val="24"/>
          <w:szCs w:val="24"/>
          <w:lang w:eastAsia="en-US"/>
        </w:rPr>
        <w:t>26</w:t>
      </w:r>
      <w:r w:rsidR="00713AFC" w:rsidRPr="00C72AB5">
        <w:rPr>
          <w:rFonts w:ascii="GHEA Grapalat" w:eastAsia="Calibri" w:hAnsi="GHEA Grapalat" w:cs="Arial"/>
          <w:sz w:val="24"/>
          <w:szCs w:val="24"/>
          <w:lang w:eastAsia="en-US"/>
        </w:rPr>
        <w:t xml:space="preserve">): </w:t>
      </w:r>
      <w:r w:rsidR="00046667" w:rsidRPr="00C72AB5">
        <w:rPr>
          <w:rFonts w:ascii="GHEA Grapalat" w:eastAsia="Calibri" w:hAnsi="GHEA Grapalat" w:cs="Arial"/>
          <w:sz w:val="24"/>
          <w:szCs w:val="24"/>
          <w:lang w:eastAsia="en-US"/>
        </w:rPr>
        <w:t xml:space="preserve">Ինչպես ցույց է տալիս </w:t>
      </w:r>
      <w:r w:rsidR="00046667" w:rsidRPr="00C30A31">
        <w:rPr>
          <w:rFonts w:ascii="GHEA Grapalat" w:eastAsia="Calibri" w:hAnsi="GHEA Grapalat" w:cs="Arial"/>
          <w:sz w:val="24"/>
          <w:szCs w:val="24"/>
          <w:lang w:eastAsia="en-US"/>
        </w:rPr>
        <w:t xml:space="preserve">նույն </w:t>
      </w:r>
      <w:r w:rsidR="00C25230" w:rsidRPr="00C30A31">
        <w:rPr>
          <w:rFonts w:ascii="GHEA Grapalat" w:eastAsia="Calibri" w:hAnsi="GHEA Grapalat" w:cs="Arial"/>
          <w:sz w:val="24"/>
          <w:szCs w:val="24"/>
          <w:lang w:eastAsia="en-US"/>
        </w:rPr>
        <w:t>գծապատկերը</w:t>
      </w:r>
      <w:r w:rsidR="0001524E" w:rsidRPr="00C72AB5">
        <w:rPr>
          <w:rFonts w:ascii="GHEA Grapalat" w:eastAsia="Calibri" w:hAnsi="GHEA Grapalat" w:cs="Arial"/>
          <w:sz w:val="24"/>
          <w:szCs w:val="24"/>
          <w:lang w:eastAsia="en-US"/>
        </w:rPr>
        <w:t>`</w:t>
      </w:r>
      <w:r w:rsidR="00046667" w:rsidRPr="00C72AB5">
        <w:rPr>
          <w:rFonts w:ascii="GHEA Grapalat" w:eastAsia="Calibri" w:hAnsi="GHEA Grapalat" w:cs="Arial"/>
          <w:sz w:val="24"/>
          <w:szCs w:val="24"/>
          <w:lang w:eastAsia="en-US"/>
        </w:rPr>
        <w:t xml:space="preserve"> </w:t>
      </w:r>
      <w:r w:rsidR="0001524E" w:rsidRPr="00C72AB5">
        <w:rPr>
          <w:rFonts w:ascii="GHEA Grapalat" w:eastAsia="Calibri" w:hAnsi="GHEA Grapalat" w:cs="Arial"/>
          <w:sz w:val="24"/>
          <w:szCs w:val="24"/>
          <w:lang w:eastAsia="en-US"/>
        </w:rPr>
        <w:t xml:space="preserve">2025 և 2030 թվականների համար </w:t>
      </w:r>
      <w:r w:rsidR="00046667" w:rsidRPr="00C72AB5">
        <w:rPr>
          <w:rFonts w:ascii="GHEA Grapalat" w:eastAsia="Calibri" w:hAnsi="GHEA Grapalat" w:cs="Arial"/>
          <w:sz w:val="24"/>
          <w:szCs w:val="24"/>
          <w:lang w:eastAsia="en-US"/>
        </w:rPr>
        <w:t>Հայաստանի վերափոխման</w:t>
      </w:r>
      <w:r w:rsidR="001D4A32">
        <w:rPr>
          <w:rFonts w:ascii="GHEA Grapalat" w:eastAsia="Calibri" w:hAnsi="GHEA Grapalat" w:cs="Arial"/>
          <w:sz w:val="24"/>
          <w:szCs w:val="24"/>
          <w:lang w:eastAsia="en-US"/>
        </w:rPr>
        <w:t>՝ մինչև 2050 թվականի</w:t>
      </w:r>
      <w:r w:rsidR="00046667" w:rsidRPr="00C72AB5">
        <w:rPr>
          <w:rFonts w:ascii="GHEA Grapalat" w:eastAsia="Calibri" w:hAnsi="GHEA Grapalat" w:cs="Arial"/>
          <w:sz w:val="24"/>
          <w:szCs w:val="24"/>
          <w:lang w:eastAsia="en-US"/>
        </w:rPr>
        <w:t xml:space="preserve"> ռազմավարությամբ դրված թիրախներ</w:t>
      </w:r>
      <w:r w:rsidR="0001524E" w:rsidRPr="00C72AB5">
        <w:rPr>
          <w:rFonts w:ascii="GHEA Grapalat" w:eastAsia="Calibri" w:hAnsi="GHEA Grapalat" w:cs="Arial"/>
          <w:sz w:val="24"/>
          <w:szCs w:val="24"/>
          <w:lang w:eastAsia="en-US"/>
        </w:rPr>
        <w:t xml:space="preserve">ին հասնելը անգամ </w:t>
      </w:r>
      <w:r w:rsidR="00046667" w:rsidRPr="00C72AB5">
        <w:rPr>
          <w:rFonts w:ascii="GHEA Grapalat" w:eastAsia="Calibri" w:hAnsi="GHEA Grapalat" w:cs="Arial"/>
          <w:sz w:val="24"/>
          <w:szCs w:val="24"/>
          <w:lang w:eastAsia="en-US"/>
        </w:rPr>
        <w:t xml:space="preserve">չի տեղափոխի </w:t>
      </w:r>
      <w:r w:rsidR="00C25230" w:rsidRPr="00C30A31">
        <w:rPr>
          <w:rFonts w:ascii="GHEA Grapalat" w:hAnsi="GHEA Grapalat" w:cs="Arial"/>
          <w:sz w:val="24"/>
          <w:szCs w:val="24"/>
        </w:rPr>
        <w:t xml:space="preserve">Հայաստանի Հանրապետության </w:t>
      </w:r>
      <w:r w:rsidR="00046667" w:rsidRPr="00C30A31">
        <w:rPr>
          <w:rFonts w:ascii="GHEA Grapalat" w:eastAsia="Calibri" w:hAnsi="GHEA Grapalat" w:cs="Arial"/>
          <w:sz w:val="24"/>
          <w:szCs w:val="24"/>
          <w:lang w:eastAsia="en-US"/>
        </w:rPr>
        <w:t xml:space="preserve">ցուցանիշը դեպի նշված երկրների համեմատ անգամ միջին կատարողականի կողմ, ինչը նշանակում է, որ անհրաժեշտ է </w:t>
      </w:r>
      <w:r w:rsidR="00B2288B" w:rsidRPr="00C30A31">
        <w:rPr>
          <w:rFonts w:ascii="GHEA Grapalat" w:eastAsia="Calibri" w:hAnsi="GHEA Grapalat" w:cs="Arial"/>
          <w:sz w:val="24"/>
          <w:szCs w:val="24"/>
          <w:lang w:eastAsia="en-US"/>
        </w:rPr>
        <w:t>աշխատել</w:t>
      </w:r>
      <w:r w:rsidR="00046667" w:rsidRPr="00C30A31">
        <w:rPr>
          <w:rFonts w:ascii="GHEA Grapalat" w:eastAsia="Calibri" w:hAnsi="GHEA Grapalat" w:cs="Arial"/>
          <w:sz w:val="24"/>
          <w:szCs w:val="24"/>
          <w:lang w:eastAsia="en-US"/>
        </w:rPr>
        <w:t xml:space="preserve"> ավելի բարձր թիրախային արժեքներ</w:t>
      </w:r>
      <w:r w:rsidR="00B2288B" w:rsidRPr="00C30A31">
        <w:rPr>
          <w:rFonts w:ascii="GHEA Grapalat" w:eastAsia="Calibri" w:hAnsi="GHEA Grapalat" w:cs="Arial"/>
          <w:sz w:val="24"/>
          <w:szCs w:val="24"/>
          <w:lang w:eastAsia="en-US"/>
        </w:rPr>
        <w:t>ի հասնելու ուղղությամբ</w:t>
      </w:r>
      <w:r w:rsidR="007A2E98" w:rsidRPr="00C30A31">
        <w:rPr>
          <w:rFonts w:ascii="GHEA Grapalat" w:eastAsia="Calibri" w:hAnsi="GHEA Grapalat" w:cs="Arial"/>
          <w:sz w:val="24"/>
          <w:szCs w:val="24"/>
          <w:lang w:eastAsia="en-US"/>
        </w:rPr>
        <w:t xml:space="preserve"> (</w:t>
      </w:r>
      <w:r w:rsidR="00B2288B" w:rsidRPr="00C30A31">
        <w:rPr>
          <w:rFonts w:ascii="GHEA Grapalat" w:eastAsia="Calibri" w:hAnsi="GHEA Grapalat" w:cs="Arial"/>
          <w:sz w:val="24"/>
          <w:szCs w:val="24"/>
          <w:lang w:eastAsia="en-US"/>
        </w:rPr>
        <w:t xml:space="preserve">տարեկան կտրվածքով 3600-ի փոխարեն` </w:t>
      </w:r>
      <w:r w:rsidR="007A2E98" w:rsidRPr="00C30A31">
        <w:rPr>
          <w:rFonts w:ascii="GHEA Grapalat" w:eastAsia="Calibri" w:hAnsi="GHEA Grapalat" w:cs="Arial"/>
          <w:sz w:val="24"/>
          <w:szCs w:val="24"/>
          <w:lang w:eastAsia="en-US"/>
        </w:rPr>
        <w:t>շուրջ 6000)</w:t>
      </w:r>
      <w:r w:rsidR="00046667" w:rsidRPr="00C30A31">
        <w:rPr>
          <w:rFonts w:ascii="GHEA Grapalat" w:eastAsia="Calibri" w:hAnsi="GHEA Grapalat" w:cs="Arial"/>
          <w:sz w:val="24"/>
          <w:szCs w:val="24"/>
          <w:lang w:eastAsia="en-US"/>
        </w:rPr>
        <w:t xml:space="preserve">, ինչպես </w:t>
      </w:r>
      <w:r w:rsidR="00046667" w:rsidRPr="00C72AB5">
        <w:rPr>
          <w:rFonts w:ascii="GHEA Grapalat" w:eastAsia="Calibri" w:hAnsi="GHEA Grapalat" w:cs="Arial"/>
          <w:sz w:val="24"/>
          <w:szCs w:val="24"/>
          <w:lang w:eastAsia="en-US"/>
        </w:rPr>
        <w:t xml:space="preserve">նաև </w:t>
      </w:r>
      <w:r w:rsidR="0001524E" w:rsidRPr="00C72AB5">
        <w:rPr>
          <w:rFonts w:ascii="GHEA Grapalat" w:eastAsia="Calibri" w:hAnsi="GHEA Grapalat" w:cs="Arial"/>
          <w:sz w:val="24"/>
          <w:szCs w:val="24"/>
          <w:lang w:eastAsia="en-US"/>
        </w:rPr>
        <w:t xml:space="preserve">հատուկ ուշադրություն դարձնել գիտական ինստիտուտներում նոր և մրցունակ խմբերի </w:t>
      </w:r>
      <w:r w:rsidR="001D4A32">
        <w:rPr>
          <w:rFonts w:ascii="GHEA Grapalat" w:eastAsia="Calibri" w:hAnsi="GHEA Grapalat" w:cs="Arial"/>
          <w:sz w:val="24"/>
          <w:szCs w:val="24"/>
          <w:lang w:eastAsia="en-US"/>
        </w:rPr>
        <w:t>ձևավորմանն</w:t>
      </w:r>
      <w:r w:rsidR="0001524E" w:rsidRPr="00C72AB5">
        <w:rPr>
          <w:rFonts w:ascii="GHEA Grapalat" w:eastAsia="Calibri" w:hAnsi="GHEA Grapalat" w:cs="Arial"/>
          <w:sz w:val="24"/>
          <w:szCs w:val="24"/>
          <w:lang w:eastAsia="en-US"/>
        </w:rPr>
        <w:t xml:space="preserve"> ու արդյունավետ աշխատող հետազոտողների քանակի աճին:</w:t>
      </w:r>
    </w:p>
    <w:p w14:paraId="4E0DADA5" w14:textId="77777777" w:rsidR="00713AFC" w:rsidRPr="00B070A7" w:rsidRDefault="00713AFC" w:rsidP="00713AFC">
      <w:pPr>
        <w:tabs>
          <w:tab w:val="left" w:pos="851"/>
        </w:tabs>
        <w:spacing w:line="276" w:lineRule="auto"/>
        <w:ind w:left="1276" w:hanging="1276"/>
        <w:jc w:val="both"/>
        <w:rPr>
          <w:rFonts w:ascii="GHEA Grapalat" w:hAnsi="GHEA Grapalat" w:cs="Arial"/>
          <w:sz w:val="12"/>
          <w:szCs w:val="12"/>
        </w:rPr>
      </w:pPr>
    </w:p>
    <w:p w14:paraId="7DCB8308" w14:textId="1DF385A9" w:rsidR="00713AFC" w:rsidRPr="00C72AB5" w:rsidRDefault="00046667" w:rsidP="00713AFC">
      <w:pPr>
        <w:tabs>
          <w:tab w:val="left" w:pos="851"/>
        </w:tabs>
        <w:spacing w:line="276" w:lineRule="auto"/>
        <w:jc w:val="both"/>
        <w:rPr>
          <w:rFonts w:ascii="GHEA Grapalat" w:hAnsi="GHEA Grapalat"/>
          <w:sz w:val="24"/>
          <w:szCs w:val="24"/>
          <w:highlight w:val="yellow"/>
          <w:lang w:eastAsia="en-US"/>
        </w:rPr>
      </w:pPr>
      <w:r w:rsidRPr="00C72AB5">
        <w:rPr>
          <w:noProof/>
          <w:lang w:val="en-US" w:eastAsia="en-US"/>
        </w:rPr>
        <w:drawing>
          <wp:inline distT="0" distB="0" distL="0" distR="0" wp14:anchorId="225B788B" wp14:editId="33E80B1E">
            <wp:extent cx="6119495" cy="2457450"/>
            <wp:effectExtent l="0" t="0" r="0" b="0"/>
            <wp:docPr id="956146125" name="Chart 1">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036EBFEC" w14:textId="462A2618" w:rsidR="00713AFC" w:rsidRPr="00C72AB5" w:rsidRDefault="005F7C93" w:rsidP="00796BE6">
      <w:pPr>
        <w:tabs>
          <w:tab w:val="left" w:pos="851"/>
        </w:tabs>
        <w:ind w:left="567" w:hanging="567"/>
        <w:jc w:val="both"/>
        <w:rPr>
          <w:rFonts w:ascii="GHEA Grapalat" w:hAnsi="GHEA Grapalat" w:cs="Arial"/>
        </w:rPr>
      </w:pPr>
      <w:r w:rsidRPr="00C72AB5">
        <w:rPr>
          <w:rFonts w:ascii="GHEA Grapalat" w:hAnsi="GHEA Grapalat"/>
          <w:b/>
        </w:rPr>
        <w:t>Գծապատկեր</w:t>
      </w:r>
      <w:r w:rsidR="00713AFC" w:rsidRPr="00C72AB5">
        <w:rPr>
          <w:rFonts w:ascii="GHEA Grapalat" w:hAnsi="GHEA Grapalat" w:cs="Arial"/>
          <w:b/>
        </w:rPr>
        <w:t xml:space="preserve"> </w:t>
      </w:r>
      <w:r w:rsidR="008F575B" w:rsidRPr="00C72AB5">
        <w:rPr>
          <w:rFonts w:ascii="GHEA Grapalat" w:hAnsi="GHEA Grapalat" w:cs="Arial"/>
          <w:b/>
        </w:rPr>
        <w:t>2</w:t>
      </w:r>
      <w:r w:rsidR="00FC614D" w:rsidRPr="00C72AB5">
        <w:rPr>
          <w:rFonts w:ascii="GHEA Grapalat" w:hAnsi="GHEA Grapalat" w:cs="Arial"/>
          <w:b/>
        </w:rPr>
        <w:t>6</w:t>
      </w:r>
      <w:r w:rsidR="00713AFC" w:rsidRPr="00C72AB5">
        <w:rPr>
          <w:rFonts w:ascii="GHEA Grapalat" w:hAnsi="GHEA Grapalat" w:cs="Arial"/>
          <w:b/>
        </w:rPr>
        <w:t>.</w:t>
      </w:r>
      <w:r w:rsidR="00713AFC" w:rsidRPr="00C72AB5">
        <w:rPr>
          <w:rFonts w:ascii="GHEA Grapalat" w:hAnsi="GHEA Grapalat" w:cs="Arial"/>
        </w:rPr>
        <w:t xml:space="preserve"> Մի շարք Եվրոպական և միջին արևելյան երկրների և </w:t>
      </w:r>
      <w:r w:rsidR="00744E08" w:rsidRPr="00744E08">
        <w:rPr>
          <w:rFonts w:ascii="GHEA Grapalat" w:hAnsi="GHEA Grapalat"/>
        </w:rPr>
        <w:t>Հայաստանի Հանրապետության</w:t>
      </w:r>
      <w:r w:rsidR="00713AFC" w:rsidRPr="00C72AB5">
        <w:rPr>
          <w:rFonts w:ascii="GHEA Grapalat" w:hAnsi="GHEA Grapalat" w:cs="Arial"/>
        </w:rPr>
        <w:t xml:space="preserve"> 201</w:t>
      </w:r>
      <w:r w:rsidR="00046667" w:rsidRPr="00C72AB5">
        <w:rPr>
          <w:rFonts w:ascii="GHEA Grapalat" w:hAnsi="GHEA Grapalat" w:cs="Arial"/>
        </w:rPr>
        <w:t>5</w:t>
      </w:r>
      <w:r w:rsidR="00713AFC" w:rsidRPr="00C72AB5">
        <w:rPr>
          <w:rFonts w:ascii="GHEA Grapalat" w:hAnsi="GHEA Grapalat" w:cs="Arial"/>
        </w:rPr>
        <w:t>-202</w:t>
      </w:r>
      <w:r w:rsidR="00046667" w:rsidRPr="00C72AB5">
        <w:rPr>
          <w:rFonts w:ascii="GHEA Grapalat" w:hAnsi="GHEA Grapalat" w:cs="Arial"/>
        </w:rPr>
        <w:t>4</w:t>
      </w:r>
      <w:r w:rsidR="00713AFC" w:rsidRPr="00C72AB5">
        <w:rPr>
          <w:rFonts w:ascii="Calibri" w:hAnsi="Calibri" w:cs="Calibri"/>
        </w:rPr>
        <w:t> </w:t>
      </w:r>
      <w:r w:rsidR="00713AFC" w:rsidRPr="00C72AB5">
        <w:rPr>
          <w:rFonts w:ascii="GHEA Grapalat" w:hAnsi="GHEA Grapalat" w:cs="GHEA Grapalat"/>
        </w:rPr>
        <w:t>թվա</w:t>
      </w:r>
      <w:r w:rsidR="00713AFC" w:rsidRPr="00C72AB5">
        <w:rPr>
          <w:rFonts w:ascii="GHEA Grapalat" w:hAnsi="GHEA Grapalat" w:cs="Arial"/>
        </w:rPr>
        <w:t>կանների գիտական հրապարակումների քանակը մեկ միլիոն բնակչության հաշվարկով</w:t>
      </w:r>
      <w:r w:rsidR="00BD4037" w:rsidRPr="00C72AB5">
        <w:rPr>
          <w:rStyle w:val="FootnoteReference"/>
          <w:rFonts w:ascii="GHEA Grapalat" w:hAnsi="GHEA Grapalat" w:cs="Arial"/>
        </w:rPr>
        <w:footnoteReference w:id="67"/>
      </w:r>
      <w:r w:rsidR="00713AFC" w:rsidRPr="00C72AB5">
        <w:rPr>
          <w:rFonts w:ascii="GHEA Grapalat" w:hAnsi="GHEA Grapalat" w:cs="Arial"/>
        </w:rPr>
        <w:t xml:space="preserve"> </w:t>
      </w:r>
    </w:p>
    <w:p w14:paraId="03FDDDE1" w14:textId="77777777" w:rsidR="00713AFC" w:rsidRPr="00C72AB5" w:rsidRDefault="00713AFC" w:rsidP="0049437D">
      <w:pPr>
        <w:tabs>
          <w:tab w:val="left" w:pos="851"/>
        </w:tabs>
        <w:spacing w:line="276" w:lineRule="auto"/>
        <w:ind w:firstLine="567"/>
        <w:contextualSpacing/>
        <w:jc w:val="both"/>
        <w:rPr>
          <w:rFonts w:ascii="GHEA Grapalat" w:eastAsia="Calibri" w:hAnsi="GHEA Grapalat" w:cs="Arial"/>
          <w:sz w:val="16"/>
          <w:szCs w:val="16"/>
          <w:lang w:eastAsia="en-US"/>
        </w:rPr>
      </w:pPr>
    </w:p>
    <w:p w14:paraId="7DBEAFD5" w14:textId="3BA7E8DA" w:rsidR="0073539E" w:rsidRPr="00C72AB5" w:rsidRDefault="0068358C" w:rsidP="0049437D">
      <w:pPr>
        <w:tabs>
          <w:tab w:val="left" w:pos="851"/>
        </w:tabs>
        <w:spacing w:line="276" w:lineRule="auto"/>
        <w:ind w:firstLine="567"/>
        <w:contextualSpacing/>
        <w:jc w:val="both"/>
        <w:rPr>
          <w:rFonts w:ascii="GHEA Grapalat" w:eastAsia="Calibri" w:hAnsi="GHEA Grapalat" w:cs="Arial"/>
          <w:sz w:val="24"/>
          <w:szCs w:val="24"/>
          <w:lang w:eastAsia="en-US"/>
        </w:rPr>
      </w:pPr>
      <w:r w:rsidRPr="00C72AB5">
        <w:rPr>
          <w:rFonts w:ascii="GHEA Grapalat" w:eastAsia="Calibri" w:hAnsi="GHEA Grapalat" w:cs="Arial"/>
          <w:sz w:val="24"/>
          <w:szCs w:val="24"/>
          <w:lang w:eastAsia="en-US"/>
        </w:rPr>
        <w:lastRenderedPageBreak/>
        <w:t>3</w:t>
      </w:r>
      <w:r w:rsidR="0069521F" w:rsidRPr="00C72AB5">
        <w:rPr>
          <w:rFonts w:ascii="GHEA Grapalat" w:eastAsia="Calibri" w:hAnsi="GHEA Grapalat" w:cs="Arial"/>
          <w:sz w:val="24"/>
          <w:szCs w:val="24"/>
          <w:lang w:eastAsia="en-US"/>
        </w:rPr>
        <w:t>7</w:t>
      </w:r>
      <w:r w:rsidR="0056232F" w:rsidRPr="00C72AB5">
        <w:rPr>
          <w:rFonts w:ascii="GHEA Grapalat" w:eastAsia="Calibri" w:hAnsi="GHEA Grapalat" w:cs="Arial"/>
          <w:sz w:val="24"/>
          <w:szCs w:val="24"/>
          <w:lang w:eastAsia="en-US"/>
        </w:rPr>
        <w:t xml:space="preserve">. </w:t>
      </w:r>
      <w:r w:rsidR="001C2CEC" w:rsidRPr="00C72AB5">
        <w:rPr>
          <w:rFonts w:ascii="GHEA Grapalat" w:eastAsia="Calibri" w:hAnsi="GHEA Grapalat" w:cs="Arial"/>
          <w:sz w:val="24"/>
          <w:szCs w:val="24"/>
          <w:lang w:eastAsia="en-US"/>
        </w:rPr>
        <w:t xml:space="preserve">Համաշխարհային պատենտային կազմակերպության </w:t>
      </w:r>
      <w:r w:rsidR="00C25230">
        <w:rPr>
          <w:rFonts w:ascii="GHEA Grapalat" w:hAnsi="GHEA Grapalat" w:cs="Sylfaen"/>
          <w:sz w:val="24"/>
          <w:szCs w:val="24"/>
        </w:rPr>
        <w:t>գ</w:t>
      </w:r>
      <w:r w:rsidR="00DC1654" w:rsidRPr="00C72AB5">
        <w:rPr>
          <w:rFonts w:ascii="GHEA Grapalat" w:hAnsi="GHEA Grapalat" w:cs="Sylfaen"/>
          <w:sz w:val="24"/>
          <w:szCs w:val="24"/>
        </w:rPr>
        <w:t>լոբալ նորարարության ցուց</w:t>
      </w:r>
      <w:r w:rsidR="001D4A32">
        <w:rPr>
          <w:rFonts w:ascii="GHEA Grapalat" w:hAnsi="GHEA Grapalat" w:cs="Sylfaen"/>
          <w:sz w:val="24"/>
          <w:szCs w:val="24"/>
        </w:rPr>
        <w:t>ի</w:t>
      </w:r>
      <w:r w:rsidR="00DC1654" w:rsidRPr="00C72AB5">
        <w:rPr>
          <w:rFonts w:ascii="GHEA Grapalat" w:hAnsi="GHEA Grapalat" w:cs="Sylfaen"/>
          <w:sz w:val="24"/>
          <w:szCs w:val="24"/>
        </w:rPr>
        <w:t>չի</w:t>
      </w:r>
      <w:r w:rsidR="001C2CEC" w:rsidRPr="00C72AB5">
        <w:rPr>
          <w:rFonts w:ascii="GHEA Grapalat" w:eastAsia="Calibri" w:hAnsi="GHEA Grapalat" w:cs="Arial"/>
          <w:sz w:val="24"/>
          <w:szCs w:val="24"/>
          <w:lang w:eastAsia="en-US"/>
        </w:rPr>
        <w:t xml:space="preserve"> (WIPO Global Innovation Index</w:t>
      </w:r>
      <w:r w:rsidR="007204B6" w:rsidRPr="00C72AB5">
        <w:rPr>
          <w:rFonts w:ascii="GHEA Grapalat" w:eastAsia="Calibri" w:hAnsi="GHEA Grapalat" w:cs="Arial"/>
          <w:sz w:val="24"/>
          <w:szCs w:val="24"/>
          <w:lang w:eastAsia="en-US"/>
        </w:rPr>
        <w:t>, այսուհետ` ԳԻԻ</w:t>
      </w:r>
      <w:r w:rsidR="001C2CEC" w:rsidRPr="00C72AB5">
        <w:rPr>
          <w:rFonts w:ascii="GHEA Grapalat" w:eastAsia="Calibri" w:hAnsi="GHEA Grapalat" w:cs="Arial"/>
          <w:sz w:val="24"/>
          <w:szCs w:val="24"/>
          <w:lang w:eastAsia="en-US"/>
        </w:rPr>
        <w:t xml:space="preserve">) </w:t>
      </w:r>
      <w:r w:rsidR="0073539E" w:rsidRPr="00C72AB5">
        <w:rPr>
          <w:rFonts w:ascii="GHEA Grapalat" w:eastAsia="Calibri" w:hAnsi="GHEA Grapalat" w:cs="Arial"/>
          <w:sz w:val="24"/>
          <w:szCs w:val="24"/>
          <w:lang w:eastAsia="en-US"/>
        </w:rPr>
        <w:t xml:space="preserve">ցուցանիշներով </w:t>
      </w:r>
      <w:r w:rsidR="001C2CEC" w:rsidRPr="00C72AB5">
        <w:rPr>
          <w:rFonts w:ascii="GHEA Grapalat" w:eastAsia="Calibri" w:hAnsi="GHEA Grapalat" w:cs="Arial"/>
          <w:sz w:val="24"/>
          <w:szCs w:val="24"/>
          <w:lang w:eastAsia="en-US"/>
        </w:rPr>
        <w:t xml:space="preserve">Հայաստանի Հանրապետությունը </w:t>
      </w:r>
      <w:r w:rsidR="0073539E" w:rsidRPr="00C72AB5">
        <w:rPr>
          <w:rFonts w:ascii="GHEA Grapalat" w:eastAsia="Calibri" w:hAnsi="GHEA Grapalat" w:cs="Arial"/>
          <w:sz w:val="24"/>
          <w:szCs w:val="24"/>
          <w:lang w:eastAsia="en-US"/>
        </w:rPr>
        <w:t xml:space="preserve">գլոբալ ինդեքսավորվող պետությունների շարքում մինչև 2022 </w:t>
      </w:r>
      <w:r w:rsidR="001D4A32">
        <w:rPr>
          <w:rFonts w:ascii="GHEA Grapalat" w:eastAsia="Calibri" w:hAnsi="GHEA Grapalat" w:cs="Arial"/>
          <w:sz w:val="24"/>
          <w:szCs w:val="24"/>
          <w:lang w:eastAsia="en-US"/>
        </w:rPr>
        <w:t>թվականն</w:t>
      </w:r>
      <w:r w:rsidR="0073539E" w:rsidRPr="00C72AB5">
        <w:rPr>
          <w:rFonts w:ascii="GHEA Grapalat" w:eastAsia="Calibri" w:hAnsi="GHEA Grapalat" w:cs="Arial"/>
          <w:sz w:val="24"/>
          <w:szCs w:val="24"/>
          <w:lang w:eastAsia="en-US"/>
        </w:rPr>
        <w:t xml:space="preserve"> ուներ դիրքային բացասական դինամիկա</w:t>
      </w:r>
      <w:r w:rsidR="00D005C3" w:rsidRPr="00C72AB5">
        <w:rPr>
          <w:rFonts w:ascii="GHEA Grapalat" w:eastAsia="Calibri" w:hAnsi="GHEA Grapalat" w:cs="Arial"/>
          <w:sz w:val="24"/>
          <w:szCs w:val="24"/>
          <w:lang w:eastAsia="en-US"/>
        </w:rPr>
        <w:t xml:space="preserve"> (տե՛ս</w:t>
      </w:r>
      <w:r w:rsidR="00C30A31">
        <w:rPr>
          <w:rFonts w:ascii="GHEA Grapalat" w:eastAsia="Calibri" w:hAnsi="GHEA Grapalat" w:cs="Arial"/>
          <w:sz w:val="24"/>
          <w:szCs w:val="24"/>
          <w:lang w:eastAsia="en-US"/>
        </w:rPr>
        <w:t>,</w:t>
      </w:r>
      <w:r w:rsidR="00D005C3" w:rsidRPr="00C72AB5">
        <w:rPr>
          <w:rFonts w:ascii="GHEA Grapalat" w:eastAsia="Calibri" w:hAnsi="GHEA Grapalat" w:cs="Arial"/>
          <w:sz w:val="24"/>
          <w:szCs w:val="24"/>
          <w:lang w:eastAsia="en-US"/>
        </w:rPr>
        <w:t xml:space="preserve"> </w:t>
      </w:r>
      <w:r w:rsidR="005F7C93" w:rsidRPr="00C72AB5">
        <w:rPr>
          <w:rFonts w:ascii="GHEA Grapalat" w:eastAsia="Calibri" w:hAnsi="GHEA Grapalat" w:cs="Arial"/>
          <w:sz w:val="24"/>
          <w:szCs w:val="24"/>
          <w:lang w:eastAsia="en-US"/>
        </w:rPr>
        <w:t>Գծապատկեր</w:t>
      </w:r>
      <w:r w:rsidR="00D005C3" w:rsidRPr="00C72AB5">
        <w:rPr>
          <w:rFonts w:ascii="GHEA Grapalat" w:eastAsia="Calibri" w:hAnsi="GHEA Grapalat" w:cs="Arial"/>
          <w:sz w:val="24"/>
          <w:szCs w:val="24"/>
          <w:lang w:eastAsia="en-US"/>
        </w:rPr>
        <w:t xml:space="preserve"> 2</w:t>
      </w:r>
      <w:r w:rsidR="005F5110" w:rsidRPr="00C72AB5">
        <w:rPr>
          <w:rFonts w:ascii="GHEA Grapalat" w:eastAsia="Calibri" w:hAnsi="GHEA Grapalat" w:cs="Arial"/>
          <w:sz w:val="24"/>
          <w:szCs w:val="24"/>
          <w:lang w:eastAsia="en-US"/>
        </w:rPr>
        <w:t>7</w:t>
      </w:r>
      <w:r w:rsidR="00D005C3" w:rsidRPr="00C72AB5">
        <w:rPr>
          <w:rFonts w:ascii="GHEA Grapalat" w:eastAsia="Calibri" w:hAnsi="GHEA Grapalat" w:cs="Arial"/>
          <w:sz w:val="24"/>
          <w:szCs w:val="24"/>
          <w:lang w:eastAsia="en-US"/>
        </w:rPr>
        <w:t>)</w:t>
      </w:r>
      <w:r w:rsidR="0073539E" w:rsidRPr="00C72AB5">
        <w:rPr>
          <w:rFonts w:ascii="GHEA Grapalat" w:eastAsia="Calibri" w:hAnsi="GHEA Grapalat" w:cs="Arial"/>
          <w:sz w:val="24"/>
          <w:szCs w:val="24"/>
          <w:lang w:eastAsia="en-US"/>
        </w:rPr>
        <w:t>, որը ցուցաբերում է վերականգնման միտում վերջին 2 տարիների կտրվածքով: Ինդեքսավորումը վարվում է 133 պետությունների համար և բերված արժեքները ցույց են տալիս այդ տնտեսությունների նկատմամբ հարաբերական դիրքը:</w:t>
      </w:r>
    </w:p>
    <w:p w14:paraId="1AEE860B" w14:textId="5456857F" w:rsidR="000526D5" w:rsidRPr="00C72AB5" w:rsidRDefault="0068358C" w:rsidP="0049437D">
      <w:pPr>
        <w:tabs>
          <w:tab w:val="left" w:pos="851"/>
        </w:tabs>
        <w:spacing w:line="276" w:lineRule="auto"/>
        <w:ind w:firstLine="567"/>
        <w:contextualSpacing/>
        <w:jc w:val="both"/>
        <w:rPr>
          <w:rFonts w:ascii="GHEA Grapalat" w:eastAsia="Calibri" w:hAnsi="GHEA Grapalat" w:cs="Arial"/>
          <w:sz w:val="24"/>
          <w:szCs w:val="24"/>
          <w:lang w:eastAsia="en-US"/>
        </w:rPr>
      </w:pPr>
      <w:r w:rsidRPr="00C72AB5">
        <w:rPr>
          <w:rFonts w:ascii="GHEA Grapalat" w:eastAsia="Calibri" w:hAnsi="GHEA Grapalat" w:cs="Arial"/>
          <w:sz w:val="24"/>
          <w:szCs w:val="24"/>
          <w:lang w:eastAsia="en-US"/>
        </w:rPr>
        <w:t>3</w:t>
      </w:r>
      <w:r w:rsidR="0069521F" w:rsidRPr="00C72AB5">
        <w:rPr>
          <w:rFonts w:ascii="GHEA Grapalat" w:eastAsia="Calibri" w:hAnsi="GHEA Grapalat" w:cs="Arial"/>
          <w:sz w:val="24"/>
          <w:szCs w:val="24"/>
          <w:lang w:eastAsia="en-US"/>
        </w:rPr>
        <w:t>8</w:t>
      </w:r>
      <w:r w:rsidR="000526D5" w:rsidRPr="00C72AB5">
        <w:rPr>
          <w:rFonts w:ascii="GHEA Grapalat" w:eastAsia="Calibri" w:hAnsi="GHEA Grapalat" w:cs="Arial"/>
          <w:sz w:val="24"/>
          <w:szCs w:val="24"/>
          <w:lang w:eastAsia="en-US"/>
        </w:rPr>
        <w:t xml:space="preserve">. </w:t>
      </w:r>
      <w:r w:rsidR="001D4A32">
        <w:rPr>
          <w:rFonts w:ascii="GHEA Grapalat" w:eastAsia="Calibri" w:hAnsi="GHEA Grapalat" w:cs="Arial"/>
          <w:sz w:val="24"/>
          <w:szCs w:val="24"/>
          <w:lang w:eastAsia="en-US"/>
        </w:rPr>
        <w:t>Գ</w:t>
      </w:r>
      <w:r w:rsidR="001D4A32" w:rsidRPr="001D4A32">
        <w:rPr>
          <w:rFonts w:ascii="GHEA Grapalat" w:eastAsia="Calibri" w:hAnsi="GHEA Grapalat" w:cs="Arial"/>
          <w:sz w:val="24"/>
          <w:szCs w:val="24"/>
          <w:lang w:eastAsia="en-US"/>
        </w:rPr>
        <w:t>լոբալ նորարարության ցուցիչի</w:t>
      </w:r>
      <w:r w:rsidR="00DC1654" w:rsidRPr="001D4A32">
        <w:rPr>
          <w:rFonts w:ascii="GHEA Grapalat" w:eastAsia="Calibri" w:hAnsi="GHEA Grapalat" w:cs="Arial"/>
          <w:sz w:val="24"/>
          <w:szCs w:val="24"/>
          <w:lang w:eastAsia="en-US"/>
        </w:rPr>
        <w:t xml:space="preserve"> </w:t>
      </w:r>
      <w:r w:rsidR="001D4A32">
        <w:rPr>
          <w:rFonts w:ascii="GHEA Grapalat" w:eastAsia="Calibri" w:hAnsi="GHEA Grapalat" w:cs="Arial"/>
          <w:sz w:val="24"/>
          <w:szCs w:val="24"/>
          <w:lang w:eastAsia="en-US"/>
        </w:rPr>
        <w:t>ցու</w:t>
      </w:r>
      <w:r w:rsidR="000526D5" w:rsidRPr="00C72AB5">
        <w:rPr>
          <w:rFonts w:ascii="GHEA Grapalat" w:eastAsia="Calibri" w:hAnsi="GHEA Grapalat" w:cs="Arial"/>
          <w:sz w:val="24"/>
          <w:szCs w:val="24"/>
          <w:lang w:eastAsia="en-US"/>
        </w:rPr>
        <w:t xml:space="preserve">ցանիշներից որոշներն անմիջական առնչություն ունեն կրթության և գիտատեխնոլոգիական </w:t>
      </w:r>
      <w:r w:rsidR="001D4A32">
        <w:rPr>
          <w:rFonts w:ascii="GHEA Grapalat" w:eastAsia="Calibri" w:hAnsi="GHEA Grapalat" w:cs="Arial"/>
          <w:sz w:val="24"/>
          <w:szCs w:val="24"/>
          <w:lang w:eastAsia="en-US"/>
        </w:rPr>
        <w:t>ոլորտների հետ</w:t>
      </w:r>
      <w:r w:rsidR="000526D5" w:rsidRPr="00C72AB5">
        <w:rPr>
          <w:rFonts w:ascii="GHEA Grapalat" w:eastAsia="Calibri" w:hAnsi="GHEA Grapalat" w:cs="Arial"/>
          <w:sz w:val="24"/>
          <w:szCs w:val="24"/>
          <w:lang w:eastAsia="en-US"/>
        </w:rPr>
        <w:t xml:space="preserve"> (</w:t>
      </w:r>
      <w:r w:rsidR="00C30A31">
        <w:rPr>
          <w:rFonts w:ascii="GHEA Grapalat" w:eastAsia="Calibri" w:hAnsi="GHEA Grapalat" w:cs="Arial"/>
          <w:sz w:val="24"/>
          <w:szCs w:val="24"/>
          <w:lang w:eastAsia="en-US"/>
        </w:rPr>
        <w:t>տ</w:t>
      </w:r>
      <w:r w:rsidR="000526D5" w:rsidRPr="00C72AB5">
        <w:rPr>
          <w:rFonts w:ascii="GHEA Grapalat" w:eastAsia="Calibri" w:hAnsi="GHEA Grapalat" w:cs="Arial"/>
          <w:sz w:val="24"/>
          <w:szCs w:val="24"/>
          <w:lang w:eastAsia="en-US"/>
        </w:rPr>
        <w:t>ե՛ս</w:t>
      </w:r>
      <w:r w:rsidR="00C30A31">
        <w:rPr>
          <w:rFonts w:ascii="GHEA Grapalat" w:eastAsia="Calibri" w:hAnsi="GHEA Grapalat" w:cs="Arial"/>
          <w:sz w:val="24"/>
          <w:szCs w:val="24"/>
          <w:lang w:eastAsia="en-US"/>
        </w:rPr>
        <w:t>,</w:t>
      </w:r>
      <w:r w:rsidR="000526D5" w:rsidRPr="00C72AB5">
        <w:rPr>
          <w:rFonts w:ascii="GHEA Grapalat" w:eastAsia="Calibri" w:hAnsi="GHEA Grapalat" w:cs="Arial"/>
          <w:sz w:val="24"/>
          <w:szCs w:val="24"/>
          <w:lang w:eastAsia="en-US"/>
        </w:rPr>
        <w:t xml:space="preserve"> </w:t>
      </w:r>
      <w:r w:rsidR="005F7C93" w:rsidRPr="00C72AB5">
        <w:rPr>
          <w:rFonts w:ascii="GHEA Grapalat" w:eastAsia="Calibri" w:hAnsi="GHEA Grapalat" w:cs="Arial"/>
          <w:sz w:val="24"/>
          <w:szCs w:val="24"/>
          <w:lang w:eastAsia="en-US"/>
        </w:rPr>
        <w:t>Գծապատկեր</w:t>
      </w:r>
      <w:r w:rsidR="000526D5" w:rsidRPr="00C72AB5">
        <w:rPr>
          <w:rFonts w:ascii="GHEA Grapalat" w:eastAsia="Calibri" w:hAnsi="GHEA Grapalat" w:cs="Arial"/>
          <w:sz w:val="24"/>
          <w:szCs w:val="24"/>
          <w:lang w:eastAsia="en-US"/>
        </w:rPr>
        <w:t xml:space="preserve"> 2</w:t>
      </w:r>
      <w:r w:rsidR="005F5110" w:rsidRPr="00C72AB5">
        <w:rPr>
          <w:rFonts w:ascii="GHEA Grapalat" w:eastAsia="Calibri" w:hAnsi="GHEA Grapalat" w:cs="Arial"/>
          <w:sz w:val="24"/>
          <w:szCs w:val="24"/>
          <w:lang w:eastAsia="en-US"/>
        </w:rPr>
        <w:t>8</w:t>
      </w:r>
      <w:r w:rsidR="000526D5" w:rsidRPr="00C72AB5">
        <w:rPr>
          <w:rFonts w:ascii="GHEA Grapalat" w:eastAsia="Calibri" w:hAnsi="GHEA Grapalat" w:cs="Arial"/>
          <w:sz w:val="24"/>
          <w:szCs w:val="24"/>
          <w:lang w:eastAsia="en-US"/>
        </w:rPr>
        <w:t>), որոնց մասով սակայն գլոբալ դիրքային դինամիկան բավարար չէ: Մասնավորապես</w:t>
      </w:r>
      <w:r w:rsidR="00C30A31">
        <w:rPr>
          <w:rFonts w:ascii="GHEA Grapalat" w:eastAsia="Calibri" w:hAnsi="GHEA Grapalat" w:cs="Arial"/>
          <w:sz w:val="24"/>
          <w:szCs w:val="24"/>
          <w:lang w:eastAsia="en-US"/>
        </w:rPr>
        <w:t>,</w:t>
      </w:r>
      <w:r w:rsidR="000526D5" w:rsidRPr="00C72AB5">
        <w:rPr>
          <w:rFonts w:ascii="GHEA Grapalat" w:eastAsia="Calibri" w:hAnsi="GHEA Grapalat" w:cs="Arial"/>
          <w:sz w:val="24"/>
          <w:szCs w:val="24"/>
          <w:lang w:eastAsia="en-US"/>
        </w:rPr>
        <w:t xml:space="preserve"> կրթության վրա ծախս</w:t>
      </w:r>
      <w:r w:rsidR="000526D5" w:rsidRPr="00C30A31">
        <w:rPr>
          <w:rFonts w:ascii="GHEA Grapalat" w:eastAsia="Calibri" w:hAnsi="GHEA Grapalat" w:cs="Arial"/>
          <w:sz w:val="24"/>
          <w:szCs w:val="24"/>
          <w:lang w:eastAsia="en-US"/>
        </w:rPr>
        <w:t>ի</w:t>
      </w:r>
      <w:r w:rsidR="005F5D6B" w:rsidRPr="00C30A31">
        <w:rPr>
          <w:rFonts w:ascii="GHEA Grapalat" w:eastAsia="Calibri" w:hAnsi="GHEA Grapalat" w:cs="Arial"/>
          <w:sz w:val="24"/>
          <w:szCs w:val="24"/>
          <w:lang w:eastAsia="en-US"/>
        </w:rPr>
        <w:t>,</w:t>
      </w:r>
      <w:r w:rsidR="000526D5" w:rsidRPr="00C30A31">
        <w:rPr>
          <w:rFonts w:ascii="GHEA Grapalat" w:eastAsia="Calibri" w:hAnsi="GHEA Grapalat" w:cs="Arial"/>
          <w:sz w:val="24"/>
          <w:szCs w:val="24"/>
          <w:lang w:eastAsia="en-US"/>
        </w:rPr>
        <w:t xml:space="preserve"> </w:t>
      </w:r>
      <w:r w:rsidR="000526D5" w:rsidRPr="00C72AB5">
        <w:rPr>
          <w:rFonts w:ascii="GHEA Grapalat" w:eastAsia="Calibri" w:hAnsi="GHEA Grapalat" w:cs="Arial"/>
          <w:sz w:val="24"/>
          <w:szCs w:val="24"/>
          <w:lang w:eastAsia="en-US"/>
        </w:rPr>
        <w:t xml:space="preserve">ինչպես նաև </w:t>
      </w:r>
      <w:r w:rsidR="00F36F23">
        <w:rPr>
          <w:rFonts w:ascii="GHEA Grapalat" w:hAnsi="GHEA Grapalat" w:cs="Arial"/>
          <w:sz w:val="24"/>
          <w:szCs w:val="24"/>
        </w:rPr>
        <w:t>ՀևՄ</w:t>
      </w:r>
      <w:r w:rsidR="00ED0A17" w:rsidRPr="00C30A31">
        <w:rPr>
          <w:rFonts w:ascii="GHEA Grapalat" w:hAnsi="GHEA Grapalat" w:cs="Arial"/>
          <w:sz w:val="24"/>
          <w:szCs w:val="24"/>
        </w:rPr>
        <w:t xml:space="preserve"> </w:t>
      </w:r>
      <w:r w:rsidR="000526D5" w:rsidRPr="00C72AB5">
        <w:rPr>
          <w:rFonts w:ascii="GHEA Grapalat" w:eastAsia="Calibri" w:hAnsi="GHEA Grapalat" w:cs="Arial"/>
          <w:sz w:val="24"/>
          <w:szCs w:val="24"/>
          <w:lang w:eastAsia="en-US"/>
        </w:rPr>
        <w:t xml:space="preserve">ոլորտում ընդհանուր ծախսի ցածր մակարդակը (114-ը և 85-ը 133-ից) հանգեցնում է նրան, որ մի կողմից կրթական համակարգն ի վիճակի չի լինում մատակարարել բավարար զարգացվածության աշխատուժ տնտեսությանը, մյուս կողմից </w:t>
      </w:r>
      <w:r w:rsidR="00F36F23">
        <w:rPr>
          <w:rFonts w:ascii="GHEA Grapalat" w:hAnsi="GHEA Grapalat" w:cs="Arial"/>
          <w:sz w:val="24"/>
          <w:szCs w:val="24"/>
        </w:rPr>
        <w:t>ՀևՄ</w:t>
      </w:r>
      <w:r w:rsidR="00F36F23" w:rsidRPr="00C72AB5">
        <w:rPr>
          <w:rFonts w:ascii="GHEA Grapalat" w:eastAsia="Calibri" w:hAnsi="GHEA Grapalat" w:cs="Arial"/>
          <w:sz w:val="24"/>
          <w:szCs w:val="24"/>
          <w:lang w:eastAsia="en-US"/>
        </w:rPr>
        <w:t xml:space="preserve"> </w:t>
      </w:r>
      <w:r w:rsidR="000526D5" w:rsidRPr="00C72AB5">
        <w:rPr>
          <w:rFonts w:ascii="GHEA Grapalat" w:eastAsia="Calibri" w:hAnsi="GHEA Grapalat" w:cs="Arial"/>
          <w:sz w:val="24"/>
          <w:szCs w:val="24"/>
          <w:lang w:eastAsia="en-US"/>
        </w:rPr>
        <w:t>ոլորտի ֆինանսավորման ցածր մակարդակը հանգեցնում է որակյալ հետազոտությունների փոքր քանակի, ինչն իր հերթին սահմանափակում է ուսանողների և երիտասարդների հասանելիությունը ժամանակակից հետազոտական միջավայրին, ինչն էլ նվազեցնում է համապատասխան հմտությունների և գիտելիքի փոխանցումը` այդպիսով կրկին բացասաբար անդրադառնալով տնտեսության մեջ բարձր որակավորմամբ մասնագետների ներհոսքի վրա: Նույն բանի մասին է խոսում նաև հետազորություններում համալսարան/մասնավոր համագործակցության ցածր մակարդակը (104-րդ 133-ից): Հարաբերականորեն բարձր սակայն անկման տենդենց է ցույց տալիս գիտական և տեխնիկական հոդվածների ցուցանիշը, որը նորմավորվում է ՀՆԱ-ի նկատմամբ:</w:t>
      </w:r>
    </w:p>
    <w:p w14:paraId="69D501A8" w14:textId="77777777" w:rsidR="000526D5" w:rsidRPr="00C72AB5" w:rsidRDefault="000526D5" w:rsidP="0049437D">
      <w:pPr>
        <w:tabs>
          <w:tab w:val="left" w:pos="851"/>
        </w:tabs>
        <w:spacing w:line="276" w:lineRule="auto"/>
        <w:ind w:firstLine="567"/>
        <w:contextualSpacing/>
        <w:jc w:val="both"/>
        <w:rPr>
          <w:rFonts w:ascii="GHEA Grapalat" w:eastAsia="Calibri" w:hAnsi="GHEA Grapalat" w:cs="Arial"/>
          <w:sz w:val="12"/>
          <w:szCs w:val="12"/>
          <w:lang w:eastAsia="en-US"/>
        </w:rPr>
      </w:pPr>
    </w:p>
    <w:p w14:paraId="7E9F5C47" w14:textId="144D28A3" w:rsidR="0073539E" w:rsidRPr="00C72AB5" w:rsidRDefault="00EA777F" w:rsidP="00EA777F">
      <w:pPr>
        <w:tabs>
          <w:tab w:val="left" w:pos="851"/>
        </w:tabs>
        <w:spacing w:line="276" w:lineRule="auto"/>
        <w:contextualSpacing/>
        <w:jc w:val="center"/>
        <w:rPr>
          <w:rFonts w:ascii="GHEA Grapalat" w:eastAsia="Calibri" w:hAnsi="GHEA Grapalat" w:cs="Arial"/>
          <w:sz w:val="24"/>
          <w:szCs w:val="24"/>
          <w:highlight w:val="yellow"/>
          <w:lang w:eastAsia="en-US"/>
        </w:rPr>
      </w:pPr>
      <w:r>
        <w:rPr>
          <w:noProof/>
          <w:lang w:val="en-US" w:eastAsia="en-US"/>
        </w:rPr>
        <w:drawing>
          <wp:inline distT="0" distB="0" distL="0" distR="0" wp14:anchorId="6F1CC2D7" wp14:editId="3D6B92D7">
            <wp:extent cx="5924549" cy="2433638"/>
            <wp:effectExtent l="0" t="0" r="635" b="5080"/>
            <wp:docPr id="1742388485" name="Chart 1">
              <a:extLst xmlns:a="http://schemas.openxmlformats.org/drawingml/2006/main">
                <a:ext uri="{FF2B5EF4-FFF2-40B4-BE49-F238E27FC236}">
                  <a16:creationId xmlns:a16="http://schemas.microsoft.com/office/drawing/2014/main" id="{781408F6-048D-EBC5-2E1E-8475F89AEF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774B34E5" w14:textId="2AE12C74" w:rsidR="00D005C3" w:rsidRPr="00C72AB5" w:rsidRDefault="005F7C93" w:rsidP="00D005C3">
      <w:pPr>
        <w:tabs>
          <w:tab w:val="left" w:pos="851"/>
        </w:tabs>
        <w:spacing w:line="276" w:lineRule="auto"/>
        <w:ind w:left="567" w:hanging="567"/>
        <w:jc w:val="both"/>
        <w:rPr>
          <w:rFonts w:ascii="GHEA Grapalat" w:hAnsi="GHEA Grapalat" w:cs="Arial"/>
        </w:rPr>
      </w:pPr>
      <w:r w:rsidRPr="00C72AB5">
        <w:rPr>
          <w:rFonts w:ascii="GHEA Grapalat" w:hAnsi="GHEA Grapalat"/>
          <w:b/>
        </w:rPr>
        <w:t>Գծապատկեր</w:t>
      </w:r>
      <w:r w:rsidR="00D005C3" w:rsidRPr="00C72AB5">
        <w:rPr>
          <w:rFonts w:ascii="GHEA Grapalat" w:hAnsi="GHEA Grapalat" w:cs="Arial"/>
          <w:b/>
        </w:rPr>
        <w:t xml:space="preserve"> </w:t>
      </w:r>
      <w:r w:rsidR="008F575B" w:rsidRPr="00C72AB5">
        <w:rPr>
          <w:rFonts w:ascii="GHEA Grapalat" w:hAnsi="GHEA Grapalat" w:cs="Arial"/>
          <w:b/>
        </w:rPr>
        <w:t>2</w:t>
      </w:r>
      <w:r w:rsidR="00FC614D" w:rsidRPr="00C72AB5">
        <w:rPr>
          <w:rFonts w:ascii="GHEA Grapalat" w:hAnsi="GHEA Grapalat" w:cs="Arial"/>
          <w:b/>
        </w:rPr>
        <w:t>7</w:t>
      </w:r>
      <w:r w:rsidR="00D005C3" w:rsidRPr="00C72AB5">
        <w:rPr>
          <w:rFonts w:ascii="GHEA Grapalat" w:hAnsi="GHEA Grapalat" w:cs="Arial"/>
        </w:rPr>
        <w:t xml:space="preserve">. Հայաստանի Հանրապետության դիրքի դինամիկան </w:t>
      </w:r>
      <w:r w:rsidR="00B01EAF">
        <w:rPr>
          <w:rFonts w:ascii="GHEA Grapalat" w:hAnsi="GHEA Grapalat" w:cs="Arial"/>
        </w:rPr>
        <w:t>Գ</w:t>
      </w:r>
      <w:r w:rsidR="001D4A32" w:rsidRPr="001D4A32">
        <w:rPr>
          <w:rFonts w:ascii="GHEA Grapalat" w:hAnsi="GHEA Grapalat" w:cs="Arial"/>
        </w:rPr>
        <w:t>լոբալ նորարարության ցուցի</w:t>
      </w:r>
      <w:r w:rsidR="001D4A32">
        <w:rPr>
          <w:rFonts w:ascii="GHEA Grapalat" w:hAnsi="GHEA Grapalat" w:cs="Arial"/>
        </w:rPr>
        <w:t>չ</w:t>
      </w:r>
      <w:r w:rsidR="00DC1654">
        <w:rPr>
          <w:rFonts w:ascii="GHEA Grapalat" w:hAnsi="GHEA Grapalat" w:cs="Arial"/>
        </w:rPr>
        <w:t>ում</w:t>
      </w:r>
      <w:r w:rsidR="00D005C3" w:rsidRPr="00C72AB5">
        <w:rPr>
          <w:rFonts w:ascii="GHEA Grapalat" w:hAnsi="GHEA Grapalat" w:cs="Arial"/>
        </w:rPr>
        <w:t>:</w:t>
      </w:r>
    </w:p>
    <w:p w14:paraId="25AEF5B8" w14:textId="77777777" w:rsidR="00156E7C" w:rsidRPr="00C72AB5" w:rsidRDefault="00156E7C" w:rsidP="00D005C3">
      <w:pPr>
        <w:tabs>
          <w:tab w:val="left" w:pos="851"/>
        </w:tabs>
        <w:spacing w:line="276" w:lineRule="auto"/>
        <w:contextualSpacing/>
        <w:jc w:val="both"/>
        <w:rPr>
          <w:rFonts w:ascii="GHEA Grapalat" w:eastAsia="Calibri" w:hAnsi="GHEA Grapalat" w:cs="Arial"/>
          <w:lang w:eastAsia="en-US"/>
        </w:rPr>
      </w:pPr>
    </w:p>
    <w:p w14:paraId="1437D58E" w14:textId="104032F0" w:rsidR="0073539E" w:rsidRPr="00C72AB5" w:rsidRDefault="00EA777F" w:rsidP="00D005C3">
      <w:pPr>
        <w:tabs>
          <w:tab w:val="left" w:pos="851"/>
        </w:tabs>
        <w:spacing w:line="276" w:lineRule="auto"/>
        <w:contextualSpacing/>
        <w:jc w:val="both"/>
        <w:rPr>
          <w:rFonts w:ascii="GHEA Grapalat" w:eastAsia="Calibri" w:hAnsi="GHEA Grapalat" w:cs="Arial"/>
          <w:sz w:val="24"/>
          <w:szCs w:val="24"/>
          <w:highlight w:val="yellow"/>
          <w:lang w:eastAsia="en-US"/>
        </w:rPr>
      </w:pPr>
      <w:r>
        <w:rPr>
          <w:noProof/>
          <w:lang w:val="en-US" w:eastAsia="en-US"/>
        </w:rPr>
        <w:lastRenderedPageBreak/>
        <w:drawing>
          <wp:inline distT="0" distB="0" distL="0" distR="0" wp14:anchorId="09EED052" wp14:editId="6EA6340C">
            <wp:extent cx="6119495" cy="3121025"/>
            <wp:effectExtent l="0" t="0" r="0" b="3175"/>
            <wp:docPr id="1249407326" name="Chart 1">
              <a:extLst xmlns:a="http://schemas.openxmlformats.org/drawingml/2006/main">
                <a:ext uri="{FF2B5EF4-FFF2-40B4-BE49-F238E27FC236}">
                  <a16:creationId xmlns:a16="http://schemas.microsoft.com/office/drawing/2014/main" id="{11AD24B9-E9BD-48C1-91C7-DEA066E899C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6AF75DC6" w14:textId="7D0710F1" w:rsidR="00B63BB8" w:rsidRPr="00C72AB5" w:rsidRDefault="005F7C93" w:rsidP="00796BE6">
      <w:pPr>
        <w:tabs>
          <w:tab w:val="left" w:pos="851"/>
        </w:tabs>
        <w:ind w:left="567" w:hanging="567"/>
        <w:jc w:val="both"/>
        <w:rPr>
          <w:rFonts w:ascii="GHEA Grapalat" w:hAnsi="GHEA Grapalat" w:cs="Arial"/>
        </w:rPr>
      </w:pPr>
      <w:r w:rsidRPr="00C72AB5">
        <w:rPr>
          <w:rFonts w:ascii="GHEA Grapalat" w:hAnsi="GHEA Grapalat"/>
          <w:b/>
        </w:rPr>
        <w:t>Գծապատկեր</w:t>
      </w:r>
      <w:r w:rsidR="00B63BB8" w:rsidRPr="00C72AB5">
        <w:rPr>
          <w:rFonts w:ascii="GHEA Grapalat" w:hAnsi="GHEA Grapalat" w:cs="Arial"/>
          <w:b/>
        </w:rPr>
        <w:t xml:space="preserve"> </w:t>
      </w:r>
      <w:r w:rsidR="008F575B" w:rsidRPr="00C72AB5">
        <w:rPr>
          <w:rFonts w:ascii="GHEA Grapalat" w:hAnsi="GHEA Grapalat" w:cs="Arial"/>
          <w:b/>
        </w:rPr>
        <w:t>2</w:t>
      </w:r>
      <w:r w:rsidR="00FC614D" w:rsidRPr="00C72AB5">
        <w:rPr>
          <w:rFonts w:ascii="GHEA Grapalat" w:hAnsi="GHEA Grapalat" w:cs="Arial"/>
          <w:b/>
        </w:rPr>
        <w:t>8</w:t>
      </w:r>
      <w:r w:rsidR="00B63BB8" w:rsidRPr="00C72AB5">
        <w:rPr>
          <w:rFonts w:ascii="GHEA Grapalat" w:hAnsi="GHEA Grapalat" w:cs="Arial"/>
        </w:rPr>
        <w:t xml:space="preserve">. Հայաստանի Հանրապետության դիրքի դինամիկան </w:t>
      </w:r>
      <w:r w:rsidR="00B01EAF">
        <w:rPr>
          <w:rFonts w:ascii="GHEA Grapalat" w:hAnsi="GHEA Grapalat" w:cs="Arial"/>
        </w:rPr>
        <w:t>Գ</w:t>
      </w:r>
      <w:r w:rsidR="001D4A32" w:rsidRPr="001D4A32">
        <w:rPr>
          <w:rFonts w:ascii="GHEA Grapalat" w:hAnsi="GHEA Grapalat" w:cs="Arial"/>
        </w:rPr>
        <w:t>լոբալ նորարարության ցուցիչի</w:t>
      </w:r>
      <w:r w:rsidR="00B63BB8" w:rsidRPr="00C72AB5">
        <w:rPr>
          <w:rFonts w:ascii="GHEA Grapalat" w:hAnsi="GHEA Grapalat" w:cs="Arial"/>
        </w:rPr>
        <w:t xml:space="preserve"> որոշ կատեգորիաներում:</w:t>
      </w:r>
    </w:p>
    <w:p w14:paraId="181ABE5E" w14:textId="77777777" w:rsidR="00FC614D" w:rsidRPr="00C72AB5" w:rsidRDefault="00FC614D" w:rsidP="00B63BB8">
      <w:pPr>
        <w:tabs>
          <w:tab w:val="left" w:pos="851"/>
        </w:tabs>
        <w:spacing w:line="276" w:lineRule="auto"/>
        <w:ind w:left="567" w:hanging="567"/>
        <w:jc w:val="both"/>
        <w:rPr>
          <w:rFonts w:ascii="GHEA Grapalat" w:hAnsi="GHEA Grapalat" w:cs="Arial"/>
          <w:sz w:val="14"/>
          <w:szCs w:val="14"/>
        </w:rPr>
      </w:pPr>
    </w:p>
    <w:p w14:paraId="044AC8CA" w14:textId="5C81B2FC" w:rsidR="0073539E" w:rsidRPr="00C30A31" w:rsidRDefault="000526D5" w:rsidP="00CF53FA">
      <w:pPr>
        <w:widowControl w:val="0"/>
        <w:tabs>
          <w:tab w:val="left" w:pos="851"/>
        </w:tabs>
        <w:spacing w:line="276" w:lineRule="auto"/>
        <w:contextualSpacing/>
        <w:jc w:val="both"/>
        <w:rPr>
          <w:rFonts w:ascii="GHEA Grapalat" w:eastAsia="Calibri" w:hAnsi="GHEA Grapalat" w:cs="Arial"/>
          <w:sz w:val="24"/>
          <w:szCs w:val="24"/>
          <w:lang w:eastAsia="en-US"/>
        </w:rPr>
      </w:pPr>
      <w:r w:rsidRPr="00C72AB5">
        <w:rPr>
          <w:rFonts w:ascii="GHEA Grapalat" w:eastAsia="Calibri" w:hAnsi="GHEA Grapalat" w:cs="Arial"/>
          <w:sz w:val="24"/>
          <w:szCs w:val="24"/>
          <w:lang w:eastAsia="en-US"/>
        </w:rPr>
        <w:t>Կլաստերների զարգացվածության</w:t>
      </w:r>
      <w:r w:rsidRPr="00C72AB5">
        <w:rPr>
          <w:rStyle w:val="FootnoteReference"/>
          <w:rFonts w:ascii="GHEA Grapalat" w:eastAsia="Calibri" w:hAnsi="GHEA Grapalat" w:cs="Arial"/>
          <w:sz w:val="24"/>
          <w:szCs w:val="24"/>
          <w:lang w:eastAsia="en-US"/>
        </w:rPr>
        <w:footnoteReference w:id="68"/>
      </w:r>
      <w:r w:rsidRPr="00C72AB5">
        <w:rPr>
          <w:rFonts w:ascii="GHEA Grapalat" w:eastAsia="Calibri" w:hAnsi="GHEA Grapalat" w:cs="Arial"/>
          <w:sz w:val="24"/>
          <w:szCs w:val="24"/>
          <w:vertAlign w:val="superscript"/>
          <w:lang w:eastAsia="en-US"/>
        </w:rPr>
        <w:t>,</w:t>
      </w:r>
      <w:r w:rsidRPr="00C72AB5">
        <w:rPr>
          <w:rStyle w:val="FootnoteReference"/>
          <w:rFonts w:ascii="GHEA Grapalat" w:eastAsia="Calibri" w:hAnsi="GHEA Grapalat" w:cs="Arial"/>
          <w:sz w:val="24"/>
          <w:szCs w:val="24"/>
          <w:lang w:eastAsia="en-US"/>
        </w:rPr>
        <w:footnoteReference w:id="69"/>
      </w:r>
      <w:r w:rsidRPr="00C72AB5">
        <w:rPr>
          <w:rFonts w:ascii="GHEA Grapalat" w:eastAsia="Calibri" w:hAnsi="GHEA Grapalat" w:cs="Arial"/>
          <w:sz w:val="24"/>
          <w:szCs w:val="24"/>
          <w:lang w:eastAsia="en-US"/>
        </w:rPr>
        <w:t xml:space="preserve"> (հետազոտական կազմակերպությունների, մասնավոր կազմակերպությունների, մատակարարների, առնչվող ապրանքներ արտադրողների կամ ծառայություններ մատուցողների աշխարհագրական կենտրոնացում) ցուցիչով </w:t>
      </w:r>
      <w:r w:rsidR="003F4AE4" w:rsidRPr="00C30A31">
        <w:rPr>
          <w:rFonts w:ascii="GHEA Grapalat" w:hAnsi="GHEA Grapalat" w:cs="Arial"/>
          <w:sz w:val="24"/>
          <w:szCs w:val="24"/>
        </w:rPr>
        <w:t xml:space="preserve">Հայաստանի Հանրապետությունն </w:t>
      </w:r>
      <w:r w:rsidRPr="00C30A31">
        <w:rPr>
          <w:rFonts w:ascii="GHEA Grapalat" w:eastAsia="Calibri" w:hAnsi="GHEA Grapalat" w:cs="Arial"/>
          <w:sz w:val="24"/>
          <w:szCs w:val="24"/>
          <w:lang w:eastAsia="en-US"/>
        </w:rPr>
        <w:t>ունի 101-րդ տեղը:</w:t>
      </w:r>
    </w:p>
    <w:p w14:paraId="1CD8F8E6" w14:textId="6BAC59A3" w:rsidR="003B6C44" w:rsidRPr="00C72AB5" w:rsidRDefault="0069521F" w:rsidP="0049437D">
      <w:pPr>
        <w:tabs>
          <w:tab w:val="left" w:pos="540"/>
          <w:tab w:val="left" w:pos="851"/>
        </w:tabs>
        <w:spacing w:line="276" w:lineRule="auto"/>
        <w:ind w:firstLine="284"/>
        <w:jc w:val="both"/>
        <w:rPr>
          <w:rFonts w:ascii="GHEA Grapalat" w:hAnsi="GHEA Grapalat" w:cs="Arial"/>
          <w:sz w:val="24"/>
          <w:szCs w:val="24"/>
        </w:rPr>
      </w:pPr>
      <w:r w:rsidRPr="00C30A31">
        <w:rPr>
          <w:rFonts w:ascii="GHEA Grapalat" w:hAnsi="GHEA Grapalat" w:cs="Arial"/>
          <w:sz w:val="24"/>
          <w:szCs w:val="24"/>
        </w:rPr>
        <w:t>39</w:t>
      </w:r>
      <w:r w:rsidR="00D07A42" w:rsidRPr="00C30A31">
        <w:rPr>
          <w:rFonts w:ascii="GHEA Grapalat" w:hAnsi="GHEA Grapalat" w:cs="Arial"/>
          <w:sz w:val="24"/>
          <w:szCs w:val="24"/>
        </w:rPr>
        <w:t xml:space="preserve">. </w:t>
      </w:r>
      <w:r w:rsidR="002C3886" w:rsidRPr="00C30A31">
        <w:rPr>
          <w:rFonts w:ascii="GHEA Grapalat" w:hAnsi="GHEA Grapalat" w:cs="Arial"/>
          <w:sz w:val="24"/>
          <w:szCs w:val="24"/>
        </w:rPr>
        <w:t xml:space="preserve">Մասնավոր </w:t>
      </w:r>
      <w:r w:rsidR="00EA0EE0" w:rsidRPr="00C30A31">
        <w:rPr>
          <w:rFonts w:ascii="GHEA Grapalat" w:hAnsi="GHEA Grapalat" w:cs="Arial"/>
          <w:sz w:val="24"/>
          <w:szCs w:val="24"/>
        </w:rPr>
        <w:t>h</w:t>
      </w:r>
      <w:r w:rsidR="002C3886" w:rsidRPr="00C30A31">
        <w:rPr>
          <w:rFonts w:ascii="GHEA Grapalat" w:hAnsi="GHEA Grapalat" w:cs="Arial"/>
          <w:sz w:val="24"/>
          <w:szCs w:val="24"/>
        </w:rPr>
        <w:t xml:space="preserve">ատվածի </w:t>
      </w:r>
      <w:r w:rsidR="00EA0EE0" w:rsidRPr="00C30A31">
        <w:rPr>
          <w:rFonts w:ascii="GHEA Grapalat" w:hAnsi="GHEA Grapalat" w:cs="Arial"/>
          <w:sz w:val="24"/>
          <w:szCs w:val="24"/>
        </w:rPr>
        <w:t xml:space="preserve">կողմից </w:t>
      </w:r>
      <w:r w:rsidR="00F36F23">
        <w:rPr>
          <w:rFonts w:ascii="GHEA Grapalat" w:hAnsi="GHEA Grapalat" w:cs="Arial"/>
          <w:sz w:val="24"/>
          <w:szCs w:val="24"/>
        </w:rPr>
        <w:t>ՀևՄ</w:t>
      </w:r>
      <w:r w:rsidR="00F36F23" w:rsidRPr="00C30A31">
        <w:rPr>
          <w:rFonts w:ascii="GHEA Grapalat" w:hAnsi="GHEA Grapalat" w:cs="Arial"/>
          <w:sz w:val="24"/>
          <w:szCs w:val="24"/>
        </w:rPr>
        <w:t xml:space="preserve"> </w:t>
      </w:r>
      <w:r w:rsidR="00EA0EE0" w:rsidRPr="00C30A31">
        <w:rPr>
          <w:rFonts w:ascii="GHEA Grapalat" w:hAnsi="GHEA Grapalat" w:cs="Arial"/>
          <w:sz w:val="24"/>
          <w:szCs w:val="24"/>
        </w:rPr>
        <w:t>ոլորտում ներդրումների ծավալների</w:t>
      </w:r>
      <w:r w:rsidR="006C09AB" w:rsidRPr="00C30A31">
        <w:rPr>
          <w:rFonts w:ascii="GHEA Grapalat" w:hAnsi="GHEA Grapalat" w:cs="Arial"/>
          <w:sz w:val="24"/>
          <w:szCs w:val="24"/>
        </w:rPr>
        <w:t xml:space="preserve">, այդ աշխատանքներում ներգրավված աշխատակիցների քանակի, վարձատրության, հետազոտական արդյունքի վերլուծության մասին </w:t>
      </w:r>
      <w:r w:rsidR="00EA0EE0" w:rsidRPr="00C30A31">
        <w:rPr>
          <w:rFonts w:ascii="GHEA Grapalat" w:hAnsi="GHEA Grapalat" w:cs="Arial"/>
          <w:sz w:val="24"/>
          <w:szCs w:val="24"/>
        </w:rPr>
        <w:t>ներկայումս չկա</w:t>
      </w:r>
      <w:r w:rsidR="006C09AB" w:rsidRPr="00C30A31">
        <w:rPr>
          <w:rFonts w:ascii="GHEA Grapalat" w:hAnsi="GHEA Grapalat" w:cs="Arial"/>
          <w:sz w:val="24"/>
          <w:szCs w:val="24"/>
        </w:rPr>
        <w:t>ն համապարփակ տվյալներ և դրա մասին հաշվետվողականության</w:t>
      </w:r>
      <w:r w:rsidR="00EA0EE0" w:rsidRPr="00C30A31">
        <w:rPr>
          <w:rFonts w:ascii="GHEA Grapalat" w:hAnsi="GHEA Grapalat" w:cs="Arial"/>
          <w:sz w:val="24"/>
          <w:szCs w:val="24"/>
        </w:rPr>
        <w:t xml:space="preserve"> </w:t>
      </w:r>
      <w:r w:rsidR="00EA0EE0" w:rsidRPr="00C72AB5">
        <w:rPr>
          <w:rFonts w:ascii="GHEA Grapalat" w:hAnsi="GHEA Grapalat" w:cs="Arial"/>
          <w:sz w:val="24"/>
          <w:szCs w:val="24"/>
        </w:rPr>
        <w:t>մեթոդական</w:t>
      </w:r>
      <w:r w:rsidR="006C09AB" w:rsidRPr="00C72AB5">
        <w:rPr>
          <w:rFonts w:ascii="GHEA Grapalat" w:hAnsi="GHEA Grapalat" w:cs="Arial"/>
          <w:sz w:val="24"/>
          <w:szCs w:val="24"/>
        </w:rPr>
        <w:t xml:space="preserve"> և իրավական</w:t>
      </w:r>
      <w:r w:rsidR="00EA0EE0" w:rsidRPr="00C72AB5">
        <w:rPr>
          <w:rFonts w:ascii="GHEA Grapalat" w:hAnsi="GHEA Grapalat" w:cs="Arial"/>
          <w:sz w:val="24"/>
          <w:szCs w:val="24"/>
        </w:rPr>
        <w:t xml:space="preserve"> հիմք</w:t>
      </w:r>
      <w:r w:rsidR="006C09AB" w:rsidRPr="00C72AB5">
        <w:rPr>
          <w:rFonts w:ascii="GHEA Grapalat" w:hAnsi="GHEA Grapalat" w:cs="Arial"/>
          <w:sz w:val="24"/>
          <w:szCs w:val="24"/>
        </w:rPr>
        <w:t>եր</w:t>
      </w:r>
      <w:r w:rsidR="0089244D" w:rsidRPr="00C72AB5">
        <w:rPr>
          <w:rFonts w:ascii="GHEA Grapalat" w:hAnsi="GHEA Grapalat" w:cs="Arial"/>
          <w:sz w:val="24"/>
          <w:szCs w:val="24"/>
        </w:rPr>
        <w:t xml:space="preserve"> ու</w:t>
      </w:r>
      <w:r w:rsidR="00EA0EE0" w:rsidRPr="00C72AB5">
        <w:rPr>
          <w:rFonts w:ascii="GHEA Grapalat" w:hAnsi="GHEA Grapalat" w:cs="Arial"/>
          <w:sz w:val="24"/>
          <w:szCs w:val="24"/>
        </w:rPr>
        <w:t xml:space="preserve"> մեխանիզմներ</w:t>
      </w:r>
      <w:r w:rsidR="00D07A42" w:rsidRPr="00C72AB5">
        <w:rPr>
          <w:rFonts w:ascii="GHEA Grapalat" w:hAnsi="GHEA Grapalat" w:cs="Arial"/>
          <w:sz w:val="24"/>
          <w:szCs w:val="24"/>
        </w:rPr>
        <w:t xml:space="preserve">, սակայն </w:t>
      </w:r>
      <w:r w:rsidR="005957FE" w:rsidRPr="00C72AB5">
        <w:rPr>
          <w:rFonts w:ascii="GHEA Grapalat" w:hAnsi="GHEA Grapalat" w:cs="Arial"/>
          <w:sz w:val="24"/>
          <w:szCs w:val="24"/>
        </w:rPr>
        <w:t xml:space="preserve">Հայաստանի Հանրապետության կառավարության </w:t>
      </w:r>
      <w:r w:rsidR="005957FE" w:rsidRPr="00C30A31">
        <w:rPr>
          <w:rFonts w:ascii="GHEA Grapalat" w:hAnsi="GHEA Grapalat" w:cs="Arial"/>
          <w:sz w:val="24"/>
          <w:szCs w:val="24"/>
        </w:rPr>
        <w:t xml:space="preserve">2025 </w:t>
      </w:r>
      <w:r w:rsidR="005957FE" w:rsidRPr="00C30A31">
        <w:rPr>
          <w:rFonts w:ascii="GHEA Grapalat" w:hAnsi="GHEA Grapalat" w:cs="GHEA Grapalat"/>
          <w:sz w:val="24"/>
          <w:szCs w:val="24"/>
        </w:rPr>
        <w:t>թվականի</w:t>
      </w:r>
      <w:r w:rsidR="003F4AE4" w:rsidRPr="00C30A31">
        <w:rPr>
          <w:rFonts w:ascii="Calibri" w:hAnsi="Calibri" w:cs="Calibri"/>
          <w:sz w:val="24"/>
          <w:szCs w:val="24"/>
        </w:rPr>
        <w:t> </w:t>
      </w:r>
      <w:r w:rsidR="003F4AE4" w:rsidRPr="00C30A31">
        <w:rPr>
          <w:rFonts w:ascii="GHEA Grapalat" w:hAnsi="GHEA Grapalat" w:cs="GHEA Grapalat"/>
          <w:sz w:val="24"/>
          <w:szCs w:val="24"/>
        </w:rPr>
        <w:t xml:space="preserve">փետրվարի </w:t>
      </w:r>
      <w:r w:rsidR="003F4AE4" w:rsidRPr="00C30A31">
        <w:rPr>
          <w:rFonts w:ascii="GHEA Grapalat" w:hAnsi="GHEA Grapalat" w:cs="Arial"/>
          <w:sz w:val="24"/>
          <w:szCs w:val="24"/>
        </w:rPr>
        <w:t xml:space="preserve">3-ի </w:t>
      </w:r>
      <w:r w:rsidR="005957FE" w:rsidRPr="00C30A31">
        <w:rPr>
          <w:rFonts w:ascii="GHEA Grapalat" w:hAnsi="GHEA Grapalat" w:cs="Arial"/>
          <w:sz w:val="24"/>
          <w:szCs w:val="24"/>
        </w:rPr>
        <w:t>N 195-</w:t>
      </w:r>
      <w:r w:rsidR="005957FE" w:rsidRPr="00C30A31">
        <w:rPr>
          <w:rFonts w:ascii="GHEA Grapalat" w:hAnsi="GHEA Grapalat" w:cs="GHEA Grapalat"/>
          <w:sz w:val="24"/>
          <w:szCs w:val="24"/>
        </w:rPr>
        <w:t>Ն</w:t>
      </w:r>
      <w:r w:rsidR="005957FE" w:rsidRPr="00C30A31">
        <w:rPr>
          <w:rFonts w:ascii="GHEA Grapalat" w:hAnsi="GHEA Grapalat" w:cs="Arial"/>
          <w:sz w:val="24"/>
          <w:szCs w:val="24"/>
        </w:rPr>
        <w:t xml:space="preserve"> որոշմամբ հաստատված կարգի կիրարկման համար հետազորություններ և մշակումներ իրականացնող կազմակերպությունները դիմում են</w:t>
      </w:r>
      <w:r w:rsidR="00356D9B" w:rsidRPr="00C30A31">
        <w:rPr>
          <w:rStyle w:val="FootnoteReference"/>
          <w:rFonts w:ascii="GHEA Grapalat" w:hAnsi="GHEA Grapalat" w:cs="Arial"/>
          <w:sz w:val="24"/>
          <w:szCs w:val="24"/>
        </w:rPr>
        <w:footnoteReference w:id="70"/>
      </w:r>
      <w:r w:rsidR="005957FE" w:rsidRPr="00C30A31">
        <w:rPr>
          <w:rFonts w:ascii="GHEA Grapalat" w:hAnsi="GHEA Grapalat" w:cs="Arial"/>
          <w:sz w:val="24"/>
          <w:szCs w:val="24"/>
        </w:rPr>
        <w:t xml:space="preserve"> </w:t>
      </w:r>
      <w:r w:rsidR="00C30A31">
        <w:rPr>
          <w:rFonts w:ascii="GHEA Grapalat" w:hAnsi="GHEA Grapalat" w:cs="Arial"/>
          <w:sz w:val="24"/>
          <w:szCs w:val="24"/>
        </w:rPr>
        <w:t>Կ</w:t>
      </w:r>
      <w:r w:rsidR="005957FE" w:rsidRPr="00C72AB5">
        <w:rPr>
          <w:rFonts w:ascii="GHEA Grapalat" w:hAnsi="GHEA Grapalat" w:cs="Arial"/>
          <w:sz w:val="24"/>
          <w:szCs w:val="24"/>
        </w:rPr>
        <w:t>ոմիտե</w:t>
      </w:r>
      <w:r w:rsidR="00356D9B" w:rsidRPr="00C72AB5">
        <w:rPr>
          <w:rFonts w:ascii="GHEA Grapalat" w:hAnsi="GHEA Grapalat" w:cs="Arial"/>
          <w:sz w:val="24"/>
          <w:szCs w:val="24"/>
        </w:rPr>
        <w:t>` ներկայացնելով տեղեկատվություն կազմակերպության կողմից իրականացվող</w:t>
      </w:r>
      <w:r w:rsidR="00B01EAF" w:rsidRPr="00B01EAF">
        <w:rPr>
          <w:rFonts w:ascii="GHEA Grapalat" w:hAnsi="GHEA Grapalat" w:cs="Arial"/>
          <w:sz w:val="24"/>
          <w:szCs w:val="24"/>
        </w:rPr>
        <w:t xml:space="preserve"> </w:t>
      </w:r>
      <w:r w:rsidR="00F36F23">
        <w:rPr>
          <w:rFonts w:ascii="GHEA Grapalat" w:hAnsi="GHEA Grapalat" w:cs="Arial"/>
          <w:sz w:val="24"/>
          <w:szCs w:val="24"/>
        </w:rPr>
        <w:t>ՀևՄ</w:t>
      </w:r>
      <w:r w:rsidR="00F36F23" w:rsidRPr="00C72AB5">
        <w:rPr>
          <w:rFonts w:ascii="GHEA Grapalat" w:hAnsi="GHEA Grapalat" w:cs="Arial"/>
          <w:sz w:val="24"/>
          <w:szCs w:val="24"/>
        </w:rPr>
        <w:t xml:space="preserve"> </w:t>
      </w:r>
      <w:r w:rsidR="00356D9B" w:rsidRPr="00C72AB5">
        <w:rPr>
          <w:rFonts w:ascii="GHEA Grapalat" w:hAnsi="GHEA Grapalat" w:cs="Arial"/>
          <w:sz w:val="24"/>
          <w:szCs w:val="24"/>
        </w:rPr>
        <w:t>աշխատանքների և դրանցում ներգրավված աշխատակիցների մասին` հարկային օրենսգրքով սահմանված արտոնություններից օգտվելու նպատակով</w:t>
      </w:r>
      <w:r w:rsidR="00EA0EE0" w:rsidRPr="00C72AB5">
        <w:rPr>
          <w:rFonts w:ascii="GHEA Grapalat" w:hAnsi="GHEA Grapalat" w:cs="Arial"/>
          <w:sz w:val="24"/>
          <w:szCs w:val="24"/>
        </w:rPr>
        <w:t>:</w:t>
      </w:r>
      <w:r w:rsidR="00356D9B" w:rsidRPr="00C72AB5">
        <w:rPr>
          <w:rFonts w:ascii="GHEA Grapalat" w:hAnsi="GHEA Grapalat" w:cs="Arial"/>
          <w:sz w:val="24"/>
          <w:szCs w:val="24"/>
        </w:rPr>
        <w:t xml:space="preserve"> Սրա արդյունքում որոշակիորեն հնարավոր կլինի գնահատել մասնավոր կազմակերպություններում իրականացվող </w:t>
      </w:r>
      <w:r w:rsidR="00F36F23">
        <w:rPr>
          <w:rFonts w:ascii="GHEA Grapalat" w:hAnsi="GHEA Grapalat" w:cs="Arial"/>
          <w:sz w:val="24"/>
          <w:szCs w:val="24"/>
        </w:rPr>
        <w:t>ՀևՄ</w:t>
      </w:r>
      <w:r w:rsidR="00F36F23" w:rsidRPr="00C72AB5">
        <w:rPr>
          <w:rFonts w:ascii="GHEA Grapalat" w:hAnsi="GHEA Grapalat" w:cs="Arial"/>
          <w:sz w:val="24"/>
          <w:szCs w:val="24"/>
        </w:rPr>
        <w:t xml:space="preserve"> </w:t>
      </w:r>
      <w:r w:rsidR="00356D9B" w:rsidRPr="00C72AB5">
        <w:rPr>
          <w:rFonts w:ascii="GHEA Grapalat" w:hAnsi="GHEA Grapalat" w:cs="Arial"/>
          <w:sz w:val="24"/>
          <w:szCs w:val="24"/>
        </w:rPr>
        <w:t>ծավալի և ներգրավված մարդկային ռեսուրսի վերաբերյալ:</w:t>
      </w:r>
    </w:p>
    <w:p w14:paraId="0725D91B" w14:textId="39BEEA1F" w:rsidR="007D15BF" w:rsidRPr="00C72AB5" w:rsidRDefault="0069521F" w:rsidP="007D15BF">
      <w:pPr>
        <w:tabs>
          <w:tab w:val="left" w:pos="851"/>
        </w:tabs>
        <w:spacing w:line="276" w:lineRule="auto"/>
        <w:ind w:firstLine="567"/>
        <w:contextualSpacing/>
        <w:jc w:val="both"/>
        <w:rPr>
          <w:rFonts w:ascii="GHEA Grapalat" w:hAnsi="GHEA Grapalat" w:cs="Arial"/>
          <w:sz w:val="24"/>
          <w:szCs w:val="24"/>
        </w:rPr>
      </w:pPr>
      <w:r w:rsidRPr="00C72AB5">
        <w:rPr>
          <w:rFonts w:ascii="GHEA Grapalat" w:eastAsia="Calibri" w:hAnsi="GHEA Grapalat" w:cs="Arial"/>
          <w:sz w:val="24"/>
          <w:szCs w:val="24"/>
          <w:lang w:eastAsia="en-US"/>
        </w:rPr>
        <w:t>40</w:t>
      </w:r>
      <w:r w:rsidR="007D15BF" w:rsidRPr="00C72AB5">
        <w:rPr>
          <w:rFonts w:ascii="GHEA Grapalat" w:eastAsia="Calibri" w:hAnsi="GHEA Grapalat" w:cs="Arial"/>
          <w:sz w:val="24"/>
          <w:szCs w:val="24"/>
          <w:lang w:eastAsia="en-US"/>
        </w:rPr>
        <w:t>. Մտավոր սեփականության համաշխարհային կազմակերպության (այսուհետ՝ ՄՍՀԿ) տվյալներով 201</w:t>
      </w:r>
      <w:r w:rsidR="006F5DF8" w:rsidRPr="00C72AB5">
        <w:rPr>
          <w:rFonts w:ascii="GHEA Grapalat" w:eastAsia="Calibri" w:hAnsi="GHEA Grapalat" w:cs="Arial"/>
          <w:sz w:val="24"/>
          <w:szCs w:val="24"/>
          <w:lang w:eastAsia="en-US"/>
        </w:rPr>
        <w:t>5</w:t>
      </w:r>
      <w:r w:rsidR="007D15BF" w:rsidRPr="00C72AB5">
        <w:rPr>
          <w:rFonts w:ascii="GHEA Grapalat" w:eastAsia="Calibri" w:hAnsi="GHEA Grapalat" w:cs="Arial"/>
          <w:sz w:val="24"/>
          <w:szCs w:val="24"/>
          <w:lang w:eastAsia="en-US"/>
        </w:rPr>
        <w:t xml:space="preserve">-2025 թվականների </w:t>
      </w:r>
      <w:r w:rsidR="007D15BF" w:rsidRPr="00692DC6">
        <w:rPr>
          <w:rFonts w:ascii="GHEA Grapalat" w:eastAsia="Calibri" w:hAnsi="GHEA Grapalat" w:cs="Arial"/>
          <w:sz w:val="24"/>
          <w:szCs w:val="24"/>
          <w:lang w:eastAsia="en-US"/>
        </w:rPr>
        <w:t xml:space="preserve">ժամանակահատվածում </w:t>
      </w:r>
      <w:r w:rsidR="000505FD" w:rsidRPr="00692DC6">
        <w:rPr>
          <w:rFonts w:ascii="GHEA Grapalat" w:hAnsi="GHEA Grapalat" w:cs="Arial"/>
          <w:sz w:val="24"/>
          <w:szCs w:val="24"/>
        </w:rPr>
        <w:t xml:space="preserve">Հայաստանի Հանրապետության </w:t>
      </w:r>
      <w:r w:rsidR="007D15BF" w:rsidRPr="00692DC6">
        <w:rPr>
          <w:rFonts w:ascii="GHEA Grapalat" w:eastAsia="Calibri" w:hAnsi="GHEA Grapalat" w:cs="Arial"/>
          <w:sz w:val="24"/>
          <w:szCs w:val="24"/>
          <w:lang w:eastAsia="en-US"/>
        </w:rPr>
        <w:t>ռեզիդենտների կողմից</w:t>
      </w:r>
      <w:r w:rsidR="007D15BF" w:rsidRPr="00692DC6">
        <w:rPr>
          <w:rFonts w:ascii="GHEA Grapalat" w:hAnsi="GHEA Grapalat"/>
          <w:sz w:val="24"/>
        </w:rPr>
        <w:t xml:space="preserve"> արտոնագրային համագործակցության մասին պայմանագրի</w:t>
      </w:r>
      <w:r w:rsidR="007D15BF" w:rsidRPr="00692DC6">
        <w:rPr>
          <w:rStyle w:val="FootnoteReference"/>
          <w:rFonts w:ascii="GHEA Grapalat" w:hAnsi="GHEA Grapalat"/>
          <w:sz w:val="24"/>
        </w:rPr>
        <w:footnoteReference w:id="71"/>
      </w:r>
      <w:r w:rsidR="007D15BF" w:rsidRPr="00692DC6">
        <w:rPr>
          <w:rFonts w:ascii="GHEA Grapalat" w:hAnsi="GHEA Grapalat"/>
          <w:sz w:val="24"/>
        </w:rPr>
        <w:t xml:space="preserve"> (PCT) շրջանակում</w:t>
      </w:r>
      <w:r w:rsidR="007D15BF" w:rsidRPr="00692DC6">
        <w:rPr>
          <w:rFonts w:ascii="GHEA Grapalat" w:eastAsia="Calibri" w:hAnsi="GHEA Grapalat" w:cs="Arial"/>
          <w:sz w:val="24"/>
          <w:szCs w:val="24"/>
          <w:lang w:eastAsia="en-US"/>
        </w:rPr>
        <w:t xml:space="preserve"> գրանցված արտոնագրերի ընդ</w:t>
      </w:r>
      <w:r w:rsidR="007D15BF" w:rsidRPr="00C72AB5">
        <w:rPr>
          <w:rFonts w:ascii="GHEA Grapalat" w:eastAsia="Calibri" w:hAnsi="GHEA Grapalat" w:cs="Arial"/>
          <w:sz w:val="24"/>
          <w:szCs w:val="24"/>
          <w:lang w:eastAsia="en-US"/>
        </w:rPr>
        <w:t>հանուր քանակը եղել է 59</w:t>
      </w:r>
      <w:r w:rsidR="00D355D6" w:rsidRPr="00C72AB5">
        <w:rPr>
          <w:rFonts w:ascii="GHEA Grapalat" w:eastAsia="Calibri" w:hAnsi="GHEA Grapalat" w:cs="Arial"/>
          <w:sz w:val="24"/>
          <w:szCs w:val="24"/>
          <w:lang w:eastAsia="en-US"/>
        </w:rPr>
        <w:t xml:space="preserve">, իսկ </w:t>
      </w:r>
      <w:r w:rsidR="00B01EAF">
        <w:rPr>
          <w:rFonts w:ascii="GHEA Grapalat" w:eastAsia="Calibri" w:hAnsi="GHEA Grapalat" w:cs="Arial"/>
          <w:sz w:val="24"/>
          <w:szCs w:val="24"/>
          <w:lang w:eastAsia="en-US"/>
        </w:rPr>
        <w:t>Գ</w:t>
      </w:r>
      <w:r w:rsidR="00B01EAF" w:rsidRPr="00B01EAF">
        <w:rPr>
          <w:rFonts w:ascii="GHEA Grapalat" w:eastAsia="Calibri" w:hAnsi="GHEA Grapalat" w:cs="Arial"/>
          <w:sz w:val="24"/>
          <w:szCs w:val="24"/>
          <w:lang w:eastAsia="en-US"/>
        </w:rPr>
        <w:t>լոբալ նորարարության ցուցիչի</w:t>
      </w:r>
      <w:r w:rsidR="00D355D6" w:rsidRPr="00C72AB5">
        <w:rPr>
          <w:rFonts w:ascii="GHEA Grapalat" w:eastAsia="Calibri" w:hAnsi="GHEA Grapalat" w:cs="Arial"/>
          <w:sz w:val="24"/>
          <w:szCs w:val="24"/>
          <w:lang w:eastAsia="en-US"/>
        </w:rPr>
        <w:t xml:space="preserve"> համապատասխան ցուցանիշով` </w:t>
      </w:r>
      <w:r w:rsidR="00D355D6" w:rsidRPr="00C72AB5">
        <w:rPr>
          <w:rFonts w:ascii="GHEA Grapalat" w:eastAsia="Calibri" w:hAnsi="GHEA Grapalat" w:cs="Arial"/>
          <w:sz w:val="24"/>
          <w:szCs w:val="24"/>
          <w:lang w:eastAsia="en-US"/>
        </w:rPr>
        <w:lastRenderedPageBreak/>
        <w:t>«6.1.2 PCT արտոնագրերն ըստ ծագման/</w:t>
      </w:r>
      <w:r w:rsidR="000505FD">
        <w:rPr>
          <w:rFonts w:ascii="GHEA Grapalat" w:eastAsia="Calibri" w:hAnsi="GHEA Grapalat" w:cs="Arial"/>
          <w:sz w:val="24"/>
          <w:szCs w:val="24"/>
          <w:lang w:eastAsia="en-US"/>
        </w:rPr>
        <w:t>մ</w:t>
      </w:r>
      <w:r w:rsidR="00D355D6" w:rsidRPr="00C72AB5">
        <w:rPr>
          <w:rFonts w:ascii="GHEA Grapalat" w:eastAsia="Calibri" w:hAnsi="GHEA Grapalat" w:cs="Arial"/>
          <w:sz w:val="24"/>
          <w:szCs w:val="24"/>
          <w:lang w:eastAsia="en-US"/>
        </w:rPr>
        <w:t xml:space="preserve">լրդ PPP $ GDP» </w:t>
      </w:r>
      <w:r w:rsidR="000505FD" w:rsidRPr="00692DC6">
        <w:rPr>
          <w:rFonts w:ascii="GHEA Grapalat" w:hAnsi="GHEA Grapalat" w:cs="Arial"/>
          <w:sz w:val="24"/>
          <w:szCs w:val="24"/>
        </w:rPr>
        <w:t>Հայաստանի Հանրապետության</w:t>
      </w:r>
      <w:r w:rsidR="00D355D6" w:rsidRPr="00692DC6">
        <w:rPr>
          <w:rFonts w:ascii="GHEA Grapalat" w:eastAsia="Calibri" w:hAnsi="GHEA Grapalat" w:cs="Arial"/>
          <w:sz w:val="24"/>
          <w:szCs w:val="24"/>
          <w:lang w:eastAsia="en-US"/>
        </w:rPr>
        <w:t xml:space="preserve"> </w:t>
      </w:r>
      <w:r w:rsidR="00D355D6" w:rsidRPr="00C72AB5">
        <w:rPr>
          <w:rFonts w:ascii="GHEA Grapalat" w:eastAsia="Calibri" w:hAnsi="GHEA Grapalat" w:cs="Arial"/>
          <w:sz w:val="24"/>
          <w:szCs w:val="24"/>
          <w:lang w:eastAsia="en-US"/>
        </w:rPr>
        <w:t>դիրքը նվազող է</w:t>
      </w:r>
      <w:r w:rsidR="005F5110" w:rsidRPr="00C72AB5">
        <w:rPr>
          <w:rFonts w:ascii="GHEA Grapalat" w:eastAsia="Calibri" w:hAnsi="GHEA Grapalat" w:cs="Arial"/>
          <w:sz w:val="24"/>
          <w:szCs w:val="24"/>
          <w:lang w:eastAsia="en-US"/>
        </w:rPr>
        <w:t xml:space="preserve"> (տե՛ս, </w:t>
      </w:r>
      <w:r w:rsidR="00B01EAF">
        <w:rPr>
          <w:rFonts w:ascii="GHEA Grapalat" w:eastAsia="Calibri" w:hAnsi="GHEA Grapalat" w:cs="Arial"/>
          <w:sz w:val="24"/>
          <w:szCs w:val="24"/>
          <w:lang w:eastAsia="en-US"/>
        </w:rPr>
        <w:t>Գ</w:t>
      </w:r>
      <w:r w:rsidR="005F5110" w:rsidRPr="00C72AB5">
        <w:rPr>
          <w:rFonts w:ascii="GHEA Grapalat" w:eastAsia="Calibri" w:hAnsi="GHEA Grapalat" w:cs="Arial"/>
          <w:sz w:val="24"/>
          <w:szCs w:val="24"/>
          <w:lang w:eastAsia="en-US"/>
        </w:rPr>
        <w:t>ծապատկեր 29)</w:t>
      </w:r>
      <w:r w:rsidR="00D355D6" w:rsidRPr="00C72AB5">
        <w:rPr>
          <w:rFonts w:ascii="GHEA Grapalat" w:eastAsia="Calibri" w:hAnsi="GHEA Grapalat" w:cs="Arial"/>
          <w:sz w:val="24"/>
          <w:szCs w:val="24"/>
          <w:lang w:eastAsia="en-US"/>
        </w:rPr>
        <w:t>, ինչը սակայն պայմանավորված է նաև ՀՆԱ հետ նորմավորմամբ</w:t>
      </w:r>
      <w:r w:rsidR="007D15BF" w:rsidRPr="00C72AB5">
        <w:rPr>
          <w:rFonts w:ascii="GHEA Grapalat" w:hAnsi="GHEA Grapalat" w:cs="Arial"/>
          <w:sz w:val="24"/>
          <w:szCs w:val="24"/>
        </w:rPr>
        <w:t>:</w:t>
      </w:r>
    </w:p>
    <w:p w14:paraId="6D731023" w14:textId="1B1AAD16" w:rsidR="00156516" w:rsidRPr="00C72AB5" w:rsidRDefault="00356036" w:rsidP="00356036">
      <w:pPr>
        <w:tabs>
          <w:tab w:val="left" w:pos="851"/>
        </w:tabs>
        <w:spacing w:line="276" w:lineRule="auto"/>
        <w:ind w:firstLine="567"/>
        <w:contextualSpacing/>
        <w:jc w:val="center"/>
        <w:rPr>
          <w:rFonts w:ascii="GHEA Grapalat" w:hAnsi="GHEA Grapalat" w:cs="Arial"/>
          <w:sz w:val="24"/>
          <w:szCs w:val="24"/>
        </w:rPr>
      </w:pPr>
      <w:r w:rsidRPr="00C72AB5">
        <w:rPr>
          <w:noProof/>
          <w:lang w:val="en-US" w:eastAsia="en-US"/>
        </w:rPr>
        <w:drawing>
          <wp:inline distT="0" distB="0" distL="0" distR="0" wp14:anchorId="696EDEE9" wp14:editId="5D6A7A24">
            <wp:extent cx="5257143" cy="2219048"/>
            <wp:effectExtent l="0" t="0" r="1270" b="0"/>
            <wp:docPr id="8551824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182423" name=""/>
                    <pic:cNvPicPr/>
                  </pic:nvPicPr>
                  <pic:blipFill>
                    <a:blip r:embed="rId47"/>
                    <a:stretch>
                      <a:fillRect/>
                    </a:stretch>
                  </pic:blipFill>
                  <pic:spPr>
                    <a:xfrm>
                      <a:off x="0" y="0"/>
                      <a:ext cx="5257143" cy="2219048"/>
                    </a:xfrm>
                    <a:prstGeom prst="rect">
                      <a:avLst/>
                    </a:prstGeom>
                  </pic:spPr>
                </pic:pic>
              </a:graphicData>
            </a:graphic>
          </wp:inline>
        </w:drawing>
      </w:r>
    </w:p>
    <w:p w14:paraId="65BFB8EA" w14:textId="1D8AEAD1" w:rsidR="007D15BF" w:rsidRPr="00C72AB5" w:rsidRDefault="007D15BF" w:rsidP="00751DF5">
      <w:pPr>
        <w:tabs>
          <w:tab w:val="left" w:pos="540"/>
          <w:tab w:val="left" w:pos="851"/>
        </w:tabs>
        <w:spacing w:line="276" w:lineRule="auto"/>
        <w:jc w:val="center"/>
        <w:rPr>
          <w:rFonts w:ascii="GHEA Grapalat" w:hAnsi="GHEA Grapalat" w:cs="Arial"/>
          <w:sz w:val="24"/>
          <w:szCs w:val="24"/>
        </w:rPr>
      </w:pPr>
    </w:p>
    <w:p w14:paraId="26CBC093" w14:textId="23E5C32D" w:rsidR="007D15BF" w:rsidRPr="00C72AB5" w:rsidRDefault="005F7C93" w:rsidP="00796BE6">
      <w:pPr>
        <w:tabs>
          <w:tab w:val="left" w:pos="851"/>
        </w:tabs>
        <w:ind w:left="567" w:hanging="567"/>
        <w:jc w:val="both"/>
        <w:rPr>
          <w:rFonts w:ascii="GHEA Grapalat" w:hAnsi="GHEA Grapalat" w:cs="Arial"/>
        </w:rPr>
      </w:pPr>
      <w:r w:rsidRPr="00C72AB5">
        <w:rPr>
          <w:rFonts w:ascii="GHEA Grapalat" w:hAnsi="GHEA Grapalat"/>
          <w:b/>
        </w:rPr>
        <w:t>Գծապատկեր</w:t>
      </w:r>
      <w:r w:rsidR="007D15BF" w:rsidRPr="00C72AB5">
        <w:rPr>
          <w:rFonts w:ascii="GHEA Grapalat" w:hAnsi="GHEA Grapalat" w:cs="Arial"/>
          <w:b/>
        </w:rPr>
        <w:t xml:space="preserve"> 2</w:t>
      </w:r>
      <w:r w:rsidR="00FC614D" w:rsidRPr="00C72AB5">
        <w:rPr>
          <w:rFonts w:ascii="GHEA Grapalat" w:hAnsi="GHEA Grapalat" w:cs="Arial"/>
          <w:b/>
        </w:rPr>
        <w:t>9</w:t>
      </w:r>
      <w:r w:rsidR="007D15BF" w:rsidRPr="00C72AB5">
        <w:rPr>
          <w:rFonts w:ascii="GHEA Grapalat" w:hAnsi="GHEA Grapalat" w:cs="Arial"/>
        </w:rPr>
        <w:t>. Հայաստանի Հանրապետության ռեզիդենտ</w:t>
      </w:r>
      <w:r w:rsidR="004D62CD" w:rsidRPr="00C72AB5">
        <w:rPr>
          <w:rFonts w:ascii="GHEA Grapalat" w:hAnsi="GHEA Grapalat" w:cs="Arial"/>
        </w:rPr>
        <w:t xml:space="preserve"> կազմակերպությունն</w:t>
      </w:r>
      <w:r w:rsidR="007D15BF" w:rsidRPr="00C72AB5">
        <w:rPr>
          <w:rFonts w:ascii="GHEA Grapalat" w:hAnsi="GHEA Grapalat" w:cs="Arial"/>
        </w:rPr>
        <w:t xml:space="preserve">երի </w:t>
      </w:r>
      <w:r w:rsidR="004D62CD" w:rsidRPr="00C72AB5">
        <w:rPr>
          <w:rFonts w:ascii="GHEA Grapalat" w:hAnsi="GHEA Grapalat" w:cs="Arial"/>
        </w:rPr>
        <w:t xml:space="preserve">կամ անհատների </w:t>
      </w:r>
      <w:r w:rsidR="007D15BF" w:rsidRPr="00C72AB5">
        <w:rPr>
          <w:rFonts w:ascii="GHEA Grapalat" w:hAnsi="GHEA Grapalat" w:cs="Arial"/>
        </w:rPr>
        <w:t xml:space="preserve">կողմից PCT արտոնագրերի քանակի </w:t>
      </w:r>
      <w:r w:rsidR="00D355D6" w:rsidRPr="00C72AB5">
        <w:rPr>
          <w:rFonts w:ascii="GHEA Grapalat" w:hAnsi="GHEA Grapalat" w:cs="Arial"/>
        </w:rPr>
        <w:t>և</w:t>
      </w:r>
      <w:r w:rsidR="00B01EAF" w:rsidRPr="00B01EAF">
        <w:t xml:space="preserve"> </w:t>
      </w:r>
      <w:r w:rsidR="00B01EAF">
        <w:rPr>
          <w:rFonts w:ascii="GHEA Grapalat" w:hAnsi="GHEA Grapalat" w:cs="Arial"/>
        </w:rPr>
        <w:t>Գ</w:t>
      </w:r>
      <w:r w:rsidR="00B01EAF" w:rsidRPr="00B01EAF">
        <w:rPr>
          <w:rFonts w:ascii="GHEA Grapalat" w:hAnsi="GHEA Grapalat" w:cs="Arial"/>
        </w:rPr>
        <w:t>լոբալ նորարարության ցուցիչի</w:t>
      </w:r>
      <w:r w:rsidR="00D355D6" w:rsidRPr="00C72AB5">
        <w:rPr>
          <w:rFonts w:ascii="GHEA Grapalat" w:hAnsi="GHEA Grapalat" w:cs="Arial"/>
        </w:rPr>
        <w:t xml:space="preserve"> համապատասխան ցուցանիշի </w:t>
      </w:r>
      <w:r w:rsidR="007D15BF" w:rsidRPr="00C72AB5">
        <w:rPr>
          <w:rFonts w:ascii="GHEA Grapalat" w:hAnsi="GHEA Grapalat" w:cs="Arial"/>
        </w:rPr>
        <w:t>դինամիկան:</w:t>
      </w:r>
    </w:p>
    <w:p w14:paraId="30C3EFF7" w14:textId="77777777" w:rsidR="007D15BF" w:rsidRPr="00C72AB5" w:rsidRDefault="007D15BF" w:rsidP="007D15BF">
      <w:pPr>
        <w:tabs>
          <w:tab w:val="left" w:pos="540"/>
          <w:tab w:val="left" w:pos="851"/>
        </w:tabs>
        <w:spacing w:line="276" w:lineRule="auto"/>
        <w:ind w:firstLine="284"/>
        <w:jc w:val="center"/>
        <w:rPr>
          <w:rFonts w:ascii="GHEA Grapalat" w:hAnsi="GHEA Grapalat" w:cs="Arial"/>
          <w:sz w:val="24"/>
          <w:szCs w:val="24"/>
        </w:rPr>
      </w:pPr>
    </w:p>
    <w:p w14:paraId="1481484B" w14:textId="1BE71386" w:rsidR="00BD6616" w:rsidRPr="00692DC6" w:rsidRDefault="006D2E17" w:rsidP="00BD6616">
      <w:pPr>
        <w:pStyle w:val="Heading1"/>
      </w:pPr>
      <w:r w:rsidRPr="00C72AB5">
        <w:rPr>
          <w:rFonts w:cs="Arial"/>
        </w:rPr>
        <w:br w:type="page"/>
      </w:r>
      <w:bookmarkStart w:id="9" w:name="_Toc215422088"/>
      <w:r w:rsidR="004956AA" w:rsidRPr="00692DC6">
        <w:rPr>
          <w:rFonts w:cs="Arial"/>
        </w:rPr>
        <w:lastRenderedPageBreak/>
        <w:t xml:space="preserve">3. </w:t>
      </w:r>
      <w:r w:rsidR="00BD6616" w:rsidRPr="00692DC6">
        <w:t>ԾՐԱԳՐԻ ՏԵՍԼԱԿԱՆԸ ԵՎ ՆՊԱՏԱԿՆԵՐԸ</w:t>
      </w:r>
      <w:bookmarkEnd w:id="9"/>
    </w:p>
    <w:p w14:paraId="0A0A07A5" w14:textId="77777777" w:rsidR="000505FD" w:rsidRPr="00692DC6" w:rsidRDefault="000505FD" w:rsidP="0073444C">
      <w:bookmarkStart w:id="10" w:name="_Toc215422089"/>
    </w:p>
    <w:p w14:paraId="3EBF260F" w14:textId="1A6AB0B6" w:rsidR="00BD6616" w:rsidRPr="00692DC6" w:rsidRDefault="004956AA" w:rsidP="00BD6616">
      <w:pPr>
        <w:pStyle w:val="Heading2"/>
      </w:pPr>
      <w:r w:rsidRPr="00692DC6">
        <w:t xml:space="preserve">3.1 </w:t>
      </w:r>
      <w:r w:rsidR="00BD6616" w:rsidRPr="00692DC6">
        <w:t>ԱՐԴՅՈՒՆՔԱՅԻՆ ՇՐՋԱՆԱԿԸ</w:t>
      </w:r>
      <w:bookmarkEnd w:id="10"/>
    </w:p>
    <w:p w14:paraId="15730454" w14:textId="77777777" w:rsidR="00AE15AC" w:rsidRPr="00692DC6" w:rsidRDefault="00AE15AC" w:rsidP="0073444C"/>
    <w:p w14:paraId="4623EBDC" w14:textId="6CB0BE58" w:rsidR="00BD6616" w:rsidRPr="00C72AB5" w:rsidRDefault="0069521F" w:rsidP="00BD6616">
      <w:pPr>
        <w:tabs>
          <w:tab w:val="left" w:pos="851"/>
          <w:tab w:val="left" w:pos="993"/>
        </w:tabs>
        <w:spacing w:line="276" w:lineRule="auto"/>
        <w:ind w:firstLine="567"/>
        <w:jc w:val="both"/>
        <w:rPr>
          <w:rFonts w:ascii="GHEA Grapalat" w:hAnsi="GHEA Grapalat" w:cs="Sylfaen"/>
          <w:sz w:val="24"/>
          <w:szCs w:val="24"/>
        </w:rPr>
      </w:pPr>
      <w:r w:rsidRPr="00692DC6">
        <w:rPr>
          <w:rFonts w:ascii="GHEA Grapalat" w:hAnsi="GHEA Grapalat" w:cs="Sylfaen"/>
          <w:sz w:val="24"/>
          <w:szCs w:val="24"/>
        </w:rPr>
        <w:t>41</w:t>
      </w:r>
      <w:r w:rsidR="00BD6616" w:rsidRPr="00692DC6">
        <w:rPr>
          <w:rFonts w:ascii="GHEA Grapalat" w:hAnsi="GHEA Grapalat" w:cs="Sylfaen"/>
          <w:sz w:val="24"/>
          <w:szCs w:val="24"/>
        </w:rPr>
        <w:t xml:space="preserve">. Անընդհատ զարգացող և փոփոխվող աշխարհում </w:t>
      </w:r>
      <w:r w:rsidR="00BD6616" w:rsidRPr="00C72AB5">
        <w:rPr>
          <w:rFonts w:ascii="GHEA Grapalat" w:hAnsi="GHEA Grapalat" w:cs="Sylfaen"/>
          <w:sz w:val="24"/>
          <w:szCs w:val="24"/>
        </w:rPr>
        <w:t>Հայաստանի մրցունակության ձևավորման և պահպանման կարևորագույն գործոններից է գիտության ոլորտը, որը 2030 թվականին պետք է լինի օպտիմալ կառավարվող, ԵՀՏ-ում մի շարք մասնագիտություններով մրցունակ ոլորտ, որի հիմքում ընկած են բարձր որակավորմամբ գիտական կադրերը, զարգացած և օպտիմալ հետազոտական ենթակառուցվածքները և հետազոտությունների միջազգային գերազանցությունը: Այն ծառայ</w:t>
      </w:r>
      <w:r w:rsidR="006E4FB8">
        <w:rPr>
          <w:rFonts w:ascii="GHEA Grapalat" w:hAnsi="GHEA Grapalat" w:cs="Sylfaen"/>
          <w:sz w:val="24"/>
          <w:szCs w:val="24"/>
        </w:rPr>
        <w:t>ելու</w:t>
      </w:r>
      <w:r w:rsidR="00BD6616" w:rsidRPr="00C72AB5">
        <w:rPr>
          <w:rFonts w:ascii="GHEA Grapalat" w:hAnsi="GHEA Grapalat" w:cs="Sylfaen"/>
          <w:sz w:val="24"/>
          <w:szCs w:val="24"/>
        </w:rPr>
        <w:t xml:space="preserve"> է ժամանակակից և առաջանցիկ ուղղություններում հետազոտական և մարդկային ներուժի զարգացմանը, հանրապետության մրցունակության և պաշտպանունակության բարձրացման նպատակով համապատասխան բարձր որակավորմամբ և հավելյալ արժեք ստեղծելու ընդունակ մասնագետների պատրաստմանը, հանրապետության կարիքներից բխող կիրառական </w:t>
      </w:r>
      <w:r w:rsidR="00F36F23">
        <w:rPr>
          <w:rFonts w:ascii="GHEA Grapalat" w:hAnsi="GHEA Grapalat" w:cs="Arial"/>
          <w:sz w:val="24"/>
          <w:szCs w:val="24"/>
        </w:rPr>
        <w:t>ՀևՄ</w:t>
      </w:r>
      <w:r w:rsidR="00F36F23" w:rsidRPr="00C72AB5">
        <w:rPr>
          <w:rFonts w:ascii="GHEA Grapalat" w:hAnsi="GHEA Grapalat" w:cs="Sylfaen"/>
          <w:sz w:val="24"/>
          <w:szCs w:val="24"/>
        </w:rPr>
        <w:t xml:space="preserve"> </w:t>
      </w:r>
      <w:r w:rsidR="00BD6616" w:rsidRPr="00C72AB5">
        <w:rPr>
          <w:rFonts w:ascii="GHEA Grapalat" w:hAnsi="GHEA Grapalat" w:cs="Sylfaen"/>
          <w:sz w:val="24"/>
          <w:szCs w:val="24"/>
        </w:rPr>
        <w:t>իրականացմանը, ինչպես նաև հանրային կյանքում հետաքրքրասիրության սերմանմանը և մարդկության ժամանակակից ձեռքբերումների վերաբերյալ տեղեկացվածության բարձրացմանը: Գիտության ոլորտը արդյունավետորեն ինտեգրվ</w:t>
      </w:r>
      <w:r w:rsidR="006E4FB8">
        <w:rPr>
          <w:rFonts w:ascii="GHEA Grapalat" w:hAnsi="GHEA Grapalat" w:cs="Sylfaen"/>
          <w:sz w:val="24"/>
          <w:szCs w:val="24"/>
        </w:rPr>
        <w:t xml:space="preserve">ելու </w:t>
      </w:r>
      <w:r w:rsidR="00BD6616" w:rsidRPr="00C72AB5">
        <w:rPr>
          <w:rFonts w:ascii="GHEA Grapalat" w:hAnsi="GHEA Grapalat" w:cs="Sylfaen"/>
          <w:sz w:val="24"/>
          <w:szCs w:val="24"/>
        </w:rPr>
        <w:t>է բարձրագույն կրթության համակարգի հետ` հետազոտության բոլոր տեսակներում ապահովելով երիտասարդ կադրերի արդյունավետ և համակարգված ներգրավումը` նպաստելով նոր կադրերի ձևավորմանը, ինչպես նաև արդյունավետորեն ծառայ</w:t>
      </w:r>
      <w:r w:rsidR="006E4FB8">
        <w:rPr>
          <w:rFonts w:ascii="GHEA Grapalat" w:hAnsi="GHEA Grapalat" w:cs="Sylfaen"/>
          <w:sz w:val="24"/>
          <w:szCs w:val="24"/>
        </w:rPr>
        <w:t>ելու</w:t>
      </w:r>
      <w:r w:rsidR="00BD6616" w:rsidRPr="00C72AB5">
        <w:rPr>
          <w:rFonts w:ascii="GHEA Grapalat" w:hAnsi="GHEA Grapalat" w:cs="Sylfaen"/>
          <w:sz w:val="24"/>
          <w:szCs w:val="24"/>
        </w:rPr>
        <w:t xml:space="preserve"> է պետական կարիքներից բխող կամ առևտրայնացման հեռանկար ունեցող մրցունակ հետազոտությունների իրականացմանը, տեխնոլոգի</w:t>
      </w:r>
      <w:r w:rsidR="00035865">
        <w:rPr>
          <w:rFonts w:ascii="GHEA Grapalat" w:hAnsi="GHEA Grapalat" w:cs="Sylfaen"/>
          <w:sz w:val="24"/>
          <w:szCs w:val="24"/>
        </w:rPr>
        <w:t>ա</w:t>
      </w:r>
      <w:r w:rsidR="00BD6616" w:rsidRPr="00C72AB5">
        <w:rPr>
          <w:rFonts w:ascii="GHEA Grapalat" w:hAnsi="GHEA Grapalat" w:cs="Sylfaen"/>
          <w:sz w:val="24"/>
          <w:szCs w:val="24"/>
        </w:rPr>
        <w:t>ների փոխանցմանը և համապատասխանում է առավելագույն ազդեցության հրամայականին:</w:t>
      </w:r>
    </w:p>
    <w:p w14:paraId="6B1C2BAA" w14:textId="0137E5AB" w:rsidR="00BD6616" w:rsidRPr="00C72AB5" w:rsidRDefault="0069521F" w:rsidP="00E21123">
      <w:pPr>
        <w:spacing w:line="276" w:lineRule="auto"/>
        <w:ind w:firstLine="426"/>
        <w:jc w:val="both"/>
        <w:rPr>
          <w:rFonts w:ascii="GHEA Grapalat" w:hAnsi="GHEA Grapalat"/>
          <w:sz w:val="24"/>
        </w:rPr>
      </w:pPr>
      <w:r w:rsidRPr="00C72AB5">
        <w:rPr>
          <w:rFonts w:ascii="GHEA Grapalat" w:hAnsi="GHEA Grapalat"/>
          <w:sz w:val="24"/>
        </w:rPr>
        <w:t>42</w:t>
      </w:r>
      <w:r w:rsidR="00BD6616" w:rsidRPr="00C72AB5">
        <w:rPr>
          <w:rFonts w:ascii="GHEA Grapalat" w:hAnsi="GHEA Grapalat"/>
          <w:sz w:val="24"/>
        </w:rPr>
        <w:t>. 2030 թվականին Հայաստանի Հանրապետությունում գիտության ոլորտը`</w:t>
      </w:r>
    </w:p>
    <w:p w14:paraId="32C4034F" w14:textId="148E0527" w:rsidR="00BD6616" w:rsidRPr="00C72AB5" w:rsidRDefault="00565707" w:rsidP="00BD6616">
      <w:pPr>
        <w:spacing w:line="276" w:lineRule="auto"/>
        <w:ind w:firstLine="567"/>
        <w:jc w:val="both"/>
        <w:rPr>
          <w:rFonts w:ascii="GHEA Grapalat" w:hAnsi="GHEA Grapalat"/>
          <w:sz w:val="24"/>
        </w:rPr>
      </w:pPr>
      <w:r w:rsidRPr="00C72AB5">
        <w:rPr>
          <w:rFonts w:ascii="GHEA Grapalat" w:hAnsi="GHEA Grapalat"/>
          <w:sz w:val="24"/>
        </w:rPr>
        <w:t>1</w:t>
      </w:r>
      <w:r w:rsidR="00BD6616" w:rsidRPr="00C72AB5">
        <w:rPr>
          <w:rFonts w:ascii="GHEA Grapalat" w:hAnsi="GHEA Grapalat"/>
          <w:sz w:val="24"/>
        </w:rPr>
        <w:t xml:space="preserve">) ապահովում է Հայաստանի Հանրապետության ճանաչումը միջազգային մակարդակում որպես մրցունակ և բարձր նշանակության գիտական արդյունք </w:t>
      </w:r>
      <w:r w:rsidRPr="00C72AB5">
        <w:rPr>
          <w:rFonts w:ascii="GHEA Grapalat" w:hAnsi="GHEA Grapalat"/>
          <w:sz w:val="24"/>
        </w:rPr>
        <w:t>ապահով</w:t>
      </w:r>
      <w:r w:rsidR="00BD6616" w:rsidRPr="00C72AB5">
        <w:rPr>
          <w:rFonts w:ascii="GHEA Grapalat" w:hAnsi="GHEA Grapalat"/>
          <w:sz w:val="24"/>
        </w:rPr>
        <w:t>ող և ոլորտի արժեքավոր դերակատար</w:t>
      </w:r>
      <w:r w:rsidRPr="00C72AB5">
        <w:rPr>
          <w:rFonts w:ascii="GHEA Grapalat" w:hAnsi="GHEA Grapalat"/>
          <w:sz w:val="24"/>
        </w:rPr>
        <w:t>,</w:t>
      </w:r>
    </w:p>
    <w:p w14:paraId="24BFAC91" w14:textId="09BBEF9A" w:rsidR="00BD6616" w:rsidRPr="00C72AB5" w:rsidRDefault="00565707" w:rsidP="00BD6616">
      <w:pPr>
        <w:spacing w:line="276" w:lineRule="auto"/>
        <w:ind w:firstLine="567"/>
        <w:jc w:val="both"/>
        <w:rPr>
          <w:rFonts w:ascii="GHEA Grapalat" w:hAnsi="GHEA Grapalat"/>
          <w:sz w:val="24"/>
        </w:rPr>
      </w:pPr>
      <w:r w:rsidRPr="00C72AB5">
        <w:rPr>
          <w:rFonts w:ascii="GHEA Grapalat" w:hAnsi="GHEA Grapalat"/>
          <w:sz w:val="24"/>
        </w:rPr>
        <w:t>2</w:t>
      </w:r>
      <w:r w:rsidR="00BD6616" w:rsidRPr="00C72AB5">
        <w:rPr>
          <w:rFonts w:ascii="GHEA Grapalat" w:hAnsi="GHEA Grapalat"/>
          <w:sz w:val="24"/>
        </w:rPr>
        <w:t xml:space="preserve">) միտված է </w:t>
      </w:r>
      <w:r w:rsidR="00035865">
        <w:rPr>
          <w:rFonts w:ascii="GHEA Grapalat" w:hAnsi="GHEA Grapalat"/>
          <w:sz w:val="24"/>
        </w:rPr>
        <w:t>գիտատեխնոլոգիական</w:t>
      </w:r>
      <w:r w:rsidR="00BD6616" w:rsidRPr="00C72AB5">
        <w:rPr>
          <w:rFonts w:ascii="GHEA Grapalat" w:hAnsi="GHEA Grapalat"/>
          <w:sz w:val="24"/>
        </w:rPr>
        <w:t xml:space="preserve"> հավակնոտ ծրագրերի </w:t>
      </w:r>
      <w:r w:rsidRPr="00C72AB5">
        <w:rPr>
          <w:rFonts w:ascii="GHEA Grapalat" w:hAnsi="GHEA Grapalat"/>
          <w:sz w:val="24"/>
        </w:rPr>
        <w:t>իրականաց</w:t>
      </w:r>
      <w:r w:rsidR="00BD6616" w:rsidRPr="00C72AB5">
        <w:rPr>
          <w:rFonts w:ascii="GHEA Grapalat" w:hAnsi="GHEA Grapalat"/>
          <w:sz w:val="24"/>
        </w:rPr>
        <w:t xml:space="preserve">մանը, գործում է գերազանցության սկզբունքների հիման վրա` բաց և կանխատեսելի ընթացակարգերով </w:t>
      </w:r>
      <w:r w:rsidR="00E21123">
        <w:rPr>
          <w:rFonts w:ascii="GHEA Grapalat" w:hAnsi="GHEA Grapalat"/>
          <w:sz w:val="24"/>
        </w:rPr>
        <w:t>ու</w:t>
      </w:r>
      <w:r w:rsidR="00BD6616" w:rsidRPr="00C72AB5">
        <w:rPr>
          <w:rFonts w:ascii="GHEA Grapalat" w:hAnsi="GHEA Grapalat"/>
          <w:sz w:val="24"/>
        </w:rPr>
        <w:t xml:space="preserve"> </w:t>
      </w:r>
      <w:r w:rsidR="00980BC1">
        <w:rPr>
          <w:rFonts w:ascii="GHEA Grapalat" w:hAnsi="GHEA Grapalat"/>
          <w:sz w:val="24"/>
        </w:rPr>
        <w:t xml:space="preserve">բոլոր դերակատարների կողմից </w:t>
      </w:r>
      <w:r w:rsidR="00BD6616" w:rsidRPr="00C72AB5">
        <w:rPr>
          <w:rFonts w:ascii="GHEA Grapalat" w:hAnsi="GHEA Grapalat"/>
          <w:sz w:val="24"/>
        </w:rPr>
        <w:t>ընդունելի ակնկալիքներով</w:t>
      </w:r>
      <w:r w:rsidRPr="00C72AB5">
        <w:rPr>
          <w:rFonts w:ascii="GHEA Grapalat" w:hAnsi="GHEA Grapalat"/>
          <w:sz w:val="24"/>
        </w:rPr>
        <w:t>,</w:t>
      </w:r>
    </w:p>
    <w:p w14:paraId="684BF95C" w14:textId="33BDE29A" w:rsidR="00BD6616" w:rsidRPr="00C72AB5" w:rsidRDefault="00565707" w:rsidP="00BD6616">
      <w:pPr>
        <w:spacing w:line="276" w:lineRule="auto"/>
        <w:ind w:firstLine="567"/>
        <w:jc w:val="both"/>
        <w:rPr>
          <w:rFonts w:ascii="GHEA Grapalat" w:hAnsi="GHEA Grapalat"/>
          <w:sz w:val="24"/>
        </w:rPr>
      </w:pPr>
      <w:r w:rsidRPr="00C72AB5">
        <w:rPr>
          <w:rFonts w:ascii="GHEA Grapalat" w:hAnsi="GHEA Grapalat"/>
          <w:sz w:val="24"/>
        </w:rPr>
        <w:t>3</w:t>
      </w:r>
      <w:r w:rsidR="00BD6616" w:rsidRPr="00C72AB5">
        <w:rPr>
          <w:rFonts w:ascii="GHEA Grapalat" w:hAnsi="GHEA Grapalat"/>
          <w:sz w:val="24"/>
        </w:rPr>
        <w:t>) երաշխավորում է տաղանդավոր երիտասարդների ներգրավումը դեպի ոլորտ, նրանց առաջխաղացումը և հնարավորությունների առավելագույն իրացումը</w:t>
      </w:r>
      <w:r w:rsidRPr="00C72AB5">
        <w:rPr>
          <w:rFonts w:ascii="GHEA Grapalat" w:hAnsi="GHEA Grapalat"/>
          <w:sz w:val="24"/>
        </w:rPr>
        <w:t>,</w:t>
      </w:r>
    </w:p>
    <w:p w14:paraId="45AA3196" w14:textId="3A33FD3E" w:rsidR="00BD6616" w:rsidRPr="00C72AB5" w:rsidRDefault="00565707" w:rsidP="00BD6616">
      <w:pPr>
        <w:spacing w:line="276" w:lineRule="auto"/>
        <w:ind w:firstLine="567"/>
        <w:jc w:val="both"/>
        <w:rPr>
          <w:rFonts w:ascii="GHEA Grapalat" w:hAnsi="GHEA Grapalat"/>
          <w:sz w:val="24"/>
        </w:rPr>
      </w:pPr>
      <w:r w:rsidRPr="00C72AB5">
        <w:rPr>
          <w:rFonts w:ascii="GHEA Grapalat" w:hAnsi="GHEA Grapalat"/>
          <w:sz w:val="24"/>
        </w:rPr>
        <w:t>4</w:t>
      </w:r>
      <w:r w:rsidR="00BD6616" w:rsidRPr="00C72AB5">
        <w:rPr>
          <w:rFonts w:ascii="GHEA Grapalat" w:hAnsi="GHEA Grapalat"/>
          <w:sz w:val="24"/>
        </w:rPr>
        <w:t>) նպաստում է բարձր հավելյալ արժեք ստեղծող և գիտատար ձեռնարկությունների ստեղծմանն ու զարգացմանը, ինչպես ներքին ռեսուրսներով, այնպես էլ օտարերկրյա ուղիղ ներդրումների ներգրավմամբ</w:t>
      </w:r>
      <w:r w:rsidRPr="00C72AB5">
        <w:rPr>
          <w:rFonts w:ascii="GHEA Grapalat" w:hAnsi="GHEA Grapalat"/>
          <w:sz w:val="24"/>
        </w:rPr>
        <w:t>,</w:t>
      </w:r>
    </w:p>
    <w:p w14:paraId="2D3D284D" w14:textId="0041471B" w:rsidR="00BD6616" w:rsidRPr="00C72AB5" w:rsidRDefault="00565707" w:rsidP="00BD6616">
      <w:pPr>
        <w:spacing w:line="276" w:lineRule="auto"/>
        <w:ind w:firstLine="567"/>
        <w:jc w:val="both"/>
        <w:rPr>
          <w:rFonts w:ascii="GHEA Grapalat" w:hAnsi="GHEA Grapalat"/>
          <w:sz w:val="24"/>
        </w:rPr>
      </w:pPr>
      <w:r w:rsidRPr="00C72AB5">
        <w:rPr>
          <w:rFonts w:ascii="GHEA Grapalat" w:hAnsi="GHEA Grapalat"/>
          <w:sz w:val="24"/>
        </w:rPr>
        <w:t>5</w:t>
      </w:r>
      <w:r w:rsidR="00BD6616" w:rsidRPr="00C72AB5">
        <w:rPr>
          <w:rFonts w:ascii="GHEA Grapalat" w:hAnsi="GHEA Grapalat"/>
          <w:sz w:val="24"/>
        </w:rPr>
        <w:t>) ապահովում է անհրաժեշտ մարդկային կապիտալ` խոշորամասշտաբ ծրագրերի իրականացման և խոշոր գիտատա</w:t>
      </w:r>
      <w:r w:rsidR="00E21123">
        <w:rPr>
          <w:rFonts w:ascii="GHEA Grapalat" w:hAnsi="GHEA Grapalat"/>
          <w:sz w:val="24"/>
        </w:rPr>
        <w:t>ր կազմակերպությունների Հայաստան</w:t>
      </w:r>
      <w:r w:rsidR="00E21123" w:rsidRPr="00F33222">
        <w:rPr>
          <w:rFonts w:ascii="GHEA Grapalat" w:hAnsi="GHEA Grapalat" w:cs="Arial"/>
          <w:color w:val="FF0000"/>
          <w:sz w:val="24"/>
          <w:szCs w:val="24"/>
        </w:rPr>
        <w:t xml:space="preserve"> </w:t>
      </w:r>
      <w:r w:rsidR="00BD6616" w:rsidRPr="00C72AB5">
        <w:rPr>
          <w:rFonts w:ascii="GHEA Grapalat" w:hAnsi="GHEA Grapalat"/>
          <w:sz w:val="24"/>
        </w:rPr>
        <w:t>տեղափոխման համար</w:t>
      </w:r>
      <w:r w:rsidRPr="00C72AB5">
        <w:rPr>
          <w:rFonts w:ascii="GHEA Grapalat" w:hAnsi="GHEA Grapalat"/>
          <w:sz w:val="24"/>
        </w:rPr>
        <w:t>,</w:t>
      </w:r>
    </w:p>
    <w:p w14:paraId="1E3FDF87" w14:textId="623CA335" w:rsidR="00BD6616" w:rsidRPr="00C72AB5" w:rsidRDefault="00565707" w:rsidP="00BD6616">
      <w:pPr>
        <w:spacing w:line="276" w:lineRule="auto"/>
        <w:ind w:firstLine="567"/>
        <w:jc w:val="both"/>
        <w:rPr>
          <w:rFonts w:ascii="GHEA Grapalat" w:hAnsi="GHEA Grapalat"/>
          <w:sz w:val="24"/>
        </w:rPr>
      </w:pPr>
      <w:r w:rsidRPr="00C72AB5">
        <w:rPr>
          <w:rFonts w:ascii="GHEA Grapalat" w:hAnsi="GHEA Grapalat"/>
          <w:sz w:val="24"/>
        </w:rPr>
        <w:lastRenderedPageBreak/>
        <w:t>6</w:t>
      </w:r>
      <w:r w:rsidR="00BD6616" w:rsidRPr="00C72AB5">
        <w:rPr>
          <w:rFonts w:ascii="GHEA Grapalat" w:hAnsi="GHEA Grapalat"/>
          <w:sz w:val="24"/>
        </w:rPr>
        <w:t>) խթանում է որակյալ հայագիտական հետազոտությունների իրականացումը` ներառյալ միջոլորտային հետազոտությունները և հետազոտության արդյունքների առավել արդյունավետ տարածումը</w:t>
      </w:r>
      <w:r w:rsidRPr="00C72AB5">
        <w:rPr>
          <w:rFonts w:ascii="GHEA Grapalat" w:hAnsi="GHEA Grapalat"/>
          <w:sz w:val="24"/>
        </w:rPr>
        <w:t>,</w:t>
      </w:r>
    </w:p>
    <w:p w14:paraId="136EF172" w14:textId="0E22BCD2" w:rsidR="00BD6616" w:rsidRPr="00C72AB5" w:rsidRDefault="00565707" w:rsidP="00BD6616">
      <w:pPr>
        <w:spacing w:line="276" w:lineRule="auto"/>
        <w:ind w:firstLine="567"/>
        <w:jc w:val="both"/>
        <w:rPr>
          <w:rFonts w:ascii="GHEA Grapalat" w:hAnsi="GHEA Grapalat"/>
          <w:sz w:val="24"/>
        </w:rPr>
      </w:pPr>
      <w:r w:rsidRPr="00C72AB5">
        <w:rPr>
          <w:rFonts w:ascii="GHEA Grapalat" w:hAnsi="GHEA Grapalat"/>
          <w:sz w:val="24"/>
        </w:rPr>
        <w:t>7</w:t>
      </w:r>
      <w:r w:rsidR="00BD6616" w:rsidRPr="00C72AB5">
        <w:rPr>
          <w:rFonts w:ascii="GHEA Grapalat" w:hAnsi="GHEA Grapalat"/>
          <w:sz w:val="24"/>
        </w:rPr>
        <w:t>) հանդես է գալիս որպես հուսալի տվյալների աղբյուր` որոշումների կայացման համար</w:t>
      </w:r>
      <w:r w:rsidRPr="00C72AB5">
        <w:rPr>
          <w:rFonts w:ascii="GHEA Grapalat" w:hAnsi="GHEA Grapalat"/>
          <w:sz w:val="24"/>
        </w:rPr>
        <w:t>,</w:t>
      </w:r>
    </w:p>
    <w:p w14:paraId="22316D1F" w14:textId="4D9F826D" w:rsidR="00BD6616" w:rsidRPr="00C72AB5" w:rsidRDefault="00565707" w:rsidP="00BD6616">
      <w:pPr>
        <w:spacing w:line="276" w:lineRule="auto"/>
        <w:ind w:firstLine="567"/>
        <w:jc w:val="both"/>
        <w:rPr>
          <w:rFonts w:ascii="GHEA Grapalat" w:hAnsi="GHEA Grapalat"/>
          <w:sz w:val="24"/>
        </w:rPr>
      </w:pPr>
      <w:r w:rsidRPr="00C72AB5">
        <w:rPr>
          <w:rFonts w:ascii="GHEA Grapalat" w:hAnsi="GHEA Grapalat"/>
          <w:sz w:val="24"/>
        </w:rPr>
        <w:t>8</w:t>
      </w:r>
      <w:r w:rsidR="00BD6616" w:rsidRPr="00C72AB5">
        <w:rPr>
          <w:rFonts w:ascii="GHEA Grapalat" w:hAnsi="GHEA Grapalat"/>
          <w:sz w:val="24"/>
        </w:rPr>
        <w:t xml:space="preserve">) գործում է բաց </w:t>
      </w:r>
      <w:r w:rsidR="00035865">
        <w:rPr>
          <w:rFonts w:ascii="GHEA Grapalat" w:hAnsi="GHEA Grapalat"/>
          <w:sz w:val="24"/>
        </w:rPr>
        <w:t>գիտության սկզբունքների համաձայն,</w:t>
      </w:r>
      <w:r w:rsidR="00BD6616" w:rsidRPr="00C72AB5">
        <w:rPr>
          <w:rFonts w:ascii="GHEA Grapalat" w:hAnsi="GHEA Grapalat"/>
          <w:sz w:val="24"/>
        </w:rPr>
        <w:t xml:space="preserve"> այդ թվում</w:t>
      </w:r>
      <w:r w:rsidR="00035865">
        <w:rPr>
          <w:rFonts w:ascii="GHEA Grapalat" w:hAnsi="GHEA Grapalat"/>
          <w:sz w:val="24"/>
        </w:rPr>
        <w:t>՝</w:t>
      </w:r>
      <w:r w:rsidR="00BD6616" w:rsidRPr="00C72AB5">
        <w:rPr>
          <w:rFonts w:ascii="GHEA Grapalat" w:hAnsi="GHEA Grapalat"/>
          <w:sz w:val="24"/>
        </w:rPr>
        <w:t xml:space="preserve"> ապահովելով</w:t>
      </w:r>
      <w:r w:rsidRPr="00C72AB5">
        <w:rPr>
          <w:rFonts w:ascii="GHEA Grapalat" w:hAnsi="GHEA Grapalat"/>
          <w:sz w:val="24"/>
        </w:rPr>
        <w:t xml:space="preserve">, որտեղ վերաբերելի է, </w:t>
      </w:r>
      <w:r w:rsidR="00BD6616" w:rsidRPr="00C72AB5">
        <w:rPr>
          <w:rFonts w:ascii="GHEA Grapalat" w:hAnsi="GHEA Grapalat"/>
          <w:sz w:val="24"/>
        </w:rPr>
        <w:t>գիտական տվյալների հնարավորինս լայն հասանելիությունը, հավաստիությունը և ստուգելիությունը</w:t>
      </w:r>
      <w:r w:rsidRPr="00C72AB5">
        <w:rPr>
          <w:rFonts w:ascii="GHEA Grapalat" w:hAnsi="GHEA Grapalat"/>
          <w:sz w:val="24"/>
        </w:rPr>
        <w:t>,</w:t>
      </w:r>
    </w:p>
    <w:p w14:paraId="5D33F568" w14:textId="7C4D56C3" w:rsidR="00BD6616" w:rsidRPr="00C72AB5" w:rsidRDefault="00565707" w:rsidP="00BD6616">
      <w:pPr>
        <w:spacing w:line="276" w:lineRule="auto"/>
        <w:ind w:firstLine="567"/>
        <w:jc w:val="both"/>
        <w:rPr>
          <w:rFonts w:ascii="GHEA Grapalat" w:hAnsi="GHEA Grapalat"/>
          <w:sz w:val="24"/>
        </w:rPr>
      </w:pPr>
      <w:r w:rsidRPr="00C72AB5">
        <w:rPr>
          <w:rFonts w:ascii="GHEA Grapalat" w:hAnsi="GHEA Grapalat"/>
          <w:sz w:val="24"/>
        </w:rPr>
        <w:t>9</w:t>
      </w:r>
      <w:r w:rsidR="00BD6616" w:rsidRPr="00C72AB5">
        <w:rPr>
          <w:rFonts w:ascii="GHEA Grapalat" w:hAnsi="GHEA Grapalat"/>
          <w:sz w:val="24"/>
        </w:rPr>
        <w:t>) զինված է ժամանակակից հետազոտությունների, մշակումների և նախատիպավորման համար խոշոր ենթակառուցվածքներով</w:t>
      </w:r>
      <w:r w:rsidR="00E21123">
        <w:rPr>
          <w:rFonts w:ascii="GHEA Grapalat" w:hAnsi="GHEA Grapalat"/>
          <w:sz w:val="24"/>
        </w:rPr>
        <w:t>,</w:t>
      </w:r>
      <w:r w:rsidR="00BD6616" w:rsidRPr="00C72AB5">
        <w:rPr>
          <w:rFonts w:ascii="GHEA Grapalat" w:hAnsi="GHEA Grapalat"/>
          <w:sz w:val="24"/>
        </w:rPr>
        <w:t xml:space="preserve"> ինչպես նաև ապահովում է հասանելիությունը համաշխարհային մակարդակի հետազոտական ենթակառուցվածքներին</w:t>
      </w:r>
      <w:r w:rsidRPr="00C72AB5">
        <w:rPr>
          <w:rFonts w:ascii="GHEA Grapalat" w:hAnsi="GHEA Grapalat"/>
          <w:sz w:val="24"/>
        </w:rPr>
        <w:t>,</w:t>
      </w:r>
    </w:p>
    <w:p w14:paraId="2D5A8AFF" w14:textId="1008B6E1" w:rsidR="00BD6616" w:rsidRPr="00C72AB5" w:rsidRDefault="00565707" w:rsidP="00BD6616">
      <w:pPr>
        <w:spacing w:line="276" w:lineRule="auto"/>
        <w:ind w:firstLine="567"/>
        <w:jc w:val="both"/>
        <w:rPr>
          <w:rFonts w:ascii="GHEA Grapalat" w:hAnsi="GHEA Grapalat"/>
          <w:sz w:val="24"/>
        </w:rPr>
      </w:pPr>
      <w:r w:rsidRPr="00C72AB5">
        <w:rPr>
          <w:rFonts w:ascii="GHEA Grapalat" w:hAnsi="GHEA Grapalat"/>
          <w:sz w:val="24"/>
        </w:rPr>
        <w:t>10</w:t>
      </w:r>
      <w:r w:rsidR="00BD6616" w:rsidRPr="00C72AB5">
        <w:rPr>
          <w:rFonts w:ascii="GHEA Grapalat" w:hAnsi="GHEA Grapalat"/>
          <w:sz w:val="24"/>
        </w:rPr>
        <w:t>) հանդես է գալիս որպես սոցիալական նորարարությունների և հանրային վերափոխման գործիք` ապահովելով սոցիալական ազդեցության հետազոտությունների իրականացումը</w:t>
      </w:r>
      <w:r w:rsidR="00035865">
        <w:rPr>
          <w:rFonts w:ascii="GHEA Grapalat" w:hAnsi="GHEA Grapalat"/>
          <w:sz w:val="24"/>
        </w:rPr>
        <w:t>,</w:t>
      </w:r>
      <w:r w:rsidR="00BD6616" w:rsidRPr="00C72AB5">
        <w:rPr>
          <w:rFonts w:ascii="GHEA Grapalat" w:hAnsi="GHEA Grapalat"/>
          <w:sz w:val="24"/>
        </w:rPr>
        <w:t xml:space="preserve"> ինչպես նաև ապահովելով քաղաքացիների ներգրավումը հետազոտական գործընթացներում</w:t>
      </w:r>
      <w:r w:rsidRPr="00C72AB5">
        <w:rPr>
          <w:rFonts w:ascii="GHEA Grapalat" w:hAnsi="GHEA Grapalat"/>
          <w:sz w:val="24"/>
        </w:rPr>
        <w:t>,</w:t>
      </w:r>
    </w:p>
    <w:p w14:paraId="059327EA" w14:textId="780692D6" w:rsidR="00BD6616" w:rsidRPr="00C72AB5" w:rsidRDefault="00565707" w:rsidP="00BD6616">
      <w:pPr>
        <w:spacing w:line="276" w:lineRule="auto"/>
        <w:ind w:firstLine="567"/>
        <w:jc w:val="both"/>
        <w:rPr>
          <w:rFonts w:ascii="GHEA Grapalat" w:hAnsi="GHEA Grapalat"/>
          <w:sz w:val="24"/>
        </w:rPr>
      </w:pPr>
      <w:r w:rsidRPr="00C72AB5">
        <w:rPr>
          <w:rFonts w:ascii="GHEA Grapalat" w:hAnsi="GHEA Grapalat"/>
          <w:sz w:val="24"/>
        </w:rPr>
        <w:t>11</w:t>
      </w:r>
      <w:r w:rsidR="00BD6616" w:rsidRPr="00C72AB5">
        <w:rPr>
          <w:rFonts w:ascii="GHEA Grapalat" w:hAnsi="GHEA Grapalat"/>
          <w:sz w:val="24"/>
        </w:rPr>
        <w:t>) ապահովում է ինչպես ներքին, այնպես էլ գլոբալ շարժունությունը, միջգիտակարգայնությունը, ենթակառուցվածքների և ռեսուրսների  հասանելիությունը</w:t>
      </w:r>
      <w:r w:rsidR="00E21123">
        <w:rPr>
          <w:rFonts w:ascii="GHEA Grapalat" w:hAnsi="GHEA Grapalat"/>
          <w:sz w:val="24"/>
        </w:rPr>
        <w:t>:</w:t>
      </w:r>
    </w:p>
    <w:p w14:paraId="796EF639" w14:textId="0140E82E" w:rsidR="00BD6616" w:rsidRPr="00C72AB5" w:rsidRDefault="00E21123" w:rsidP="00E21123">
      <w:pPr>
        <w:tabs>
          <w:tab w:val="left" w:pos="567"/>
          <w:tab w:val="left" w:pos="993"/>
        </w:tabs>
        <w:spacing w:line="276" w:lineRule="auto"/>
        <w:jc w:val="both"/>
        <w:rPr>
          <w:rFonts w:ascii="GHEA Grapalat" w:hAnsi="GHEA Grapalat" w:cs="Sylfaen"/>
          <w:sz w:val="24"/>
          <w:szCs w:val="24"/>
        </w:rPr>
      </w:pPr>
      <w:r>
        <w:rPr>
          <w:rFonts w:ascii="GHEA Grapalat" w:hAnsi="GHEA Grapalat" w:cs="Sylfaen"/>
          <w:sz w:val="24"/>
          <w:szCs w:val="24"/>
        </w:rPr>
        <w:tab/>
      </w:r>
      <w:r w:rsidR="0069521F" w:rsidRPr="00C72AB5">
        <w:rPr>
          <w:rFonts w:ascii="GHEA Grapalat" w:hAnsi="GHEA Grapalat" w:cs="Sylfaen"/>
          <w:sz w:val="24"/>
          <w:szCs w:val="24"/>
        </w:rPr>
        <w:t>43</w:t>
      </w:r>
      <w:r w:rsidR="00BD6616" w:rsidRPr="00C72AB5">
        <w:rPr>
          <w:rFonts w:ascii="GHEA Grapalat" w:hAnsi="GHEA Grapalat" w:cs="Sylfaen"/>
          <w:sz w:val="24"/>
          <w:szCs w:val="24"/>
        </w:rPr>
        <w:t xml:space="preserve">. Գիտության ոլորտի զարգացման ռազմավարության սկզբունքներն են` </w:t>
      </w:r>
    </w:p>
    <w:p w14:paraId="30E8EE15" w14:textId="77777777" w:rsidR="00BD6616" w:rsidRPr="00C72AB5" w:rsidRDefault="00BD6616" w:rsidP="00BD6616">
      <w:pPr>
        <w:tabs>
          <w:tab w:val="left" w:pos="851"/>
          <w:tab w:val="left" w:pos="993"/>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t xml:space="preserve">1) մրցունակությունը, </w:t>
      </w:r>
    </w:p>
    <w:p w14:paraId="73025B64" w14:textId="77777777" w:rsidR="00BD6616" w:rsidRPr="00C72AB5" w:rsidRDefault="00BD6616" w:rsidP="00BD6616">
      <w:pPr>
        <w:tabs>
          <w:tab w:val="left" w:pos="851"/>
          <w:tab w:val="left" w:pos="993"/>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t xml:space="preserve">2) ազդեցությունը, </w:t>
      </w:r>
    </w:p>
    <w:p w14:paraId="3C78FB46" w14:textId="77777777" w:rsidR="00BD6616" w:rsidRPr="00C72AB5" w:rsidRDefault="00BD6616" w:rsidP="00BD6616">
      <w:pPr>
        <w:tabs>
          <w:tab w:val="left" w:pos="851"/>
          <w:tab w:val="left" w:pos="993"/>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t xml:space="preserve">3) կայունությունը, </w:t>
      </w:r>
    </w:p>
    <w:p w14:paraId="084C6E4C" w14:textId="77777777" w:rsidR="00BD6616" w:rsidRPr="00C72AB5" w:rsidRDefault="00BD6616" w:rsidP="00BD6616">
      <w:pPr>
        <w:tabs>
          <w:tab w:val="left" w:pos="851"/>
          <w:tab w:val="left" w:pos="993"/>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t>4) արդյունավետությունը:</w:t>
      </w:r>
    </w:p>
    <w:p w14:paraId="7730001F" w14:textId="770EE5C2" w:rsidR="00BD6616" w:rsidRPr="00C72AB5" w:rsidRDefault="004956AA" w:rsidP="00BD6616">
      <w:pPr>
        <w:tabs>
          <w:tab w:val="left" w:pos="851"/>
          <w:tab w:val="left" w:pos="993"/>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t>4</w:t>
      </w:r>
      <w:r w:rsidR="0069521F" w:rsidRPr="00C72AB5">
        <w:rPr>
          <w:rFonts w:ascii="GHEA Grapalat" w:hAnsi="GHEA Grapalat" w:cs="Sylfaen"/>
          <w:sz w:val="24"/>
          <w:szCs w:val="24"/>
        </w:rPr>
        <w:t>4</w:t>
      </w:r>
      <w:r w:rsidR="00EA57A6" w:rsidRPr="00C72AB5">
        <w:rPr>
          <w:rFonts w:ascii="GHEA Grapalat" w:hAnsi="GHEA Grapalat" w:cs="Sylfaen"/>
          <w:sz w:val="24"/>
          <w:szCs w:val="24"/>
        </w:rPr>
        <w:t xml:space="preserve">. </w:t>
      </w:r>
      <w:r w:rsidR="00BD6616" w:rsidRPr="00C72AB5">
        <w:rPr>
          <w:rFonts w:ascii="GHEA Grapalat" w:hAnsi="GHEA Grapalat" w:cs="Sylfaen"/>
          <w:sz w:val="24"/>
          <w:szCs w:val="24"/>
        </w:rPr>
        <w:t>Քաղաքականության մշակումն ու իրականացումը կազմակերպվելու է նշված սկզբունքների հաշվառմամբ, որպեսզի յուրաքանչյուր միջամտության հիմքում դրված լինեն մրցունակության բարձրացումն ու խրախուսումը, քաղաքականության արդյունքում առավելագույն ազդեցության հետապնդումը, միջամտության արդյունքում իրականացվող փոփոխությունների կամ առաջընթացի կայունության ապահովման նկատառումները կամ ինստիտուցիոնալությունը, ինչպես նաև քաղաքականության արդյունավետությունը` այսինքն ներդրումների և ակնկալիքների համաչափությունը:</w:t>
      </w:r>
    </w:p>
    <w:p w14:paraId="07818D0B" w14:textId="0C937F53" w:rsidR="00BD6616" w:rsidRPr="00C72AB5" w:rsidRDefault="0068358C" w:rsidP="00BD6616">
      <w:pPr>
        <w:tabs>
          <w:tab w:val="left" w:pos="851"/>
          <w:tab w:val="left" w:pos="993"/>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t>4</w:t>
      </w:r>
      <w:r w:rsidR="0069521F" w:rsidRPr="00C72AB5">
        <w:rPr>
          <w:rFonts w:ascii="GHEA Grapalat" w:hAnsi="GHEA Grapalat" w:cs="Sylfaen"/>
          <w:sz w:val="24"/>
          <w:szCs w:val="24"/>
        </w:rPr>
        <w:t>5</w:t>
      </w:r>
      <w:r w:rsidR="00BD6616" w:rsidRPr="00C72AB5">
        <w:rPr>
          <w:rFonts w:ascii="GHEA Grapalat" w:hAnsi="GHEA Grapalat" w:cs="Sylfaen"/>
          <w:sz w:val="24"/>
          <w:szCs w:val="24"/>
        </w:rPr>
        <w:t>. Գիտության ոլորտի զարգացման ռազմավարության հիմքում դրված ռազմավարական նպատակները, հենվելով քաղաքականության մշակման հիմունքների վրա, ուղղված են ոլորտի մրցունակության և արդյունավետության բարձրացմանը, հետազոտությունների ազդեցության ավելացմանը, գերակա ուղղություններում հասցեական հետազոտությունների իրականացմանը, ինչպես նաև հասարակական և հումանիտար գիտությունների և հայագիտության բնագավառներում որակյալ հետազոտությունների խթանմանը:</w:t>
      </w:r>
    </w:p>
    <w:p w14:paraId="100C8224" w14:textId="21ABB6E2" w:rsidR="00BD6616" w:rsidRPr="00C72AB5" w:rsidRDefault="004956AA" w:rsidP="00BD6616">
      <w:pPr>
        <w:spacing w:line="276" w:lineRule="auto"/>
        <w:ind w:firstLine="567"/>
        <w:jc w:val="both"/>
        <w:rPr>
          <w:rFonts w:ascii="GHEA Grapalat" w:hAnsi="GHEA Grapalat" w:cs="Sylfaen"/>
          <w:sz w:val="24"/>
          <w:szCs w:val="24"/>
        </w:rPr>
      </w:pPr>
      <w:r w:rsidRPr="00C72AB5">
        <w:rPr>
          <w:rFonts w:ascii="GHEA Grapalat" w:hAnsi="GHEA Grapalat" w:cs="Sylfaen"/>
          <w:sz w:val="24"/>
          <w:szCs w:val="24"/>
        </w:rPr>
        <w:t>4</w:t>
      </w:r>
      <w:r w:rsidR="0069521F" w:rsidRPr="00C72AB5">
        <w:rPr>
          <w:rFonts w:ascii="GHEA Grapalat" w:hAnsi="GHEA Grapalat" w:cs="Sylfaen"/>
          <w:sz w:val="24"/>
          <w:szCs w:val="24"/>
        </w:rPr>
        <w:t>6</w:t>
      </w:r>
      <w:r w:rsidR="00BD6616" w:rsidRPr="00C72AB5">
        <w:rPr>
          <w:rFonts w:ascii="GHEA Grapalat" w:hAnsi="GHEA Grapalat" w:cs="Sylfaen"/>
          <w:sz w:val="24"/>
          <w:szCs w:val="24"/>
        </w:rPr>
        <w:t xml:space="preserve">. Ծրագրի հիմքում դրված են </w:t>
      </w:r>
      <w:r w:rsidR="007D79E6" w:rsidRPr="00C72AB5">
        <w:rPr>
          <w:rFonts w:ascii="GHEA Grapalat" w:hAnsi="GHEA Grapalat" w:cs="Sylfaen"/>
          <w:sz w:val="24"/>
          <w:szCs w:val="24"/>
        </w:rPr>
        <w:t>4</w:t>
      </w:r>
      <w:r w:rsidR="00BD6616" w:rsidRPr="00C72AB5">
        <w:rPr>
          <w:rFonts w:ascii="GHEA Grapalat" w:hAnsi="GHEA Grapalat" w:cs="Sylfaen"/>
          <w:sz w:val="24"/>
          <w:szCs w:val="24"/>
        </w:rPr>
        <w:t xml:space="preserve"> ռազմավարական նպատակներ, որոնք իրենց հերթին կազ</w:t>
      </w:r>
      <w:r w:rsidR="00035865">
        <w:rPr>
          <w:rFonts w:ascii="GHEA Grapalat" w:hAnsi="GHEA Grapalat" w:cs="Sylfaen"/>
          <w:sz w:val="24"/>
          <w:szCs w:val="24"/>
        </w:rPr>
        <w:t>մված են միջանկյալ արդյունքներից՝</w:t>
      </w:r>
    </w:p>
    <w:p w14:paraId="4AE959D2" w14:textId="3B907179" w:rsidR="00BD6616" w:rsidRPr="00C72AB5" w:rsidRDefault="00BD6616" w:rsidP="00BD6616">
      <w:pPr>
        <w:tabs>
          <w:tab w:val="left" w:pos="851"/>
          <w:tab w:val="left" w:pos="993"/>
        </w:tabs>
        <w:spacing w:line="276" w:lineRule="auto"/>
        <w:ind w:firstLine="567"/>
        <w:jc w:val="both"/>
        <w:rPr>
          <w:rFonts w:ascii="GHEA Grapalat" w:hAnsi="GHEA Grapalat" w:cs="Sylfaen"/>
          <w:sz w:val="24"/>
          <w:szCs w:val="24"/>
        </w:rPr>
      </w:pPr>
      <w:bookmarkStart w:id="11" w:name="_Hlk205486311"/>
      <w:r w:rsidRPr="00C72AB5">
        <w:rPr>
          <w:rFonts w:ascii="GHEA Grapalat" w:hAnsi="GHEA Grapalat" w:cs="Sylfaen"/>
          <w:sz w:val="24"/>
          <w:szCs w:val="24"/>
        </w:rPr>
        <w:t>1) Հետազոտությունների գերազանցության խթանում (ՌՆ1)</w:t>
      </w:r>
      <w:r w:rsidR="00035865">
        <w:rPr>
          <w:rFonts w:ascii="GHEA Grapalat" w:hAnsi="GHEA Grapalat" w:cs="Sylfaen"/>
          <w:sz w:val="24"/>
          <w:szCs w:val="24"/>
        </w:rPr>
        <w:t>,</w:t>
      </w:r>
    </w:p>
    <w:bookmarkEnd w:id="11"/>
    <w:p w14:paraId="02BFF956" w14:textId="511D118A" w:rsidR="00BD6616" w:rsidRPr="00C72AB5" w:rsidRDefault="00BD6616" w:rsidP="00BD6616">
      <w:pPr>
        <w:tabs>
          <w:tab w:val="left" w:pos="851"/>
          <w:tab w:val="left" w:pos="993"/>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lastRenderedPageBreak/>
        <w:t>2) Տնտեսական ազդեցության մեծացում (ՌՆ-2)</w:t>
      </w:r>
      <w:r w:rsidR="00035865">
        <w:rPr>
          <w:rFonts w:ascii="GHEA Grapalat" w:hAnsi="GHEA Grapalat" w:cs="Sylfaen"/>
          <w:sz w:val="24"/>
          <w:szCs w:val="24"/>
        </w:rPr>
        <w:t>,</w:t>
      </w:r>
    </w:p>
    <w:p w14:paraId="29D00B5D" w14:textId="36C1C9B1" w:rsidR="007D79E6" w:rsidRPr="00C72AB5" w:rsidRDefault="00BD6616" w:rsidP="00BD6616">
      <w:pPr>
        <w:tabs>
          <w:tab w:val="left" w:pos="851"/>
          <w:tab w:val="left" w:pos="993"/>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t>3) Սոցիալական պատասխանատվության բարձրացում (ՌՆ-3)</w:t>
      </w:r>
      <w:r w:rsidR="00035865">
        <w:rPr>
          <w:rFonts w:ascii="GHEA Grapalat" w:hAnsi="GHEA Grapalat" w:cs="Sylfaen"/>
          <w:sz w:val="24"/>
          <w:szCs w:val="24"/>
        </w:rPr>
        <w:t>,</w:t>
      </w:r>
    </w:p>
    <w:p w14:paraId="3A4EE55E" w14:textId="69AF5B3A" w:rsidR="00BD6616" w:rsidRPr="00C72AB5" w:rsidRDefault="007D79E6" w:rsidP="0057512D">
      <w:pPr>
        <w:tabs>
          <w:tab w:val="left" w:pos="851"/>
          <w:tab w:val="left" w:pos="993"/>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t>4) Վերակազմավորում և առաջխաղացում (ՌՆ-4)</w:t>
      </w:r>
      <w:r w:rsidR="00BD6616" w:rsidRPr="00C72AB5">
        <w:rPr>
          <w:rFonts w:ascii="GHEA Grapalat" w:hAnsi="GHEA Grapalat" w:cs="Sylfaen"/>
          <w:sz w:val="24"/>
          <w:szCs w:val="24"/>
        </w:rPr>
        <w:t>:</w:t>
      </w:r>
    </w:p>
    <w:p w14:paraId="71938BA3" w14:textId="6AF11A1B" w:rsidR="00BD6616" w:rsidRPr="00C72AB5" w:rsidRDefault="004956AA" w:rsidP="0057512D">
      <w:pPr>
        <w:spacing w:line="276" w:lineRule="auto"/>
        <w:ind w:firstLine="567"/>
        <w:jc w:val="both"/>
        <w:rPr>
          <w:rFonts w:ascii="GHEA Grapalat" w:hAnsi="GHEA Grapalat" w:cs="Arial"/>
          <w:sz w:val="24"/>
          <w:szCs w:val="24"/>
        </w:rPr>
      </w:pPr>
      <w:r w:rsidRPr="00C72AB5">
        <w:rPr>
          <w:rFonts w:ascii="GHEA Grapalat" w:hAnsi="GHEA Grapalat" w:cs="Arial"/>
          <w:sz w:val="24"/>
          <w:szCs w:val="24"/>
        </w:rPr>
        <w:t>4</w:t>
      </w:r>
      <w:r w:rsidR="0069521F" w:rsidRPr="00C72AB5">
        <w:rPr>
          <w:rFonts w:ascii="GHEA Grapalat" w:hAnsi="GHEA Grapalat" w:cs="Arial"/>
          <w:sz w:val="24"/>
          <w:szCs w:val="24"/>
        </w:rPr>
        <w:t>7</w:t>
      </w:r>
      <w:r w:rsidR="00E313BD" w:rsidRPr="00C72AB5">
        <w:rPr>
          <w:rFonts w:ascii="GHEA Grapalat" w:hAnsi="GHEA Grapalat" w:cs="Arial"/>
          <w:sz w:val="24"/>
          <w:szCs w:val="24"/>
        </w:rPr>
        <w:t>. Ծրագիրը միտված է 2030 թվականին հետևյալ ցուցանիշների ապահովմանը</w:t>
      </w:r>
      <w:r w:rsidR="0041220A" w:rsidRPr="00C72AB5">
        <w:rPr>
          <w:rFonts w:ascii="GHEA Grapalat" w:hAnsi="GHEA Grapalat" w:cs="Arial"/>
          <w:sz w:val="24"/>
          <w:szCs w:val="24"/>
        </w:rPr>
        <w:t xml:space="preserve">, որոնք հանդիսանում են կումուլյատիվ ցուցանիշներ, քանի որ </w:t>
      </w:r>
      <w:r w:rsidR="00DA46A2" w:rsidRPr="00C72AB5">
        <w:rPr>
          <w:rFonts w:ascii="GHEA Grapalat" w:hAnsi="GHEA Grapalat" w:cs="Arial"/>
          <w:sz w:val="24"/>
          <w:szCs w:val="24"/>
        </w:rPr>
        <w:t>կարող են ապահովվել միայն ռազմավարության լիարժեք իրականացման պարագայում`</w:t>
      </w:r>
    </w:p>
    <w:p w14:paraId="10A4D03F" w14:textId="36556EE0" w:rsidR="00E313BD" w:rsidRPr="00C72AB5" w:rsidRDefault="00E313BD" w:rsidP="0057512D">
      <w:pPr>
        <w:spacing w:line="276" w:lineRule="auto"/>
        <w:ind w:firstLine="567"/>
        <w:jc w:val="both"/>
        <w:rPr>
          <w:rFonts w:ascii="GHEA Grapalat" w:hAnsi="GHEA Grapalat"/>
          <w:sz w:val="24"/>
        </w:rPr>
      </w:pPr>
      <w:r w:rsidRPr="00C72AB5">
        <w:rPr>
          <w:rFonts w:ascii="GHEA Grapalat" w:hAnsi="GHEA Grapalat"/>
          <w:sz w:val="24"/>
        </w:rPr>
        <w:t xml:space="preserve">1) </w:t>
      </w:r>
      <w:r w:rsidR="00035865">
        <w:rPr>
          <w:rFonts w:ascii="GHEA Grapalat" w:hAnsi="GHEA Grapalat"/>
          <w:sz w:val="24"/>
        </w:rPr>
        <w:t>լ</w:t>
      </w:r>
      <w:r w:rsidRPr="00C72AB5">
        <w:rPr>
          <w:rFonts w:ascii="GHEA Grapalat" w:hAnsi="GHEA Grapalat"/>
          <w:sz w:val="24"/>
        </w:rPr>
        <w:t xml:space="preserve">րիվ ծանրաբեռնվածության համարժեքով հետազոտողների քանակը` </w:t>
      </w:r>
      <w:r w:rsidR="008F6C7B" w:rsidRPr="00C72AB5">
        <w:rPr>
          <w:rFonts w:ascii="GHEA Grapalat" w:hAnsi="GHEA Grapalat"/>
          <w:sz w:val="24"/>
        </w:rPr>
        <w:t>6000 պետական ֆինանսավորմամբ</w:t>
      </w:r>
      <w:r w:rsidR="003C52EC">
        <w:rPr>
          <w:rFonts w:ascii="GHEA Grapalat" w:hAnsi="GHEA Grapalat"/>
          <w:sz w:val="24"/>
        </w:rPr>
        <w:t>, իսկ մ</w:t>
      </w:r>
      <w:r w:rsidRPr="00C72AB5">
        <w:rPr>
          <w:rFonts w:ascii="GHEA Grapalat" w:hAnsi="GHEA Grapalat"/>
          <w:sz w:val="24"/>
        </w:rPr>
        <w:t>ասնավոր հատված</w:t>
      </w:r>
      <w:r w:rsidR="00B74E5F" w:rsidRPr="00C72AB5">
        <w:rPr>
          <w:rFonts w:ascii="GHEA Grapalat" w:hAnsi="GHEA Grapalat"/>
          <w:sz w:val="24"/>
        </w:rPr>
        <w:t>ում աշխատող հետազոտողներ</w:t>
      </w:r>
      <w:r w:rsidR="008F6C7B" w:rsidRPr="00C72AB5">
        <w:rPr>
          <w:rFonts w:ascii="GHEA Grapalat" w:hAnsi="GHEA Grapalat"/>
          <w:sz w:val="24"/>
        </w:rPr>
        <w:t xml:space="preserve">ի ներառմամբ` </w:t>
      </w:r>
      <w:r w:rsidR="00AB0905" w:rsidRPr="00C72AB5">
        <w:rPr>
          <w:rFonts w:ascii="GHEA Grapalat" w:hAnsi="GHEA Grapalat"/>
          <w:sz w:val="24"/>
        </w:rPr>
        <w:t>8000</w:t>
      </w:r>
      <w:r w:rsidRPr="00C72AB5">
        <w:rPr>
          <w:rFonts w:ascii="GHEA Grapalat" w:hAnsi="GHEA Grapalat"/>
          <w:sz w:val="24"/>
        </w:rPr>
        <w:t>,</w:t>
      </w:r>
    </w:p>
    <w:p w14:paraId="3C72C50F" w14:textId="5996E3CF" w:rsidR="001F355D" w:rsidRPr="00C72AB5" w:rsidRDefault="00E313BD" w:rsidP="00B74E5F">
      <w:pPr>
        <w:spacing w:line="276" w:lineRule="auto"/>
        <w:ind w:firstLine="567"/>
        <w:jc w:val="both"/>
        <w:rPr>
          <w:rFonts w:ascii="GHEA Grapalat" w:hAnsi="GHEA Grapalat"/>
          <w:sz w:val="24"/>
        </w:rPr>
      </w:pPr>
      <w:r w:rsidRPr="00C72AB5">
        <w:rPr>
          <w:rFonts w:ascii="GHEA Grapalat" w:hAnsi="GHEA Grapalat"/>
          <w:sz w:val="24"/>
        </w:rPr>
        <w:t xml:space="preserve">2) </w:t>
      </w:r>
      <w:r w:rsidR="005A239B" w:rsidRPr="00C72AB5">
        <w:rPr>
          <w:rFonts w:ascii="GHEA Grapalat" w:hAnsi="GHEA Grapalat"/>
          <w:sz w:val="24"/>
        </w:rPr>
        <w:t>Վեբ օֆ սայնս</w:t>
      </w:r>
      <w:r w:rsidR="006E5041">
        <w:rPr>
          <w:rFonts w:ascii="GHEA Grapalat" w:hAnsi="GHEA Grapalat"/>
          <w:sz w:val="24"/>
        </w:rPr>
        <w:t xml:space="preserve"> </w:t>
      </w:r>
      <w:r w:rsidR="006E5041" w:rsidRPr="006E5041">
        <w:rPr>
          <w:rFonts w:ascii="GHEA Grapalat" w:hAnsi="GHEA Grapalat"/>
          <w:sz w:val="24"/>
        </w:rPr>
        <w:t>(Web of Science)</w:t>
      </w:r>
      <w:r w:rsidR="005A239B" w:rsidRPr="00C72AB5">
        <w:rPr>
          <w:rFonts w:ascii="GHEA Grapalat" w:hAnsi="GHEA Grapalat"/>
          <w:sz w:val="24"/>
        </w:rPr>
        <w:t xml:space="preserve"> մ</w:t>
      </w:r>
      <w:r w:rsidRPr="00C72AB5">
        <w:rPr>
          <w:rFonts w:ascii="GHEA Grapalat" w:hAnsi="GHEA Grapalat"/>
          <w:sz w:val="24"/>
        </w:rPr>
        <w:t xml:space="preserve">իջազգային </w:t>
      </w:r>
      <w:r w:rsidR="005A239B" w:rsidRPr="00C72AB5">
        <w:rPr>
          <w:rFonts w:ascii="GHEA Grapalat" w:hAnsi="GHEA Grapalat"/>
          <w:sz w:val="24"/>
        </w:rPr>
        <w:t>ինդեքսավորման համակարգում ինդեքսավորվող պարբերականներում գիտական հրապարակումների քանակը` 6000</w:t>
      </w:r>
      <w:r w:rsidR="00B74E5F" w:rsidRPr="00C72AB5">
        <w:rPr>
          <w:rFonts w:ascii="GHEA Grapalat" w:hAnsi="GHEA Grapalat"/>
          <w:sz w:val="24"/>
        </w:rPr>
        <w:t>/տարի,</w:t>
      </w:r>
    </w:p>
    <w:p w14:paraId="09E8CBD1" w14:textId="01AF6643" w:rsidR="00B74E5F" w:rsidRPr="00C72AB5" w:rsidRDefault="00B74E5F" w:rsidP="00B74E5F">
      <w:pPr>
        <w:spacing w:line="276" w:lineRule="auto"/>
        <w:ind w:firstLine="567"/>
        <w:jc w:val="both"/>
        <w:rPr>
          <w:rFonts w:ascii="GHEA Grapalat" w:hAnsi="GHEA Grapalat" w:cs="Arial"/>
          <w:sz w:val="24"/>
          <w:szCs w:val="24"/>
        </w:rPr>
      </w:pPr>
      <w:r w:rsidRPr="00C72AB5">
        <w:rPr>
          <w:rFonts w:ascii="GHEA Grapalat" w:hAnsi="GHEA Grapalat"/>
          <w:sz w:val="24"/>
        </w:rPr>
        <w:t xml:space="preserve">3) </w:t>
      </w:r>
      <w:r w:rsidR="00F25715" w:rsidRPr="00C72AB5">
        <w:rPr>
          <w:rFonts w:ascii="GHEA Grapalat" w:hAnsi="GHEA Grapalat" w:cs="Arial"/>
          <w:sz w:val="24"/>
          <w:szCs w:val="24"/>
        </w:rPr>
        <w:t>ՀՆԱ</w:t>
      </w:r>
      <w:r w:rsidR="006E5041">
        <w:rPr>
          <w:rFonts w:ascii="GHEA Grapalat" w:hAnsi="GHEA Grapalat" w:cs="Arial"/>
          <w:sz w:val="24"/>
          <w:szCs w:val="24"/>
        </w:rPr>
        <w:t>-ի</w:t>
      </w:r>
      <w:r w:rsidR="00F25715" w:rsidRPr="00C72AB5">
        <w:rPr>
          <w:rFonts w:ascii="GHEA Grapalat" w:hAnsi="GHEA Grapalat" w:cs="Arial"/>
          <w:sz w:val="24"/>
          <w:szCs w:val="24"/>
        </w:rPr>
        <w:t xml:space="preserve"> նկատմամբ </w:t>
      </w:r>
      <w:r w:rsidR="00F36F23">
        <w:rPr>
          <w:rFonts w:ascii="GHEA Grapalat" w:hAnsi="GHEA Grapalat" w:cs="Arial"/>
          <w:sz w:val="24"/>
          <w:szCs w:val="24"/>
        </w:rPr>
        <w:t>ՀևՄ</w:t>
      </w:r>
      <w:r w:rsidR="00F36F23" w:rsidRPr="00C72AB5">
        <w:rPr>
          <w:rFonts w:ascii="GHEA Grapalat" w:hAnsi="GHEA Grapalat" w:cs="Arial"/>
          <w:sz w:val="24"/>
          <w:szCs w:val="24"/>
        </w:rPr>
        <w:t xml:space="preserve"> </w:t>
      </w:r>
      <w:r w:rsidR="001B0A3E" w:rsidRPr="00C72AB5">
        <w:rPr>
          <w:rFonts w:ascii="GHEA Grapalat" w:hAnsi="GHEA Grapalat" w:cs="Arial"/>
          <w:sz w:val="24"/>
          <w:szCs w:val="24"/>
        </w:rPr>
        <w:t xml:space="preserve">ոլորտին </w:t>
      </w:r>
      <w:r w:rsidR="00F25715" w:rsidRPr="00C72AB5">
        <w:rPr>
          <w:rFonts w:ascii="GHEA Grapalat" w:hAnsi="GHEA Grapalat" w:cs="Arial"/>
          <w:sz w:val="24"/>
          <w:szCs w:val="24"/>
        </w:rPr>
        <w:t>հատկացումների մասնաբաժն</w:t>
      </w:r>
      <w:r w:rsidR="000F6AE9">
        <w:rPr>
          <w:rFonts w:ascii="GHEA Grapalat" w:hAnsi="GHEA Grapalat" w:cs="Arial"/>
          <w:sz w:val="24"/>
          <w:szCs w:val="24"/>
        </w:rPr>
        <w:t xml:space="preserve">ի թիրախային արժեքն է </w:t>
      </w:r>
      <w:r w:rsidR="00F25715" w:rsidRPr="00C72AB5">
        <w:rPr>
          <w:rFonts w:ascii="GHEA Grapalat" w:hAnsi="GHEA Grapalat" w:cs="Arial"/>
          <w:sz w:val="24"/>
          <w:szCs w:val="24"/>
        </w:rPr>
        <w:t>1.</w:t>
      </w:r>
      <w:r w:rsidR="00DA2EE9" w:rsidRPr="00C72AB5">
        <w:rPr>
          <w:rFonts w:ascii="GHEA Grapalat" w:hAnsi="GHEA Grapalat" w:cs="Arial"/>
          <w:sz w:val="24"/>
          <w:szCs w:val="24"/>
        </w:rPr>
        <w:t>0</w:t>
      </w:r>
      <w:r w:rsidR="00F25715" w:rsidRPr="00C72AB5">
        <w:t> </w:t>
      </w:r>
      <w:r w:rsidR="00F25715" w:rsidRPr="00C72AB5">
        <w:rPr>
          <w:rFonts w:ascii="GHEA Grapalat" w:hAnsi="GHEA Grapalat" w:cs="Arial"/>
          <w:sz w:val="24"/>
          <w:szCs w:val="24"/>
        </w:rPr>
        <w:t>%</w:t>
      </w:r>
      <w:r w:rsidR="003424BD">
        <w:rPr>
          <w:rFonts w:ascii="GHEA Grapalat" w:hAnsi="GHEA Grapalat" w:cs="Arial"/>
          <w:sz w:val="24"/>
          <w:szCs w:val="24"/>
        </w:rPr>
        <w:t xml:space="preserve"> -</w:t>
      </w:r>
      <w:r w:rsidR="000F6AE9">
        <w:rPr>
          <w:rFonts w:ascii="GHEA Grapalat" w:hAnsi="GHEA Grapalat" w:cs="Arial"/>
          <w:sz w:val="24"/>
          <w:szCs w:val="24"/>
        </w:rPr>
        <w:t>ը</w:t>
      </w:r>
      <w:r w:rsidR="00F25715" w:rsidRPr="00C72AB5">
        <w:rPr>
          <w:rFonts w:ascii="GHEA Grapalat" w:hAnsi="GHEA Grapalat" w:cs="Arial"/>
          <w:sz w:val="24"/>
          <w:szCs w:val="24"/>
        </w:rPr>
        <w:t xml:space="preserve">, </w:t>
      </w:r>
      <w:r w:rsidR="00075DBF" w:rsidRPr="00C72AB5">
        <w:rPr>
          <w:rFonts w:ascii="GHEA Grapalat" w:hAnsi="GHEA Grapalat" w:cs="Arial"/>
          <w:sz w:val="24"/>
          <w:szCs w:val="24"/>
        </w:rPr>
        <w:t xml:space="preserve">այդ թվում </w:t>
      </w:r>
      <w:r w:rsidR="00F25715" w:rsidRPr="00C72AB5">
        <w:rPr>
          <w:rFonts w:ascii="GHEA Grapalat" w:hAnsi="GHEA Grapalat" w:cs="Arial"/>
          <w:sz w:val="24"/>
          <w:szCs w:val="24"/>
        </w:rPr>
        <w:t>պետական ներդրումնե</w:t>
      </w:r>
      <w:r w:rsidR="000F6AE9">
        <w:rPr>
          <w:rFonts w:ascii="GHEA Grapalat" w:hAnsi="GHEA Grapalat" w:cs="Arial"/>
          <w:sz w:val="24"/>
          <w:szCs w:val="24"/>
        </w:rPr>
        <w:t xml:space="preserve">րի մասով` </w:t>
      </w:r>
      <w:r w:rsidR="00F25715" w:rsidRPr="00C72AB5">
        <w:rPr>
          <w:rFonts w:ascii="GHEA Grapalat" w:hAnsi="GHEA Grapalat" w:cs="Arial"/>
          <w:sz w:val="24"/>
          <w:szCs w:val="24"/>
        </w:rPr>
        <w:t>0.75</w:t>
      </w:r>
      <w:r w:rsidR="00F25715" w:rsidRPr="00C72AB5">
        <w:rPr>
          <w:rFonts w:ascii="Calibri" w:hAnsi="Calibri" w:cs="Calibri"/>
          <w:sz w:val="24"/>
          <w:szCs w:val="24"/>
        </w:rPr>
        <w:t> </w:t>
      </w:r>
      <w:r w:rsidR="00F25715" w:rsidRPr="00C72AB5">
        <w:rPr>
          <w:rFonts w:ascii="GHEA Grapalat" w:hAnsi="GHEA Grapalat" w:cs="Arial"/>
          <w:sz w:val="24"/>
          <w:szCs w:val="24"/>
        </w:rPr>
        <w:t>%</w:t>
      </w:r>
      <w:r w:rsidR="00692DC6">
        <w:rPr>
          <w:rFonts w:ascii="GHEA Grapalat" w:hAnsi="GHEA Grapalat" w:cs="Arial"/>
          <w:sz w:val="24"/>
          <w:szCs w:val="24"/>
        </w:rPr>
        <w:t>,</w:t>
      </w:r>
      <w:r w:rsidR="000E56FC" w:rsidRPr="00C72AB5">
        <w:rPr>
          <w:rFonts w:ascii="GHEA Grapalat" w:hAnsi="GHEA Grapalat" w:cs="Arial"/>
          <w:sz w:val="24"/>
          <w:szCs w:val="24"/>
        </w:rPr>
        <w:t xml:space="preserve"> </w:t>
      </w:r>
      <w:r w:rsidR="00075DBF" w:rsidRPr="00C72AB5">
        <w:rPr>
          <w:rFonts w:ascii="GHEA Grapalat" w:hAnsi="GHEA Grapalat" w:cs="Arial"/>
          <w:sz w:val="24"/>
          <w:szCs w:val="24"/>
        </w:rPr>
        <w:t xml:space="preserve">իսկ </w:t>
      </w:r>
      <w:r w:rsidR="000E56FC" w:rsidRPr="00C72AB5">
        <w:rPr>
          <w:rFonts w:ascii="GHEA Grapalat" w:hAnsi="GHEA Grapalat" w:cs="Arial"/>
          <w:sz w:val="24"/>
          <w:szCs w:val="24"/>
        </w:rPr>
        <w:t>մասնավոր ներդրումներ</w:t>
      </w:r>
      <w:r w:rsidR="000F6AE9">
        <w:rPr>
          <w:rFonts w:ascii="GHEA Grapalat" w:hAnsi="GHEA Grapalat" w:cs="Arial"/>
          <w:sz w:val="24"/>
          <w:szCs w:val="24"/>
        </w:rPr>
        <w:t xml:space="preserve">ի մասով` </w:t>
      </w:r>
      <w:r w:rsidR="000E56FC" w:rsidRPr="00C72AB5">
        <w:rPr>
          <w:rFonts w:ascii="GHEA Grapalat" w:hAnsi="GHEA Grapalat" w:cs="Arial"/>
          <w:sz w:val="24"/>
          <w:szCs w:val="24"/>
        </w:rPr>
        <w:t>0.25 %</w:t>
      </w:r>
      <w:r w:rsidR="00F25715" w:rsidRPr="00C72AB5">
        <w:rPr>
          <w:rFonts w:ascii="GHEA Grapalat" w:hAnsi="GHEA Grapalat" w:cs="Arial"/>
          <w:sz w:val="24"/>
          <w:szCs w:val="24"/>
        </w:rPr>
        <w:t>,</w:t>
      </w:r>
    </w:p>
    <w:p w14:paraId="685B007E" w14:textId="71BEFCED" w:rsidR="00945B81" w:rsidRPr="00C72AB5" w:rsidRDefault="0024141F" w:rsidP="00B74E5F">
      <w:pPr>
        <w:spacing w:line="276" w:lineRule="auto"/>
        <w:ind w:firstLine="567"/>
        <w:jc w:val="both"/>
        <w:rPr>
          <w:rFonts w:ascii="GHEA Grapalat" w:hAnsi="GHEA Grapalat"/>
          <w:sz w:val="24"/>
        </w:rPr>
      </w:pPr>
      <w:r w:rsidRPr="00C72AB5">
        <w:rPr>
          <w:rFonts w:ascii="GHEA Grapalat" w:hAnsi="GHEA Grapalat"/>
          <w:sz w:val="24"/>
        </w:rPr>
        <w:t xml:space="preserve">4) </w:t>
      </w:r>
      <w:r w:rsidR="006E5041">
        <w:rPr>
          <w:rFonts w:ascii="GHEA Grapalat" w:hAnsi="GHEA Grapalat"/>
          <w:sz w:val="24"/>
        </w:rPr>
        <w:t>բ</w:t>
      </w:r>
      <w:r w:rsidRPr="00C72AB5">
        <w:rPr>
          <w:rFonts w:ascii="GHEA Grapalat" w:hAnsi="GHEA Grapalat"/>
          <w:sz w:val="24"/>
        </w:rPr>
        <w:t>ուհերի հետ ինտեգրված խոշոր պետական գիտական կազմակերպություններ` մինչև 15,</w:t>
      </w:r>
    </w:p>
    <w:p w14:paraId="1A948F87" w14:textId="6A419CA7" w:rsidR="00DA46A2" w:rsidRPr="00C72AB5" w:rsidRDefault="0024141F" w:rsidP="0024141F">
      <w:pPr>
        <w:spacing w:line="276" w:lineRule="auto"/>
        <w:ind w:firstLine="567"/>
        <w:jc w:val="both"/>
        <w:rPr>
          <w:rFonts w:ascii="GHEA Grapalat" w:hAnsi="GHEA Grapalat"/>
          <w:sz w:val="24"/>
        </w:rPr>
      </w:pPr>
      <w:r w:rsidRPr="00C72AB5">
        <w:rPr>
          <w:rFonts w:ascii="GHEA Grapalat" w:hAnsi="GHEA Grapalat"/>
          <w:sz w:val="24"/>
        </w:rPr>
        <w:t xml:space="preserve">5) </w:t>
      </w:r>
      <w:r w:rsidR="006E5041">
        <w:rPr>
          <w:rFonts w:ascii="GHEA Grapalat" w:hAnsi="GHEA Grapalat"/>
          <w:sz w:val="24"/>
        </w:rPr>
        <w:t>գ</w:t>
      </w:r>
      <w:r w:rsidRPr="00C72AB5">
        <w:rPr>
          <w:rFonts w:ascii="GHEA Grapalat" w:hAnsi="GHEA Grapalat"/>
          <w:sz w:val="24"/>
        </w:rPr>
        <w:t xml:space="preserve">իտության և </w:t>
      </w:r>
      <w:r w:rsidR="006E5041">
        <w:rPr>
          <w:rFonts w:ascii="GHEA Grapalat" w:hAnsi="GHEA Grapalat"/>
          <w:sz w:val="24"/>
        </w:rPr>
        <w:t>տեխնոլոգիաների ոլորտների զարգացման</w:t>
      </w:r>
      <w:r w:rsidRPr="00C72AB5">
        <w:rPr>
          <w:rFonts w:ascii="GHEA Grapalat" w:hAnsi="GHEA Grapalat"/>
          <w:sz w:val="24"/>
        </w:rPr>
        <w:t xml:space="preserve"> գերակա ուղղություններով իրականացվող առնվազն 4 համալիր ծրագիր</w:t>
      </w:r>
      <w:r w:rsidR="0074070E" w:rsidRPr="00C72AB5">
        <w:rPr>
          <w:rFonts w:ascii="GHEA Grapalat" w:hAnsi="GHEA Grapalat"/>
          <w:sz w:val="24"/>
        </w:rPr>
        <w:t>,</w:t>
      </w:r>
    </w:p>
    <w:p w14:paraId="625A0E00" w14:textId="2354E4B8" w:rsidR="00070052" w:rsidRDefault="00C800B4" w:rsidP="0024141F">
      <w:pPr>
        <w:spacing w:line="276" w:lineRule="auto"/>
        <w:ind w:firstLine="567"/>
        <w:jc w:val="both"/>
        <w:rPr>
          <w:rFonts w:ascii="GHEA Grapalat" w:hAnsi="GHEA Grapalat"/>
          <w:sz w:val="24"/>
        </w:rPr>
      </w:pPr>
      <w:r w:rsidRPr="00C72AB5">
        <w:rPr>
          <w:rFonts w:ascii="GHEA Grapalat" w:hAnsi="GHEA Grapalat"/>
          <w:sz w:val="24"/>
        </w:rPr>
        <w:t xml:space="preserve">6) </w:t>
      </w:r>
      <w:r w:rsidR="006E5041">
        <w:rPr>
          <w:rFonts w:ascii="GHEA Grapalat" w:hAnsi="GHEA Grapalat"/>
          <w:sz w:val="24"/>
        </w:rPr>
        <w:t>ա</w:t>
      </w:r>
      <w:r w:rsidR="00E17CE4" w:rsidRPr="00C72AB5">
        <w:rPr>
          <w:rFonts w:ascii="GHEA Grapalat" w:hAnsi="GHEA Grapalat"/>
          <w:sz w:val="24"/>
        </w:rPr>
        <w:t>րտոնագրային համագործակցության մասին պայմանագրի</w:t>
      </w:r>
      <w:r w:rsidR="00E17CE4" w:rsidRPr="00C72AB5">
        <w:rPr>
          <w:rStyle w:val="FootnoteReference"/>
          <w:rFonts w:ascii="GHEA Grapalat" w:hAnsi="GHEA Grapalat"/>
          <w:sz w:val="24"/>
        </w:rPr>
        <w:footnoteReference w:id="72"/>
      </w:r>
      <w:r w:rsidRPr="00C72AB5">
        <w:rPr>
          <w:rFonts w:ascii="GHEA Grapalat" w:hAnsi="GHEA Grapalat"/>
          <w:sz w:val="24"/>
        </w:rPr>
        <w:t xml:space="preserve"> </w:t>
      </w:r>
      <w:r w:rsidR="00E17CE4" w:rsidRPr="00C72AB5">
        <w:rPr>
          <w:rFonts w:ascii="GHEA Grapalat" w:hAnsi="GHEA Grapalat"/>
          <w:sz w:val="24"/>
        </w:rPr>
        <w:t xml:space="preserve">շրջանակում </w:t>
      </w:r>
      <w:r w:rsidR="00744E08" w:rsidRPr="00744E08">
        <w:rPr>
          <w:rFonts w:ascii="GHEA Grapalat" w:hAnsi="GHEA Grapalat"/>
          <w:sz w:val="24"/>
        </w:rPr>
        <w:t>Հայաստանի Հանրապետության</w:t>
      </w:r>
      <w:r w:rsidR="00E17CE4" w:rsidRPr="00C72AB5">
        <w:rPr>
          <w:rFonts w:ascii="GHEA Grapalat" w:hAnsi="GHEA Grapalat"/>
          <w:sz w:val="24"/>
        </w:rPr>
        <w:t xml:space="preserve"> ռեզիդենտ կազմակերպությունների գրանցած </w:t>
      </w:r>
      <w:r w:rsidR="00D81923" w:rsidRPr="00C72AB5">
        <w:rPr>
          <w:rFonts w:ascii="GHEA Grapalat" w:hAnsi="GHEA Grapalat"/>
          <w:sz w:val="24"/>
        </w:rPr>
        <w:t xml:space="preserve">արտոնագրերի </w:t>
      </w:r>
      <w:r w:rsidRPr="00C72AB5">
        <w:rPr>
          <w:rFonts w:ascii="GHEA Grapalat" w:hAnsi="GHEA Grapalat"/>
          <w:sz w:val="24"/>
        </w:rPr>
        <w:t>քանակ</w:t>
      </w:r>
      <w:r w:rsidR="00D81923" w:rsidRPr="00C72AB5">
        <w:rPr>
          <w:rFonts w:ascii="GHEA Grapalat" w:hAnsi="GHEA Grapalat"/>
          <w:sz w:val="24"/>
        </w:rPr>
        <w:t xml:space="preserve">` </w:t>
      </w:r>
      <w:r w:rsidR="00C43D96" w:rsidRPr="00C72AB5">
        <w:rPr>
          <w:rFonts w:ascii="GHEA Grapalat" w:hAnsi="GHEA Grapalat"/>
          <w:sz w:val="24"/>
        </w:rPr>
        <w:t>70 (2026-2030 թթ</w:t>
      </w:r>
      <w:r w:rsidR="009533BE" w:rsidRPr="00C72AB5">
        <w:rPr>
          <w:rFonts w:ascii="GHEA Grapalat" w:hAnsi="GHEA Grapalat"/>
          <w:sz w:val="24"/>
        </w:rPr>
        <w:t>.</w:t>
      </w:r>
      <w:r w:rsidR="00C43D96" w:rsidRPr="00C72AB5">
        <w:rPr>
          <w:rFonts w:ascii="GHEA Grapalat" w:hAnsi="GHEA Grapalat"/>
          <w:sz w:val="24"/>
        </w:rPr>
        <w:t xml:space="preserve"> ընթացքում)</w:t>
      </w:r>
      <w:r w:rsidR="006E5041">
        <w:rPr>
          <w:rFonts w:ascii="GHEA Grapalat" w:hAnsi="GHEA Grapalat"/>
          <w:sz w:val="24"/>
        </w:rPr>
        <w:t>,</w:t>
      </w:r>
    </w:p>
    <w:p w14:paraId="06CBCDCB" w14:textId="4D99137B" w:rsidR="0024141F" w:rsidRPr="00C72AB5" w:rsidRDefault="00070052" w:rsidP="0024141F">
      <w:pPr>
        <w:spacing w:line="276" w:lineRule="auto"/>
        <w:ind w:firstLine="567"/>
        <w:jc w:val="both"/>
        <w:rPr>
          <w:rFonts w:ascii="GHEA Grapalat" w:hAnsi="GHEA Grapalat"/>
          <w:sz w:val="24"/>
        </w:rPr>
      </w:pPr>
      <w:r>
        <w:rPr>
          <w:rFonts w:ascii="GHEA Grapalat" w:hAnsi="GHEA Grapalat"/>
          <w:sz w:val="24"/>
        </w:rPr>
        <w:t xml:space="preserve">7) </w:t>
      </w:r>
      <w:r w:rsidR="007418F7">
        <w:rPr>
          <w:rFonts w:ascii="GHEA Grapalat" w:hAnsi="GHEA Grapalat"/>
          <w:sz w:val="24"/>
        </w:rPr>
        <w:t>բուհական գիտատար ստարտափների քանակ</w:t>
      </w:r>
      <w:r w:rsidR="006E5041">
        <w:rPr>
          <w:rFonts w:ascii="GHEA Grapalat" w:hAnsi="GHEA Grapalat"/>
          <w:sz w:val="24"/>
        </w:rPr>
        <w:t>,</w:t>
      </w:r>
      <w:r w:rsidR="007418F7">
        <w:rPr>
          <w:rFonts w:ascii="GHEA Grapalat" w:hAnsi="GHEA Grapalat"/>
          <w:sz w:val="24"/>
        </w:rPr>
        <w:t xml:space="preserve"> 2030 թվականին` 30</w:t>
      </w:r>
      <w:r w:rsidR="00C43D96" w:rsidRPr="00C72AB5">
        <w:rPr>
          <w:rFonts w:ascii="GHEA Grapalat" w:hAnsi="GHEA Grapalat"/>
          <w:sz w:val="24"/>
        </w:rPr>
        <w:t>:</w:t>
      </w:r>
    </w:p>
    <w:p w14:paraId="0797AEB0" w14:textId="067A85AF" w:rsidR="000F43AA" w:rsidRPr="00C72AB5" w:rsidRDefault="000F43AA" w:rsidP="000F43AA">
      <w:pPr>
        <w:tabs>
          <w:tab w:val="left" w:pos="851"/>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t>48. Ծրագրով նախատեսված արդյունքային ցուցանիշներին հասնելու համար անհրաժեշտ է նախանշված միջոցառումների ամբողջական իրականացում` ներառյալ պատշաճ բյուջետավորումն ու ֆինանսավորումը:</w:t>
      </w:r>
    </w:p>
    <w:p w14:paraId="67AB920D" w14:textId="77777777" w:rsidR="00C800B4" w:rsidRPr="00C72AB5" w:rsidRDefault="00C800B4" w:rsidP="0073444C"/>
    <w:p w14:paraId="34831FBA" w14:textId="77777777" w:rsidR="00C41B82" w:rsidRPr="00C72AB5" w:rsidRDefault="00C41B82" w:rsidP="00C41B82">
      <w:pPr>
        <w:pStyle w:val="Heading2"/>
      </w:pPr>
      <w:bookmarkStart w:id="12" w:name="_Toc215422090"/>
      <w:r w:rsidRPr="00C72AB5">
        <w:t>3.2 ԿԱՊՆ ԱՅԼ ՓԱՍՏԱԹՂԹԵՐԻ ՀԵՏ</w:t>
      </w:r>
      <w:bookmarkEnd w:id="12"/>
    </w:p>
    <w:p w14:paraId="2564E88E" w14:textId="77777777" w:rsidR="00C41B82" w:rsidRPr="00C72AB5" w:rsidRDefault="00C41B82" w:rsidP="0073444C"/>
    <w:p w14:paraId="2B3A5C17" w14:textId="11D6FEA9" w:rsidR="00C41B82" w:rsidRPr="00C72AB5" w:rsidRDefault="00C41B82" w:rsidP="00C41B82">
      <w:pPr>
        <w:spacing w:line="276" w:lineRule="auto"/>
        <w:ind w:firstLine="567"/>
        <w:jc w:val="both"/>
        <w:rPr>
          <w:rFonts w:ascii="GHEA Grapalat" w:hAnsi="GHEA Grapalat" w:cs="Sylfaen"/>
          <w:sz w:val="24"/>
          <w:szCs w:val="24"/>
        </w:rPr>
      </w:pPr>
      <w:r w:rsidRPr="00C72AB5">
        <w:rPr>
          <w:rFonts w:ascii="GHEA Grapalat" w:hAnsi="GHEA Grapalat" w:cs="Sylfaen"/>
          <w:sz w:val="24"/>
          <w:szCs w:val="24"/>
        </w:rPr>
        <w:t>49. Հայաստանի Հանրապետության գիտության ոլորտի զարգացման 2026-2030</w:t>
      </w:r>
      <w:r w:rsidRPr="00C72AB5">
        <w:rPr>
          <w:rFonts w:ascii="Calibri" w:hAnsi="Calibri" w:cs="Calibri"/>
          <w:sz w:val="24"/>
          <w:szCs w:val="24"/>
        </w:rPr>
        <w:t> </w:t>
      </w:r>
      <w:r w:rsidRPr="00C72AB5">
        <w:rPr>
          <w:rFonts w:ascii="GHEA Grapalat" w:hAnsi="GHEA Grapalat" w:cs="Sylfaen"/>
          <w:sz w:val="24"/>
          <w:szCs w:val="24"/>
        </w:rPr>
        <w:t xml:space="preserve">թվականների ռազմավարական ծրագիրը փոխկապակցված է </w:t>
      </w:r>
      <w:r w:rsidRPr="00C41B82">
        <w:rPr>
          <w:rFonts w:ascii="GHEA Grapalat" w:hAnsi="GHEA Grapalat" w:cs="Sylfaen"/>
          <w:sz w:val="24"/>
          <w:szCs w:val="24"/>
        </w:rPr>
        <w:t>3</w:t>
      </w:r>
      <w:r w:rsidRPr="00C72AB5">
        <w:rPr>
          <w:rFonts w:ascii="GHEA Grapalat" w:hAnsi="GHEA Grapalat" w:cs="Sylfaen"/>
          <w:sz w:val="24"/>
          <w:szCs w:val="24"/>
        </w:rPr>
        <w:t xml:space="preserve"> ռազմավարական բնույթի փաստաթղթերի հետ` «Ակադեմիական քաղաք» ծրագրի հայեցակարգ</w:t>
      </w:r>
      <w:r w:rsidRPr="00C72AB5">
        <w:rPr>
          <w:vertAlign w:val="superscript"/>
        </w:rPr>
        <w:footnoteReference w:id="73"/>
      </w:r>
      <w:r w:rsidRPr="00C72AB5">
        <w:rPr>
          <w:rFonts w:ascii="GHEA Grapalat" w:hAnsi="GHEA Grapalat" w:cs="Sylfaen"/>
          <w:sz w:val="24"/>
          <w:szCs w:val="24"/>
        </w:rPr>
        <w:t>, Հայաստանի Հանրապետության կրթության մինչև 2030 թվականի զարգացման պետական ծրագիրը</w:t>
      </w:r>
      <w:r w:rsidRPr="00C72AB5">
        <w:rPr>
          <w:vertAlign w:val="superscript"/>
        </w:rPr>
        <w:footnoteReference w:id="74"/>
      </w:r>
      <w:r w:rsidRPr="00C72AB5">
        <w:rPr>
          <w:rFonts w:ascii="GHEA Grapalat" w:hAnsi="GHEA Grapalat" w:cs="Sylfaen"/>
          <w:sz w:val="24"/>
          <w:szCs w:val="24"/>
        </w:rPr>
        <w:t>,  Հայաստանի վերափոխման</w:t>
      </w:r>
      <w:r w:rsidR="006E5041">
        <w:rPr>
          <w:rFonts w:ascii="GHEA Grapalat" w:hAnsi="GHEA Grapalat" w:cs="Sylfaen"/>
          <w:sz w:val="24"/>
          <w:szCs w:val="24"/>
        </w:rPr>
        <w:t>՝ մինչև 2050 թվականի ռազմավարություն․</w:t>
      </w:r>
    </w:p>
    <w:p w14:paraId="78EBA349" w14:textId="1EE4162A" w:rsidR="00C41B82" w:rsidRPr="00C72AB5" w:rsidRDefault="00C41B82" w:rsidP="00C41B82">
      <w:pPr>
        <w:tabs>
          <w:tab w:val="left" w:pos="851"/>
          <w:tab w:val="left" w:pos="993"/>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t xml:space="preserve">1) «Ակադեմիական քաղաք» ծրագրի հայեցակարգը սահմանում է` ««Ակադեմիական քաղաք» նախագիծը Հայաստանի Հանրապետության այն ծրագիրն </w:t>
      </w:r>
      <w:r w:rsidRPr="00C72AB5">
        <w:rPr>
          <w:rFonts w:ascii="GHEA Grapalat" w:hAnsi="GHEA Grapalat" w:cs="Sylfaen"/>
          <w:sz w:val="24"/>
          <w:szCs w:val="24"/>
        </w:rPr>
        <w:lastRenderedPageBreak/>
        <w:t>է, որի միջոցով իրացվելու է միջազգային գիտակրթական և նորարարական քարտեզի վրա ակտիվ և արժեքավոր դերակատարի դիրք զբաղեցնելու հավակնությունը: Այն հանդիսանալու է ժամանակակից հետազոտական և նորարարական գործունեությունը երաշխավորող միջավայր, որում բուհական կրթությունը կազմակերպվելու է՝ անմիջականորեն լծորդվելով հետազոտությունների հետ, այդպիսով ապահովելով գիտելիքի և հմտությունների ձեռքբերումն ու ամրապնդումը կիրառության մեջ և իրական համատեքստում: Ակադեմիական քաղաքը նաև երաշխավորելու է ձեռք բերված գիտելիքի լավագույն կիրառությունը` խարսխվելով հետազոտությունների գերազանցության, կիրառական արդյունքների հայտնաբերման, զարգացման և դրանց փոխանցման, նորարարական գործունեության խթանման և մտավոր սեփականության պաշտպանության սկզբունքների վրա, այսպիսով ծառայելով հանրությանը` սոցիալական, տնտեսական, մշակութային և անվտանգային մարտահրավերների հաղթահարման համար, ինչպես նաև հանրային և մասնավոր կազմակերպությունների հետ համագործակցությամբ ապահովելու է ստեղծվող գիտելիքի, տեխնոլոգիաների և նորարարությունների ներդրումն ու ծառայեցումը հանրային բարեկեցությանն ու առաջընթացին:» Այս իմաստով ռազմավարական բոլոր ծրագրերն ու միջոցառումները համուղղված են «Ակադեմիական քաղաք» ծրագրի հետ և առաջնահերթ դիտարկվում են ծրագրի հնարավորությունների շրջանակում, մասնավորապես</w:t>
      </w:r>
      <w:r w:rsidR="009D1219">
        <w:rPr>
          <w:rFonts w:ascii="GHEA Grapalat" w:hAnsi="GHEA Grapalat" w:cs="Sylfaen"/>
          <w:sz w:val="24"/>
          <w:szCs w:val="24"/>
        </w:rPr>
        <w:t>,</w:t>
      </w:r>
      <w:r w:rsidRPr="00C72AB5">
        <w:rPr>
          <w:rFonts w:ascii="GHEA Grapalat" w:hAnsi="GHEA Grapalat" w:cs="Sylfaen"/>
          <w:sz w:val="24"/>
          <w:szCs w:val="24"/>
        </w:rPr>
        <w:t xml:space="preserve"> գիտական կադրերի պատրաստման, միջգիտակարգային հետազոտությունների խթանման, գիտություն-նորարարություն կապի ստեղծման, հետազոտությունների շուկայացման, ինչպես նաև մասնավոր հատվածի հետ համագործակցության ավելի ընդլայնված հնարավորությունների համատեքստում: «Ակադեմիական քաղաք» ծրագրի շրջանակում և դրա տրամաբանության մեջ է իրականացվելու նաև գիտական կազմակերպու</w:t>
      </w:r>
      <w:r w:rsidR="009D1219">
        <w:rPr>
          <w:rFonts w:ascii="GHEA Grapalat" w:hAnsi="GHEA Grapalat" w:cs="Sylfaen"/>
          <w:sz w:val="24"/>
          <w:szCs w:val="24"/>
        </w:rPr>
        <w:t>թյունների խոշորացման գործընթացը․</w:t>
      </w:r>
    </w:p>
    <w:p w14:paraId="02E42BEC" w14:textId="5F023318" w:rsidR="00C41B82" w:rsidRPr="00C72AB5" w:rsidRDefault="00C41B82" w:rsidP="00C41B82">
      <w:pPr>
        <w:spacing w:line="276" w:lineRule="auto"/>
        <w:ind w:firstLine="567"/>
        <w:jc w:val="both"/>
        <w:rPr>
          <w:rFonts w:ascii="GHEA Grapalat" w:hAnsi="GHEA Grapalat" w:cs="Sylfaen"/>
          <w:sz w:val="24"/>
          <w:szCs w:val="24"/>
        </w:rPr>
      </w:pPr>
      <w:r w:rsidRPr="00C72AB5">
        <w:rPr>
          <w:rFonts w:ascii="GHEA Grapalat" w:hAnsi="GHEA Grapalat" w:cs="Sylfaen"/>
          <w:sz w:val="24"/>
          <w:szCs w:val="24"/>
        </w:rPr>
        <w:t>2) Հայաստանի Հանրապետություն</w:t>
      </w:r>
      <w:r w:rsidR="009D1219">
        <w:rPr>
          <w:rFonts w:ascii="GHEA Grapalat" w:hAnsi="GHEA Grapalat" w:cs="Sylfaen"/>
          <w:sz w:val="24"/>
          <w:szCs w:val="24"/>
        </w:rPr>
        <w:t>ում գիտության և տեխնոլոգիաների ոլորտների</w:t>
      </w:r>
      <w:r w:rsidRPr="00C72AB5">
        <w:rPr>
          <w:rFonts w:ascii="GHEA Grapalat" w:hAnsi="GHEA Grapalat" w:cs="Sylfaen"/>
          <w:sz w:val="24"/>
          <w:szCs w:val="24"/>
        </w:rPr>
        <w:t xml:space="preserve"> զարգացման 2026-2030 թվականների գերակա</w:t>
      </w:r>
      <w:r w:rsidR="009D1219">
        <w:rPr>
          <w:rFonts w:ascii="GHEA Grapalat" w:hAnsi="GHEA Grapalat" w:cs="Sylfaen"/>
          <w:sz w:val="24"/>
          <w:szCs w:val="24"/>
        </w:rPr>
        <w:t xml:space="preserve"> ուղղ</w:t>
      </w:r>
      <w:r w:rsidRPr="00C72AB5">
        <w:rPr>
          <w:rFonts w:ascii="GHEA Grapalat" w:hAnsi="GHEA Grapalat" w:cs="Sylfaen"/>
          <w:sz w:val="24"/>
          <w:szCs w:val="24"/>
        </w:rPr>
        <w:t>ությունները սա</w:t>
      </w:r>
      <w:r w:rsidR="009D1219">
        <w:rPr>
          <w:rFonts w:ascii="GHEA Grapalat" w:hAnsi="GHEA Grapalat" w:cs="Sylfaen"/>
          <w:sz w:val="24"/>
          <w:szCs w:val="24"/>
        </w:rPr>
        <w:t>հմանում են գիտության և տեխնոլոգիաների</w:t>
      </w:r>
      <w:r w:rsidRPr="00C72AB5">
        <w:rPr>
          <w:rFonts w:ascii="GHEA Grapalat" w:hAnsi="GHEA Grapalat" w:cs="Sylfaen"/>
          <w:sz w:val="24"/>
          <w:szCs w:val="24"/>
        </w:rPr>
        <w:t xml:space="preserve"> զարգացման 12 գլոբալ գերակա</w:t>
      </w:r>
      <w:r w:rsidR="009D1219">
        <w:rPr>
          <w:rFonts w:ascii="GHEA Grapalat" w:hAnsi="GHEA Grapalat" w:cs="Sylfaen"/>
          <w:sz w:val="24"/>
          <w:szCs w:val="24"/>
        </w:rPr>
        <w:t xml:space="preserve"> ուղղ</w:t>
      </w:r>
      <w:r w:rsidRPr="00C72AB5">
        <w:rPr>
          <w:rFonts w:ascii="GHEA Grapalat" w:hAnsi="GHEA Grapalat" w:cs="Sylfaen"/>
          <w:sz w:val="24"/>
          <w:szCs w:val="24"/>
        </w:rPr>
        <w:t xml:space="preserve">ություններ, որոնց նկատմամբ </w:t>
      </w:r>
      <w:r w:rsidR="009D1219">
        <w:rPr>
          <w:rFonts w:ascii="GHEA Grapalat" w:hAnsi="GHEA Grapalat" w:cs="Sylfaen"/>
          <w:sz w:val="24"/>
          <w:szCs w:val="24"/>
        </w:rPr>
        <w:t>Հայաստանի Հանրապետության</w:t>
      </w:r>
      <w:r w:rsidRPr="00C72AB5">
        <w:rPr>
          <w:rFonts w:ascii="GHEA Grapalat" w:hAnsi="GHEA Grapalat" w:cs="Sylfaen"/>
          <w:sz w:val="24"/>
          <w:szCs w:val="24"/>
        </w:rPr>
        <w:t xml:space="preserve"> գիտատեխնոլոգիական համակարգի վերլուծությունը վեր է հանում </w:t>
      </w:r>
      <w:r w:rsidR="009D1219" w:rsidRPr="00C72AB5">
        <w:rPr>
          <w:rFonts w:ascii="GHEA Grapalat" w:hAnsi="GHEA Grapalat" w:cs="Sylfaen"/>
          <w:sz w:val="24"/>
          <w:szCs w:val="24"/>
        </w:rPr>
        <w:t>գերակա</w:t>
      </w:r>
      <w:r w:rsidR="009D1219">
        <w:rPr>
          <w:rFonts w:ascii="GHEA Grapalat" w:hAnsi="GHEA Grapalat" w:cs="Sylfaen"/>
          <w:sz w:val="24"/>
          <w:szCs w:val="24"/>
        </w:rPr>
        <w:t xml:space="preserve"> ուղղ</w:t>
      </w:r>
      <w:r w:rsidR="009D1219" w:rsidRPr="00C72AB5">
        <w:rPr>
          <w:rFonts w:ascii="GHEA Grapalat" w:hAnsi="GHEA Grapalat" w:cs="Sylfaen"/>
          <w:sz w:val="24"/>
          <w:szCs w:val="24"/>
        </w:rPr>
        <w:t>ություն</w:t>
      </w:r>
      <w:r w:rsidR="009D1219">
        <w:rPr>
          <w:rFonts w:ascii="GHEA Grapalat" w:hAnsi="GHEA Grapalat" w:cs="Sylfaen"/>
          <w:sz w:val="24"/>
          <w:szCs w:val="24"/>
        </w:rPr>
        <w:t>ներ</w:t>
      </w:r>
      <w:r w:rsidRPr="00C72AB5">
        <w:rPr>
          <w:rFonts w:ascii="GHEA Grapalat" w:hAnsi="GHEA Grapalat" w:cs="Sylfaen"/>
          <w:sz w:val="24"/>
          <w:szCs w:val="24"/>
        </w:rPr>
        <w:t xml:space="preserve">ին պատրաստության 4 մակարդակ: Այս փաստաթուղթը հաշվի է առնվելու խոշոր և ռազմավարական նշանակության պետական ծրագրերի մշակման և իրականացման ժամանակ` նախանշելով այն ուղղությունները, որոնցում իրականացվելու են պետական հավելյալ ներդրումները: </w:t>
      </w:r>
      <w:r w:rsidR="009D1219">
        <w:rPr>
          <w:rFonts w:ascii="GHEA Grapalat" w:hAnsi="GHEA Grapalat" w:cs="Sylfaen"/>
          <w:sz w:val="24"/>
          <w:szCs w:val="24"/>
        </w:rPr>
        <w:t>Գ</w:t>
      </w:r>
      <w:r w:rsidR="009D1219" w:rsidRPr="00C72AB5">
        <w:rPr>
          <w:rFonts w:ascii="GHEA Grapalat" w:hAnsi="GHEA Grapalat" w:cs="Sylfaen"/>
          <w:sz w:val="24"/>
          <w:szCs w:val="24"/>
        </w:rPr>
        <w:t>երակա</w:t>
      </w:r>
      <w:r w:rsidR="009D1219">
        <w:rPr>
          <w:rFonts w:ascii="GHEA Grapalat" w:hAnsi="GHEA Grapalat" w:cs="Sylfaen"/>
          <w:sz w:val="24"/>
          <w:szCs w:val="24"/>
        </w:rPr>
        <w:t xml:space="preserve"> ուղղ</w:t>
      </w:r>
      <w:r w:rsidR="009D1219" w:rsidRPr="00C72AB5">
        <w:rPr>
          <w:rFonts w:ascii="GHEA Grapalat" w:hAnsi="GHEA Grapalat" w:cs="Sylfaen"/>
          <w:sz w:val="24"/>
          <w:szCs w:val="24"/>
        </w:rPr>
        <w:t>ություն</w:t>
      </w:r>
      <w:r w:rsidRPr="00C72AB5">
        <w:rPr>
          <w:rFonts w:ascii="GHEA Grapalat" w:hAnsi="GHEA Grapalat" w:cs="Sylfaen"/>
          <w:sz w:val="24"/>
          <w:szCs w:val="24"/>
        </w:rPr>
        <w:t xml:space="preserve">ները նաև դրվելու են խոշորացված գիտական կազմակերպությունների կառուցվածքի մշակման հիմքում և վերակազմակերպումներն իրականացվելու են </w:t>
      </w:r>
      <w:r w:rsidR="009D1219" w:rsidRPr="00C72AB5">
        <w:rPr>
          <w:rFonts w:ascii="GHEA Grapalat" w:hAnsi="GHEA Grapalat" w:cs="Sylfaen"/>
          <w:sz w:val="24"/>
          <w:szCs w:val="24"/>
        </w:rPr>
        <w:t>գերակա</w:t>
      </w:r>
      <w:r w:rsidR="009D1219">
        <w:rPr>
          <w:rFonts w:ascii="GHEA Grapalat" w:hAnsi="GHEA Grapalat" w:cs="Sylfaen"/>
          <w:sz w:val="24"/>
          <w:szCs w:val="24"/>
        </w:rPr>
        <w:t xml:space="preserve"> ուղղ</w:t>
      </w:r>
      <w:r w:rsidR="009D1219" w:rsidRPr="00C72AB5">
        <w:rPr>
          <w:rFonts w:ascii="GHEA Grapalat" w:hAnsi="GHEA Grapalat" w:cs="Sylfaen"/>
          <w:sz w:val="24"/>
          <w:szCs w:val="24"/>
        </w:rPr>
        <w:t>ություն</w:t>
      </w:r>
      <w:r w:rsidRPr="00C72AB5">
        <w:rPr>
          <w:rFonts w:ascii="GHEA Grapalat" w:hAnsi="GHEA Grapalat" w:cs="Sylfaen"/>
          <w:sz w:val="24"/>
          <w:szCs w:val="24"/>
        </w:rPr>
        <w:t>ների ու գիտական կազմակերպությունների պոտենցի</w:t>
      </w:r>
      <w:r w:rsidR="009D1219">
        <w:rPr>
          <w:rFonts w:ascii="GHEA Grapalat" w:hAnsi="GHEA Grapalat" w:cs="Sylfaen"/>
          <w:sz w:val="24"/>
          <w:szCs w:val="24"/>
        </w:rPr>
        <w:t>ալի հաշվառմամբ ու համադրությամբ․</w:t>
      </w:r>
    </w:p>
    <w:p w14:paraId="0675AEB7" w14:textId="2604BC26" w:rsidR="00C41B82" w:rsidRPr="00C72AB5" w:rsidRDefault="00C41B82" w:rsidP="00C41B82">
      <w:pPr>
        <w:spacing w:line="276" w:lineRule="auto"/>
        <w:ind w:firstLine="567"/>
        <w:jc w:val="both"/>
        <w:rPr>
          <w:rFonts w:ascii="GHEA Grapalat" w:hAnsi="GHEA Grapalat" w:cs="Sylfaen"/>
          <w:sz w:val="24"/>
          <w:szCs w:val="24"/>
        </w:rPr>
      </w:pPr>
      <w:r w:rsidRPr="00C72AB5">
        <w:rPr>
          <w:rFonts w:ascii="GHEA Grapalat" w:hAnsi="GHEA Grapalat" w:cs="Sylfaen"/>
          <w:sz w:val="24"/>
          <w:szCs w:val="24"/>
        </w:rPr>
        <w:t>3) Հայաստանի Հանրապետության կրթության մինչև 2030 թվականի զարգացման պետական ծրագիրը միտված լինելով կրթության ոլորտի զարգացմանը</w:t>
      </w:r>
      <w:r w:rsidR="009D1219">
        <w:rPr>
          <w:rFonts w:ascii="GHEA Grapalat" w:hAnsi="GHEA Grapalat" w:cs="Sylfaen"/>
          <w:sz w:val="24"/>
          <w:szCs w:val="24"/>
        </w:rPr>
        <w:t>,</w:t>
      </w:r>
      <w:r w:rsidRPr="00C72AB5">
        <w:rPr>
          <w:rFonts w:ascii="GHEA Grapalat" w:hAnsi="GHEA Grapalat" w:cs="Sylfaen"/>
          <w:sz w:val="24"/>
          <w:szCs w:val="24"/>
        </w:rPr>
        <w:t xml:space="preserve"> այնուամենայնիվ բարձրագույն կրթության մասով ունի հստակ առնչ</w:t>
      </w:r>
      <w:r w:rsidR="009D1219">
        <w:rPr>
          <w:rFonts w:ascii="GHEA Grapalat" w:hAnsi="GHEA Grapalat" w:cs="Sylfaen"/>
          <w:sz w:val="24"/>
          <w:szCs w:val="24"/>
        </w:rPr>
        <w:t>ություններ գիտության ոլորտի հետ,</w:t>
      </w:r>
      <w:r w:rsidRPr="00C72AB5">
        <w:rPr>
          <w:rFonts w:ascii="GHEA Grapalat" w:hAnsi="GHEA Grapalat" w:cs="Sylfaen"/>
          <w:sz w:val="24"/>
          <w:szCs w:val="24"/>
        </w:rPr>
        <w:t xml:space="preserve"> մասնավորապես</w:t>
      </w:r>
      <w:r w:rsidR="009D1219">
        <w:rPr>
          <w:rFonts w:ascii="GHEA Grapalat" w:hAnsi="GHEA Grapalat" w:cs="Sylfaen"/>
          <w:sz w:val="24"/>
          <w:szCs w:val="24"/>
        </w:rPr>
        <w:t>,</w:t>
      </w:r>
      <w:r w:rsidRPr="00C72AB5">
        <w:rPr>
          <w:rFonts w:ascii="GHEA Grapalat" w:hAnsi="GHEA Grapalat" w:cs="Sylfaen"/>
          <w:sz w:val="24"/>
          <w:szCs w:val="24"/>
        </w:rPr>
        <w:t xml:space="preserve"> «</w:t>
      </w:r>
      <w:r w:rsidR="00744E08" w:rsidRPr="00744E08">
        <w:rPr>
          <w:rFonts w:ascii="GHEA Grapalat" w:hAnsi="GHEA Grapalat" w:cs="Sylfaen"/>
          <w:sz w:val="24"/>
          <w:szCs w:val="24"/>
        </w:rPr>
        <w:t>Հայաստանի Հանրապետության</w:t>
      </w:r>
      <w:r w:rsidRPr="00C72AB5">
        <w:rPr>
          <w:rFonts w:ascii="GHEA Grapalat" w:hAnsi="GHEA Grapalat" w:cs="Sylfaen"/>
          <w:sz w:val="24"/>
          <w:szCs w:val="24"/>
        </w:rPr>
        <w:t xml:space="preserve"> </w:t>
      </w:r>
      <w:r w:rsidRPr="00C72AB5">
        <w:rPr>
          <w:rFonts w:ascii="GHEA Grapalat" w:hAnsi="GHEA Grapalat" w:cs="Sylfaen"/>
          <w:sz w:val="24"/>
          <w:szCs w:val="24"/>
        </w:rPr>
        <w:lastRenderedPageBreak/>
        <w:t>կրթության մինչև 2030 թվականի զարգացման պետական ծրագիրը» հաստատելու մասին օրենքի</w:t>
      </w:r>
      <w:r w:rsidR="00A863E6" w:rsidRPr="00C72AB5">
        <w:rPr>
          <w:rFonts w:ascii="GHEA Grapalat" w:hAnsi="GHEA Grapalat" w:cs="Sylfaen"/>
          <w:sz w:val="24"/>
          <w:szCs w:val="24"/>
        </w:rPr>
        <w:t>»</w:t>
      </w:r>
      <w:r w:rsidRPr="00C72AB5">
        <w:rPr>
          <w:rFonts w:ascii="GHEA Grapalat" w:hAnsi="GHEA Grapalat" w:cs="Sylfaen"/>
          <w:sz w:val="24"/>
          <w:szCs w:val="24"/>
        </w:rPr>
        <w:t xml:space="preserve"> 1-ին հոդվածով հաստատված ծրագրի 86-րդ կետով սահմանված արդյունքային շրջանակներում սահմանված են հետևյալ թիրախները` «15) կստեղծվեն 100% պետական ֆինանսավորմամբ մինչև ութ բուհ՝ չբացառելով վճարովի ուսուցման հնարավորությունը.», «16) առնվազն չորս բուհ ընդգրկված կլինի միջազգային վարկանիշային (Թայմսի բարձրագույն կրթության՝ աշխարհի համալսարանների վարկանիշ – Times Higher Education World University Rankings, Աշխարհի համալսարանների քյուէս վարկանիշ - QS World University Rankings կամ Աշխարհի համալսարանների ակադեմիական վարկանիշ - ARWU, Shanghai Ranking) աղյուսակների լավագույն 500-ի մեջ.», «19) կրթություն-գիտություն փոխգործակցություն, ասպիրանտների թվի կտրուկ աճ.» և «23) Հայաստանի Հանրապետության բարձրագույն կրթության համակարգը ձեռք կբերի միջազգային հեղինակություն, որի շնորհիվ օտարերկրյա ուսանողն</w:t>
      </w:r>
      <w:r w:rsidR="009D1219">
        <w:rPr>
          <w:rFonts w:ascii="GHEA Grapalat" w:hAnsi="GHEA Grapalat" w:cs="Sylfaen"/>
          <w:sz w:val="24"/>
          <w:szCs w:val="24"/>
        </w:rPr>
        <w:t>երի թիվն առնվազն կկրկնապատկվի:»․</w:t>
      </w:r>
    </w:p>
    <w:p w14:paraId="6BBC5BE0" w14:textId="5DF124A7" w:rsidR="00C41B82" w:rsidRPr="00C72AB5" w:rsidRDefault="00744E08" w:rsidP="00C41B82">
      <w:pPr>
        <w:spacing w:line="276" w:lineRule="auto"/>
        <w:ind w:firstLine="567"/>
        <w:jc w:val="both"/>
        <w:rPr>
          <w:rFonts w:ascii="GHEA Grapalat" w:hAnsi="GHEA Grapalat" w:cs="Sylfaen"/>
          <w:sz w:val="24"/>
          <w:szCs w:val="24"/>
        </w:rPr>
      </w:pPr>
      <w:r>
        <w:rPr>
          <w:rFonts w:ascii="GHEA Grapalat" w:hAnsi="GHEA Grapalat" w:cs="Sylfaen"/>
          <w:sz w:val="24"/>
          <w:szCs w:val="24"/>
        </w:rPr>
        <w:t xml:space="preserve">4) </w:t>
      </w:r>
      <w:r w:rsidR="00C41B82" w:rsidRPr="00C72AB5">
        <w:rPr>
          <w:rFonts w:ascii="GHEA Grapalat" w:hAnsi="GHEA Grapalat" w:cs="Sylfaen"/>
          <w:sz w:val="24"/>
          <w:szCs w:val="24"/>
        </w:rPr>
        <w:t>Հայաստանի վերափոխման</w:t>
      </w:r>
      <w:r w:rsidR="00592460">
        <w:rPr>
          <w:rFonts w:ascii="GHEA Grapalat" w:hAnsi="GHEA Grapalat" w:cs="Sylfaen"/>
          <w:sz w:val="24"/>
          <w:szCs w:val="24"/>
        </w:rPr>
        <w:t>՝ մինչև 2050 թվականի</w:t>
      </w:r>
      <w:r w:rsidR="00C41B82" w:rsidRPr="00C72AB5">
        <w:rPr>
          <w:rFonts w:ascii="GHEA Grapalat" w:hAnsi="GHEA Grapalat" w:cs="Sylfaen"/>
          <w:sz w:val="24"/>
          <w:szCs w:val="24"/>
        </w:rPr>
        <w:t xml:space="preserve"> ռազմավարությունը սահմանում է մի շարք թիրախներ, որոնք ուղղակիորեն կամ միջնորդավորված վերաբերելի են գիտության ոլորտին</w:t>
      </w:r>
      <w:r w:rsidR="00592460">
        <w:rPr>
          <w:rFonts w:ascii="GHEA Grapalat" w:hAnsi="GHEA Grapalat" w:cs="Sylfaen"/>
          <w:sz w:val="24"/>
          <w:szCs w:val="24"/>
        </w:rPr>
        <w:t>, մասնավորապես,</w:t>
      </w:r>
      <w:r w:rsidR="00C41B82" w:rsidRPr="00C72AB5">
        <w:rPr>
          <w:rFonts w:ascii="GHEA Grapalat" w:hAnsi="GHEA Grapalat" w:cs="Sylfaen"/>
          <w:sz w:val="24"/>
          <w:szCs w:val="24"/>
        </w:rPr>
        <w:t xml:space="preserve"> «1. Կիրթ և կարողունակ ազգ», «15. Ոչ նյութական (գիտելիքահենք) Հայաստան» և «16. Ճանաչված, հարգված և հյուրընկալ Հայաստան» մեգանպատակների ներքո սահմանված վերջնարդյունքների ու դրանց համապատասխան ցուցանիշների շարքում անմիջական առնչվողներից են` «1.1.2. Հայաստանում շահերի կենտրոն ունեցող հեղինակների կողմից հեղինակավոր ակադեմիական ամսագրերում հրապարակված և հղումներ ստացած գիտատեխնիկական հոդվածների թիվը (ըստ </w:t>
      </w:r>
      <w:r w:rsidR="00592460">
        <w:rPr>
          <w:rFonts w:ascii="GHEA Grapalat" w:eastAsia="Calibri" w:hAnsi="GHEA Grapalat" w:cs="Arial"/>
          <w:sz w:val="24"/>
          <w:szCs w:val="24"/>
          <w:lang w:eastAsia="en-US"/>
        </w:rPr>
        <w:t>Գ</w:t>
      </w:r>
      <w:r w:rsidR="00592460" w:rsidRPr="00B01EAF">
        <w:rPr>
          <w:rFonts w:ascii="GHEA Grapalat" w:eastAsia="Calibri" w:hAnsi="GHEA Grapalat" w:cs="Arial"/>
          <w:sz w:val="24"/>
          <w:szCs w:val="24"/>
          <w:lang w:eastAsia="en-US"/>
        </w:rPr>
        <w:t>լոբալ նորարարության ցուցիչի</w:t>
      </w:r>
      <w:r w:rsidR="00C41B82" w:rsidRPr="00C72AB5">
        <w:rPr>
          <w:rFonts w:ascii="GHEA Grapalat" w:hAnsi="GHEA Grapalat" w:cs="Sylfaen"/>
          <w:sz w:val="24"/>
          <w:szCs w:val="24"/>
        </w:rPr>
        <w:t xml:space="preserve"> մեթոդաբանության)»</w:t>
      </w:r>
      <w:r w:rsidR="00592460">
        <w:rPr>
          <w:rFonts w:ascii="GHEA Grapalat" w:hAnsi="GHEA Grapalat" w:cs="Sylfaen"/>
          <w:sz w:val="24"/>
          <w:szCs w:val="24"/>
        </w:rPr>
        <w:t>,</w:t>
      </w:r>
      <w:r w:rsidR="00C41B82" w:rsidRPr="00C72AB5">
        <w:rPr>
          <w:rFonts w:ascii="GHEA Grapalat" w:hAnsi="GHEA Grapalat" w:cs="Sylfaen"/>
          <w:sz w:val="24"/>
          <w:szCs w:val="24"/>
        </w:rPr>
        <w:t xml:space="preserve"> որը սահմանում է 2024 թվականի համար 1800 գիտա</w:t>
      </w:r>
      <w:r w:rsidR="00592460">
        <w:rPr>
          <w:rFonts w:ascii="GHEA Grapalat" w:hAnsi="GHEA Grapalat" w:cs="Sylfaen"/>
          <w:sz w:val="24"/>
          <w:szCs w:val="24"/>
        </w:rPr>
        <w:t>կան հոդված և 2029-ի համար` 3200,</w:t>
      </w:r>
      <w:r w:rsidR="00C41B82" w:rsidRPr="00C72AB5">
        <w:rPr>
          <w:rFonts w:ascii="GHEA Grapalat" w:hAnsi="GHEA Grapalat" w:cs="Sylfaen"/>
          <w:sz w:val="24"/>
          <w:szCs w:val="24"/>
        </w:rPr>
        <w:t xml:space="preserve"> «1.1.3. Հայաստանում շահերի կենտրոն ունեցող, վերջին 5 տարվա ընթացքում ԳՏՃԱՄ ուղղություններով միջազգային վարկանիշի առաջին 50-յակի բուհերում մագիստրոսական և դոկտորական ատենախոսություններ (PhD) պաշտպանողների թիվը» 2024 թվական</w:t>
      </w:r>
      <w:r w:rsidR="00D9000C">
        <w:rPr>
          <w:rFonts w:ascii="GHEA Grapalat" w:hAnsi="GHEA Grapalat" w:cs="Sylfaen"/>
          <w:sz w:val="24"/>
          <w:szCs w:val="24"/>
        </w:rPr>
        <w:t>ին` &gt;500, 2029-ին` &gt;5000 դոկտոր,</w:t>
      </w:r>
      <w:r w:rsidR="00C41B82" w:rsidRPr="00C72AB5">
        <w:rPr>
          <w:rFonts w:ascii="GHEA Grapalat" w:hAnsi="GHEA Grapalat" w:cs="Sylfaen"/>
          <w:sz w:val="24"/>
          <w:szCs w:val="24"/>
        </w:rPr>
        <w:t xml:space="preserve"> «15.1.1. Հայաստանում կենսական շահեր ունեցող ԳՏՃԱՄ (STEAM)-հետազոտողների թի</w:t>
      </w:r>
      <w:r w:rsidR="005B1810">
        <w:rPr>
          <w:rFonts w:ascii="GHEA Grapalat" w:hAnsi="GHEA Grapalat" w:cs="Sylfaen"/>
          <w:sz w:val="24"/>
          <w:szCs w:val="24"/>
        </w:rPr>
        <w:t>վը (1 մլն</w:t>
      </w:r>
      <w:r w:rsidR="00C41B82" w:rsidRPr="00C72AB5">
        <w:rPr>
          <w:rFonts w:ascii="GHEA Grapalat" w:hAnsi="GHEA Grapalat" w:cs="Sylfaen"/>
          <w:sz w:val="24"/>
          <w:szCs w:val="24"/>
        </w:rPr>
        <w:t xml:space="preserve"> բնակչության հաշվով, ըստ </w:t>
      </w:r>
      <w:r w:rsidR="00D9000C">
        <w:rPr>
          <w:rFonts w:ascii="GHEA Grapalat" w:eastAsia="Calibri" w:hAnsi="GHEA Grapalat" w:cs="Arial"/>
          <w:sz w:val="24"/>
          <w:szCs w:val="24"/>
          <w:lang w:eastAsia="en-US"/>
        </w:rPr>
        <w:t>Գ</w:t>
      </w:r>
      <w:r w:rsidR="00D9000C" w:rsidRPr="00B01EAF">
        <w:rPr>
          <w:rFonts w:ascii="GHEA Grapalat" w:eastAsia="Calibri" w:hAnsi="GHEA Grapalat" w:cs="Arial"/>
          <w:sz w:val="24"/>
          <w:szCs w:val="24"/>
          <w:lang w:eastAsia="en-US"/>
        </w:rPr>
        <w:t>լոբալ նորարարության ցուցիչի</w:t>
      </w:r>
      <w:r w:rsidR="00C41B82" w:rsidRPr="00C72AB5">
        <w:rPr>
          <w:rFonts w:ascii="GHEA Grapalat" w:hAnsi="GHEA Grapalat" w:cs="Sylfaen"/>
          <w:sz w:val="24"/>
          <w:szCs w:val="24"/>
        </w:rPr>
        <w:t xml:space="preserve"> մեթոդաբանության)»</w:t>
      </w:r>
      <w:r w:rsidR="00D9000C">
        <w:rPr>
          <w:rFonts w:ascii="GHEA Grapalat" w:hAnsi="GHEA Grapalat" w:cs="Sylfaen"/>
          <w:sz w:val="24"/>
          <w:szCs w:val="24"/>
        </w:rPr>
        <w:t>,</w:t>
      </w:r>
      <w:r w:rsidR="00C41B82" w:rsidRPr="00C72AB5">
        <w:rPr>
          <w:rFonts w:ascii="GHEA Grapalat" w:hAnsi="GHEA Grapalat" w:cs="Sylfaen"/>
          <w:sz w:val="24"/>
          <w:szCs w:val="24"/>
        </w:rPr>
        <w:t xml:space="preserve"> որը նախանշում է 2024 թվականի համար 1700 և 2029-ի համար` 4000 հետազոտող/1Մ բնակիչ; «15.1.2. Հայաստանում տեղակայված ընկերությունների կողմից PCT պատենտավորում ստացած գյուտերի և օգտակար մոդելների թիվը (1</w:t>
      </w:r>
      <w:r w:rsidR="005B1810">
        <w:rPr>
          <w:rFonts w:ascii="GHEA Grapalat" w:hAnsi="GHEA Grapalat" w:cs="Sylfaen"/>
          <w:sz w:val="24"/>
          <w:szCs w:val="24"/>
        </w:rPr>
        <w:t xml:space="preserve"> մլն</w:t>
      </w:r>
      <w:r w:rsidR="00C41B82" w:rsidRPr="00C72AB5">
        <w:rPr>
          <w:rFonts w:ascii="GHEA Grapalat" w:hAnsi="GHEA Grapalat" w:cs="Sylfaen"/>
          <w:sz w:val="24"/>
          <w:szCs w:val="24"/>
        </w:rPr>
        <w:t xml:space="preserve"> </w:t>
      </w:r>
      <w:r w:rsidR="00C41B82" w:rsidRPr="00C72AB5">
        <w:rPr>
          <w:rFonts w:ascii="GHEA Grapalat" w:hAnsi="GHEA Grapalat" w:cs="GHEA Grapalat"/>
          <w:sz w:val="24"/>
          <w:szCs w:val="24"/>
        </w:rPr>
        <w:t>բնակչության</w:t>
      </w:r>
      <w:r w:rsidR="00C41B82" w:rsidRPr="00C72AB5">
        <w:rPr>
          <w:rFonts w:ascii="GHEA Grapalat" w:hAnsi="GHEA Grapalat" w:cs="Sylfaen"/>
          <w:sz w:val="24"/>
          <w:szCs w:val="24"/>
        </w:rPr>
        <w:t xml:space="preserve"> </w:t>
      </w:r>
      <w:r w:rsidR="00C41B82" w:rsidRPr="00C72AB5">
        <w:rPr>
          <w:rFonts w:ascii="GHEA Grapalat" w:hAnsi="GHEA Grapalat" w:cs="GHEA Grapalat"/>
          <w:sz w:val="24"/>
          <w:szCs w:val="24"/>
        </w:rPr>
        <w:t>հաշվով</w:t>
      </w:r>
      <w:r w:rsidR="00C41B82" w:rsidRPr="00C72AB5">
        <w:rPr>
          <w:rFonts w:ascii="GHEA Grapalat" w:hAnsi="GHEA Grapalat" w:cs="Sylfaen"/>
          <w:sz w:val="24"/>
          <w:szCs w:val="24"/>
        </w:rPr>
        <w:t xml:space="preserve">, </w:t>
      </w:r>
      <w:r w:rsidR="00C41B82" w:rsidRPr="00C72AB5">
        <w:rPr>
          <w:rFonts w:ascii="GHEA Grapalat" w:hAnsi="GHEA Grapalat" w:cs="GHEA Grapalat"/>
          <w:sz w:val="24"/>
          <w:szCs w:val="24"/>
        </w:rPr>
        <w:t>ըստ</w:t>
      </w:r>
      <w:r w:rsidR="00C41B82" w:rsidRPr="00C72AB5">
        <w:rPr>
          <w:rFonts w:ascii="GHEA Grapalat" w:hAnsi="GHEA Grapalat" w:cs="Sylfaen"/>
          <w:sz w:val="24"/>
          <w:szCs w:val="24"/>
        </w:rPr>
        <w:t xml:space="preserve"> WIPO տվյալների)» սահմանելով 2024</w:t>
      </w:r>
      <w:r w:rsidR="00C41B82" w:rsidRPr="00C41B82">
        <w:rPr>
          <w:rFonts w:ascii="GHEA Grapalat" w:hAnsi="GHEA Grapalat" w:cs="Sylfaen"/>
          <w:sz w:val="24"/>
          <w:szCs w:val="24"/>
        </w:rPr>
        <w:t xml:space="preserve"> </w:t>
      </w:r>
      <w:r w:rsidR="00C41B82" w:rsidRPr="00C72AB5">
        <w:rPr>
          <w:rFonts w:ascii="GHEA Grapalat" w:hAnsi="GHEA Grapalat" w:cs="Sylfaen"/>
          <w:sz w:val="24"/>
          <w:szCs w:val="24"/>
        </w:rPr>
        <w:t>թվականին` 80 և 2029</w:t>
      </w:r>
      <w:r w:rsidR="00323274">
        <w:rPr>
          <w:rFonts w:ascii="GHEA Grapalat" w:hAnsi="GHEA Grapalat" w:cs="Sylfaen"/>
          <w:sz w:val="24"/>
          <w:szCs w:val="24"/>
        </w:rPr>
        <w:t xml:space="preserve"> թվականին` 200 պատենտ/1Մ բնակիչ,</w:t>
      </w:r>
      <w:r w:rsidR="00C41B82" w:rsidRPr="00C72AB5">
        <w:rPr>
          <w:rFonts w:ascii="GHEA Grapalat" w:hAnsi="GHEA Grapalat" w:cs="Sylfaen"/>
          <w:sz w:val="24"/>
          <w:szCs w:val="24"/>
        </w:rPr>
        <w:t xml:space="preserve"> «15.1.3. Հետազոտություններ և մշակումների հարցում բիզնեսի/արդյունաբերության և բուհերի միջև համագործակցության մակարդակ (դիրք</w:t>
      </w:r>
      <w:r w:rsidR="00323274">
        <w:rPr>
          <w:rFonts w:ascii="GHEA Grapalat" w:hAnsi="GHEA Grapalat" w:cs="Sylfaen"/>
          <w:sz w:val="24"/>
          <w:szCs w:val="24"/>
        </w:rPr>
        <w:t>ն</w:t>
      </w:r>
      <w:r w:rsidR="00C41B82" w:rsidRPr="00C72AB5">
        <w:rPr>
          <w:rFonts w:ascii="GHEA Grapalat" w:hAnsi="GHEA Grapalat" w:cs="Sylfaen"/>
          <w:sz w:val="24"/>
          <w:szCs w:val="24"/>
        </w:rPr>
        <w:t xml:space="preserve"> ըստ Գլոբալ մրցունակության ցուցչի համապատասխան ցուցանշի)» 2024` 40, 2029` 10-րդ տեղ; «16.4.1. Աշխարհում կամ տարածաշրջանում բացառիկ նշանակության գիտակրթական և/կամ մշակութային կենտրոնների թիվը»</w:t>
      </w:r>
      <w:r w:rsidR="00323274">
        <w:rPr>
          <w:rFonts w:ascii="GHEA Grapalat" w:hAnsi="GHEA Grapalat" w:cs="Sylfaen"/>
          <w:sz w:val="24"/>
          <w:szCs w:val="24"/>
        </w:rPr>
        <w:t>,</w:t>
      </w:r>
      <w:r w:rsidR="00C41B82" w:rsidRPr="00C72AB5">
        <w:rPr>
          <w:rFonts w:ascii="GHEA Grapalat" w:hAnsi="GHEA Grapalat" w:cs="Sylfaen"/>
          <w:sz w:val="24"/>
          <w:szCs w:val="24"/>
        </w:rPr>
        <w:t xml:space="preserve"> որը սահմանում է 2024 թվականի համար 5 և 20</w:t>
      </w:r>
      <w:r w:rsidR="00323274">
        <w:rPr>
          <w:rFonts w:ascii="GHEA Grapalat" w:hAnsi="GHEA Grapalat" w:cs="Sylfaen"/>
          <w:sz w:val="24"/>
          <w:szCs w:val="24"/>
        </w:rPr>
        <w:t>29 թվականի համար` 10 կենտրոններ,</w:t>
      </w:r>
      <w:r w:rsidR="00C41B82" w:rsidRPr="00C72AB5">
        <w:rPr>
          <w:rFonts w:ascii="GHEA Grapalat" w:hAnsi="GHEA Grapalat" w:cs="Sylfaen"/>
          <w:sz w:val="24"/>
          <w:szCs w:val="24"/>
        </w:rPr>
        <w:t xml:space="preserve"> «16.4.2. Աշխարհում </w:t>
      </w:r>
      <w:r w:rsidR="00C41B82" w:rsidRPr="00C72AB5">
        <w:rPr>
          <w:rFonts w:ascii="GHEA Grapalat" w:hAnsi="GHEA Grapalat" w:cs="Sylfaen"/>
          <w:sz w:val="24"/>
          <w:szCs w:val="24"/>
        </w:rPr>
        <w:lastRenderedPageBreak/>
        <w:t>բացառիկ ճանաչում ունեցող գիտության կամ մշակույթի ոլորտի գործիչների թիվը»</w:t>
      </w:r>
      <w:r w:rsidR="00323274">
        <w:rPr>
          <w:rFonts w:ascii="GHEA Grapalat" w:hAnsi="GHEA Grapalat" w:cs="Sylfaen"/>
          <w:sz w:val="24"/>
          <w:szCs w:val="24"/>
        </w:rPr>
        <w:t>,</w:t>
      </w:r>
      <w:r w:rsidR="00C41B82" w:rsidRPr="00C72AB5">
        <w:rPr>
          <w:rFonts w:ascii="GHEA Grapalat" w:hAnsi="GHEA Grapalat" w:cs="Sylfaen"/>
          <w:sz w:val="24"/>
          <w:szCs w:val="24"/>
        </w:rPr>
        <w:t xml:space="preserve"> որը նախանշում է 2024 թվականի համար 5 և 2029 թվականի համար 10 գործիչներ: Ոլորտի հետ միջնորդավորված առնչություն ունեն` «1.1.1. Հայկական բուհերի կողմից միջազգային վարկանիշի առաջին 50-յակի մեջ մտնող համալսարանների հետ ԳՏՃԱՄ</w:t>
      </w:r>
      <w:r w:rsidR="00C41B82" w:rsidRPr="00C72AB5">
        <w:rPr>
          <w:rFonts w:ascii="GHEA Grapalat" w:hAnsi="GHEA Grapalat" w:cs="Sylfaen"/>
          <w:sz w:val="24"/>
          <w:szCs w:val="24"/>
          <w:vertAlign w:val="superscript"/>
        </w:rPr>
        <w:t>1</w:t>
      </w:r>
      <w:r w:rsidR="00C41B82" w:rsidRPr="00C72AB5">
        <w:rPr>
          <w:rFonts w:ascii="GHEA Grapalat" w:hAnsi="GHEA Grapalat" w:cs="Sylfaen"/>
          <w:sz w:val="24"/>
          <w:szCs w:val="24"/>
        </w:rPr>
        <w:t xml:space="preserve"> (STEAM</w:t>
      </w:r>
      <w:r w:rsidR="00C41B82" w:rsidRPr="00C72AB5">
        <w:rPr>
          <w:rFonts w:ascii="GHEA Grapalat" w:hAnsi="GHEA Grapalat" w:cs="Sylfaen"/>
          <w:sz w:val="24"/>
          <w:szCs w:val="24"/>
          <w:vertAlign w:val="superscript"/>
        </w:rPr>
        <w:t>1</w:t>
      </w:r>
      <w:r w:rsidR="00C41B82" w:rsidRPr="00C72AB5">
        <w:rPr>
          <w:rFonts w:ascii="GHEA Grapalat" w:hAnsi="GHEA Grapalat" w:cs="Sylfaen"/>
          <w:sz w:val="24"/>
          <w:szCs w:val="24"/>
        </w:rPr>
        <w:t xml:space="preserve">) ուղղություններով իրականացվող համատեղ </w:t>
      </w:r>
      <w:r w:rsidR="00323274">
        <w:rPr>
          <w:rFonts w:ascii="GHEA Grapalat" w:hAnsi="GHEA Grapalat" w:cs="Sylfaen"/>
          <w:sz w:val="24"/>
          <w:szCs w:val="24"/>
        </w:rPr>
        <w:t>կրթական ծրագրերի քանակը» 2024 թվականին` &gt;20 և 2029 թվականին</w:t>
      </w:r>
      <w:r w:rsidR="00C41B82" w:rsidRPr="00C72AB5">
        <w:rPr>
          <w:rFonts w:ascii="GHEA Grapalat" w:hAnsi="GHEA Grapalat" w:cs="Sylfaen"/>
          <w:sz w:val="24"/>
          <w:szCs w:val="24"/>
        </w:rPr>
        <w:t>` &gt;50 համատեղ կրթական ծրագրեր; «1.3.1. Հայաստանյան բուհերը ներառված են վարկանիշավորման լավագույն 500 բուհերի ցանկում» 2024-ին` 2, 2029-ին` 4 բուհ; «15.3.1 Հայաստանում տեղակայված տեխնոլոգիական ստարտափների թիվը» 2024</w:t>
      </w:r>
      <w:r w:rsidR="00323274" w:rsidRPr="00323274">
        <w:rPr>
          <w:rFonts w:ascii="GHEA Grapalat" w:hAnsi="GHEA Grapalat" w:cs="Sylfaen"/>
          <w:sz w:val="24"/>
          <w:szCs w:val="24"/>
        </w:rPr>
        <w:t xml:space="preserve"> </w:t>
      </w:r>
      <w:r w:rsidR="00323274">
        <w:rPr>
          <w:rFonts w:ascii="GHEA Grapalat" w:hAnsi="GHEA Grapalat" w:cs="Sylfaen"/>
          <w:sz w:val="24"/>
          <w:szCs w:val="24"/>
        </w:rPr>
        <w:t>թվականին</w:t>
      </w:r>
      <w:r w:rsidR="00C41B82" w:rsidRPr="00C72AB5">
        <w:rPr>
          <w:rFonts w:ascii="GHEA Grapalat" w:hAnsi="GHEA Grapalat" w:cs="Sylfaen"/>
          <w:sz w:val="24"/>
          <w:szCs w:val="24"/>
        </w:rPr>
        <w:t>` 1000, 2029</w:t>
      </w:r>
      <w:r w:rsidR="00323274" w:rsidRPr="00323274">
        <w:rPr>
          <w:rFonts w:ascii="GHEA Grapalat" w:hAnsi="GHEA Grapalat" w:cs="Sylfaen"/>
          <w:sz w:val="24"/>
          <w:szCs w:val="24"/>
        </w:rPr>
        <w:t xml:space="preserve"> </w:t>
      </w:r>
      <w:r w:rsidR="00323274">
        <w:rPr>
          <w:rFonts w:ascii="GHEA Grapalat" w:hAnsi="GHEA Grapalat" w:cs="Sylfaen"/>
          <w:sz w:val="24"/>
          <w:szCs w:val="24"/>
        </w:rPr>
        <w:t>թվականին</w:t>
      </w:r>
      <w:r w:rsidR="00C41B82" w:rsidRPr="00C72AB5">
        <w:rPr>
          <w:rFonts w:ascii="GHEA Grapalat" w:hAnsi="GHEA Grapalat" w:cs="Sylfaen"/>
          <w:sz w:val="24"/>
          <w:szCs w:val="24"/>
        </w:rPr>
        <w:t>` 2000 ստարտափ:</w:t>
      </w:r>
    </w:p>
    <w:p w14:paraId="341D9674" w14:textId="77777777" w:rsidR="00C41B82" w:rsidRPr="00C72AB5" w:rsidRDefault="00C41B82" w:rsidP="00C41B82">
      <w:pPr>
        <w:rPr>
          <w:rFonts w:ascii="GHEA Grapalat" w:hAnsi="GHEA Grapalat" w:cs="Sylfaen"/>
          <w:sz w:val="24"/>
          <w:szCs w:val="24"/>
        </w:rPr>
      </w:pPr>
    </w:p>
    <w:p w14:paraId="6E21B508" w14:textId="77777777" w:rsidR="00C41B82" w:rsidRPr="00C72AB5" w:rsidRDefault="00C41B82" w:rsidP="00C41B82">
      <w:pPr>
        <w:rPr>
          <w:rFonts w:ascii="GHEA Grapalat" w:hAnsi="GHEA Grapalat" w:cs="Sylfaen"/>
          <w:sz w:val="24"/>
          <w:szCs w:val="24"/>
        </w:rPr>
      </w:pPr>
    </w:p>
    <w:p w14:paraId="1E2AEC65" w14:textId="77777777" w:rsidR="00C41B82" w:rsidRPr="00C72AB5" w:rsidRDefault="00C41B82" w:rsidP="00C41B82">
      <w:pPr>
        <w:pStyle w:val="Heading1"/>
      </w:pPr>
      <w:bookmarkStart w:id="13" w:name="_Toc215422091"/>
      <w:r w:rsidRPr="00C72AB5">
        <w:t>4. ՀԵՏԱԶՈՏՈՒԹՅՈՒՆՆԵՐԻ ԳԵՐԱԶԱՆՑՈՒԹՅԱՆ ԽԹԱՆՈՒՄ</w:t>
      </w:r>
      <w:bookmarkEnd w:id="13"/>
    </w:p>
    <w:p w14:paraId="6FBB9529" w14:textId="77777777" w:rsidR="00C41B82" w:rsidRPr="00C72AB5" w:rsidRDefault="00C41B82" w:rsidP="00C41B82">
      <w:pPr>
        <w:pStyle w:val="Heading2"/>
        <w:tabs>
          <w:tab w:val="center" w:pos="5102"/>
        </w:tabs>
        <w:jc w:val="left"/>
      </w:pPr>
      <w:r w:rsidRPr="00C72AB5">
        <w:tab/>
      </w:r>
      <w:bookmarkStart w:id="14" w:name="_Toc215422092"/>
      <w:r w:rsidRPr="00C72AB5">
        <w:t>4.1 ՍԿԶԲՈՒՆՔՆԵՐ ԵՎ ՀԻՄՆԱԽՆԴԻՐՆԵՐ</w:t>
      </w:r>
      <w:bookmarkEnd w:id="14"/>
    </w:p>
    <w:p w14:paraId="0A564820" w14:textId="77777777" w:rsidR="00C41B82" w:rsidRPr="00C72AB5" w:rsidRDefault="00C41B82" w:rsidP="00C41B82">
      <w:pPr>
        <w:tabs>
          <w:tab w:val="left" w:pos="851"/>
          <w:tab w:val="left" w:pos="993"/>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t>50. Հետազոտությունների գերազանցության խթանման ռազմավարական նպատակը ենթադրում է պետական քաղաքականության այնպիսի գործիքակազմի մշակում և կիրառում, որը կերաշխավորի այնպիսի հետազոտական ծրագրերի իրականացում, որոնք խնդրի դրվածքի, խնդրի լուծման մեթոդաբանության և դրա համար ներգրավված ենթակառուցվածքների ու մարդկային ներուժի իմաստով կհամապատասխանեն միջազգային լավագույն չափանիշներին կամ առնվազն կունենան դրանց համապատասխանելու հավակնություն: Հետազոտությունների իրականացման ընթացքում անհրաժեշտ է նաև երաշխավորել պրոցեսի հնարավորինս մեծ կրթական, սոցիալական և տնտեսական ազդեցության ապահովումը:</w:t>
      </w:r>
    </w:p>
    <w:p w14:paraId="2B199B6A" w14:textId="77777777" w:rsidR="00C41B82" w:rsidRPr="00C72AB5" w:rsidRDefault="00C41B82" w:rsidP="00C41B82">
      <w:pPr>
        <w:tabs>
          <w:tab w:val="left" w:pos="851"/>
          <w:tab w:val="left" w:pos="993"/>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t xml:space="preserve">51. Այս ռազմավարական նպատակի շրջանակներում հիմնախնդիրներն են` </w:t>
      </w:r>
    </w:p>
    <w:p w14:paraId="106BF64C" w14:textId="77777777" w:rsidR="00C41B82" w:rsidRPr="00C72AB5" w:rsidRDefault="00C41B82" w:rsidP="00C41B82">
      <w:pPr>
        <w:tabs>
          <w:tab w:val="left" w:pos="851"/>
          <w:tab w:val="left" w:pos="993"/>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t>1) գիտական պարբերականների ինդեքսավորման համակարգերում հաշվառվող պարբերականներում հրապարակումների ցածր ակտիվությունը և հաճախ դրանց ձևական բնույթը, երբ հնարավորինս մեծ ազդեցության և ընթերցողների որակյալ և լայն շրջանակ ապահովող պարբերականների փոխարեն ընտրություն է կատարվում դեպի ֆորմալ համանման պարամետրերի համապատասխանող սակայն միջազգային գիտության իմաստով ոչ հեղինակավոր պարբերականներում հրապարակումներին</w:t>
      </w:r>
      <w:r>
        <w:rPr>
          <w:rFonts w:ascii="GHEA Grapalat" w:hAnsi="GHEA Grapalat" w:cs="Sylfaen"/>
          <w:sz w:val="24"/>
          <w:szCs w:val="24"/>
        </w:rPr>
        <w:t xml:space="preserve"> </w:t>
      </w:r>
      <w:r w:rsidRPr="00670181">
        <w:rPr>
          <w:rFonts w:ascii="GHEA Grapalat" w:hAnsi="GHEA Grapalat" w:cs="Sylfaen"/>
          <w:sz w:val="24"/>
          <w:szCs w:val="24"/>
        </w:rPr>
        <w:t xml:space="preserve">ինչը, </w:t>
      </w:r>
      <w:r w:rsidRPr="00C72AB5">
        <w:rPr>
          <w:rFonts w:ascii="GHEA Grapalat" w:hAnsi="GHEA Grapalat" w:cs="Sylfaen"/>
          <w:sz w:val="24"/>
          <w:szCs w:val="24"/>
        </w:rPr>
        <w:t xml:space="preserve">խոսում է իրական հավակնոտության սակավության մասին: </w:t>
      </w:r>
    </w:p>
    <w:p w14:paraId="18D46B59" w14:textId="5BE35B63" w:rsidR="00C41B82" w:rsidRPr="00C72AB5" w:rsidRDefault="00C41B82" w:rsidP="00C41B82">
      <w:pPr>
        <w:tabs>
          <w:tab w:val="left" w:pos="851"/>
          <w:tab w:val="left" w:pos="993"/>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t xml:space="preserve">2) </w:t>
      </w:r>
      <w:r w:rsidR="00897D21">
        <w:rPr>
          <w:rFonts w:ascii="GHEA Grapalat" w:hAnsi="GHEA Grapalat" w:cs="Sylfaen"/>
          <w:sz w:val="24"/>
          <w:szCs w:val="24"/>
        </w:rPr>
        <w:t>ս</w:t>
      </w:r>
      <w:r w:rsidRPr="00C72AB5">
        <w:rPr>
          <w:rFonts w:ascii="GHEA Grapalat" w:hAnsi="GHEA Grapalat" w:cs="Sylfaen"/>
          <w:sz w:val="24"/>
          <w:szCs w:val="24"/>
        </w:rPr>
        <w:t>երնդափոխության ցածր մակարդակը և գործող մեխանիզմների անարդյունավետությունը, ինչն իրեն դրսևորում է գիտական աշխատողների տարիքային բաշխման ուսումնասիրության ժամանակ, և ղեկավար պաշտոններում կենսաթոշակային տարիքից բարձր և հիմնականում արական սեռի անձանց բարձր քանակությամբ, գիտական կադրերի համալրման ինստիտուցիոնալ գործիքը` ասպիրանտական կրթությունը չի երաշխավորում պատշաճ ներգրավվածություն գիտական համակարգում: Բացակայում են վարչարարության որակի համար որոշակի խրախուսումների կամ պատասխանատվության մեխանիզմները</w:t>
      </w:r>
      <w:r w:rsidR="00897D21">
        <w:rPr>
          <w:rFonts w:ascii="GHEA Grapalat" w:hAnsi="GHEA Grapalat" w:cs="Sylfaen"/>
          <w:sz w:val="24"/>
          <w:szCs w:val="24"/>
        </w:rPr>
        <w:t>,</w:t>
      </w:r>
      <w:r w:rsidRPr="00C72AB5">
        <w:rPr>
          <w:rFonts w:ascii="GHEA Grapalat" w:hAnsi="GHEA Grapalat" w:cs="Sylfaen"/>
          <w:sz w:val="24"/>
          <w:szCs w:val="24"/>
        </w:rPr>
        <w:t xml:space="preserve"> ինչը թույլ է տալիս </w:t>
      </w:r>
      <w:r w:rsidRPr="00C72AB5">
        <w:rPr>
          <w:rFonts w:ascii="GHEA Grapalat" w:hAnsi="GHEA Grapalat" w:cs="Sylfaen"/>
          <w:sz w:val="24"/>
          <w:szCs w:val="24"/>
        </w:rPr>
        <w:lastRenderedPageBreak/>
        <w:t>վատ կառավարիչներին անխոչ</w:t>
      </w:r>
      <w:r w:rsidR="00897D21">
        <w:rPr>
          <w:rFonts w:ascii="GHEA Grapalat" w:hAnsi="GHEA Grapalat" w:cs="Sylfaen"/>
          <w:sz w:val="24"/>
          <w:szCs w:val="24"/>
        </w:rPr>
        <w:t>ը</w:t>
      </w:r>
      <w:r w:rsidRPr="00C72AB5">
        <w:rPr>
          <w:rFonts w:ascii="GHEA Grapalat" w:hAnsi="GHEA Grapalat" w:cs="Sylfaen"/>
          <w:sz w:val="24"/>
          <w:szCs w:val="24"/>
        </w:rPr>
        <w:t>նդոտ շարունակել գործունեությունը առնվազն մին</w:t>
      </w:r>
      <w:r w:rsidR="00897D21">
        <w:rPr>
          <w:rFonts w:ascii="GHEA Grapalat" w:hAnsi="GHEA Grapalat" w:cs="Sylfaen"/>
          <w:sz w:val="24"/>
          <w:szCs w:val="24"/>
        </w:rPr>
        <w:t>չև պաշտոնավարման ժամկետի ավարտը․</w:t>
      </w:r>
    </w:p>
    <w:p w14:paraId="2826EF7A" w14:textId="4BFD43A8" w:rsidR="00C41B82" w:rsidRPr="00C72AB5" w:rsidRDefault="00C41B82" w:rsidP="00C41B82">
      <w:pPr>
        <w:tabs>
          <w:tab w:val="left" w:pos="851"/>
          <w:tab w:val="left" w:pos="993"/>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t xml:space="preserve">3) </w:t>
      </w:r>
      <w:r w:rsidR="00DB4634">
        <w:rPr>
          <w:rFonts w:ascii="GHEA Grapalat" w:hAnsi="GHEA Grapalat" w:cs="Sylfaen"/>
          <w:sz w:val="24"/>
          <w:szCs w:val="24"/>
        </w:rPr>
        <w:t>մ</w:t>
      </w:r>
      <w:r w:rsidRPr="00C72AB5">
        <w:rPr>
          <w:rFonts w:ascii="GHEA Grapalat" w:hAnsi="GHEA Grapalat" w:cs="Sylfaen"/>
          <w:sz w:val="24"/>
          <w:szCs w:val="24"/>
        </w:rPr>
        <w:t>իջազգային ծրագրերում ներգրավվածության մակարդակը ցածր է</w:t>
      </w:r>
      <w:r w:rsidR="00DB4634">
        <w:rPr>
          <w:rFonts w:ascii="GHEA Grapalat" w:hAnsi="GHEA Grapalat" w:cs="Sylfaen"/>
          <w:sz w:val="24"/>
          <w:szCs w:val="24"/>
        </w:rPr>
        <w:t>,</w:t>
      </w:r>
      <w:r w:rsidRPr="00C72AB5">
        <w:rPr>
          <w:rFonts w:ascii="GHEA Grapalat" w:hAnsi="GHEA Grapalat" w:cs="Sylfaen"/>
          <w:sz w:val="24"/>
          <w:szCs w:val="24"/>
        </w:rPr>
        <w:t xml:space="preserve"> իսկ մասնակցության որակը խիստ սահմանափակ, </w:t>
      </w:r>
      <w:r w:rsidR="00DB4634">
        <w:rPr>
          <w:rFonts w:ascii="GHEA Grapalat" w:hAnsi="GHEA Grapalat" w:cs="Sylfaen"/>
          <w:sz w:val="24"/>
          <w:szCs w:val="24"/>
        </w:rPr>
        <w:t>Եվրոպական միության</w:t>
      </w:r>
      <w:r w:rsidRPr="00C72AB5">
        <w:rPr>
          <w:rFonts w:ascii="GHEA Grapalat" w:hAnsi="GHEA Grapalat" w:cs="Sylfaen"/>
          <w:sz w:val="24"/>
          <w:szCs w:val="24"/>
        </w:rPr>
        <w:t xml:space="preserve"> շրջանակային ծրագրերին մասնակցությունը (մոտ 7.9 </w:t>
      </w:r>
      <w:r w:rsidRPr="00C41B82">
        <w:rPr>
          <w:rFonts w:ascii="GHEA Grapalat" w:hAnsi="GHEA Grapalat" w:cs="Sylfaen"/>
          <w:sz w:val="24"/>
          <w:szCs w:val="24"/>
        </w:rPr>
        <w:t>մ</w:t>
      </w:r>
      <w:r w:rsidRPr="00670181">
        <w:rPr>
          <w:rFonts w:ascii="GHEA Grapalat" w:hAnsi="GHEA Grapalat" w:cs="Sylfaen"/>
          <w:sz w:val="24"/>
          <w:szCs w:val="24"/>
        </w:rPr>
        <w:t xml:space="preserve">լն եվրո ներգրավված դրամաշնորհներից 6.1 </w:t>
      </w:r>
      <w:r w:rsidRPr="00C41B82">
        <w:rPr>
          <w:rFonts w:ascii="GHEA Grapalat" w:hAnsi="GHEA Grapalat" w:cs="Sylfaen"/>
          <w:sz w:val="24"/>
          <w:szCs w:val="24"/>
        </w:rPr>
        <w:t>մ</w:t>
      </w:r>
      <w:r w:rsidRPr="00670181">
        <w:rPr>
          <w:rFonts w:ascii="GHEA Grapalat" w:hAnsi="GHEA Grapalat" w:cs="Sylfaen"/>
          <w:sz w:val="24"/>
          <w:szCs w:val="24"/>
        </w:rPr>
        <w:t xml:space="preserve">լն-ը) </w:t>
      </w:r>
      <w:r w:rsidRPr="00C72AB5">
        <w:rPr>
          <w:rFonts w:ascii="GHEA Grapalat" w:hAnsi="GHEA Grapalat" w:cs="Sylfaen"/>
          <w:sz w:val="24"/>
          <w:szCs w:val="24"/>
        </w:rPr>
        <w:t>սահմանափակվում է Մասնակցության ընդլայնման և եվրոպական հետազոտական տարածքի հզորացման (Widening Participation and Strengthening the European Research Area) ենթածրագրի շրջանակով, որի նպատակն է կարողությունների զարգացումը ցածր արդյունավետությամբ երկրներում</w:t>
      </w:r>
      <w:r w:rsidRPr="00C72AB5">
        <w:rPr>
          <w:rStyle w:val="FootnoteReference"/>
          <w:rFonts w:ascii="GHEA Grapalat" w:hAnsi="GHEA Grapalat" w:cs="Sylfaen"/>
          <w:sz w:val="24"/>
          <w:szCs w:val="24"/>
        </w:rPr>
        <w:footnoteReference w:id="75"/>
      </w:r>
      <w:r w:rsidRPr="00C72AB5">
        <w:rPr>
          <w:rFonts w:ascii="GHEA Grapalat" w:hAnsi="GHEA Grapalat" w:cs="Sylfaen"/>
          <w:sz w:val="24"/>
          <w:szCs w:val="24"/>
        </w:rPr>
        <w:t>: Խոշոր կոնսորցիումներում մասնակցությունը սահմանափակվում է հիմնականում մեկ մասնակցի ներգրավմամբ և չի ապահովում այդպիսի ծրագրերին մասնակցությունից ստացվող այլ առավելություններ: Այս հարցին և առհասարակ նշված ռազմավարական նպատակին առնչվող կարևորագույն խոչընդոտներից է հանդիսանում նաև անգլերեն լեզվի պ</w:t>
      </w:r>
      <w:r w:rsidR="00DB4634">
        <w:rPr>
          <w:rFonts w:ascii="GHEA Grapalat" w:hAnsi="GHEA Grapalat" w:cs="Sylfaen"/>
          <w:sz w:val="24"/>
          <w:szCs w:val="24"/>
        </w:rPr>
        <w:t>ատշաճ իմացության ցածր մակարդակը․</w:t>
      </w:r>
    </w:p>
    <w:p w14:paraId="78BDF35C" w14:textId="63AD3660" w:rsidR="00C41B82" w:rsidRPr="00C72AB5" w:rsidRDefault="00C41B82" w:rsidP="00C41B82">
      <w:pPr>
        <w:tabs>
          <w:tab w:val="left" w:pos="851"/>
          <w:tab w:val="left" w:pos="993"/>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t xml:space="preserve">4) </w:t>
      </w:r>
      <w:r w:rsidR="00DB4634">
        <w:rPr>
          <w:rFonts w:ascii="GHEA Grapalat" w:hAnsi="GHEA Grapalat" w:cs="Sylfaen"/>
          <w:sz w:val="24"/>
          <w:szCs w:val="24"/>
        </w:rPr>
        <w:t>բ</w:t>
      </w:r>
      <w:r w:rsidRPr="00C72AB5">
        <w:rPr>
          <w:rFonts w:ascii="GHEA Grapalat" w:hAnsi="GHEA Grapalat" w:cs="Sylfaen"/>
          <w:sz w:val="24"/>
          <w:szCs w:val="24"/>
        </w:rPr>
        <w:t>ազային ֆինանսավորման շրջանակներում հաճախ իրականացվում են հետազոտություններ, որոնք այլևս չունեն միջազգային կամ ներքին այնպիսի պահանջարկ կամ ակտուալություն, ինչպիսին հավանաբար ունեին դրանց մեկնարկի ժամանակ, սրա ցուցանիշներից է հանդիսանում այն հանգամանքը, որ 2024 թվականի հաշվետվությունների համաձայն</w:t>
      </w:r>
      <w:r w:rsidR="00DB4634">
        <w:rPr>
          <w:rFonts w:ascii="GHEA Grapalat" w:hAnsi="GHEA Grapalat" w:cs="Sylfaen"/>
          <w:sz w:val="24"/>
          <w:szCs w:val="24"/>
        </w:rPr>
        <w:t>՝</w:t>
      </w:r>
      <w:r w:rsidRPr="00C72AB5">
        <w:rPr>
          <w:rFonts w:ascii="GHEA Grapalat" w:hAnsi="GHEA Grapalat" w:cs="Sylfaen"/>
          <w:sz w:val="24"/>
          <w:szCs w:val="24"/>
        </w:rPr>
        <w:t xml:space="preserve"> բազային ծրագրերում ընդգրկված 3761 հետազոտողներից միայն 1326 -ն են ընդգրկված դրամաշնորհային ծրագրերում որպես ղեկավար կամ կատարող, հաշվի առնելով դրամաշնորհային ծրագրերի բազմազանությունը` այս թիվը խոսում է իրականացվող հետազոտությունների ոչ մրցունակ մակարդակի մասին: Մյուս կողմից նույն համակարգում գիտական կազմակերպությունների անտրամաբանական քանակությունը, ժամանակի ընթացքում` խոշոր պատկերի բացակայության հանգամանքներում հանգեցրել է նրան, որ շատ հետազոտական թեմաներ և խմբեր տարածվել են տարբեր գիտական կազմակերպո</w:t>
      </w:r>
      <w:r>
        <w:rPr>
          <w:rFonts w:ascii="GHEA Grapalat" w:hAnsi="GHEA Grapalat" w:cs="Sylfaen"/>
          <w:sz w:val="24"/>
          <w:szCs w:val="24"/>
        </w:rPr>
        <w:t xml:space="preserve">ւթյուններում, </w:t>
      </w:r>
      <w:r w:rsidRPr="00670181">
        <w:rPr>
          <w:rFonts w:ascii="GHEA Grapalat" w:hAnsi="GHEA Grapalat" w:cs="Sylfaen"/>
          <w:sz w:val="24"/>
          <w:szCs w:val="24"/>
        </w:rPr>
        <w:t xml:space="preserve">այդպիսով </w:t>
      </w:r>
      <w:r w:rsidRPr="00C41B82">
        <w:rPr>
          <w:rFonts w:ascii="GHEA Grapalat" w:hAnsi="GHEA Grapalat" w:cs="Sylfaen"/>
          <w:sz w:val="24"/>
          <w:szCs w:val="24"/>
        </w:rPr>
        <w:t>ստեղծելով</w:t>
      </w:r>
      <w:r w:rsidRPr="00670181">
        <w:rPr>
          <w:rFonts w:ascii="GHEA Grapalat" w:hAnsi="GHEA Grapalat" w:cs="Sylfaen"/>
          <w:sz w:val="24"/>
          <w:szCs w:val="24"/>
        </w:rPr>
        <w:t xml:space="preserve"> մի իրավիճակ</w:t>
      </w:r>
      <w:r w:rsidRPr="00C72AB5">
        <w:rPr>
          <w:rFonts w:ascii="GHEA Grapalat" w:hAnsi="GHEA Grapalat" w:cs="Sylfaen"/>
          <w:sz w:val="24"/>
          <w:szCs w:val="24"/>
        </w:rPr>
        <w:t>, երբ ներկայումս իրար մոտ թեմատիկայով հետազոտություններ իրականացվում են տարբեր գիտական կազմակերպություններում և բուհերում` հանգեցնելով անհարկի լոգիստիկ խնդիրների և պատշաճ ծավալներով ներդրումներ ստանալու հնարավորության բացակայության:</w:t>
      </w:r>
    </w:p>
    <w:p w14:paraId="2A2DFAAC" w14:textId="77777777" w:rsidR="00C41B82" w:rsidRPr="00C72AB5" w:rsidRDefault="00C41B82" w:rsidP="00C41B82">
      <w:pPr>
        <w:tabs>
          <w:tab w:val="left" w:pos="851"/>
          <w:tab w:val="left" w:pos="993"/>
        </w:tabs>
        <w:spacing w:line="276" w:lineRule="auto"/>
        <w:ind w:firstLine="567"/>
        <w:jc w:val="both"/>
        <w:rPr>
          <w:rFonts w:ascii="GHEA Grapalat" w:hAnsi="GHEA Grapalat" w:cs="Sylfaen"/>
          <w:sz w:val="24"/>
          <w:szCs w:val="24"/>
        </w:rPr>
      </w:pPr>
    </w:p>
    <w:p w14:paraId="40F661D7" w14:textId="77777777" w:rsidR="00C41B82" w:rsidRPr="00C72AB5" w:rsidRDefault="00C41B82" w:rsidP="00C41B82">
      <w:pPr>
        <w:pStyle w:val="Heading2"/>
      </w:pPr>
      <w:bookmarkStart w:id="15" w:name="_Toc215422093"/>
      <w:r w:rsidRPr="00C72AB5">
        <w:t>4.2 ՀԻՄՆԱԽՆԴՐԻ ԼՈՒԾՄԱՆ ԵՂԱՆԱԿՆԵՐԸ</w:t>
      </w:r>
      <w:bookmarkEnd w:id="15"/>
    </w:p>
    <w:p w14:paraId="6850915E" w14:textId="77777777" w:rsidR="00314978" w:rsidRDefault="00314978" w:rsidP="00C41B82">
      <w:pPr>
        <w:tabs>
          <w:tab w:val="left" w:pos="851"/>
          <w:tab w:val="left" w:pos="993"/>
        </w:tabs>
        <w:spacing w:line="276" w:lineRule="auto"/>
        <w:ind w:firstLine="567"/>
        <w:jc w:val="both"/>
        <w:rPr>
          <w:rFonts w:ascii="GHEA Grapalat" w:hAnsi="GHEA Grapalat" w:cs="Sylfaen"/>
          <w:sz w:val="24"/>
          <w:szCs w:val="24"/>
        </w:rPr>
      </w:pPr>
    </w:p>
    <w:p w14:paraId="47144847" w14:textId="46B9FDF6" w:rsidR="00C41B82" w:rsidRPr="00C72AB5" w:rsidRDefault="00C41B82" w:rsidP="00C41B82">
      <w:pPr>
        <w:tabs>
          <w:tab w:val="left" w:pos="851"/>
          <w:tab w:val="left" w:pos="993"/>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t>52. Հետազոտությունների գերազանցության խթանում (ՌՆ-1) ռազմավարական նպատակի ներքո նկարագրած հիմնախնդիրների լուծման նպատակով նախանշվում են հետևյալ ծրա</w:t>
      </w:r>
      <w:r w:rsidR="00DB4634">
        <w:rPr>
          <w:rFonts w:ascii="GHEA Grapalat" w:hAnsi="GHEA Grapalat" w:cs="Sylfaen"/>
          <w:sz w:val="24"/>
          <w:szCs w:val="24"/>
        </w:rPr>
        <w:t>գրերն ու միջանկյալ արդյունքները․</w:t>
      </w:r>
    </w:p>
    <w:p w14:paraId="70259718" w14:textId="089A21D7" w:rsidR="00C41B82" w:rsidRPr="00C72AB5" w:rsidRDefault="00C41B82" w:rsidP="00C41B82">
      <w:pPr>
        <w:tabs>
          <w:tab w:val="left" w:pos="851"/>
          <w:tab w:val="left" w:pos="993"/>
        </w:tabs>
        <w:spacing w:line="276" w:lineRule="auto"/>
        <w:ind w:firstLine="567"/>
        <w:jc w:val="both"/>
        <w:rPr>
          <w:rFonts w:ascii="GHEA Grapalat" w:hAnsi="GHEA Grapalat" w:cs="Sylfaen"/>
          <w:sz w:val="24"/>
          <w:szCs w:val="24"/>
        </w:rPr>
      </w:pPr>
      <w:bookmarkStart w:id="16" w:name="_Hlk205486693"/>
      <w:r w:rsidRPr="00C72AB5">
        <w:rPr>
          <w:rFonts w:ascii="GHEA Grapalat" w:hAnsi="GHEA Grapalat" w:cs="Sylfaen"/>
          <w:sz w:val="24"/>
          <w:szCs w:val="24"/>
        </w:rPr>
        <w:t xml:space="preserve">1) </w:t>
      </w:r>
      <w:r w:rsidRPr="00C72AB5">
        <w:rPr>
          <w:rFonts w:ascii="GHEA Grapalat" w:hAnsi="GHEA Grapalat" w:cs="Sylfaen"/>
          <w:i/>
          <w:iCs/>
          <w:sz w:val="24"/>
          <w:szCs w:val="24"/>
        </w:rPr>
        <w:t xml:space="preserve">Մարդկային ներուժի զարգացում և պահպանում </w:t>
      </w:r>
      <w:r w:rsidRPr="00C72AB5">
        <w:rPr>
          <w:rFonts w:ascii="GHEA Grapalat" w:hAnsi="GHEA Grapalat" w:cs="Sylfaen"/>
          <w:sz w:val="24"/>
          <w:szCs w:val="24"/>
        </w:rPr>
        <w:t xml:space="preserve">(ՄԱ 1-1): </w:t>
      </w:r>
      <w:bookmarkEnd w:id="16"/>
      <w:r w:rsidRPr="00C72AB5">
        <w:rPr>
          <w:rFonts w:ascii="GHEA Grapalat" w:hAnsi="GHEA Grapalat" w:cs="Sylfaen"/>
          <w:sz w:val="24"/>
          <w:szCs w:val="24"/>
        </w:rPr>
        <w:t xml:space="preserve">Այս ծրագրի շրջանակներում իրականացվող միջոցառումների նպատակն է գիտական </w:t>
      </w:r>
      <w:r w:rsidRPr="00C72AB5">
        <w:rPr>
          <w:rFonts w:ascii="GHEA Grapalat" w:hAnsi="GHEA Grapalat" w:cs="Sylfaen"/>
          <w:sz w:val="24"/>
          <w:szCs w:val="24"/>
        </w:rPr>
        <w:lastRenderedPageBreak/>
        <w:t>կազմակերպությունների աշխատակիցների աշխարհի առաջատար գիտական կենտրոններում մասնագիտական վերապատրաստման և որակավորման բարձրացման դրամաշնորհային ծրագրերի իրականացումը և դրանց արդյունավետության գնահատման հիման վրա ծրագրերի շարունակական լավարկումը ինչի արդյունքում կապահովվի միջազգային հետազոտական մեթոդների և մոտեցումների համակարգված ներմուծումը տեղական համակարգ: Գիտական կադրերի համալրման հիմնական գործիքի` բարձրագույն կրթության երրորդ մակարդակի (դոկտորական) կրթության տրամաբանության վերանայումը` որակյալ հետազոտական բաղադրիչի պարտադիր ներառմամբ, դոկտորանտական կրթաթոշակների տրամադրման նոր մեխանիզմների ներդրմամբ և հետազոտությունների աջակցության ծրագրերի իրականացմամբ</w:t>
      </w:r>
      <w:r w:rsidR="00DB4634">
        <w:rPr>
          <w:rFonts w:ascii="GHEA Grapalat" w:hAnsi="GHEA Grapalat" w:cs="Sylfaen"/>
          <w:sz w:val="24"/>
          <w:szCs w:val="24"/>
        </w:rPr>
        <w:t>,</w:t>
      </w:r>
      <w:r w:rsidRPr="00C72AB5">
        <w:rPr>
          <w:rFonts w:ascii="GHEA Grapalat" w:hAnsi="GHEA Grapalat" w:cs="Sylfaen"/>
          <w:sz w:val="24"/>
          <w:szCs w:val="24"/>
        </w:rPr>
        <w:t xml:space="preserve"> այդ թվում</w:t>
      </w:r>
      <w:r w:rsidR="00DB4634">
        <w:rPr>
          <w:rFonts w:ascii="GHEA Grapalat" w:hAnsi="GHEA Grapalat" w:cs="Sylfaen"/>
          <w:sz w:val="24"/>
          <w:szCs w:val="24"/>
        </w:rPr>
        <w:t>՝</w:t>
      </w:r>
      <w:r w:rsidRPr="00C72AB5">
        <w:rPr>
          <w:rFonts w:ascii="GHEA Grapalat" w:hAnsi="GHEA Grapalat" w:cs="Sylfaen"/>
          <w:sz w:val="24"/>
          <w:szCs w:val="24"/>
        </w:rPr>
        <w:t xml:space="preserve"> արտերկրի առաջատար կենտրոններում, ինչի արդյունքում կերաշխավորվի գիտական ժամանակակից մեթոդների հիմնարար յուրացումը և հետագա կիրառությունները: Միևնույն ժամանակ անհրաժեշտ է հետազոտողների ավելի արդյունավետ և բազմամակարդակ ներգրավվածությունը բարձրագույն կրթության ծրագրերում` հմտությունների և գիտելիքի փոխանցման նպատակով` նկ</w:t>
      </w:r>
      <w:r w:rsidRPr="00670181">
        <w:rPr>
          <w:rFonts w:ascii="GHEA Grapalat" w:hAnsi="GHEA Grapalat" w:cs="Sylfaen"/>
          <w:sz w:val="24"/>
          <w:szCs w:val="24"/>
        </w:rPr>
        <w:t>ատի</w:t>
      </w:r>
      <w:r w:rsidRPr="00C41B82">
        <w:rPr>
          <w:rFonts w:ascii="GHEA Grapalat" w:hAnsi="GHEA Grapalat" w:cs="Sylfaen"/>
          <w:color w:val="FF0000"/>
          <w:sz w:val="24"/>
          <w:szCs w:val="24"/>
        </w:rPr>
        <w:t xml:space="preserve"> </w:t>
      </w:r>
      <w:r w:rsidRPr="00C72AB5">
        <w:rPr>
          <w:rFonts w:ascii="GHEA Grapalat" w:hAnsi="GHEA Grapalat" w:cs="Sylfaen"/>
          <w:sz w:val="24"/>
          <w:szCs w:val="24"/>
        </w:rPr>
        <w:t>ունենալով այն հանգամանքը, որ Համաշխարհային տնտեսական ֆորումի հրապարակած «Աշխատանքների ապագայի զեկույց 2025» վերլուծությունը</w:t>
      </w:r>
      <w:r w:rsidRPr="00C72AB5">
        <w:rPr>
          <w:rStyle w:val="FootnoteReference"/>
          <w:rFonts w:ascii="GHEA Grapalat" w:hAnsi="GHEA Grapalat" w:cs="Sylfaen"/>
          <w:sz w:val="24"/>
          <w:szCs w:val="24"/>
        </w:rPr>
        <w:footnoteReference w:id="76"/>
      </w:r>
      <w:r w:rsidRPr="00C72AB5">
        <w:rPr>
          <w:rFonts w:ascii="GHEA Grapalat" w:hAnsi="GHEA Grapalat" w:cs="Sylfaen"/>
          <w:sz w:val="24"/>
          <w:szCs w:val="24"/>
        </w:rPr>
        <w:t xml:space="preserve"> բերում է ապագայի աշխատողներից ակնկալվող հմտությունների կանխատեսումը, որի առաջատար ցանկի (</w:t>
      </w:r>
      <w:r w:rsidR="00DB4634" w:rsidRPr="00C72AB5">
        <w:rPr>
          <w:rFonts w:ascii="GHEA Grapalat" w:eastAsia="Calibri" w:hAnsi="GHEA Grapalat" w:cs="Arial"/>
          <w:sz w:val="24"/>
          <w:szCs w:val="24"/>
          <w:lang w:eastAsia="en-US"/>
        </w:rPr>
        <w:t>տե՛ս,</w:t>
      </w:r>
      <w:r w:rsidR="00DB4634">
        <w:rPr>
          <w:rFonts w:ascii="GHEA Grapalat" w:eastAsia="Calibri" w:hAnsi="GHEA Grapalat" w:cs="Arial"/>
          <w:sz w:val="24"/>
          <w:szCs w:val="24"/>
          <w:lang w:eastAsia="en-US"/>
        </w:rPr>
        <w:t xml:space="preserve"> </w:t>
      </w:r>
      <w:r w:rsidRPr="00C72AB5">
        <w:rPr>
          <w:rFonts w:ascii="GHEA Grapalat" w:hAnsi="GHEA Grapalat" w:cs="Sylfaen"/>
          <w:sz w:val="24"/>
          <w:szCs w:val="24"/>
        </w:rPr>
        <w:t>Գծապատկեր 30) հմտությունների մեծ մասն առավել արդյունավետ կարող է փոխանցվել հետազոտական աշխատանքի մեջ ավելի խորը ընդգրկվածության և կրթական պրոցեսում հետազոտական բաղադրիչի ուժեղացման պարագայում:</w:t>
      </w:r>
    </w:p>
    <w:p w14:paraId="6D22629C" w14:textId="77777777" w:rsidR="00C41B82" w:rsidRPr="00C72AB5" w:rsidRDefault="00C41B82" w:rsidP="00C41B82">
      <w:pPr>
        <w:tabs>
          <w:tab w:val="left" w:pos="851"/>
          <w:tab w:val="left" w:pos="993"/>
        </w:tabs>
        <w:spacing w:line="276" w:lineRule="auto"/>
        <w:jc w:val="both"/>
        <w:rPr>
          <w:rFonts w:ascii="GHEA Grapalat" w:hAnsi="GHEA Grapalat" w:cs="Sylfaen"/>
          <w:sz w:val="24"/>
          <w:szCs w:val="24"/>
        </w:rPr>
      </w:pPr>
      <w:r w:rsidRPr="00C72AB5">
        <w:rPr>
          <w:noProof/>
          <w:lang w:val="en-US" w:eastAsia="en-US"/>
        </w:rPr>
        <w:drawing>
          <wp:inline distT="0" distB="0" distL="0" distR="0" wp14:anchorId="11473D2D" wp14:editId="7502B199">
            <wp:extent cx="6124575" cy="2644140"/>
            <wp:effectExtent l="0" t="0" r="0" b="3810"/>
            <wp:docPr id="523476039" name="Chart 1">
              <a:extLst xmlns:a="http://schemas.openxmlformats.org/drawingml/2006/main">
                <a:ext uri="{FF2B5EF4-FFF2-40B4-BE49-F238E27FC236}">
                  <a16:creationId xmlns:a16="http://schemas.microsoft.com/office/drawing/2014/main" id="{842B7A9C-0F6E-5A55-BB6D-46B018AE610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5B2DF447" w14:textId="77777777" w:rsidR="00C41B82" w:rsidRPr="00C72AB5" w:rsidRDefault="00C41B82" w:rsidP="00C41B82">
      <w:pPr>
        <w:tabs>
          <w:tab w:val="left" w:pos="851"/>
        </w:tabs>
        <w:spacing w:line="276" w:lineRule="auto"/>
        <w:ind w:left="567" w:hanging="567"/>
        <w:jc w:val="both"/>
        <w:rPr>
          <w:rFonts w:ascii="GHEA Grapalat" w:hAnsi="GHEA Grapalat" w:cs="Arial"/>
        </w:rPr>
      </w:pPr>
      <w:r w:rsidRPr="00C72AB5">
        <w:rPr>
          <w:rFonts w:ascii="GHEA Grapalat" w:hAnsi="GHEA Grapalat"/>
          <w:b/>
        </w:rPr>
        <w:t>Գծապատկեր</w:t>
      </w:r>
      <w:r w:rsidRPr="00C72AB5">
        <w:rPr>
          <w:rFonts w:ascii="GHEA Grapalat" w:hAnsi="GHEA Grapalat" w:cs="Arial"/>
          <w:b/>
        </w:rPr>
        <w:t xml:space="preserve"> 30</w:t>
      </w:r>
      <w:r w:rsidRPr="00C72AB5">
        <w:rPr>
          <w:rFonts w:ascii="GHEA Grapalat" w:hAnsi="GHEA Grapalat" w:cs="Arial"/>
        </w:rPr>
        <w:t>.</w:t>
      </w:r>
      <w:r w:rsidRPr="00C72AB5">
        <w:t xml:space="preserve"> </w:t>
      </w:r>
      <w:r w:rsidRPr="00C72AB5">
        <w:rPr>
          <w:rFonts w:ascii="GHEA Grapalat" w:hAnsi="GHEA Grapalat" w:cs="Arial"/>
        </w:rPr>
        <w:t>Համաշխարհային տնտեսական ֆորումի հրապարակած «Աշխատանքների ապագայի զեկույց 2025» վերլուծության ապագայի հմտությունների առաջատար ցանկը:</w:t>
      </w:r>
    </w:p>
    <w:p w14:paraId="0D014082" w14:textId="77777777" w:rsidR="00C41B82" w:rsidRPr="00C72AB5" w:rsidRDefault="00C41B82" w:rsidP="00C41B82">
      <w:pPr>
        <w:tabs>
          <w:tab w:val="left" w:pos="851"/>
          <w:tab w:val="left" w:pos="993"/>
        </w:tabs>
        <w:spacing w:line="276" w:lineRule="auto"/>
        <w:jc w:val="both"/>
        <w:rPr>
          <w:rFonts w:ascii="GHEA Grapalat" w:hAnsi="GHEA Grapalat" w:cs="Sylfaen"/>
          <w:sz w:val="24"/>
          <w:szCs w:val="24"/>
        </w:rPr>
      </w:pPr>
    </w:p>
    <w:p w14:paraId="0414603F" w14:textId="2CFE5633" w:rsidR="00C41B82" w:rsidRPr="00670181" w:rsidRDefault="00C41B82" w:rsidP="00C41B82">
      <w:pPr>
        <w:tabs>
          <w:tab w:val="left" w:pos="851"/>
          <w:tab w:val="left" w:pos="993"/>
        </w:tabs>
        <w:spacing w:line="276" w:lineRule="auto"/>
        <w:jc w:val="both"/>
        <w:rPr>
          <w:rFonts w:ascii="GHEA Grapalat" w:hAnsi="GHEA Grapalat" w:cs="Sylfaen"/>
          <w:sz w:val="24"/>
          <w:szCs w:val="24"/>
        </w:rPr>
      </w:pPr>
      <w:r w:rsidRPr="00C72AB5">
        <w:rPr>
          <w:rFonts w:ascii="GHEA Grapalat" w:hAnsi="GHEA Grapalat" w:cs="Sylfaen"/>
          <w:sz w:val="24"/>
          <w:szCs w:val="24"/>
        </w:rPr>
        <w:t xml:space="preserve">Նոր պաշտպանած հետազոտողների համար հետդոկտորական աշխատանքի հնարավորությունների և պայմանների ստեղծում` առաջնորդության և ինքնուրույն աշխատելու փորձառության համար: Արտերկրի հետազոտողների, ներառյալ օտարերկրյա քաղաքացի հանդիսացող հայազգի հետազոտողների ներգրավում </w:t>
      </w:r>
      <w:r w:rsidR="00DB4634">
        <w:rPr>
          <w:rFonts w:ascii="GHEA Grapalat" w:hAnsi="GHEA Grapalat" w:cs="Sylfaen"/>
          <w:sz w:val="24"/>
          <w:szCs w:val="24"/>
        </w:rPr>
        <w:lastRenderedPageBreak/>
        <w:t>Հայաստանի Հանրապետության</w:t>
      </w:r>
      <w:r w:rsidRPr="00C72AB5">
        <w:rPr>
          <w:rFonts w:ascii="GHEA Grapalat" w:hAnsi="GHEA Grapalat" w:cs="Sylfaen"/>
          <w:sz w:val="24"/>
          <w:szCs w:val="24"/>
        </w:rPr>
        <w:t xml:space="preserve"> գիտական համայնքի աշխատանքներում` ինտեգրման կամ հեռավար աշխատանքի մեխանիզմների կիրառմամբ և դրանց շարունակական հղկմամբ: Միևնույն ժամանակ անհրաժեշտ է աստիճանաշնորհման համակարգը և ասպիրանտական կրթության կազմակերպումն իրականացնել այնպես, որ գործընթացը համապատասխանի ինչպես որակի ներպետական չափանիշներին, այնպես էլ համապատասխանի Զալցբուրգի սկզբունքներին</w:t>
      </w:r>
      <w:r w:rsidRPr="00C72AB5">
        <w:rPr>
          <w:rStyle w:val="FootnoteReference"/>
          <w:rFonts w:ascii="GHEA Grapalat" w:hAnsi="GHEA Grapalat" w:cs="Sylfaen"/>
          <w:sz w:val="24"/>
          <w:szCs w:val="24"/>
        </w:rPr>
        <w:footnoteReference w:id="77"/>
      </w:r>
      <w:r w:rsidRPr="00C72AB5">
        <w:rPr>
          <w:rFonts w:ascii="GHEA Grapalat" w:hAnsi="GHEA Grapalat" w:cs="Sylfaen"/>
          <w:sz w:val="24"/>
          <w:szCs w:val="24"/>
        </w:rPr>
        <w:t xml:space="preserve">: Գիտական և ճարտարագիտական պաշտոնների տարակարգումը հստակեցնելու եղանակով անհրաժեշտ է հասնել տարակարգերի միջազգային </w:t>
      </w:r>
      <w:r w:rsidRPr="00670181">
        <w:rPr>
          <w:rFonts w:ascii="GHEA Grapalat" w:hAnsi="GHEA Grapalat" w:cs="Sylfaen"/>
          <w:sz w:val="24"/>
          <w:szCs w:val="24"/>
        </w:rPr>
        <w:t>ընդունելի չափանիշների</w:t>
      </w:r>
      <w:r w:rsidRPr="00C41B82">
        <w:rPr>
          <w:rFonts w:ascii="GHEA Grapalat" w:hAnsi="GHEA Grapalat" w:cs="Sylfaen"/>
          <w:sz w:val="24"/>
          <w:szCs w:val="24"/>
        </w:rPr>
        <w:t>ն</w:t>
      </w:r>
      <w:r w:rsidRPr="00670181">
        <w:rPr>
          <w:rFonts w:ascii="GHEA Grapalat" w:hAnsi="GHEA Grapalat" w:cs="Sylfaen"/>
          <w:sz w:val="24"/>
          <w:szCs w:val="24"/>
        </w:rPr>
        <w:t xml:space="preserve"> և համադրելիության</w:t>
      </w:r>
      <w:r w:rsidRPr="00C41B82">
        <w:rPr>
          <w:rFonts w:ascii="GHEA Grapalat" w:hAnsi="GHEA Grapalat" w:cs="Sylfaen"/>
          <w:sz w:val="24"/>
          <w:szCs w:val="24"/>
        </w:rPr>
        <w:t>ը</w:t>
      </w:r>
      <w:r w:rsidRPr="00670181">
        <w:rPr>
          <w:rFonts w:ascii="GHEA Grapalat" w:hAnsi="GHEA Grapalat" w:cs="Sylfaen"/>
          <w:sz w:val="24"/>
          <w:szCs w:val="24"/>
        </w:rPr>
        <w:t xml:space="preserve">, ինչը </w:t>
      </w:r>
      <w:r w:rsidRPr="00C41B82">
        <w:rPr>
          <w:rFonts w:ascii="GHEA Grapalat" w:hAnsi="GHEA Grapalat" w:cs="Sylfaen"/>
          <w:sz w:val="24"/>
          <w:szCs w:val="24"/>
        </w:rPr>
        <w:t>նպաստելու է</w:t>
      </w:r>
      <w:r w:rsidRPr="00670181">
        <w:rPr>
          <w:rFonts w:ascii="GHEA Grapalat" w:hAnsi="GHEA Grapalat" w:cs="Sylfaen"/>
          <w:sz w:val="24"/>
          <w:szCs w:val="24"/>
        </w:rPr>
        <w:t xml:space="preserve"> շարժունության</w:t>
      </w:r>
      <w:r w:rsidR="00DB4634">
        <w:rPr>
          <w:rFonts w:ascii="GHEA Grapalat" w:hAnsi="GHEA Grapalat" w:cs="Sylfaen"/>
          <w:sz w:val="24"/>
          <w:szCs w:val="24"/>
        </w:rPr>
        <w:t>ն</w:t>
      </w:r>
      <w:r w:rsidRPr="00670181">
        <w:rPr>
          <w:rFonts w:ascii="GHEA Grapalat" w:hAnsi="GHEA Grapalat" w:cs="Sylfaen"/>
          <w:sz w:val="24"/>
          <w:szCs w:val="24"/>
        </w:rPr>
        <w:t xml:space="preserve"> ու ընկալելիության</w:t>
      </w:r>
      <w:r w:rsidRPr="00C41B82">
        <w:rPr>
          <w:rFonts w:ascii="GHEA Grapalat" w:hAnsi="GHEA Grapalat" w:cs="Sylfaen"/>
          <w:sz w:val="24"/>
          <w:szCs w:val="24"/>
        </w:rPr>
        <w:t xml:space="preserve"> բարձրացմանը</w:t>
      </w:r>
      <w:r w:rsidRPr="00670181">
        <w:rPr>
          <w:rFonts w:ascii="GHEA Grapalat" w:hAnsi="GHEA Grapalat" w:cs="Sylfaen"/>
          <w:sz w:val="24"/>
          <w:szCs w:val="24"/>
        </w:rPr>
        <w:t>:</w:t>
      </w:r>
    </w:p>
    <w:p w14:paraId="1CBCFA06" w14:textId="289CBE8E" w:rsidR="00C41B82" w:rsidRPr="00670181" w:rsidRDefault="00C41B82" w:rsidP="00C41B82">
      <w:pPr>
        <w:tabs>
          <w:tab w:val="left" w:pos="851"/>
          <w:tab w:val="left" w:pos="993"/>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t xml:space="preserve">Արդյունքում` 2030 թվականի դրությամբ արտերկրի առաջատար գիտական կենտրոններում վերապատրաստված գիտաշխատողները կկազմեն երիտասարդ և միջին տարիքի գիտաշխատողների քանակի 30% -ը, դոկտորանտուրայում սովորողների </w:t>
      </w:r>
      <w:r w:rsidRPr="00670181">
        <w:rPr>
          <w:rFonts w:ascii="GHEA Grapalat" w:hAnsi="GHEA Grapalat" w:cs="Sylfaen"/>
          <w:sz w:val="24"/>
          <w:szCs w:val="24"/>
        </w:rPr>
        <w:t>քանակը 2030 թվականին կլինի առնվազն 800 ուսանող, իսկ 2026-2030 թվականների ընթացքում գիտական աստիճան ստացածների քանակը 1500</w:t>
      </w:r>
      <w:r w:rsidR="00DB4634">
        <w:rPr>
          <w:rFonts w:ascii="GHEA Grapalat" w:hAnsi="GHEA Grapalat" w:cs="Sylfaen"/>
          <w:sz w:val="24"/>
          <w:szCs w:val="24"/>
        </w:rPr>
        <w:t>,</w:t>
      </w:r>
      <w:r w:rsidRPr="00670181">
        <w:rPr>
          <w:rFonts w:ascii="GHEA Grapalat" w:hAnsi="GHEA Grapalat" w:cs="Sylfaen"/>
          <w:sz w:val="24"/>
          <w:szCs w:val="24"/>
        </w:rPr>
        <w:t xml:space="preserve"> որից ԲՏՃՄ </w:t>
      </w:r>
      <w:r w:rsidRPr="00C72AB5">
        <w:rPr>
          <w:rFonts w:ascii="GHEA Grapalat" w:hAnsi="GHEA Grapalat" w:cs="Sylfaen"/>
          <w:sz w:val="24"/>
          <w:szCs w:val="24"/>
        </w:rPr>
        <w:t>գիտակարգերում գիտական աստիճան ստացածների մասնաբաժինը կլինի 70%-ից ավել: Արտերկրի ղեկավար կամ խորհրդատու ունեցող գիտական խմբերի քանակը կազմում է առնվազն 400: Միջգիտակարգայնությունն ապահովելու նպատակով մինչև 200 հետազոտող մասնակցել է նոր հմտությունների ձեռքբերման դասընթացների: Հետազոտողների մինչև 55 տար</w:t>
      </w:r>
      <w:r>
        <w:rPr>
          <w:rFonts w:ascii="GHEA Grapalat" w:hAnsi="GHEA Grapalat" w:cs="Sylfaen"/>
          <w:sz w:val="24"/>
          <w:szCs w:val="24"/>
        </w:rPr>
        <w:t>եկան տարիքային խմբի առնվազն 60%</w:t>
      </w:r>
      <w:r w:rsidRPr="00C72AB5">
        <w:rPr>
          <w:rFonts w:ascii="GHEA Grapalat" w:hAnsi="GHEA Grapalat" w:cs="Sylfaen"/>
          <w:sz w:val="24"/>
          <w:szCs w:val="24"/>
        </w:rPr>
        <w:t>-ի շրջանակում իրականացվել է անգլերեն լեզվի իմացության մակարդակի ստուգում և գործընկեր կազմակերպությունների հետ համագործակցությամբ կազմակերպվել են անգլերենի իմացության բարելավման դասընթացներ` գիտելիքի հետագա ստուգմամբ</w:t>
      </w:r>
      <w:r w:rsidRPr="00670181">
        <w:rPr>
          <w:rFonts w:ascii="GHEA Grapalat" w:hAnsi="GHEA Grapalat" w:cs="Sylfaen"/>
          <w:sz w:val="24"/>
          <w:szCs w:val="24"/>
        </w:rPr>
        <w:t xml:space="preserve">: </w:t>
      </w:r>
      <w:r w:rsidRPr="00C41B82">
        <w:rPr>
          <w:rFonts w:ascii="GHEA Grapalat" w:hAnsi="GHEA Grapalat" w:cs="Sylfaen"/>
          <w:sz w:val="24"/>
          <w:szCs w:val="24"/>
        </w:rPr>
        <w:t xml:space="preserve">Արդյունքում </w:t>
      </w:r>
      <w:r w:rsidRPr="00670181">
        <w:rPr>
          <w:rFonts w:ascii="GHEA Grapalat" w:hAnsi="GHEA Grapalat" w:cs="Sylfaen"/>
          <w:sz w:val="24"/>
          <w:szCs w:val="24"/>
        </w:rPr>
        <w:t>2030 թվականի</w:t>
      </w:r>
      <w:r w:rsidRPr="00C41B82">
        <w:rPr>
          <w:rFonts w:ascii="GHEA Grapalat" w:hAnsi="GHEA Grapalat" w:cs="Sylfaen"/>
          <w:sz w:val="24"/>
          <w:szCs w:val="24"/>
        </w:rPr>
        <w:t>ն</w:t>
      </w:r>
      <w:r w:rsidRPr="00670181">
        <w:rPr>
          <w:rFonts w:ascii="GHEA Grapalat" w:hAnsi="GHEA Grapalat" w:cs="Sylfaen"/>
          <w:sz w:val="24"/>
          <w:szCs w:val="24"/>
        </w:rPr>
        <w:t xml:space="preserve"> գիտության համակարգի հանրային հատվածում լրիվ ծանրաբեռնվածությամբ աշխատող</w:t>
      </w:r>
      <w:r w:rsidR="00DB4634">
        <w:rPr>
          <w:rFonts w:ascii="GHEA Grapalat" w:hAnsi="GHEA Grapalat" w:cs="Sylfaen"/>
          <w:sz w:val="24"/>
          <w:szCs w:val="24"/>
        </w:rPr>
        <w:t xml:space="preserve"> հետազոտողների թիվը կկազմի 6000․</w:t>
      </w:r>
    </w:p>
    <w:p w14:paraId="18D0874F" w14:textId="4EE9CEF5" w:rsidR="00C41B82" w:rsidRDefault="00C41B82" w:rsidP="00C41B82">
      <w:pPr>
        <w:tabs>
          <w:tab w:val="left" w:pos="851"/>
          <w:tab w:val="left" w:pos="993"/>
        </w:tabs>
        <w:spacing w:line="276" w:lineRule="auto"/>
        <w:ind w:firstLine="567"/>
        <w:jc w:val="both"/>
        <w:rPr>
          <w:rFonts w:ascii="GHEA Grapalat" w:hAnsi="GHEA Grapalat" w:cs="Sylfaen"/>
          <w:sz w:val="24"/>
          <w:szCs w:val="24"/>
        </w:rPr>
      </w:pPr>
      <w:r w:rsidRPr="00670181">
        <w:rPr>
          <w:rFonts w:ascii="GHEA Grapalat" w:hAnsi="GHEA Grapalat" w:cs="Sylfaen"/>
          <w:sz w:val="24"/>
          <w:szCs w:val="24"/>
        </w:rPr>
        <w:t xml:space="preserve">2) </w:t>
      </w:r>
      <w:r w:rsidRPr="00670181">
        <w:rPr>
          <w:rFonts w:ascii="GHEA Grapalat" w:hAnsi="GHEA Grapalat" w:cs="Sylfaen"/>
          <w:i/>
          <w:iCs/>
          <w:sz w:val="24"/>
          <w:szCs w:val="24"/>
        </w:rPr>
        <w:t xml:space="preserve">Միջազգային ծրագրերին մասնակցության խթանում և գլոբալ հասանելիություն </w:t>
      </w:r>
      <w:r w:rsidRPr="00670181">
        <w:rPr>
          <w:rFonts w:ascii="GHEA Grapalat" w:hAnsi="GHEA Grapalat" w:cs="Sylfaen"/>
          <w:sz w:val="24"/>
          <w:szCs w:val="24"/>
        </w:rPr>
        <w:t xml:space="preserve">(ՄԱ 1-2): </w:t>
      </w:r>
      <w:r w:rsidRPr="00754AA4">
        <w:rPr>
          <w:rFonts w:ascii="GHEA Grapalat" w:hAnsi="GHEA Grapalat" w:cs="Sylfaen"/>
          <w:sz w:val="24"/>
          <w:szCs w:val="24"/>
        </w:rPr>
        <w:t xml:space="preserve">Այս ծրագրի նպատակն </w:t>
      </w:r>
      <w:r w:rsidRPr="00670181">
        <w:rPr>
          <w:rFonts w:ascii="GHEA Grapalat" w:hAnsi="GHEA Grapalat" w:cs="Sylfaen"/>
          <w:sz w:val="24"/>
          <w:szCs w:val="24"/>
        </w:rPr>
        <w:t>է ավելացնել Հայաստանի Հանրապետո</w:t>
      </w:r>
      <w:r w:rsidRPr="00C72AB5">
        <w:rPr>
          <w:rFonts w:ascii="GHEA Grapalat" w:hAnsi="GHEA Grapalat" w:cs="Sylfaen"/>
          <w:sz w:val="24"/>
          <w:szCs w:val="24"/>
        </w:rPr>
        <w:t>ւթյան կազմակերպությունների մասնակցությունը միջազգային դրամաշնորհային ծրագրերին, մասնավորապես</w:t>
      </w:r>
      <w:r w:rsidR="00DB4634">
        <w:rPr>
          <w:rFonts w:ascii="GHEA Grapalat" w:hAnsi="GHEA Grapalat" w:cs="Sylfaen"/>
          <w:sz w:val="24"/>
          <w:szCs w:val="24"/>
        </w:rPr>
        <w:t>,</w:t>
      </w:r>
      <w:r w:rsidRPr="00C72AB5">
        <w:rPr>
          <w:rFonts w:ascii="GHEA Grapalat" w:hAnsi="GHEA Grapalat" w:cs="Sylfaen"/>
          <w:sz w:val="24"/>
          <w:szCs w:val="24"/>
        </w:rPr>
        <w:t xml:space="preserve"> Եվրոպական շրջանակային ծրագրին` հատկապես ուշադրություն դարձնելով ծրագրի տարբեր հենասյուներում մասնակցության ինտենսիվացման վրա` համապատասխան մեխանիզմների ներդրմամբ: Կարևոր է նաև միջազգային խոշոր գիտափորձերում ներգրավվածության մակարդակի բարձրացումը, մասնավորապես</w:t>
      </w:r>
      <w:r w:rsidRPr="00C41B82">
        <w:rPr>
          <w:rFonts w:ascii="GHEA Grapalat" w:hAnsi="GHEA Grapalat" w:cs="Sylfaen"/>
          <w:color w:val="FF0000"/>
          <w:sz w:val="24"/>
          <w:szCs w:val="24"/>
        </w:rPr>
        <w:t>,</w:t>
      </w:r>
      <w:r w:rsidRPr="00C72AB5">
        <w:rPr>
          <w:rFonts w:ascii="GHEA Grapalat" w:hAnsi="GHEA Grapalat" w:cs="Sylfaen"/>
          <w:sz w:val="24"/>
          <w:szCs w:val="24"/>
        </w:rPr>
        <w:t xml:space="preserve"> բարձր էներգիաների ֆիզիկայի, աստղագիտության և կենսաբանության ու առողջապահության ոլորտների գլոբալ կոնսորցիումներում պատշաճ մակարդակով մասնակցությունը և դրանցում հատկապես երիտասարդ կադրերի ներգրավումը` համապատասխան փորձառությունների ձեռքբերման համար:</w:t>
      </w:r>
    </w:p>
    <w:p w14:paraId="12E38DFC" w14:textId="77777777" w:rsidR="00C41B82" w:rsidRPr="00C72AB5" w:rsidRDefault="00C41B82" w:rsidP="00C41B82">
      <w:pPr>
        <w:tabs>
          <w:tab w:val="left" w:pos="851"/>
          <w:tab w:val="left" w:pos="993"/>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t xml:space="preserve">Մյուս նպատակներից է Հայաստանի Հանրապետության հետազոտական համակարգի միջազգային համագործակցության աշխարհագրության ընդլայնումը` </w:t>
      </w:r>
      <w:r w:rsidRPr="00C72AB5">
        <w:rPr>
          <w:rFonts w:ascii="GHEA Grapalat" w:hAnsi="GHEA Grapalat" w:cs="Sylfaen"/>
          <w:sz w:val="24"/>
          <w:szCs w:val="24"/>
        </w:rPr>
        <w:lastRenderedPageBreak/>
        <w:t>երկկողմ համագործակցությունների միջոցով</w:t>
      </w:r>
      <w:r w:rsidRPr="00C41B82">
        <w:rPr>
          <w:rFonts w:ascii="GHEA Grapalat" w:hAnsi="GHEA Grapalat" w:cs="Sylfaen"/>
          <w:color w:val="FF0000"/>
          <w:sz w:val="24"/>
          <w:szCs w:val="24"/>
        </w:rPr>
        <w:t>,</w:t>
      </w:r>
      <w:r w:rsidRPr="00C72AB5">
        <w:rPr>
          <w:rFonts w:ascii="GHEA Grapalat" w:hAnsi="GHEA Grapalat" w:cs="Sylfaen"/>
          <w:sz w:val="24"/>
          <w:szCs w:val="24"/>
        </w:rPr>
        <w:t xml:space="preserve"> ինչը հնարավորություն կտա զարգացնել տարբեր պետությունների հետ գիտական համագործակցության մակարդակը:</w:t>
      </w:r>
    </w:p>
    <w:p w14:paraId="3ECABD6F" w14:textId="30030E8C" w:rsidR="00C41B82" w:rsidRPr="00C72AB5" w:rsidRDefault="00DB4634" w:rsidP="00C41B82">
      <w:pPr>
        <w:tabs>
          <w:tab w:val="left" w:pos="851"/>
          <w:tab w:val="left" w:pos="993"/>
        </w:tabs>
        <w:spacing w:line="276" w:lineRule="auto"/>
        <w:ind w:firstLine="567"/>
        <w:jc w:val="both"/>
        <w:rPr>
          <w:rFonts w:ascii="GHEA Grapalat" w:hAnsi="GHEA Grapalat" w:cs="Sylfaen"/>
          <w:sz w:val="24"/>
          <w:szCs w:val="24"/>
        </w:rPr>
      </w:pPr>
      <w:r>
        <w:rPr>
          <w:rFonts w:ascii="GHEA Grapalat" w:hAnsi="GHEA Grapalat" w:cs="Sylfaen"/>
          <w:sz w:val="24"/>
          <w:szCs w:val="24"/>
        </w:rPr>
        <w:t>Արդյունքում` Եվրոպական միության</w:t>
      </w:r>
      <w:r w:rsidR="00C41B82" w:rsidRPr="00C72AB5">
        <w:rPr>
          <w:rFonts w:ascii="GHEA Grapalat" w:hAnsi="GHEA Grapalat" w:cs="Sylfaen"/>
          <w:sz w:val="24"/>
          <w:szCs w:val="24"/>
        </w:rPr>
        <w:t xml:space="preserve"> շրջանակային ծրագրերից ստացված դրամաշնորհներում</w:t>
      </w:r>
      <w:r w:rsidRPr="00DB4634">
        <w:rPr>
          <w:rFonts w:ascii="GHEA Grapalat" w:hAnsi="GHEA Grapalat" w:cs="Sylfaen"/>
          <w:sz w:val="24"/>
          <w:szCs w:val="24"/>
        </w:rPr>
        <w:t>,</w:t>
      </w:r>
      <w:r w:rsidR="00C41B82" w:rsidRPr="00C72AB5">
        <w:rPr>
          <w:rFonts w:ascii="GHEA Grapalat" w:hAnsi="GHEA Grapalat" w:cs="Sylfaen"/>
          <w:sz w:val="24"/>
          <w:szCs w:val="24"/>
        </w:rPr>
        <w:t xml:space="preserve"> կարողությունների զարգացման ենթածրագրի շրջանակում ստացված դրամաշնորհների համամասնության հավասարակշռում` ի հաշիվ գիտական գերազանցության, նորարարությունների և գլոբալ մարտահրավերների լուծմանը</w:t>
      </w:r>
      <w:r w:rsidR="00C41B82" w:rsidRPr="00C41B82">
        <w:rPr>
          <w:rFonts w:ascii="GHEA Grapalat" w:hAnsi="GHEA Grapalat" w:cs="Sylfaen"/>
          <w:color w:val="FF0000"/>
          <w:sz w:val="24"/>
          <w:szCs w:val="24"/>
        </w:rPr>
        <w:t>՝</w:t>
      </w:r>
      <w:r w:rsidR="00C41B82" w:rsidRPr="00714704">
        <w:rPr>
          <w:rFonts w:ascii="GHEA Grapalat" w:hAnsi="GHEA Grapalat" w:cs="Sylfaen"/>
          <w:color w:val="FF0000"/>
          <w:sz w:val="24"/>
          <w:szCs w:val="24"/>
        </w:rPr>
        <w:t xml:space="preserve"> </w:t>
      </w:r>
      <w:r w:rsidR="00C41B82" w:rsidRPr="00C72AB5">
        <w:rPr>
          <w:rFonts w:ascii="GHEA Grapalat" w:hAnsi="GHEA Grapalat" w:cs="Sylfaen"/>
          <w:sz w:val="24"/>
          <w:szCs w:val="24"/>
        </w:rPr>
        <w:t xml:space="preserve">միտված ծրագրերի շրջանակներում ստացված դրամաշնորհային ծրագրերի ծավալների </w:t>
      </w:r>
      <w:r w:rsidR="00C41B82" w:rsidRPr="00670181">
        <w:rPr>
          <w:rFonts w:ascii="GHEA Grapalat" w:hAnsi="GHEA Grapalat" w:cs="Sylfaen"/>
          <w:sz w:val="24"/>
          <w:szCs w:val="24"/>
        </w:rPr>
        <w:t>ավելացման</w:t>
      </w:r>
      <w:r w:rsidR="00C41B82" w:rsidRPr="00C41B82">
        <w:rPr>
          <w:rFonts w:ascii="GHEA Grapalat" w:hAnsi="GHEA Grapalat" w:cs="Sylfaen"/>
          <w:sz w:val="24"/>
          <w:szCs w:val="24"/>
        </w:rPr>
        <w:t>ը</w:t>
      </w:r>
      <w:r w:rsidR="00C41B82" w:rsidRPr="00670181">
        <w:rPr>
          <w:rFonts w:ascii="GHEA Grapalat" w:hAnsi="GHEA Grapalat" w:cs="Sylfaen"/>
          <w:sz w:val="24"/>
          <w:szCs w:val="24"/>
        </w:rPr>
        <w:t xml:space="preserve">: Ընդլայնման </w:t>
      </w:r>
      <w:r w:rsidR="00C41B82" w:rsidRPr="00C72AB5">
        <w:rPr>
          <w:rFonts w:ascii="GHEA Grapalat" w:hAnsi="GHEA Grapalat" w:cs="Sylfaen"/>
          <w:sz w:val="24"/>
          <w:szCs w:val="24"/>
        </w:rPr>
        <w:t xml:space="preserve">ենթածրագրի շրջանակում ներգրաված գումարների մասնաբաժինն ընդհանուրի մեջ` 77%-ի փոխարեն` առավելագույնը 50%` 2030 թվականի դրությամբ, գլոբալ գիտափորձերում մասնակցությունը 2030 թվականի դրությամբ` 15, դրանցում ներգրավված երիտասարդ հետազոտողների կամ ուսանողների քանակը` առնվազն 100, երկկողմ միջպետական համագործակցությունների քանակը` </w:t>
      </w:r>
      <w:r>
        <w:rPr>
          <w:rFonts w:ascii="GHEA Grapalat" w:hAnsi="GHEA Grapalat" w:cs="Sylfaen"/>
          <w:sz w:val="24"/>
          <w:szCs w:val="24"/>
        </w:rPr>
        <w:t>10․</w:t>
      </w:r>
    </w:p>
    <w:p w14:paraId="02D230B5" w14:textId="1C12C7D7" w:rsidR="00C41B82" w:rsidRPr="00C72AB5" w:rsidRDefault="00C41B82" w:rsidP="00C41B82">
      <w:pPr>
        <w:tabs>
          <w:tab w:val="left" w:pos="851"/>
          <w:tab w:val="left" w:pos="993"/>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t xml:space="preserve">3) </w:t>
      </w:r>
      <w:r w:rsidRPr="00C72AB5">
        <w:rPr>
          <w:rFonts w:ascii="GHEA Grapalat" w:hAnsi="GHEA Grapalat" w:cs="Sylfaen"/>
          <w:i/>
          <w:iCs/>
          <w:sz w:val="24"/>
          <w:szCs w:val="24"/>
        </w:rPr>
        <w:t xml:space="preserve">Հայագիտական որակյալ հետազոտություններ </w:t>
      </w:r>
      <w:r w:rsidRPr="00C72AB5">
        <w:rPr>
          <w:rFonts w:ascii="GHEA Grapalat" w:hAnsi="GHEA Grapalat" w:cs="Sylfaen"/>
          <w:sz w:val="24"/>
          <w:szCs w:val="24"/>
        </w:rPr>
        <w:t xml:space="preserve">(ՄԱ 1-3): Հայագիտությունը հանդիսանալով Հայաստանի Հանրապետության, հայ ժողովրդի, </w:t>
      </w:r>
      <w:r w:rsidR="00ED0A17">
        <w:rPr>
          <w:rFonts w:ascii="GHEA Grapalat" w:hAnsi="GHEA Grapalat" w:cs="Sylfaen"/>
          <w:sz w:val="24"/>
          <w:szCs w:val="24"/>
        </w:rPr>
        <w:t>հայոց</w:t>
      </w:r>
      <w:r w:rsidRPr="00C72AB5">
        <w:rPr>
          <w:rFonts w:ascii="GHEA Grapalat" w:hAnsi="GHEA Grapalat" w:cs="Sylfaen"/>
          <w:sz w:val="24"/>
          <w:szCs w:val="24"/>
        </w:rPr>
        <w:t xml:space="preserve"> լեզվի, գրականության, մշակույթի կրոնի և հասարակության ուսումնասիրություններին նվիրված միջգիտակարգային հետազոտությունների ոլորտ` պետք է լայնորեն օգտվի համապատասխան լայն գիտակարգերի ժամանակակից մեթոդաբանությունից` կառուցվելով դրանց վրա և այդպիսով ապահովելով հետազոտությունների այնպիսի արդյունք, որոնք համապատասխանում են </w:t>
      </w:r>
      <w:r w:rsidRPr="00ED0A17">
        <w:rPr>
          <w:rFonts w:ascii="GHEA Grapalat" w:hAnsi="GHEA Grapalat" w:cs="Sylfaen"/>
          <w:sz w:val="24"/>
          <w:szCs w:val="24"/>
        </w:rPr>
        <w:t xml:space="preserve">կիրառվող գիտակարգերի միջազգային ընդունված մեթոդաբանությանը: Այս իմաստով միջոցառման նպատակն է՝ նպաստել ոլորտի հետազոտությունների որակի բարձրացմանը` ներգրավելով հարակից գիտակարգերի միջազգային հեղինակավոր մասնագետների, ինչպես նաև ապահովելով </w:t>
      </w:r>
      <w:r w:rsidR="00DB4634" w:rsidRPr="00C72AB5">
        <w:rPr>
          <w:rFonts w:ascii="GHEA Grapalat" w:hAnsi="GHEA Grapalat" w:cs="Sylfaen"/>
          <w:sz w:val="24"/>
          <w:szCs w:val="24"/>
        </w:rPr>
        <w:t>Հայաստանի Հանրապետության</w:t>
      </w:r>
      <w:r w:rsidRPr="00ED0A17">
        <w:rPr>
          <w:rFonts w:ascii="GHEA Grapalat" w:hAnsi="GHEA Grapalat" w:cs="Sylfaen"/>
          <w:sz w:val="24"/>
          <w:szCs w:val="24"/>
        </w:rPr>
        <w:t xml:space="preserve"> հետազոտողների մասնակցությունը այլ պետությունների </w:t>
      </w:r>
      <w:r w:rsidRPr="00C72AB5">
        <w:rPr>
          <w:rFonts w:ascii="GHEA Grapalat" w:hAnsi="GHEA Grapalat" w:cs="Sylfaen"/>
          <w:sz w:val="24"/>
          <w:szCs w:val="24"/>
        </w:rPr>
        <w:t>նմանատիպ գիտակարգերում հետազոտություններին: Հաշվի առնելով հայագիտական հետազոտությունների յուրահատկությունը` ծրագրի շրջանակներում իրականացվելու են նաև մի քանի հայագիտական պարբերականների առաջխաղացում դեպի միջազգային ինդեքսավորվող հրատար</w:t>
      </w:r>
      <w:r w:rsidR="00DB4634">
        <w:rPr>
          <w:rFonts w:ascii="GHEA Grapalat" w:hAnsi="GHEA Grapalat" w:cs="Sylfaen"/>
          <w:sz w:val="24"/>
          <w:szCs w:val="24"/>
        </w:rPr>
        <w:t>ակչություններում ինդեքսավորվելը,</w:t>
      </w:r>
      <w:r w:rsidRPr="00C72AB5">
        <w:rPr>
          <w:rFonts w:ascii="GHEA Grapalat" w:hAnsi="GHEA Grapalat" w:cs="Sylfaen"/>
          <w:sz w:val="24"/>
          <w:szCs w:val="24"/>
        </w:rPr>
        <w:t xml:space="preserve"> այդ թվում</w:t>
      </w:r>
      <w:r w:rsidR="00DB4634">
        <w:rPr>
          <w:rFonts w:ascii="GHEA Grapalat" w:hAnsi="GHEA Grapalat" w:cs="Sylfaen"/>
          <w:sz w:val="24"/>
          <w:szCs w:val="24"/>
        </w:rPr>
        <w:t>՝</w:t>
      </w:r>
      <w:r w:rsidRPr="00C72AB5">
        <w:rPr>
          <w:rFonts w:ascii="GHEA Grapalat" w:hAnsi="GHEA Grapalat" w:cs="Sylfaen"/>
          <w:sz w:val="24"/>
          <w:szCs w:val="24"/>
        </w:rPr>
        <w:t xml:space="preserve"> </w:t>
      </w:r>
      <w:r w:rsidR="00ED0A17">
        <w:rPr>
          <w:rFonts w:ascii="GHEA Grapalat" w:hAnsi="GHEA Grapalat" w:cs="Sylfaen"/>
          <w:sz w:val="24"/>
          <w:szCs w:val="24"/>
        </w:rPr>
        <w:t>հայոց</w:t>
      </w:r>
      <w:r w:rsidR="00ED0A17" w:rsidRPr="00C72AB5">
        <w:rPr>
          <w:rFonts w:ascii="GHEA Grapalat" w:hAnsi="GHEA Grapalat" w:cs="Sylfaen"/>
          <w:sz w:val="24"/>
          <w:szCs w:val="24"/>
        </w:rPr>
        <w:t xml:space="preserve"> </w:t>
      </w:r>
      <w:r w:rsidRPr="00C72AB5">
        <w:rPr>
          <w:rFonts w:ascii="GHEA Grapalat" w:hAnsi="GHEA Grapalat" w:cs="Sylfaen"/>
          <w:sz w:val="24"/>
          <w:szCs w:val="24"/>
        </w:rPr>
        <w:t>լեզվով, ինչը մի կողմից կերաշխավորի որակյալ հարթակների առկայությունը գիտական հրապարակումների համար, մյուս կողմից կերաշխավորի ստեղծված գիտական արդյունքի հնարավորինս լայն տարածումը միջազգային գիտական հանրության շրջանում:</w:t>
      </w:r>
    </w:p>
    <w:p w14:paraId="54A33A03" w14:textId="22328513" w:rsidR="00C41B82" w:rsidRPr="00C72AB5" w:rsidRDefault="00C41B82" w:rsidP="00C41B82">
      <w:pPr>
        <w:tabs>
          <w:tab w:val="left" w:pos="851"/>
          <w:tab w:val="left" w:pos="993"/>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t xml:space="preserve">Արդյունքում` Հայագիտություն և հումանիտար գիտություններ բնագավառում միջազգային ինդեքսավորվող պարբերականներում հրապարակումների թիվը 2026-2030 թվականների համար կազմում է առնվազն 1500: Հայագիտական առնվազն 5 պարբերական ինդեքսավորվում </w:t>
      </w:r>
      <w:r w:rsidRPr="00670181">
        <w:rPr>
          <w:rFonts w:ascii="GHEA Grapalat" w:hAnsi="GHEA Grapalat" w:cs="Sylfaen"/>
          <w:sz w:val="24"/>
          <w:szCs w:val="24"/>
        </w:rPr>
        <w:t xml:space="preserve">է </w:t>
      </w:r>
      <w:r w:rsidRPr="00C41B82">
        <w:rPr>
          <w:rFonts w:ascii="GHEA Grapalat" w:hAnsi="GHEA Grapalat" w:cs="Sylfaen"/>
          <w:sz w:val="24"/>
          <w:szCs w:val="24"/>
        </w:rPr>
        <w:t>Վ</w:t>
      </w:r>
      <w:r w:rsidRPr="00670181">
        <w:rPr>
          <w:rFonts w:ascii="GHEA Grapalat" w:hAnsi="GHEA Grapalat" w:cs="Sylfaen"/>
          <w:sz w:val="24"/>
          <w:szCs w:val="24"/>
        </w:rPr>
        <w:t>եբ օֆ Սայնս</w:t>
      </w:r>
      <w:r w:rsidRPr="00C41B82">
        <w:rPr>
          <w:rFonts w:ascii="GHEA Grapalat" w:hAnsi="GHEA Grapalat" w:cs="Sylfaen"/>
          <w:sz w:val="24"/>
          <w:szCs w:val="24"/>
        </w:rPr>
        <w:t xml:space="preserve"> </w:t>
      </w:r>
      <w:r w:rsidRPr="00670181">
        <w:rPr>
          <w:rFonts w:ascii="GHEA Grapalat" w:hAnsi="GHEA Grapalat"/>
          <w:sz w:val="24"/>
          <w:szCs w:val="24"/>
        </w:rPr>
        <w:t>(Web of Science)</w:t>
      </w:r>
      <w:r w:rsidRPr="00C41B82">
        <w:rPr>
          <w:rFonts w:ascii="GHEA Grapalat" w:hAnsi="GHEA Grapalat"/>
          <w:sz w:val="24"/>
          <w:szCs w:val="24"/>
        </w:rPr>
        <w:t xml:space="preserve"> </w:t>
      </w:r>
      <w:r w:rsidRPr="00670181">
        <w:rPr>
          <w:rFonts w:ascii="GHEA Grapalat" w:hAnsi="GHEA Grapalat" w:cs="Sylfaen"/>
          <w:sz w:val="24"/>
          <w:szCs w:val="24"/>
        </w:rPr>
        <w:t xml:space="preserve">կամ </w:t>
      </w:r>
      <w:r w:rsidRPr="00C41B82">
        <w:rPr>
          <w:rFonts w:ascii="GHEA Grapalat" w:hAnsi="GHEA Grapalat" w:cs="Sylfaen"/>
          <w:sz w:val="24"/>
          <w:szCs w:val="24"/>
        </w:rPr>
        <w:t>Ս</w:t>
      </w:r>
      <w:r w:rsidRPr="00670181">
        <w:rPr>
          <w:rFonts w:ascii="GHEA Grapalat" w:hAnsi="GHEA Grapalat" w:cs="Sylfaen"/>
          <w:sz w:val="24"/>
          <w:szCs w:val="24"/>
        </w:rPr>
        <w:t>կոպուս</w:t>
      </w:r>
      <w:r w:rsidRPr="00C41B82">
        <w:rPr>
          <w:rFonts w:ascii="GHEA Grapalat" w:hAnsi="GHEA Grapalat" w:cs="Sylfaen"/>
          <w:sz w:val="24"/>
          <w:szCs w:val="24"/>
        </w:rPr>
        <w:t xml:space="preserve"> </w:t>
      </w:r>
      <w:r w:rsidRPr="00670181">
        <w:rPr>
          <w:rFonts w:ascii="GHEA Grapalat" w:hAnsi="GHEA Grapalat"/>
          <w:sz w:val="24"/>
          <w:szCs w:val="24"/>
        </w:rPr>
        <w:t>(Scopus)</w:t>
      </w:r>
      <w:r w:rsidRPr="00670181">
        <w:rPr>
          <w:rFonts w:ascii="GHEA Grapalat" w:hAnsi="GHEA Grapalat" w:cs="Sylfaen"/>
          <w:sz w:val="24"/>
          <w:szCs w:val="24"/>
        </w:rPr>
        <w:t xml:space="preserve"> ինդեքսավորող համակարգերում: Արտերկրի առաջատար հումանիտար հետազոտությունների կենտրոնների հետազոտողների հետ իրականացվող համատեղ </w:t>
      </w:r>
      <w:r w:rsidRPr="00C72AB5">
        <w:rPr>
          <w:rFonts w:ascii="GHEA Grapalat" w:hAnsi="GHEA Grapalat" w:cs="Sylfaen"/>
          <w:sz w:val="24"/>
          <w:szCs w:val="24"/>
        </w:rPr>
        <w:t>հետազոտ</w:t>
      </w:r>
      <w:r w:rsidR="00DB4634">
        <w:rPr>
          <w:rFonts w:ascii="GHEA Grapalat" w:hAnsi="GHEA Grapalat" w:cs="Sylfaen"/>
          <w:sz w:val="24"/>
          <w:szCs w:val="24"/>
        </w:rPr>
        <w:t>ական ծրագրերի թիվը ավել</w:t>
      </w:r>
      <w:r w:rsidR="00B1467F">
        <w:rPr>
          <w:rFonts w:ascii="GHEA Grapalat" w:hAnsi="GHEA Grapalat" w:cs="Sylfaen"/>
          <w:sz w:val="24"/>
          <w:szCs w:val="24"/>
        </w:rPr>
        <w:t>ի</w:t>
      </w:r>
      <w:r w:rsidR="00DB4634">
        <w:rPr>
          <w:rFonts w:ascii="GHEA Grapalat" w:hAnsi="GHEA Grapalat" w:cs="Sylfaen"/>
          <w:sz w:val="24"/>
          <w:szCs w:val="24"/>
        </w:rPr>
        <w:t xml:space="preserve"> է 30-ից․</w:t>
      </w:r>
    </w:p>
    <w:p w14:paraId="14F57005" w14:textId="77777777" w:rsidR="00C41B82" w:rsidRPr="00C72AB5" w:rsidRDefault="00C41B82" w:rsidP="00C41B82">
      <w:pPr>
        <w:tabs>
          <w:tab w:val="left" w:pos="851"/>
          <w:tab w:val="left" w:pos="993"/>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t xml:space="preserve">4) </w:t>
      </w:r>
      <w:r w:rsidRPr="00C72AB5">
        <w:rPr>
          <w:rFonts w:ascii="GHEA Grapalat" w:hAnsi="GHEA Grapalat" w:cs="Sylfaen"/>
          <w:i/>
          <w:iCs/>
          <w:sz w:val="24"/>
          <w:szCs w:val="24"/>
        </w:rPr>
        <w:t xml:space="preserve">Հետազոտությունների արդիականություն </w:t>
      </w:r>
      <w:r w:rsidRPr="00C72AB5">
        <w:rPr>
          <w:rFonts w:ascii="GHEA Grapalat" w:hAnsi="GHEA Grapalat" w:cs="Sylfaen"/>
          <w:sz w:val="24"/>
          <w:szCs w:val="24"/>
        </w:rPr>
        <w:t xml:space="preserve">(ՄԱ 1-4): Այս ծրագրի շրջանակներում իրականացվելու է բազային ֆինանսավորման ձևով իրականացվող հետազոտական </w:t>
      </w:r>
      <w:r w:rsidRPr="00C72AB5">
        <w:rPr>
          <w:rFonts w:ascii="GHEA Grapalat" w:hAnsi="GHEA Grapalat" w:cs="Sylfaen"/>
          <w:sz w:val="24"/>
          <w:szCs w:val="24"/>
        </w:rPr>
        <w:lastRenderedPageBreak/>
        <w:t>ծրագրերի (գիտական կազմակերպությունների գիտական ստորաբաժանումների) վերանայում` դրանց մակարդակի կամ նշանակության բացահայտման և հեռանկարի տեսանյունից, ինչպես նաև հաշվի են առնվելու կրկնություններն ու կազմակերպությունների միավորման ճանապարհային քարտեզը:</w:t>
      </w:r>
    </w:p>
    <w:p w14:paraId="26D71BA7" w14:textId="73F85B41" w:rsidR="00C41B82" w:rsidRPr="00C72AB5" w:rsidRDefault="00C41B82" w:rsidP="00C41B82">
      <w:pPr>
        <w:tabs>
          <w:tab w:val="left" w:pos="851"/>
          <w:tab w:val="left" w:pos="993"/>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t>Արդյունքում` բազային ֆինանսավորման կարգում հստակեցված է ֆինանսավորման ձևի շրջնակում իրականացվող գիտական ծրագրերի արդիականության և արդյունավետության գնահատման ընթացակարգերը և իրականացվ</w:t>
      </w:r>
      <w:r w:rsidR="00DB4634">
        <w:rPr>
          <w:rFonts w:ascii="GHEA Grapalat" w:hAnsi="GHEA Grapalat" w:cs="Sylfaen"/>
          <w:sz w:val="24"/>
          <w:szCs w:val="24"/>
        </w:rPr>
        <w:t>ած է գնահատման առաջին շրջափուլը,</w:t>
      </w:r>
      <w:r w:rsidRPr="00C72AB5">
        <w:rPr>
          <w:rFonts w:ascii="GHEA Grapalat" w:hAnsi="GHEA Grapalat" w:cs="Sylfaen"/>
          <w:sz w:val="24"/>
          <w:szCs w:val="24"/>
        </w:rPr>
        <w:t xml:space="preserve"> այդ թվում</w:t>
      </w:r>
      <w:r w:rsidR="00DB4634">
        <w:rPr>
          <w:rFonts w:ascii="GHEA Grapalat" w:hAnsi="GHEA Grapalat" w:cs="Sylfaen"/>
          <w:sz w:val="24"/>
          <w:szCs w:val="24"/>
        </w:rPr>
        <w:t>՝</w:t>
      </w:r>
      <w:r w:rsidRPr="00C72AB5">
        <w:rPr>
          <w:rFonts w:ascii="GHEA Grapalat" w:hAnsi="GHEA Grapalat" w:cs="Sylfaen"/>
          <w:sz w:val="24"/>
          <w:szCs w:val="24"/>
        </w:rPr>
        <w:t xml:space="preserve"> միջազգային գործընկերների ներգրավմամբ:</w:t>
      </w:r>
    </w:p>
    <w:p w14:paraId="254C931C" w14:textId="77777777" w:rsidR="00C41B82" w:rsidRPr="00C72AB5" w:rsidRDefault="00C41B82" w:rsidP="00C41B82">
      <w:pPr>
        <w:tabs>
          <w:tab w:val="left" w:pos="851"/>
          <w:tab w:val="left" w:pos="993"/>
        </w:tabs>
        <w:spacing w:line="276" w:lineRule="auto"/>
        <w:ind w:firstLine="567"/>
        <w:jc w:val="both"/>
        <w:rPr>
          <w:rFonts w:ascii="GHEA Grapalat" w:hAnsi="GHEA Grapalat" w:cs="Sylfaen"/>
          <w:sz w:val="24"/>
          <w:szCs w:val="24"/>
        </w:rPr>
      </w:pPr>
    </w:p>
    <w:p w14:paraId="05B470EB" w14:textId="77777777" w:rsidR="00C41B82" w:rsidRPr="00C72AB5" w:rsidRDefault="00C41B82" w:rsidP="00C41B82">
      <w:pPr>
        <w:pStyle w:val="Heading1"/>
      </w:pPr>
      <w:bookmarkStart w:id="17" w:name="_Toc215422094"/>
      <w:r w:rsidRPr="00C72AB5">
        <w:t>5. ՏՆՏԵՍԱԿԱՆ ԱԶԴԵՑՈՒԹՅԱՆ ՄԵԾԱՑՈՒՄ</w:t>
      </w:r>
      <w:bookmarkEnd w:id="17"/>
    </w:p>
    <w:p w14:paraId="765C8F61" w14:textId="77777777" w:rsidR="00C41B82" w:rsidRDefault="00C41B82" w:rsidP="00C41B82">
      <w:pPr>
        <w:pStyle w:val="Heading2"/>
      </w:pPr>
      <w:bookmarkStart w:id="18" w:name="_Toc215422095"/>
      <w:r w:rsidRPr="00C72AB5">
        <w:t>5.1 ՍԿԶԲՈՒՆՔՆԵՐ ԵՎ ՀԻՄՆԱԽՆԴԻՐՆԵՐ</w:t>
      </w:r>
      <w:bookmarkEnd w:id="18"/>
    </w:p>
    <w:p w14:paraId="2D184A3C" w14:textId="77777777" w:rsidR="0074227F" w:rsidRPr="00C72AB5" w:rsidRDefault="0074227F" w:rsidP="00F22A4A"/>
    <w:p w14:paraId="57F57C4A" w14:textId="1808DBCB" w:rsidR="00C41B82" w:rsidRPr="00670181" w:rsidRDefault="00C41B82" w:rsidP="00C41B82">
      <w:pPr>
        <w:tabs>
          <w:tab w:val="left" w:pos="851"/>
          <w:tab w:val="left" w:pos="993"/>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t xml:space="preserve">53. </w:t>
      </w:r>
      <w:r w:rsidR="00F36F23">
        <w:rPr>
          <w:rFonts w:ascii="GHEA Grapalat" w:hAnsi="GHEA Grapalat" w:cs="Arial"/>
          <w:sz w:val="24"/>
          <w:szCs w:val="24"/>
        </w:rPr>
        <w:t>ՀևՄ</w:t>
      </w:r>
      <w:r w:rsidR="00F36F23" w:rsidRPr="00C72AB5">
        <w:rPr>
          <w:rFonts w:ascii="GHEA Grapalat" w:hAnsi="GHEA Grapalat" w:cs="Sylfaen"/>
          <w:sz w:val="24"/>
          <w:szCs w:val="24"/>
        </w:rPr>
        <w:t xml:space="preserve"> </w:t>
      </w:r>
      <w:r w:rsidRPr="00C72AB5">
        <w:rPr>
          <w:rFonts w:ascii="GHEA Grapalat" w:hAnsi="GHEA Grapalat" w:cs="Sylfaen"/>
          <w:sz w:val="24"/>
          <w:szCs w:val="24"/>
        </w:rPr>
        <w:t>ոլորտի տնտեսական ազդեցության մեծացման ռազմավարական նպատակը ենթադրում է ոլորտում այնպիսի խթանների և գործիքակազմի կիրառում, որը կերաշխավորի ոչ միայն հիմնարար նշանակության հետազոտությունների այլ նաև կիրառական հետազոտությունների և փորձարարական մշակումների իրականացումը</w:t>
      </w:r>
      <w:r w:rsidRPr="00EB3B8A">
        <w:rPr>
          <w:rFonts w:ascii="GHEA Grapalat" w:hAnsi="GHEA Grapalat" w:cs="Sylfaen"/>
          <w:sz w:val="24"/>
          <w:szCs w:val="24"/>
        </w:rPr>
        <w:t>,</w:t>
      </w:r>
      <w:r w:rsidRPr="009728AD">
        <w:rPr>
          <w:rFonts w:ascii="GHEA Grapalat" w:hAnsi="GHEA Grapalat" w:cs="Sylfaen"/>
          <w:color w:val="FF0000"/>
          <w:sz w:val="24"/>
          <w:szCs w:val="24"/>
        </w:rPr>
        <w:t xml:space="preserve"> </w:t>
      </w:r>
      <w:r w:rsidRPr="00C72AB5">
        <w:rPr>
          <w:rFonts w:ascii="GHEA Grapalat" w:hAnsi="GHEA Grapalat" w:cs="Sylfaen"/>
          <w:sz w:val="24"/>
          <w:szCs w:val="24"/>
        </w:rPr>
        <w:t>որոնք իրենց թիրախում ունեն տեսանելի հեռանկարում որոշակի կիրառություն ունեցող հարցի պատասխանին ուղղված հետազոտությունների իրականացումը կամ փորձանմուշների մշակումը: Այս իմաստով պարտադիր է, որ նման գործունեությունն իրականացվի մրցունակ հետազոտություններ իրկանացնելու փորձառության հենքի վրա և պատշաճ մեթոդաբանության կիրառմամբ, որպեսզի հնարավորինս մեծացվի դրանց կիրառելիության հեռանկարը: Մյուս սկզբունքը կայանում է այս գերակայության շրջանակներում պետական ներդրումների առավելագույն արդյունավետությանն ու պատշաճ վերահսկողության</w:t>
      </w:r>
      <w:r w:rsidR="00DB4634">
        <w:rPr>
          <w:rFonts w:ascii="GHEA Grapalat" w:hAnsi="GHEA Grapalat" w:cs="Sylfaen"/>
          <w:sz w:val="24"/>
          <w:szCs w:val="24"/>
        </w:rPr>
        <w:t>ն</w:t>
      </w:r>
      <w:r w:rsidRPr="00C72AB5">
        <w:rPr>
          <w:rFonts w:ascii="GHEA Grapalat" w:hAnsi="GHEA Grapalat" w:cs="Sylfaen"/>
          <w:sz w:val="24"/>
          <w:szCs w:val="24"/>
        </w:rPr>
        <w:t xml:space="preserve"> ու բավարար ճկունությանը` ըստ անհրաժեշտության կիրառվող մեխանիզմներն ավելի արդյունավետ դարձնելու և հղկելու համար: Միևնույն ժամանակ կարևորագույն սկզբունքներից է գիտական համակարգից դեպի շուկա անցման մեխանիզմների ներդրումը, ընդ որում անցումը կարող է լինել ինչպես գիտելիքի և հմտությունների փոխանցման միջոցով, այնպես էլ համալսարանական ստարտափների հիմնադրման եղանակով, միևնույն ժամանակ կարևոր է նաև մասնավորից դեպի հետազոտություններ հակադարձ հոսքը` </w:t>
      </w:r>
      <w:r w:rsidRPr="00670181">
        <w:rPr>
          <w:rFonts w:ascii="GHEA Grapalat" w:hAnsi="GHEA Grapalat" w:cs="Sylfaen"/>
          <w:sz w:val="24"/>
          <w:szCs w:val="24"/>
        </w:rPr>
        <w:t>մասնավոր</w:t>
      </w:r>
      <w:r w:rsidRPr="00C41B82">
        <w:rPr>
          <w:rFonts w:ascii="GHEA Grapalat" w:hAnsi="GHEA Grapalat" w:cs="Sylfaen"/>
          <w:sz w:val="24"/>
          <w:szCs w:val="24"/>
        </w:rPr>
        <w:t xml:space="preserve"> հատված</w:t>
      </w:r>
      <w:r w:rsidRPr="00670181">
        <w:rPr>
          <w:rFonts w:ascii="GHEA Grapalat" w:hAnsi="GHEA Grapalat" w:cs="Sylfaen"/>
          <w:sz w:val="24"/>
          <w:szCs w:val="24"/>
        </w:rPr>
        <w:t>ում կուտակված փորձի և հիմնախնդիրների փոխանցումը դեպի հանրային հետազոտական համակարգ</w:t>
      </w:r>
      <w:r w:rsidRPr="00C41B82">
        <w:rPr>
          <w:rFonts w:ascii="GHEA Grapalat" w:hAnsi="GHEA Grapalat" w:cs="Sylfaen"/>
          <w:sz w:val="24"/>
          <w:szCs w:val="24"/>
        </w:rPr>
        <w:t>,</w:t>
      </w:r>
      <w:r w:rsidRPr="00670181">
        <w:rPr>
          <w:rFonts w:ascii="GHEA Grapalat" w:hAnsi="GHEA Grapalat" w:cs="Sylfaen"/>
          <w:sz w:val="24"/>
          <w:szCs w:val="24"/>
        </w:rPr>
        <w:t xml:space="preserve"> ինչպես նաև պետական արդյունավետ խթանների կիրառումը մասնավոր հատվածում</w:t>
      </w:r>
      <w:r w:rsidRPr="00C41B82">
        <w:rPr>
          <w:rFonts w:ascii="GHEA Grapalat" w:hAnsi="GHEA Grapalat" w:cs="Sylfaen"/>
          <w:sz w:val="24"/>
          <w:szCs w:val="24"/>
        </w:rPr>
        <w:t>՝</w:t>
      </w:r>
      <w:r w:rsidRPr="00670181">
        <w:rPr>
          <w:rFonts w:ascii="GHEA Grapalat" w:hAnsi="GHEA Grapalat" w:cs="Sylfaen"/>
          <w:sz w:val="24"/>
          <w:szCs w:val="24"/>
        </w:rPr>
        <w:t xml:space="preserve"> </w:t>
      </w:r>
      <w:r w:rsidR="00F36F23">
        <w:rPr>
          <w:rFonts w:ascii="GHEA Grapalat" w:hAnsi="GHEA Grapalat" w:cs="Arial"/>
          <w:sz w:val="24"/>
          <w:szCs w:val="24"/>
        </w:rPr>
        <w:t>ՀևՄ</w:t>
      </w:r>
      <w:r w:rsidR="00F36F23" w:rsidRPr="00670181">
        <w:rPr>
          <w:rFonts w:ascii="GHEA Grapalat" w:hAnsi="GHEA Grapalat" w:cs="Sylfaen"/>
          <w:sz w:val="24"/>
          <w:szCs w:val="24"/>
        </w:rPr>
        <w:t xml:space="preserve"> </w:t>
      </w:r>
      <w:r w:rsidRPr="00670181">
        <w:rPr>
          <w:rFonts w:ascii="GHEA Grapalat" w:hAnsi="GHEA Grapalat" w:cs="Sylfaen"/>
          <w:sz w:val="24"/>
          <w:szCs w:val="24"/>
        </w:rPr>
        <w:t>ակտիվացման և դրանց արդյունավետության բարձրացման նպատակով:</w:t>
      </w:r>
    </w:p>
    <w:p w14:paraId="7FAE0D0D" w14:textId="77777777" w:rsidR="00C41B82" w:rsidRPr="00C72AB5" w:rsidRDefault="00C41B82" w:rsidP="00C41B82">
      <w:pPr>
        <w:tabs>
          <w:tab w:val="left" w:pos="851"/>
          <w:tab w:val="left" w:pos="993"/>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t xml:space="preserve">54. Այս ռազմավարական նպատակի շրջանակներում հիմնախնդիրներն են` </w:t>
      </w:r>
    </w:p>
    <w:p w14:paraId="5337BAAF" w14:textId="421ED063" w:rsidR="00C41B82" w:rsidRPr="00C72AB5" w:rsidRDefault="00C41B82" w:rsidP="00C41B82">
      <w:pPr>
        <w:tabs>
          <w:tab w:val="left" w:pos="851"/>
          <w:tab w:val="left" w:pos="993"/>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t xml:space="preserve">1) </w:t>
      </w:r>
      <w:r w:rsidR="00DB4634">
        <w:rPr>
          <w:rFonts w:ascii="GHEA Grapalat" w:hAnsi="GHEA Grapalat" w:cs="Sylfaen"/>
          <w:sz w:val="24"/>
          <w:szCs w:val="24"/>
        </w:rPr>
        <w:t>ն</w:t>
      </w:r>
      <w:r w:rsidRPr="00C72AB5">
        <w:rPr>
          <w:rFonts w:ascii="GHEA Grapalat" w:hAnsi="GHEA Grapalat" w:cs="Sylfaen"/>
          <w:sz w:val="24"/>
          <w:szCs w:val="24"/>
        </w:rPr>
        <w:t>պաստավոր պայմանների բացակայությունը նորարարությունների և գիտատար ձեռնարկատիրության համար նոր նախաձեռնությունների խրախուսման, խթանման և կայացման համար, մասնավորապես</w:t>
      </w:r>
      <w:r w:rsidRPr="00C41B82">
        <w:rPr>
          <w:rFonts w:ascii="GHEA Grapalat" w:hAnsi="GHEA Grapalat" w:cs="Sylfaen"/>
          <w:color w:val="FF0000"/>
          <w:sz w:val="24"/>
          <w:szCs w:val="24"/>
        </w:rPr>
        <w:t>,</w:t>
      </w:r>
      <w:r w:rsidRPr="00E70803">
        <w:rPr>
          <w:rFonts w:ascii="GHEA Grapalat" w:hAnsi="GHEA Grapalat" w:cs="Sylfaen"/>
          <w:color w:val="FF0000"/>
          <w:sz w:val="24"/>
          <w:szCs w:val="24"/>
        </w:rPr>
        <w:t xml:space="preserve"> </w:t>
      </w:r>
      <w:r w:rsidRPr="00C72AB5">
        <w:rPr>
          <w:rFonts w:ascii="GHEA Grapalat" w:hAnsi="GHEA Grapalat" w:cs="Sylfaen"/>
          <w:sz w:val="24"/>
          <w:szCs w:val="24"/>
        </w:rPr>
        <w:t xml:space="preserve">այս ոլորտի կարևորագույն կոմպոնենտը` համալսարանական նախաձեռնությունների համակարգը գրեթե </w:t>
      </w:r>
      <w:r w:rsidRPr="00C72AB5">
        <w:rPr>
          <w:rFonts w:ascii="GHEA Grapalat" w:hAnsi="GHEA Grapalat" w:cs="Sylfaen"/>
          <w:sz w:val="24"/>
          <w:szCs w:val="24"/>
        </w:rPr>
        <w:lastRenderedPageBreak/>
        <w:t>բացակայում է, ինչն այդ թվում ներառում է բացահայտման մեխանիզմները, ֆիզիկական պայմանների ապահովումը, պատշաճ վերապատրաստումները, նախաձեռնությունների առաջխաղացման և դրանցում հանրային ռեսուրսի ներգրավման հնարավորություններ</w:t>
      </w:r>
      <w:r w:rsidRPr="00DB4634">
        <w:rPr>
          <w:rFonts w:ascii="GHEA Grapalat" w:hAnsi="GHEA Grapalat" w:cs="Sylfaen"/>
          <w:color w:val="000000" w:themeColor="text1"/>
          <w:sz w:val="24"/>
          <w:szCs w:val="24"/>
        </w:rPr>
        <w:t>ը,</w:t>
      </w:r>
      <w:r w:rsidRPr="00C72AB5">
        <w:rPr>
          <w:rFonts w:ascii="GHEA Grapalat" w:hAnsi="GHEA Grapalat" w:cs="Sylfaen"/>
          <w:sz w:val="24"/>
          <w:szCs w:val="24"/>
        </w:rPr>
        <w:t xml:space="preserve"> բուհական ներդրումների համակարգը և այլ կարևորագույն մեխանիզմներ: Բացակայում է նաև պետական ներգրավման հնարավորությունները ռիսկային գիտատար նախաձեռնություններում</w:t>
      </w:r>
      <w:r w:rsidRPr="00C41B82">
        <w:rPr>
          <w:rFonts w:ascii="GHEA Grapalat" w:hAnsi="GHEA Grapalat" w:cs="Sylfaen"/>
          <w:color w:val="FF0000"/>
          <w:sz w:val="24"/>
          <w:szCs w:val="24"/>
        </w:rPr>
        <w:t>,</w:t>
      </w:r>
      <w:r w:rsidRPr="00E70803">
        <w:rPr>
          <w:rFonts w:ascii="GHEA Grapalat" w:hAnsi="GHEA Grapalat" w:cs="Sylfaen"/>
          <w:color w:val="FF0000"/>
          <w:sz w:val="24"/>
          <w:szCs w:val="24"/>
        </w:rPr>
        <w:t xml:space="preserve"> </w:t>
      </w:r>
      <w:r w:rsidRPr="00C72AB5">
        <w:rPr>
          <w:rFonts w:ascii="GHEA Grapalat" w:hAnsi="GHEA Grapalat" w:cs="Sylfaen"/>
          <w:sz w:val="24"/>
          <w:szCs w:val="24"/>
        </w:rPr>
        <w:t>որպես առաջ</w:t>
      </w:r>
      <w:r w:rsidR="00DB4634">
        <w:rPr>
          <w:rFonts w:ascii="GHEA Grapalat" w:hAnsi="GHEA Grapalat" w:cs="Sylfaen"/>
          <w:sz w:val="24"/>
          <w:szCs w:val="24"/>
        </w:rPr>
        <w:t>ին ներդրող հանդես գալու իմաստով․</w:t>
      </w:r>
    </w:p>
    <w:p w14:paraId="1C01BB4B" w14:textId="264A712A" w:rsidR="00C41B82" w:rsidRPr="00C72AB5" w:rsidRDefault="00C41B82" w:rsidP="00C41B82">
      <w:pPr>
        <w:tabs>
          <w:tab w:val="left" w:pos="851"/>
          <w:tab w:val="left" w:pos="993"/>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t xml:space="preserve">2) </w:t>
      </w:r>
      <w:r w:rsidR="00DB4634">
        <w:rPr>
          <w:rFonts w:ascii="GHEA Grapalat" w:hAnsi="GHEA Grapalat" w:cs="Sylfaen"/>
          <w:sz w:val="24"/>
          <w:szCs w:val="24"/>
        </w:rPr>
        <w:t>շ</w:t>
      </w:r>
      <w:r w:rsidRPr="00C72AB5">
        <w:rPr>
          <w:rFonts w:ascii="GHEA Grapalat" w:hAnsi="GHEA Grapalat" w:cs="Sylfaen"/>
          <w:sz w:val="24"/>
          <w:szCs w:val="24"/>
        </w:rPr>
        <w:t>ատ թույլ են զարգացած հետազոտական կարիքների վերհանման մեխանիզմներն ու կարիքներից բխող հետազոտությունների իրականացման և հետագայում հետազոտության արդյունքների կիրառման մեխանիզմները: Ընդ որում խնդիր կա նաև հակառակ կողմում` բացահայտված և ձևակերպված խնդիրը պատշաճ լուծելու կամ առնվազն իր ամբողջության մեջ պատշաճ հետազոտելու և ավարտուն արդյունք տալու իմաստով: Ոլորտում գործում է տասնամյակներով արմատացած իներցիան, երբ մեկ հստակ գիտական խնդիրը կարող է ուռճացվել և տրոհվել բազմաթիվ քիչ կարևոր ենթախնդիրների` ի վերջո թիրախից կորցնելով հիմնական հ</w:t>
      </w:r>
      <w:r w:rsidR="0088121F">
        <w:rPr>
          <w:rFonts w:ascii="GHEA Grapalat" w:hAnsi="GHEA Grapalat" w:cs="Sylfaen"/>
          <w:sz w:val="24"/>
          <w:szCs w:val="24"/>
        </w:rPr>
        <w:t>արցի պատասխանելու նպատակադրումը․</w:t>
      </w:r>
    </w:p>
    <w:p w14:paraId="097AFF6C" w14:textId="461D2A21" w:rsidR="00C41B82" w:rsidRPr="00670181" w:rsidRDefault="00C41B82" w:rsidP="00C41B82">
      <w:pPr>
        <w:tabs>
          <w:tab w:val="left" w:pos="851"/>
          <w:tab w:val="left" w:pos="993"/>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t xml:space="preserve">3) Հանրապետությունում երբևիցէ չեն իրականացվել հետազոտությունների գերակա ուղղություններով համալիր ծրագրեր, ինչը նշանակում է </w:t>
      </w:r>
      <w:r w:rsidR="00F36F23">
        <w:rPr>
          <w:rFonts w:ascii="GHEA Grapalat" w:hAnsi="GHEA Grapalat" w:cs="Arial"/>
          <w:sz w:val="24"/>
          <w:szCs w:val="24"/>
        </w:rPr>
        <w:t>ՀևՄ</w:t>
      </w:r>
      <w:r w:rsidR="00F36F23" w:rsidRPr="00C72AB5">
        <w:rPr>
          <w:rFonts w:ascii="GHEA Grapalat" w:hAnsi="GHEA Grapalat" w:cs="Sylfaen"/>
          <w:sz w:val="24"/>
          <w:szCs w:val="24"/>
        </w:rPr>
        <w:t xml:space="preserve"> </w:t>
      </w:r>
      <w:r w:rsidRPr="00C72AB5">
        <w:rPr>
          <w:rFonts w:ascii="GHEA Grapalat" w:hAnsi="GHEA Grapalat" w:cs="Sylfaen"/>
          <w:sz w:val="24"/>
          <w:szCs w:val="24"/>
        </w:rPr>
        <w:t xml:space="preserve">ոլորտում վեր հանված մի քանի գերակա ուղղություններով ներուժի զարգացում` բարձրագույն կրթության ծրագրերի վերանայումով և ուսանողների ուղղորդմամբ, կադրերի թիրախավորված վերապատրաստումներով աշխարհի առաջատար կենտրոններում, հետազոտական տարբեր ծրագրերի իրականացմամբ` տվյալ ուղղությամբ հեղինակավոր կենտրոնների հետ համագործակցությամբ, մասնավոր հատվածում այդ ուղղություններով հետազոտությունների ու մշակումների և ինովացիոն գործունեության խթանմամբ, ինչպես նաև </w:t>
      </w:r>
      <w:r w:rsidRPr="00670181">
        <w:rPr>
          <w:rFonts w:ascii="GHEA Grapalat" w:hAnsi="GHEA Grapalat" w:cs="Sylfaen"/>
          <w:sz w:val="24"/>
          <w:szCs w:val="24"/>
        </w:rPr>
        <w:t>հան</w:t>
      </w:r>
      <w:r w:rsidRPr="00C41B82">
        <w:rPr>
          <w:rFonts w:ascii="GHEA Grapalat" w:hAnsi="GHEA Grapalat" w:cs="Sylfaen"/>
          <w:sz w:val="24"/>
          <w:szCs w:val="24"/>
        </w:rPr>
        <w:t>ր</w:t>
      </w:r>
      <w:r w:rsidRPr="00670181">
        <w:rPr>
          <w:rFonts w:ascii="GHEA Grapalat" w:hAnsi="GHEA Grapalat" w:cs="Sylfaen"/>
          <w:sz w:val="24"/>
          <w:szCs w:val="24"/>
        </w:rPr>
        <w:t>ային-մասնավոր համագործ</w:t>
      </w:r>
      <w:r w:rsidR="0088121F">
        <w:rPr>
          <w:rFonts w:ascii="GHEA Grapalat" w:hAnsi="GHEA Grapalat" w:cs="Sylfaen"/>
          <w:sz w:val="24"/>
          <w:szCs w:val="24"/>
        </w:rPr>
        <w:t>ակցության գործիքակազմի մշակմամբ․</w:t>
      </w:r>
    </w:p>
    <w:p w14:paraId="4EA5772C" w14:textId="48C0FA02" w:rsidR="00C41B82" w:rsidRPr="00C72AB5" w:rsidRDefault="00C41B82" w:rsidP="00C41B82">
      <w:pPr>
        <w:tabs>
          <w:tab w:val="left" w:pos="851"/>
          <w:tab w:val="left" w:pos="993"/>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t xml:space="preserve">4) </w:t>
      </w:r>
      <w:r w:rsidR="00DB4634">
        <w:rPr>
          <w:rFonts w:ascii="GHEA Grapalat" w:hAnsi="GHEA Grapalat" w:cs="Sylfaen"/>
          <w:sz w:val="24"/>
          <w:szCs w:val="24"/>
        </w:rPr>
        <w:t>պ</w:t>
      </w:r>
      <w:r w:rsidRPr="00C72AB5">
        <w:rPr>
          <w:rFonts w:ascii="GHEA Grapalat" w:hAnsi="GHEA Grapalat" w:cs="Sylfaen"/>
          <w:sz w:val="24"/>
          <w:szCs w:val="24"/>
        </w:rPr>
        <w:t xml:space="preserve">աշտպանական ոլորտում </w:t>
      </w:r>
      <w:r w:rsidR="00F36F23">
        <w:rPr>
          <w:rFonts w:ascii="GHEA Grapalat" w:hAnsi="GHEA Grapalat" w:cs="Arial"/>
          <w:sz w:val="24"/>
          <w:szCs w:val="24"/>
        </w:rPr>
        <w:t>ՀևՄ</w:t>
      </w:r>
      <w:r w:rsidR="00F36F23" w:rsidRPr="00C72AB5">
        <w:rPr>
          <w:rFonts w:ascii="GHEA Grapalat" w:hAnsi="GHEA Grapalat" w:cs="Sylfaen"/>
          <w:sz w:val="24"/>
          <w:szCs w:val="24"/>
        </w:rPr>
        <w:t xml:space="preserve"> </w:t>
      </w:r>
      <w:r w:rsidRPr="00C72AB5">
        <w:rPr>
          <w:rFonts w:ascii="GHEA Grapalat" w:hAnsi="GHEA Grapalat" w:cs="Sylfaen"/>
          <w:sz w:val="24"/>
          <w:szCs w:val="24"/>
        </w:rPr>
        <w:t xml:space="preserve">աջակցության համար մինչ այժմ գործում է մեկ մեխանիզմ, որը հնարավորություն չի տալիս տարբերակելու պետական ներդրման ձևը և չափը նմանատիպ </w:t>
      </w:r>
      <w:r w:rsidR="00F36F23">
        <w:rPr>
          <w:rFonts w:ascii="GHEA Grapalat" w:hAnsi="GHEA Grapalat" w:cs="Arial"/>
          <w:sz w:val="24"/>
          <w:szCs w:val="24"/>
        </w:rPr>
        <w:t>ՀևՄ</w:t>
      </w:r>
      <w:r w:rsidR="00F36F23" w:rsidRPr="00C72AB5">
        <w:rPr>
          <w:rFonts w:ascii="GHEA Grapalat" w:hAnsi="GHEA Grapalat" w:cs="Sylfaen"/>
          <w:sz w:val="24"/>
          <w:szCs w:val="24"/>
        </w:rPr>
        <w:t xml:space="preserve"> </w:t>
      </w:r>
      <w:r w:rsidRPr="00C72AB5">
        <w:rPr>
          <w:rFonts w:ascii="GHEA Grapalat" w:hAnsi="GHEA Grapalat" w:cs="Sylfaen"/>
          <w:sz w:val="24"/>
          <w:szCs w:val="24"/>
        </w:rPr>
        <w:t>մեջ, արդյունքում առավել վերացական բնույթի հետազոտությունները և ավելի պրակտիկ նշանակության հետազոտություններն ու մշակումները դիտարկվում են միևնույն հարթության մեջ` շատ հաճախ հանգեցնելով իրավիճակների</w:t>
      </w:r>
      <w:r w:rsidRPr="009761BD">
        <w:rPr>
          <w:rFonts w:ascii="GHEA Grapalat" w:hAnsi="GHEA Grapalat" w:cs="Sylfaen"/>
          <w:color w:val="000000" w:themeColor="text1"/>
          <w:sz w:val="24"/>
          <w:szCs w:val="24"/>
        </w:rPr>
        <w:t>,</w:t>
      </w:r>
      <w:r w:rsidRPr="00C72AB5">
        <w:rPr>
          <w:rFonts w:ascii="GHEA Grapalat" w:hAnsi="GHEA Grapalat" w:cs="Sylfaen"/>
          <w:sz w:val="24"/>
          <w:szCs w:val="24"/>
        </w:rPr>
        <w:t xml:space="preserve"> երբ վերջնարդյունքը չի համապատասխանում ակնկալիքներին: Միևնույն ժամանակ ոլորտում ներգրավված մասնագետների որակավորումը և դրա անընդհատ կատարելագործումը դուրս է</w:t>
      </w:r>
      <w:r w:rsidR="0088121F">
        <w:rPr>
          <w:rFonts w:ascii="GHEA Grapalat" w:hAnsi="GHEA Grapalat" w:cs="Sylfaen"/>
          <w:sz w:val="24"/>
          <w:szCs w:val="24"/>
        </w:rPr>
        <w:t xml:space="preserve"> մնում միջոցառումների շրջանակից․</w:t>
      </w:r>
    </w:p>
    <w:p w14:paraId="3CD9C1E1" w14:textId="0067D095" w:rsidR="00C41B82" w:rsidRPr="00C72AB5" w:rsidRDefault="00C41B82" w:rsidP="00C41B82">
      <w:pPr>
        <w:tabs>
          <w:tab w:val="left" w:pos="851"/>
          <w:tab w:val="left" w:pos="993"/>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t>5) Հայաստանի Հանրապետությունում մասնավոր հատվածում հետազոտութ</w:t>
      </w:r>
      <w:r w:rsidR="009761BD">
        <w:rPr>
          <w:rFonts w:ascii="GHEA Grapalat" w:hAnsi="GHEA Grapalat" w:cs="Sylfaen"/>
          <w:sz w:val="24"/>
          <w:szCs w:val="24"/>
        </w:rPr>
        <w:t>յունների մեջ ներդրումների ծավալն</w:t>
      </w:r>
      <w:r w:rsidRPr="00C72AB5">
        <w:rPr>
          <w:rFonts w:ascii="GHEA Grapalat" w:hAnsi="GHEA Grapalat" w:cs="Sylfaen"/>
          <w:sz w:val="24"/>
          <w:szCs w:val="24"/>
        </w:rPr>
        <w:t xml:space="preserve"> ըստ էության հայտնի չ</w:t>
      </w:r>
      <w:r w:rsidR="009761BD">
        <w:rPr>
          <w:rFonts w:ascii="GHEA Grapalat" w:hAnsi="GHEA Grapalat" w:cs="Sylfaen"/>
          <w:sz w:val="24"/>
          <w:szCs w:val="24"/>
        </w:rPr>
        <w:t>է</w:t>
      </w:r>
      <w:r w:rsidRPr="00C72AB5">
        <w:rPr>
          <w:rFonts w:ascii="GHEA Grapalat" w:hAnsi="GHEA Grapalat" w:cs="Sylfaen"/>
          <w:sz w:val="24"/>
          <w:szCs w:val="24"/>
        </w:rPr>
        <w:t>, քանի որ չկա</w:t>
      </w:r>
      <w:r w:rsidR="009761BD">
        <w:rPr>
          <w:rFonts w:ascii="GHEA Grapalat" w:hAnsi="GHEA Grapalat" w:cs="Sylfaen"/>
          <w:sz w:val="24"/>
          <w:szCs w:val="24"/>
        </w:rPr>
        <w:t>ն</w:t>
      </w:r>
      <w:r w:rsidRPr="00C72AB5">
        <w:rPr>
          <w:rFonts w:ascii="GHEA Grapalat" w:hAnsi="GHEA Grapalat" w:cs="Sylfaen"/>
          <w:sz w:val="24"/>
          <w:szCs w:val="24"/>
        </w:rPr>
        <w:t xml:space="preserve"> դրանց բացահայտման ինստիտուցիոնալ մեխանիզմներ, սակայն </w:t>
      </w:r>
      <w:r w:rsidRPr="00C41B82">
        <w:rPr>
          <w:rFonts w:ascii="GHEA Grapalat" w:hAnsi="GHEA Grapalat" w:cs="Sylfaen"/>
          <w:sz w:val="24"/>
          <w:szCs w:val="24"/>
        </w:rPr>
        <w:t>Ե</w:t>
      </w:r>
      <w:r w:rsidRPr="00670181">
        <w:rPr>
          <w:rFonts w:ascii="GHEA Grapalat" w:hAnsi="GHEA Grapalat" w:cs="Sylfaen"/>
          <w:sz w:val="24"/>
          <w:szCs w:val="24"/>
        </w:rPr>
        <w:t>վրոստ</w:t>
      </w:r>
      <w:r w:rsidRPr="00C72AB5">
        <w:rPr>
          <w:rFonts w:ascii="GHEA Grapalat" w:hAnsi="GHEA Grapalat" w:cs="Sylfaen"/>
          <w:sz w:val="24"/>
          <w:szCs w:val="24"/>
        </w:rPr>
        <w:t>ատի</w:t>
      </w:r>
      <w:r w:rsidRPr="00C72AB5">
        <w:rPr>
          <w:rStyle w:val="FootnoteReference"/>
          <w:rFonts w:ascii="GHEA Grapalat" w:hAnsi="GHEA Grapalat" w:cs="Sylfaen"/>
          <w:sz w:val="24"/>
          <w:szCs w:val="24"/>
        </w:rPr>
        <w:footnoteReference w:id="78"/>
      </w:r>
      <w:r w:rsidR="009761BD">
        <w:rPr>
          <w:rFonts w:ascii="GHEA Grapalat" w:hAnsi="GHEA Grapalat" w:cs="Sylfaen"/>
          <w:sz w:val="24"/>
          <w:szCs w:val="24"/>
        </w:rPr>
        <w:t xml:space="preserve"> տվյալների համաձայն ամբողջ Եվրոպական միության</w:t>
      </w:r>
      <w:r w:rsidRPr="00C72AB5">
        <w:rPr>
          <w:rFonts w:ascii="GHEA Grapalat" w:hAnsi="GHEA Grapalat" w:cs="Sylfaen"/>
          <w:sz w:val="24"/>
          <w:szCs w:val="24"/>
        </w:rPr>
        <w:t xml:space="preserve"> տարածքում 2023 թվականի </w:t>
      </w:r>
      <w:r w:rsidRPr="00C72AB5">
        <w:rPr>
          <w:rFonts w:ascii="GHEA Grapalat" w:hAnsi="GHEA Grapalat" w:cs="Sylfaen"/>
          <w:sz w:val="24"/>
          <w:szCs w:val="24"/>
        </w:rPr>
        <w:lastRenderedPageBreak/>
        <w:t xml:space="preserve">դրությամբ </w:t>
      </w:r>
      <w:r w:rsidR="005458D7">
        <w:rPr>
          <w:rFonts w:ascii="GHEA Grapalat" w:hAnsi="GHEA Grapalat" w:cs="Arial"/>
          <w:sz w:val="24"/>
          <w:szCs w:val="24"/>
        </w:rPr>
        <w:t>ՀևՄ</w:t>
      </w:r>
      <w:r w:rsidR="005458D7" w:rsidRPr="00C72AB5">
        <w:rPr>
          <w:rFonts w:ascii="GHEA Grapalat" w:hAnsi="GHEA Grapalat" w:cs="Sylfaen"/>
          <w:sz w:val="24"/>
          <w:szCs w:val="24"/>
        </w:rPr>
        <w:t xml:space="preserve"> </w:t>
      </w:r>
      <w:r w:rsidRPr="00C72AB5">
        <w:rPr>
          <w:rFonts w:ascii="GHEA Grapalat" w:hAnsi="GHEA Grapalat" w:cs="Sylfaen"/>
          <w:sz w:val="24"/>
          <w:szCs w:val="24"/>
        </w:rPr>
        <w:t xml:space="preserve">ոլորտի ընդհանուր </w:t>
      </w:r>
      <w:r w:rsidRPr="00670181">
        <w:rPr>
          <w:rFonts w:ascii="GHEA Grapalat" w:hAnsi="GHEA Grapalat" w:cs="Sylfaen"/>
          <w:sz w:val="24"/>
          <w:szCs w:val="24"/>
        </w:rPr>
        <w:t>ֆինանսավորման 57.7%-ը իրականացվել է մասնավոր հատվածի կողմից: Միևնույն ժամանակ հարկ է նկատի ունենալ, որ նույ</w:t>
      </w:r>
      <w:r w:rsidR="009761BD">
        <w:rPr>
          <w:rFonts w:ascii="GHEA Grapalat" w:hAnsi="GHEA Grapalat" w:cs="Sylfaen"/>
          <w:sz w:val="24"/>
          <w:szCs w:val="24"/>
        </w:rPr>
        <w:t>ն Եվրոպական միության</w:t>
      </w:r>
      <w:r w:rsidRPr="00670181">
        <w:rPr>
          <w:rFonts w:ascii="GHEA Grapalat" w:hAnsi="GHEA Grapalat" w:cs="Sylfaen"/>
          <w:sz w:val="24"/>
          <w:szCs w:val="24"/>
        </w:rPr>
        <w:t xml:space="preserve"> տարածքում </w:t>
      </w:r>
      <w:r w:rsidR="00F36F23">
        <w:rPr>
          <w:rFonts w:ascii="GHEA Grapalat" w:hAnsi="GHEA Grapalat" w:cs="Arial"/>
          <w:sz w:val="24"/>
          <w:szCs w:val="24"/>
        </w:rPr>
        <w:t>ՀևՄ</w:t>
      </w:r>
      <w:r w:rsidRPr="00670181">
        <w:rPr>
          <w:rFonts w:ascii="GHEA Grapalat" w:hAnsi="GHEA Grapalat" w:cs="Sylfaen"/>
          <w:sz w:val="24"/>
          <w:szCs w:val="24"/>
        </w:rPr>
        <w:t xml:space="preserve"> ընդհանուր ֆինանսավորման 66.6%-ը ծախսվել է մասնավոր հատվածում իրականացվող </w:t>
      </w:r>
      <w:r w:rsidR="00F36F23">
        <w:rPr>
          <w:rFonts w:ascii="GHEA Grapalat" w:hAnsi="GHEA Grapalat" w:cs="Arial"/>
          <w:sz w:val="24"/>
          <w:szCs w:val="24"/>
        </w:rPr>
        <w:t>ՀևՄ</w:t>
      </w:r>
      <w:r w:rsidR="00F36F23" w:rsidRPr="00670181">
        <w:rPr>
          <w:rFonts w:ascii="GHEA Grapalat" w:hAnsi="GHEA Grapalat" w:cs="Sylfaen"/>
          <w:sz w:val="24"/>
          <w:szCs w:val="24"/>
        </w:rPr>
        <w:t xml:space="preserve"> </w:t>
      </w:r>
      <w:r w:rsidRPr="00670181">
        <w:rPr>
          <w:rFonts w:ascii="GHEA Grapalat" w:hAnsi="GHEA Grapalat" w:cs="Sylfaen"/>
          <w:sz w:val="24"/>
          <w:szCs w:val="24"/>
        </w:rPr>
        <w:t xml:space="preserve">համար, </w:t>
      </w:r>
      <w:r w:rsidRPr="00C72AB5">
        <w:rPr>
          <w:rFonts w:ascii="GHEA Grapalat" w:hAnsi="GHEA Grapalat" w:cs="Sylfaen"/>
          <w:sz w:val="24"/>
          <w:szCs w:val="24"/>
        </w:rPr>
        <w:t xml:space="preserve">այսինքն շատ կարևոր է նաև մասնավոր հատվածում պետական ֆինանսավորման մեխանիզմները, որոնց խնդիրների վերաբերյալ առկա է նաև 2024 թվականի </w:t>
      </w:r>
      <w:r w:rsidR="009761BD">
        <w:rPr>
          <w:rFonts w:ascii="GHEA Grapalat" w:hAnsi="GHEA Grapalat" w:cs="Sylfaen"/>
          <w:sz w:val="24"/>
          <w:szCs w:val="24"/>
        </w:rPr>
        <w:t>Եվրոպական միության</w:t>
      </w:r>
      <w:r w:rsidRPr="00C72AB5">
        <w:rPr>
          <w:rFonts w:ascii="GHEA Grapalat" w:hAnsi="GHEA Grapalat" w:cs="Sylfaen"/>
          <w:sz w:val="24"/>
          <w:szCs w:val="24"/>
        </w:rPr>
        <w:t xml:space="preserve"> գիտության, հետազոտությունների և ինովացիոն կատարողականի զեկույցը</w:t>
      </w:r>
      <w:r w:rsidRPr="00C72AB5">
        <w:rPr>
          <w:rStyle w:val="FootnoteReference"/>
          <w:rFonts w:ascii="GHEA Grapalat" w:hAnsi="GHEA Grapalat" w:cs="Sylfaen"/>
          <w:sz w:val="24"/>
          <w:szCs w:val="24"/>
        </w:rPr>
        <w:footnoteReference w:id="79"/>
      </w:r>
      <w:r w:rsidRPr="00C72AB5">
        <w:rPr>
          <w:rFonts w:ascii="GHEA Grapalat" w:hAnsi="GHEA Grapalat" w:cs="Sylfaen"/>
          <w:sz w:val="24"/>
          <w:szCs w:val="24"/>
        </w:rPr>
        <w:t xml:space="preserve">: Գծապատկեր 31-ով ներկայացված են </w:t>
      </w:r>
      <w:r w:rsidR="009761BD">
        <w:rPr>
          <w:rFonts w:ascii="GHEA Grapalat" w:hAnsi="GHEA Grapalat" w:cs="Sylfaen"/>
          <w:sz w:val="24"/>
          <w:szCs w:val="24"/>
        </w:rPr>
        <w:t>Եվրոպական միության</w:t>
      </w:r>
      <w:r w:rsidRPr="00C72AB5">
        <w:rPr>
          <w:rFonts w:ascii="GHEA Grapalat" w:hAnsi="GHEA Grapalat" w:cs="Sylfaen"/>
          <w:sz w:val="24"/>
          <w:szCs w:val="24"/>
        </w:rPr>
        <w:t xml:space="preserve"> երկրների ներդրումների չափերը </w:t>
      </w:r>
      <w:r w:rsidR="00F36F23">
        <w:rPr>
          <w:rFonts w:ascii="GHEA Grapalat" w:hAnsi="GHEA Grapalat" w:cs="Arial"/>
          <w:sz w:val="24"/>
          <w:szCs w:val="24"/>
        </w:rPr>
        <w:t>ՀևՄ</w:t>
      </w:r>
      <w:r w:rsidR="00F36F23" w:rsidRPr="00C72AB5">
        <w:rPr>
          <w:rFonts w:ascii="GHEA Grapalat" w:hAnsi="GHEA Grapalat" w:cs="Sylfaen"/>
          <w:sz w:val="24"/>
          <w:szCs w:val="24"/>
        </w:rPr>
        <w:t xml:space="preserve"> </w:t>
      </w:r>
      <w:r w:rsidRPr="00C72AB5">
        <w:rPr>
          <w:rFonts w:ascii="GHEA Grapalat" w:hAnsi="GHEA Grapalat" w:cs="Sylfaen"/>
          <w:sz w:val="24"/>
          <w:szCs w:val="24"/>
        </w:rPr>
        <w:t>ոլորտում</w:t>
      </w:r>
      <w:r w:rsidR="009761BD">
        <w:rPr>
          <w:rFonts w:ascii="GHEA Grapalat" w:hAnsi="GHEA Grapalat" w:cs="Sylfaen"/>
          <w:sz w:val="24"/>
          <w:szCs w:val="24"/>
        </w:rPr>
        <w:t>՝</w:t>
      </w:r>
      <w:r w:rsidRPr="00E70803">
        <w:rPr>
          <w:rFonts w:ascii="GHEA Grapalat" w:hAnsi="GHEA Grapalat" w:cs="Sylfaen"/>
          <w:color w:val="FF0000"/>
          <w:sz w:val="24"/>
          <w:szCs w:val="24"/>
        </w:rPr>
        <w:t xml:space="preserve"> </w:t>
      </w:r>
      <w:r w:rsidRPr="00C72AB5">
        <w:rPr>
          <w:rFonts w:ascii="GHEA Grapalat" w:hAnsi="GHEA Grapalat" w:cs="Sylfaen"/>
          <w:sz w:val="24"/>
          <w:szCs w:val="24"/>
        </w:rPr>
        <w:t>ըստ ֆինանսավորման 2 աղբյուրների` պետական և մասնավոր:</w:t>
      </w:r>
    </w:p>
    <w:p w14:paraId="08EFA7FD" w14:textId="77777777" w:rsidR="00C41B82" w:rsidRPr="00C72AB5" w:rsidRDefault="00C41B82" w:rsidP="00C41B82">
      <w:pPr>
        <w:tabs>
          <w:tab w:val="left" w:pos="851"/>
          <w:tab w:val="left" w:pos="993"/>
        </w:tabs>
        <w:spacing w:line="276" w:lineRule="auto"/>
        <w:jc w:val="center"/>
        <w:rPr>
          <w:rFonts w:ascii="GHEA Grapalat" w:hAnsi="GHEA Grapalat" w:cs="Sylfaen"/>
          <w:sz w:val="24"/>
          <w:szCs w:val="24"/>
        </w:rPr>
      </w:pPr>
      <w:r w:rsidRPr="00C72AB5">
        <w:rPr>
          <w:noProof/>
          <w:lang w:val="en-US" w:eastAsia="en-US"/>
        </w:rPr>
        <w:drawing>
          <wp:inline distT="0" distB="0" distL="0" distR="0" wp14:anchorId="03643B03" wp14:editId="3738A274">
            <wp:extent cx="6119495" cy="2788920"/>
            <wp:effectExtent l="0" t="0" r="0" b="0"/>
            <wp:docPr id="1952401078" name="Chart 1">
              <a:extLst xmlns:a="http://schemas.openxmlformats.org/drawingml/2006/main">
                <a:ext uri="{FF2B5EF4-FFF2-40B4-BE49-F238E27FC236}">
                  <a16:creationId xmlns:a16="http://schemas.microsoft.com/office/drawing/2014/main" id="{0EFBE923-4E8F-C063-1279-5AC6BA5D196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14:paraId="6D0C40D1" w14:textId="77777777" w:rsidR="00C41B82" w:rsidRPr="00C72AB5" w:rsidRDefault="00C41B82" w:rsidP="00C41B82">
      <w:pPr>
        <w:tabs>
          <w:tab w:val="left" w:pos="851"/>
        </w:tabs>
        <w:spacing w:line="276" w:lineRule="auto"/>
        <w:ind w:left="567" w:hanging="567"/>
        <w:jc w:val="both"/>
        <w:rPr>
          <w:rFonts w:ascii="GHEA Grapalat" w:hAnsi="GHEA Grapalat" w:cs="Arial"/>
        </w:rPr>
      </w:pPr>
      <w:r w:rsidRPr="00C72AB5">
        <w:rPr>
          <w:rFonts w:ascii="GHEA Grapalat" w:hAnsi="GHEA Grapalat"/>
          <w:b/>
        </w:rPr>
        <w:t>Գծապատկեր</w:t>
      </w:r>
      <w:r w:rsidRPr="00C72AB5">
        <w:rPr>
          <w:rFonts w:ascii="GHEA Grapalat" w:hAnsi="GHEA Grapalat" w:cs="Arial"/>
          <w:b/>
        </w:rPr>
        <w:t xml:space="preserve"> 31</w:t>
      </w:r>
      <w:r w:rsidRPr="00C72AB5">
        <w:rPr>
          <w:rFonts w:ascii="GHEA Grapalat" w:hAnsi="GHEA Grapalat" w:cs="Arial"/>
        </w:rPr>
        <w:t>.</w:t>
      </w:r>
      <w:r w:rsidRPr="00C72AB5">
        <w:rPr>
          <w:rFonts w:ascii="GHEA Grapalat" w:hAnsi="GHEA Grapalat"/>
        </w:rPr>
        <w:t xml:space="preserve"> ԵՄ պետությունների ներդրումները ՀևՄ ոլորտում ըստ ներդրման աղբյուրի (ՀՆԱ %)</w:t>
      </w:r>
      <w:r w:rsidRPr="00C72AB5">
        <w:rPr>
          <w:rFonts w:ascii="GHEA Grapalat" w:hAnsi="GHEA Grapalat"/>
          <w:vertAlign w:val="superscript"/>
        </w:rPr>
        <w:t>77</w:t>
      </w:r>
      <w:r w:rsidRPr="00C72AB5">
        <w:rPr>
          <w:rFonts w:ascii="GHEA Grapalat" w:hAnsi="GHEA Grapalat" w:cs="Arial"/>
        </w:rPr>
        <w:t>:</w:t>
      </w:r>
    </w:p>
    <w:p w14:paraId="0A1F7CB4" w14:textId="77777777" w:rsidR="00C41B82" w:rsidRPr="00C72AB5" w:rsidRDefault="00C41B82" w:rsidP="00C41B82">
      <w:pPr>
        <w:tabs>
          <w:tab w:val="left" w:pos="851"/>
          <w:tab w:val="left" w:pos="993"/>
        </w:tabs>
        <w:spacing w:line="276" w:lineRule="auto"/>
        <w:jc w:val="center"/>
        <w:rPr>
          <w:rFonts w:ascii="GHEA Grapalat" w:hAnsi="GHEA Grapalat" w:cs="Sylfaen"/>
          <w:sz w:val="24"/>
          <w:szCs w:val="24"/>
        </w:rPr>
      </w:pPr>
    </w:p>
    <w:p w14:paraId="74FFB2B8" w14:textId="77777777" w:rsidR="00C41B82" w:rsidRPr="00C72AB5" w:rsidRDefault="00C41B82" w:rsidP="00C41B82">
      <w:pPr>
        <w:pStyle w:val="Heading2"/>
      </w:pPr>
      <w:bookmarkStart w:id="19" w:name="_Toc215422096"/>
      <w:r w:rsidRPr="00C72AB5">
        <w:t>5.2 ՀԻՄՆԱԽՆԴՐԻ ԼՈՒԾՄԱՆ ԵՂԱՆԱԿՆԵՐԸ</w:t>
      </w:r>
      <w:bookmarkEnd w:id="19"/>
    </w:p>
    <w:p w14:paraId="434D2787" w14:textId="77777777" w:rsidR="00990066" w:rsidRDefault="00990066" w:rsidP="00C41B82">
      <w:pPr>
        <w:tabs>
          <w:tab w:val="left" w:pos="851"/>
          <w:tab w:val="left" w:pos="993"/>
        </w:tabs>
        <w:spacing w:line="276" w:lineRule="auto"/>
        <w:ind w:firstLine="567"/>
        <w:jc w:val="both"/>
        <w:rPr>
          <w:rFonts w:ascii="GHEA Grapalat" w:hAnsi="GHEA Grapalat" w:cs="Sylfaen"/>
          <w:sz w:val="24"/>
          <w:szCs w:val="24"/>
        </w:rPr>
      </w:pPr>
    </w:p>
    <w:p w14:paraId="107838EE" w14:textId="26591A28" w:rsidR="00C41B82" w:rsidRPr="00C72AB5" w:rsidRDefault="00C41B82" w:rsidP="00C41B82">
      <w:pPr>
        <w:tabs>
          <w:tab w:val="left" w:pos="851"/>
          <w:tab w:val="left" w:pos="993"/>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t>55. Տնտեսական ազդեցության մեծացում (ՌՆ-2) ռազմավարական նպատակի ներքո նկարագրած հիմնախնդիրների լուծման նպատակով նախանշվում են հետևյալ ծրա</w:t>
      </w:r>
      <w:r w:rsidR="00DC7E07">
        <w:rPr>
          <w:rFonts w:ascii="GHEA Grapalat" w:hAnsi="GHEA Grapalat" w:cs="Sylfaen"/>
          <w:sz w:val="24"/>
          <w:szCs w:val="24"/>
        </w:rPr>
        <w:t>գրերն ու միջանկյալ արդյունքները․</w:t>
      </w:r>
    </w:p>
    <w:p w14:paraId="6F2CAE24" w14:textId="011FA8D1" w:rsidR="00C41B82" w:rsidRPr="00670181" w:rsidRDefault="00C41B82" w:rsidP="00C41B82">
      <w:pPr>
        <w:tabs>
          <w:tab w:val="left" w:pos="851"/>
          <w:tab w:val="left" w:pos="993"/>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t>1)</w:t>
      </w:r>
      <w:r w:rsidRPr="00C72AB5">
        <w:rPr>
          <w:rFonts w:ascii="GHEA Grapalat" w:hAnsi="GHEA Grapalat" w:cs="Sylfaen"/>
          <w:i/>
          <w:iCs/>
          <w:sz w:val="24"/>
          <w:szCs w:val="24"/>
        </w:rPr>
        <w:t xml:space="preserve"> Նպաստող միջավայր</w:t>
      </w:r>
      <w:r w:rsidRPr="00C72AB5">
        <w:rPr>
          <w:rFonts w:ascii="GHEA Grapalat" w:hAnsi="GHEA Grapalat" w:cs="Sylfaen"/>
          <w:sz w:val="24"/>
          <w:szCs w:val="24"/>
        </w:rPr>
        <w:t xml:space="preserve"> (ՄԱ 2-1): Այս ծրագրի նպատակն է համալսարաններում և գիտական կազմակերպություններում նորարարական գործունեության և գիտատար ձեռնարկատիրության համար նպաստավոր պայմանների ստեղծումը, որը ներառում է պատշաճ ներքին </w:t>
      </w:r>
      <w:r w:rsidRPr="00670181">
        <w:rPr>
          <w:rFonts w:ascii="GHEA Grapalat" w:hAnsi="GHEA Grapalat" w:cs="Sylfaen"/>
          <w:sz w:val="24"/>
          <w:szCs w:val="24"/>
        </w:rPr>
        <w:t>ընթացակարգերը</w:t>
      </w:r>
      <w:r w:rsidR="00ED4244">
        <w:rPr>
          <w:rFonts w:ascii="GHEA Grapalat" w:hAnsi="GHEA Grapalat" w:cs="Sylfaen"/>
          <w:sz w:val="24"/>
          <w:szCs w:val="24"/>
        </w:rPr>
        <w:t>՝</w:t>
      </w:r>
      <w:r w:rsidRPr="00670181">
        <w:rPr>
          <w:rFonts w:ascii="GHEA Grapalat" w:hAnsi="GHEA Grapalat" w:cs="Sylfaen"/>
          <w:sz w:val="24"/>
          <w:szCs w:val="24"/>
        </w:rPr>
        <w:t xml:space="preserve"> ներառյալ մտավոր սեփականության գրանցման ու մասնակցության համամասնություններին առնչվող հարցերը և մտավոր սեփականության օգտագործման լիցենզավորման և </w:t>
      </w:r>
      <w:r w:rsidRPr="00C72AB5">
        <w:rPr>
          <w:rFonts w:ascii="GHEA Grapalat" w:hAnsi="GHEA Grapalat" w:cs="Sylfaen"/>
          <w:sz w:val="24"/>
          <w:szCs w:val="24"/>
        </w:rPr>
        <w:t>այլ անհրաժեշտ ներքին իր</w:t>
      </w:r>
      <w:r>
        <w:rPr>
          <w:rFonts w:ascii="GHEA Grapalat" w:hAnsi="GHEA Grapalat" w:cs="Sylfaen"/>
          <w:sz w:val="24"/>
          <w:szCs w:val="24"/>
        </w:rPr>
        <w:t>ավական համակարգի առկայությունը</w:t>
      </w:r>
      <w:r w:rsidRPr="00670181">
        <w:rPr>
          <w:rFonts w:ascii="GHEA Grapalat" w:hAnsi="GHEA Grapalat" w:cs="Sylfaen"/>
          <w:sz w:val="24"/>
          <w:szCs w:val="24"/>
        </w:rPr>
        <w:t xml:space="preserve">, </w:t>
      </w:r>
      <w:r w:rsidRPr="00C41B82">
        <w:rPr>
          <w:rFonts w:ascii="GHEA Grapalat" w:hAnsi="GHEA Grapalat" w:cs="Sylfaen"/>
          <w:sz w:val="24"/>
          <w:szCs w:val="24"/>
        </w:rPr>
        <w:t>միաժամանակ</w:t>
      </w:r>
      <w:r w:rsidRPr="00670181">
        <w:rPr>
          <w:rFonts w:ascii="GHEA Grapalat" w:hAnsi="GHEA Grapalat" w:cs="Sylfaen"/>
          <w:sz w:val="24"/>
          <w:szCs w:val="24"/>
        </w:rPr>
        <w:t xml:space="preserve"> համալսարանական ձեռնարկատիրության համար անհրաժեշտ ֆիզիկական տարածքների` համալսարանական ինկուբատորների և ձեռնարկությունների առաջխաղացման կենտրոնների ստեղծումը:</w:t>
      </w:r>
    </w:p>
    <w:p w14:paraId="20219750" w14:textId="6EC9A046" w:rsidR="00C41B82" w:rsidRPr="007770C2" w:rsidRDefault="00C41B82" w:rsidP="00C41B82">
      <w:pPr>
        <w:tabs>
          <w:tab w:val="left" w:pos="851"/>
          <w:tab w:val="left" w:pos="993"/>
        </w:tabs>
        <w:spacing w:line="276" w:lineRule="auto"/>
        <w:ind w:firstLine="567"/>
        <w:jc w:val="both"/>
        <w:rPr>
          <w:rFonts w:ascii="GHEA Grapalat" w:hAnsi="GHEA Grapalat" w:cs="Sylfaen"/>
          <w:sz w:val="24"/>
          <w:szCs w:val="24"/>
        </w:rPr>
      </w:pPr>
      <w:r w:rsidRPr="00670181">
        <w:rPr>
          <w:rFonts w:ascii="GHEA Grapalat" w:hAnsi="GHEA Grapalat" w:cs="Sylfaen"/>
          <w:sz w:val="24"/>
          <w:szCs w:val="24"/>
        </w:rPr>
        <w:t>Հաշվի առնելով մեկնարկային փուլում գտնվող նախաձեռնությունների խոցելիությունը</w:t>
      </w:r>
      <w:r w:rsidRPr="00C41B82">
        <w:rPr>
          <w:rFonts w:ascii="GHEA Grapalat" w:hAnsi="GHEA Grapalat" w:cs="Sylfaen"/>
          <w:sz w:val="24"/>
          <w:szCs w:val="24"/>
        </w:rPr>
        <w:t>՝</w:t>
      </w:r>
      <w:r w:rsidRPr="00670181">
        <w:rPr>
          <w:rFonts w:ascii="GHEA Grapalat" w:hAnsi="GHEA Grapalat" w:cs="Sylfaen"/>
          <w:sz w:val="24"/>
          <w:szCs w:val="24"/>
        </w:rPr>
        <w:t xml:space="preserve"> ներդրումներ ներգրավելու մասով անհրաժեշտ </w:t>
      </w:r>
      <w:r w:rsidRPr="00C72AB5">
        <w:rPr>
          <w:rFonts w:ascii="GHEA Grapalat" w:hAnsi="GHEA Grapalat" w:cs="Sylfaen"/>
          <w:sz w:val="24"/>
          <w:szCs w:val="24"/>
        </w:rPr>
        <w:t xml:space="preserve">է ստեղծել </w:t>
      </w:r>
      <w:r w:rsidRPr="00C72AB5">
        <w:rPr>
          <w:rFonts w:ascii="GHEA Grapalat" w:hAnsi="GHEA Grapalat" w:cs="Sylfaen"/>
          <w:sz w:val="24"/>
          <w:szCs w:val="24"/>
        </w:rPr>
        <w:lastRenderedPageBreak/>
        <w:t>հետազոտությունից բիզնես ռիսկային նախաձեռնությունների գնահատման և ներդրումների պետական հիմնադրամ, որը կհանդիսանա նոր մեկնարկող կազմակերպություններում առաջին ներդրող` որոշակի ձևաչափով` կամ ցածր տոկո</w:t>
      </w:r>
      <w:r w:rsidRPr="00754AA4">
        <w:rPr>
          <w:rFonts w:ascii="GHEA Grapalat" w:hAnsi="GHEA Grapalat" w:cs="Sylfaen"/>
          <w:sz w:val="24"/>
          <w:szCs w:val="24"/>
        </w:rPr>
        <w:t xml:space="preserve">ս </w:t>
      </w:r>
      <w:r w:rsidRPr="00C72AB5">
        <w:rPr>
          <w:rFonts w:ascii="GHEA Grapalat" w:hAnsi="GHEA Grapalat" w:cs="Sylfaen"/>
          <w:sz w:val="24"/>
          <w:szCs w:val="24"/>
        </w:rPr>
        <w:t xml:space="preserve">վարկավորմամբ, կամ </w:t>
      </w:r>
      <w:r w:rsidRPr="00C41B82">
        <w:rPr>
          <w:rFonts w:ascii="GHEA Grapalat" w:hAnsi="GHEA Grapalat" w:cs="Sylfaen"/>
          <w:sz w:val="24"/>
          <w:szCs w:val="24"/>
        </w:rPr>
        <w:t>մասնա</w:t>
      </w:r>
      <w:r w:rsidRPr="00C72AB5">
        <w:rPr>
          <w:rFonts w:ascii="GHEA Grapalat" w:hAnsi="GHEA Grapalat" w:cs="Sylfaen"/>
          <w:sz w:val="24"/>
          <w:szCs w:val="24"/>
        </w:rPr>
        <w:t>բաժինների ձեռքբերմամբ կամ այլ արդյունավետ մեխանիզմներով: Ծրագրի շրջանակներում նաև հատուկ ուշադրություն է դարձվելու կրթություն-գիտություն-արտադրություն եռանկյունու զարգացմանը և ինստիտուցիոնալացմանը, ինչը նշանակում է հետազոտական համակարգի և մասնավոր հատվածի միջև երկկողմանի համագործակցություն` մի կողմից հետազոտական համակարգից նոր կազմակերպությունների ստեղծմամբ, կա</w:t>
      </w:r>
      <w:r>
        <w:rPr>
          <w:rFonts w:ascii="GHEA Grapalat" w:hAnsi="GHEA Grapalat" w:cs="Sylfaen"/>
          <w:sz w:val="24"/>
          <w:szCs w:val="24"/>
        </w:rPr>
        <w:t>՛</w:t>
      </w:r>
      <w:r w:rsidRPr="00C72AB5">
        <w:rPr>
          <w:rFonts w:ascii="GHEA Grapalat" w:hAnsi="GHEA Grapalat" w:cs="Sylfaen"/>
          <w:sz w:val="24"/>
          <w:szCs w:val="24"/>
        </w:rPr>
        <w:t>մ մտավոր սեփականության օբյեկտների օգտագործման լիցենզիաների տրամադրմամբ, կա</w:t>
      </w:r>
      <w:r>
        <w:rPr>
          <w:rFonts w:ascii="GHEA Grapalat" w:hAnsi="GHEA Grapalat" w:cs="Sylfaen"/>
          <w:sz w:val="24"/>
          <w:szCs w:val="24"/>
        </w:rPr>
        <w:t>՛</w:t>
      </w:r>
      <w:r w:rsidRPr="00C72AB5">
        <w:rPr>
          <w:rFonts w:ascii="GHEA Grapalat" w:hAnsi="GHEA Grapalat" w:cs="Sylfaen"/>
          <w:sz w:val="24"/>
          <w:szCs w:val="24"/>
        </w:rPr>
        <w:t>մ  մասնավոր հատվածում առաջացած հետազոտական բնույթի խնդիրների հետազոտմամբ կա</w:t>
      </w:r>
      <w:r>
        <w:rPr>
          <w:rFonts w:ascii="GHEA Grapalat" w:hAnsi="GHEA Grapalat" w:cs="Sylfaen"/>
          <w:sz w:val="24"/>
          <w:szCs w:val="24"/>
        </w:rPr>
        <w:t>՛</w:t>
      </w:r>
      <w:r w:rsidRPr="00C72AB5">
        <w:rPr>
          <w:rFonts w:ascii="GHEA Grapalat" w:hAnsi="GHEA Grapalat" w:cs="Sylfaen"/>
          <w:sz w:val="24"/>
          <w:szCs w:val="24"/>
        </w:rPr>
        <w:t>մ լուծմամբ, կա</w:t>
      </w:r>
      <w:r>
        <w:rPr>
          <w:rFonts w:ascii="GHEA Grapalat" w:hAnsi="GHEA Grapalat" w:cs="Sylfaen"/>
          <w:sz w:val="24"/>
          <w:szCs w:val="24"/>
        </w:rPr>
        <w:t>՛</w:t>
      </w:r>
      <w:r w:rsidRPr="00C72AB5">
        <w:rPr>
          <w:rFonts w:ascii="GHEA Grapalat" w:hAnsi="GHEA Grapalat" w:cs="Sylfaen"/>
          <w:sz w:val="24"/>
          <w:szCs w:val="24"/>
        </w:rPr>
        <w:t>մ մասնավոր հատվածի աշխատողների վերապատրաստումներով գիտական կազմակերպություններում, կա</w:t>
      </w:r>
      <w:r>
        <w:rPr>
          <w:rFonts w:ascii="GHEA Grapalat" w:hAnsi="GHEA Grapalat" w:cs="Sylfaen"/>
          <w:sz w:val="24"/>
          <w:szCs w:val="24"/>
        </w:rPr>
        <w:t>՛</w:t>
      </w:r>
      <w:r w:rsidRPr="00C72AB5">
        <w:rPr>
          <w:rFonts w:ascii="GHEA Grapalat" w:hAnsi="GHEA Grapalat" w:cs="Sylfaen"/>
          <w:sz w:val="24"/>
          <w:szCs w:val="24"/>
        </w:rPr>
        <w:t>մ գիտական կազմակերպությունների հնարավորությունների տրամադրմամբ` որոշակի հետազոտությունների կա</w:t>
      </w:r>
      <w:r>
        <w:rPr>
          <w:rFonts w:ascii="GHEA Grapalat" w:hAnsi="GHEA Grapalat" w:cs="Sylfaen"/>
          <w:sz w:val="24"/>
          <w:szCs w:val="24"/>
        </w:rPr>
        <w:t>՛</w:t>
      </w:r>
      <w:r w:rsidRPr="00C72AB5">
        <w:rPr>
          <w:rFonts w:ascii="GHEA Grapalat" w:hAnsi="GHEA Grapalat" w:cs="Sylfaen"/>
          <w:sz w:val="24"/>
          <w:szCs w:val="24"/>
        </w:rPr>
        <w:t>մ նախատիպերի ստեղծման համար, մյուս կողմից` մասնավորի կողմից խնդիրների առաջադրմամբ, մասնավոր կազմակերպությունների հզորությունների կամ տվյալների կիրառություն հետազոտական աշխատանքների և հմտությունների բարձրացման համար: Անհրաժեշտ է հաշվի առնել նաև գիտական նախաձեռնություններում ուսանողական համայնքի կարևորությունը, քանի որ համալսարանական ստարտափներն ու կոմերցիոն ձեռնարկումները հիմնականում ծագում են ուսանողների նախաձեռնությամբ և այս պարագայում խիստ կարևոր է ուսանողների ներգրավվածությունը հետազոտական աշխատանքներում` ուսանողական շրջանի հնարավորինս վաղ ժամանակահատվածից, ինչպես նաև մասնավոր հատվածում ուսանողների ներգրավվածությունը</w:t>
      </w:r>
      <w:r w:rsidRPr="00C41B82">
        <w:rPr>
          <w:rFonts w:ascii="GHEA Grapalat" w:hAnsi="GHEA Grapalat" w:cs="Sylfaen"/>
          <w:sz w:val="24"/>
          <w:szCs w:val="24"/>
        </w:rPr>
        <w:t>,</w:t>
      </w:r>
      <w:r w:rsidRPr="00C72AB5">
        <w:rPr>
          <w:rFonts w:ascii="GHEA Grapalat" w:hAnsi="GHEA Grapalat" w:cs="Sylfaen"/>
          <w:sz w:val="24"/>
          <w:szCs w:val="24"/>
        </w:rPr>
        <w:t xml:space="preserve"> որպես փորձնակներ կամ այլ տարբերակով, </w:t>
      </w:r>
      <w:r w:rsidRPr="00670181">
        <w:rPr>
          <w:rFonts w:ascii="GHEA Grapalat" w:hAnsi="GHEA Grapalat" w:cs="Sylfaen"/>
          <w:sz w:val="24"/>
          <w:szCs w:val="24"/>
        </w:rPr>
        <w:t>ինչը կապահովի խնդիրների կամ հնարավորությունների վերհանումը և դրանց լուծման կամ իրացման ուղղությամբ աշխատանքը, որը պետք է հնարավորինս երաշխավորվի ու համապատասխանաբար զարգացվի բուհական կամ նաև պետական աջակցության մեխանիզմներով:</w:t>
      </w:r>
      <w:r w:rsidR="007770C2" w:rsidRPr="000570F2">
        <w:rPr>
          <w:rFonts w:ascii="GHEA Grapalat" w:hAnsi="GHEA Grapalat" w:cs="Sylfaen"/>
          <w:sz w:val="24"/>
          <w:szCs w:val="24"/>
        </w:rPr>
        <w:t xml:space="preserve"> </w:t>
      </w:r>
      <w:r w:rsidR="007770C2">
        <w:rPr>
          <w:rFonts w:ascii="GHEA Grapalat" w:hAnsi="GHEA Grapalat" w:cs="Sylfaen"/>
          <w:sz w:val="24"/>
          <w:szCs w:val="24"/>
        </w:rPr>
        <w:t xml:space="preserve">Կարևորագույն խնդիրներից է հանդիսանում նաև մտավոր սեփականության գրանցման և պաշտպանության պետական համակարգի վերափոխումը այնպես, որ այն դիտարկվի որպես առևտրայնացման պոտենցիալ ունեցող հայտնագործությունների և մշակումների պաշտպանության նախընտրելի և հասկանալի եղանակ: Միևնույն ժամանակ սկսնակ ձեռնարկություններում հանրային ներդրումների </w:t>
      </w:r>
      <w:r w:rsidR="00137D73">
        <w:rPr>
          <w:rFonts w:ascii="GHEA Grapalat" w:hAnsi="GHEA Grapalat" w:cs="Sylfaen"/>
          <w:sz w:val="24"/>
          <w:szCs w:val="24"/>
        </w:rPr>
        <w:t xml:space="preserve">վստահելի </w:t>
      </w:r>
      <w:r w:rsidR="007770C2">
        <w:rPr>
          <w:rFonts w:ascii="GHEA Grapalat" w:hAnsi="GHEA Grapalat" w:cs="Sylfaen"/>
          <w:sz w:val="24"/>
          <w:szCs w:val="24"/>
        </w:rPr>
        <w:t>առցանց</w:t>
      </w:r>
      <w:r w:rsidR="00137D73">
        <w:rPr>
          <w:rFonts w:ascii="GHEA Grapalat" w:hAnsi="GHEA Grapalat" w:cs="Sylfaen"/>
          <w:sz w:val="24"/>
          <w:szCs w:val="24"/>
        </w:rPr>
        <w:t xml:space="preserve"> </w:t>
      </w:r>
      <w:r w:rsidR="007770C2">
        <w:rPr>
          <w:rFonts w:ascii="GHEA Grapalat" w:hAnsi="GHEA Grapalat" w:cs="Sylfaen"/>
          <w:sz w:val="24"/>
          <w:szCs w:val="24"/>
        </w:rPr>
        <w:t xml:space="preserve">հարթակների առկայությունը </w:t>
      </w:r>
      <w:r w:rsidR="00137D73">
        <w:rPr>
          <w:rFonts w:ascii="GHEA Grapalat" w:hAnsi="GHEA Grapalat" w:cs="Sylfaen"/>
          <w:sz w:val="24"/>
          <w:szCs w:val="24"/>
        </w:rPr>
        <w:t>հնարավորություն կտա ինչպես բարձրացնելու հանրային ակտիվությունը ստարտափների ֆինանսավորման մեջ, այնպես էլ հանրության համար կդառնա գիտատար ստարտափներում փայաբաժիններ ձեռք բերելով ապագա եկամուտներ ստանալու հավելյալ հնարավորություն, միաժամանակ բարձրացնելով նաև հետազոտությունների, մշակումների և նորարարության հանդեպ հանրային հետաքրքրվածության մակարդակը:</w:t>
      </w:r>
      <w:r w:rsidR="007770C2">
        <w:rPr>
          <w:rFonts w:ascii="GHEA Grapalat" w:hAnsi="GHEA Grapalat" w:cs="Sylfaen"/>
          <w:sz w:val="24"/>
          <w:szCs w:val="24"/>
        </w:rPr>
        <w:t xml:space="preserve"> </w:t>
      </w:r>
    </w:p>
    <w:p w14:paraId="43B691D5" w14:textId="71F46B99" w:rsidR="00C41B82" w:rsidRPr="00C72AB5" w:rsidRDefault="00C41B82" w:rsidP="00C41B82">
      <w:pPr>
        <w:tabs>
          <w:tab w:val="left" w:pos="851"/>
          <w:tab w:val="left" w:pos="993"/>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lastRenderedPageBreak/>
        <w:t>Արդյունքում` առկա է համալսարաններում մտավոր սեփականության հարցերին վերաբերող ամբողջական շղթան նկարագրող պատշաճ իրավական շրջանակ: Հիմնադրված է ռիսկային նախաձեռնություններում պետական ներդրումների հիմնադրամը, որը ներդրումներ է արել համալսարանական 10 նախաձեռնություններում: Համալսարաններում ստեղծված է գիտելիքի հնարավորինս լայն շրջանառությունը երաշխավորող և հմտությունների փոխանցման մեխանիզմների շրջանակ</w:t>
      </w:r>
      <w:r w:rsidRPr="00C41B82">
        <w:rPr>
          <w:rFonts w:ascii="GHEA Grapalat" w:hAnsi="GHEA Grapalat" w:cs="Sylfaen"/>
          <w:sz w:val="24"/>
          <w:szCs w:val="24"/>
        </w:rPr>
        <w:t>,</w:t>
      </w:r>
      <w:r w:rsidRPr="00C72AB5">
        <w:rPr>
          <w:rFonts w:ascii="GHEA Grapalat" w:hAnsi="GHEA Grapalat" w:cs="Sylfaen"/>
          <w:sz w:val="24"/>
          <w:szCs w:val="24"/>
        </w:rPr>
        <w:t xml:space="preserve"> որը երաշխավորում է կրթություն-գիտություն-արտադրություն (կրթություն-հետազոտություն-մասնավոր հատված) առավել</w:t>
      </w:r>
      <w:r w:rsidR="00D4555B">
        <w:rPr>
          <w:rFonts w:ascii="GHEA Grapalat" w:hAnsi="GHEA Grapalat" w:cs="Sylfaen"/>
          <w:sz w:val="24"/>
          <w:szCs w:val="24"/>
        </w:rPr>
        <w:t xml:space="preserve"> արդյունավետ փոխգործակցությունը</w:t>
      </w:r>
      <w:r w:rsidR="00137D73">
        <w:rPr>
          <w:rFonts w:ascii="GHEA Grapalat" w:hAnsi="GHEA Grapalat" w:cs="Sylfaen"/>
          <w:sz w:val="24"/>
          <w:szCs w:val="24"/>
        </w:rPr>
        <w:t xml:space="preserve">: Վերանայված է մտավոր սեփականության </w:t>
      </w:r>
      <w:r w:rsidR="0019597F">
        <w:rPr>
          <w:rFonts w:ascii="GHEA Grapalat" w:hAnsi="GHEA Grapalat" w:cs="Sylfaen"/>
          <w:sz w:val="24"/>
          <w:szCs w:val="24"/>
        </w:rPr>
        <w:t xml:space="preserve">գրանցման և </w:t>
      </w:r>
      <w:r w:rsidR="00137D73">
        <w:rPr>
          <w:rFonts w:ascii="GHEA Grapalat" w:hAnsi="GHEA Grapalat" w:cs="Sylfaen"/>
          <w:sz w:val="24"/>
          <w:szCs w:val="24"/>
        </w:rPr>
        <w:t xml:space="preserve">պաշտպանության </w:t>
      </w:r>
      <w:r w:rsidR="0019597F">
        <w:rPr>
          <w:rFonts w:ascii="GHEA Grapalat" w:hAnsi="GHEA Grapalat" w:cs="Sylfaen"/>
          <w:sz w:val="24"/>
          <w:szCs w:val="24"/>
        </w:rPr>
        <w:t>պետական համակարգը, այն դիտարկելով որպես հետազոտական համակարգի ապրանքայնացման և առևտրայնացման կարևորագույն օղակ: Ներդրված է նաև հանրային/խմբային ներդրումների առցանց համակարգը, որը հնարավորություն է տալիս քաղաքացիներին սեփական նախընտրությամբ դառնալու ստարտափներում ներդրող և փայատեր:</w:t>
      </w:r>
    </w:p>
    <w:p w14:paraId="4E0573F1" w14:textId="0F1B1A00" w:rsidR="00C41B82" w:rsidRPr="00C72AB5" w:rsidRDefault="00C41B82" w:rsidP="00C41B82">
      <w:pPr>
        <w:tabs>
          <w:tab w:val="left" w:pos="851"/>
          <w:tab w:val="left" w:pos="993"/>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t xml:space="preserve">2) </w:t>
      </w:r>
      <w:r w:rsidRPr="00C72AB5">
        <w:rPr>
          <w:rFonts w:ascii="GHEA Grapalat" w:hAnsi="GHEA Grapalat" w:cs="Sylfaen"/>
          <w:i/>
          <w:iCs/>
          <w:sz w:val="24"/>
          <w:szCs w:val="24"/>
        </w:rPr>
        <w:t xml:space="preserve">Լուծումների միտված հետազոտություններ, պետական պատվերի բավարարում </w:t>
      </w:r>
      <w:r w:rsidRPr="00C72AB5">
        <w:rPr>
          <w:rFonts w:ascii="GHEA Grapalat" w:hAnsi="GHEA Grapalat" w:cs="Sylfaen"/>
          <w:sz w:val="24"/>
          <w:szCs w:val="24"/>
        </w:rPr>
        <w:t xml:space="preserve">(ՄԱ 2-2): Այս ծրագրի նպատակն է մշակել հանրապետության կարիքներից բխող հետազոտությունների իրականացման այնպիսի համակարգ, որը կերաշխավորի հետազոտական կարիքների արդյունավետ վերհանումը, այդ կարիքների լուծման կամ հետազոտման համար առավելագույնս համապատասխան հետազոտողի կամ հետազոտական խմբերի ընտրությունը և հետազոտության արդյունքի հետագա կիրառումը խնդիրը </w:t>
      </w:r>
      <w:r w:rsidRPr="00C41B82">
        <w:rPr>
          <w:rFonts w:ascii="GHEA Grapalat" w:hAnsi="GHEA Grapalat" w:cs="Sylfaen"/>
          <w:sz w:val="24"/>
          <w:szCs w:val="24"/>
        </w:rPr>
        <w:t>սահմանող</w:t>
      </w:r>
      <w:r w:rsidRPr="00C72AB5">
        <w:rPr>
          <w:rFonts w:ascii="GHEA Grapalat" w:hAnsi="GHEA Grapalat" w:cs="Sylfaen"/>
          <w:sz w:val="24"/>
          <w:szCs w:val="24"/>
        </w:rPr>
        <w:t xml:space="preserve"> գերատեսչության կողմից: Կարևոր է նաև համաշխարհային նշանակության կիրառական խնդիրներին միտված հետազոտություններին մասնակցության հնարավորությունների և կարողությունների ստեղծումը, այս իմաստով անհրաժեշտ է ակտիվացնել Հորիզոն Եվրոպա կամ հաջորդ շրջանակային ծրագրում մասնակցությունը առաջնահերթություն ներկայացնող գլոբալ մարտահրավերներին նվիրված և բազմազգ հետազոտական աշխատանքներին: </w:t>
      </w:r>
      <w:r w:rsidR="00D4555B">
        <w:rPr>
          <w:rFonts w:ascii="GHEA Grapalat" w:hAnsi="GHEA Grapalat" w:cs="Sylfaen"/>
          <w:sz w:val="24"/>
          <w:szCs w:val="24"/>
        </w:rPr>
        <w:t>Սույն որոշմոմբ</w:t>
      </w:r>
      <w:r w:rsidRPr="00C72AB5">
        <w:rPr>
          <w:rFonts w:ascii="GHEA Grapalat" w:hAnsi="GHEA Grapalat" w:cs="Sylfaen"/>
          <w:sz w:val="24"/>
          <w:szCs w:val="24"/>
        </w:rPr>
        <w:t xml:space="preserve"> հաստատած գիտության և տեխն</w:t>
      </w:r>
      <w:r w:rsidR="00D4555B">
        <w:rPr>
          <w:rFonts w:ascii="GHEA Grapalat" w:hAnsi="GHEA Grapalat" w:cs="Sylfaen"/>
          <w:sz w:val="24"/>
          <w:szCs w:val="24"/>
        </w:rPr>
        <w:t xml:space="preserve">ոլոգիաների ոլորտների զարգացման 2026-20230 թվականների </w:t>
      </w:r>
      <w:r w:rsidRPr="00C72AB5">
        <w:rPr>
          <w:rFonts w:ascii="GHEA Grapalat" w:hAnsi="GHEA Grapalat" w:cs="Sylfaen"/>
          <w:sz w:val="24"/>
          <w:szCs w:val="24"/>
        </w:rPr>
        <w:t xml:space="preserve">գերակա ուղղություններով </w:t>
      </w:r>
      <w:r>
        <w:rPr>
          <w:rFonts w:ascii="GHEA Grapalat" w:hAnsi="GHEA Grapalat" w:cs="Sylfaen"/>
          <w:sz w:val="24"/>
          <w:szCs w:val="24"/>
        </w:rPr>
        <w:t>կի</w:t>
      </w:r>
      <w:r w:rsidRPr="00C72AB5">
        <w:rPr>
          <w:rFonts w:ascii="GHEA Grapalat" w:hAnsi="GHEA Grapalat" w:cs="Sylfaen"/>
          <w:sz w:val="24"/>
          <w:szCs w:val="24"/>
        </w:rPr>
        <w:t xml:space="preserve">րականացվեն համալիր ծրագրեր, որոնք ներառում են բարձրագույն կրթության համապատասխան մակարդակներից սկսած մինչև մասնավոր հատվածի հետ համագործակցության խոշոր ծրագրերի մշակում և իրականացում, ինչպես նաև գերակայությունների ուղղությամբ գործունեություն իրականացնող մասնավոր կազմակերպությունների հետազոտական և ինովացիոն կարողությունների հզորացման ծրագրեր: Ծրագրի շրջանակներում իրականացվելու է նաև հանրային գիտահետազոտական կամ փորձակոնստրուկտորական կազմակերպությունների, ներառյալ գերատեսչական պատկանելության, գույքագրում և դրանց ներուժի պատշաճ գնահատում, ինչի հիման վրա կմշակվի նաև վերափոխման այնպիսի ճանապարհային քարտեզ, որի իրականացմամբ կերաշխավորվի, որ գերատեսչական հետազոտական կազմակերպությունները կաշխատեն առավելագույն արդյունավետությամբ, իսկ նրանք, </w:t>
      </w:r>
      <w:r w:rsidRPr="00C72AB5">
        <w:rPr>
          <w:rFonts w:ascii="GHEA Grapalat" w:hAnsi="GHEA Grapalat" w:cs="Sylfaen"/>
          <w:sz w:val="24"/>
          <w:szCs w:val="24"/>
        </w:rPr>
        <w:lastRenderedPageBreak/>
        <w:t>որոնց գործունեությունը կլինի առավելապես հիմնարար` կներառվեն համակարգի խոշորացման գործընթացում` «Ակադեմիական քաղաք» ծրագրի շրջանակներում:</w:t>
      </w:r>
    </w:p>
    <w:p w14:paraId="423DBD0B" w14:textId="332421F6" w:rsidR="00C41B82" w:rsidRPr="00C72AB5" w:rsidRDefault="00C41B82" w:rsidP="00C41B82">
      <w:pPr>
        <w:tabs>
          <w:tab w:val="left" w:pos="851"/>
          <w:tab w:val="left" w:pos="993"/>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t>Արդյունքում` պատրաստության ամենաբարձր մակարդակ ունեցող գերակայությունների ուղղությամբ միջոլորտային մասնագիտական խմբերի կողմից մշակվել և հաստատվել է միջոցառումների համալիր 2 ծրագիր: Գերակայությունների ուղղությամբ իրականացվում են հետազոտական առնվազն 10 խոշոր ծրագրեր, որոնց մշտադիտարկման համար ներդրված է մասնակցային մեխանիզմ` գիտական և</w:t>
      </w:r>
      <w:r w:rsidR="00D4555B">
        <w:rPr>
          <w:rFonts w:ascii="GHEA Grapalat" w:hAnsi="GHEA Grapalat" w:cs="Sylfaen"/>
          <w:sz w:val="24"/>
          <w:szCs w:val="24"/>
        </w:rPr>
        <w:t xml:space="preserve"> գիտատեխնոլոգիական</w:t>
      </w:r>
      <w:r w:rsidRPr="00C72AB5">
        <w:rPr>
          <w:rFonts w:ascii="GHEA Grapalat" w:hAnsi="GHEA Grapalat" w:cs="Sylfaen"/>
          <w:sz w:val="24"/>
          <w:szCs w:val="24"/>
        </w:rPr>
        <w:t xml:space="preserve"> բնագավառներին համապատասխան մասնավոր կազմակերպությունների կողմից: Ներդրված է գերակայությունների ուղղություններով գիտություն-բիզնես երկխոսության հարթակ, որի շրջանակներում կազմակերպվում են մասնագիտացված ձևով ուղեկցվող համաժողովներ կամ ոչ ֆորմալ քննարկումներ` հետազոտությունների և գործարար ոլորտների փոխադարձ վստահության</w:t>
      </w:r>
      <w:r w:rsidRPr="00C41B82">
        <w:rPr>
          <w:rFonts w:ascii="GHEA Grapalat" w:hAnsi="GHEA Grapalat" w:cs="Sylfaen"/>
          <w:sz w:val="24"/>
          <w:szCs w:val="24"/>
        </w:rPr>
        <w:t>,</w:t>
      </w:r>
      <w:r w:rsidRPr="00C72AB5">
        <w:rPr>
          <w:rFonts w:ascii="GHEA Grapalat" w:hAnsi="GHEA Grapalat" w:cs="Sylfaen"/>
          <w:sz w:val="24"/>
          <w:szCs w:val="24"/>
        </w:rPr>
        <w:t xml:space="preserve"> ինչպես նաև ընկալման ու շփման շրջանակի ձևավորման համար: Հղկված է պետական պատվերի ձևակերպման ընթացակարգը, ներառյալ խնդրի դրվածքի, ակնկալվող վերջնարդյուն</w:t>
      </w:r>
      <w:r>
        <w:rPr>
          <w:rFonts w:ascii="GHEA Grapalat" w:hAnsi="GHEA Grapalat" w:cs="Sylfaen"/>
          <w:sz w:val="24"/>
          <w:szCs w:val="24"/>
        </w:rPr>
        <w:t>քների և դրանց տնօրինման ձևաչափի</w:t>
      </w:r>
      <w:r w:rsidRPr="00C41B82">
        <w:rPr>
          <w:rFonts w:ascii="GHEA Grapalat" w:hAnsi="GHEA Grapalat" w:cs="Sylfaen"/>
          <w:sz w:val="24"/>
          <w:szCs w:val="24"/>
        </w:rPr>
        <w:t>: Արդյունքում</w:t>
      </w:r>
      <w:r w:rsidRPr="00C72AB5">
        <w:rPr>
          <w:rFonts w:ascii="GHEA Grapalat" w:hAnsi="GHEA Grapalat" w:cs="Sylfaen"/>
          <w:sz w:val="24"/>
          <w:szCs w:val="24"/>
        </w:rPr>
        <w:t xml:space="preserve"> վերանայված է նպատակային հետազոտությունների տրամադրման մեխանիզմն ու տրամաբանությունը` հնարավորինս նվազեցնելով խնդրի վերջնական ձևակերպումից մինչև լուծման աշխատանքների</w:t>
      </w:r>
      <w:r w:rsidR="00D4555B">
        <w:rPr>
          <w:rFonts w:ascii="GHEA Grapalat" w:hAnsi="GHEA Grapalat" w:cs="Sylfaen"/>
          <w:sz w:val="24"/>
          <w:szCs w:val="24"/>
        </w:rPr>
        <w:t xml:space="preserve"> մեկնարկն ընկած ժամանակահատվածը․</w:t>
      </w:r>
    </w:p>
    <w:p w14:paraId="558A1654" w14:textId="547B1FCE" w:rsidR="00C41B82" w:rsidRPr="00C72AB5" w:rsidRDefault="00C41B82" w:rsidP="00C41B82">
      <w:pPr>
        <w:tabs>
          <w:tab w:val="left" w:pos="851"/>
          <w:tab w:val="left" w:pos="993"/>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t xml:space="preserve">3) </w:t>
      </w:r>
      <w:r w:rsidRPr="00C72AB5">
        <w:rPr>
          <w:rFonts w:ascii="GHEA Grapalat" w:hAnsi="GHEA Grapalat" w:cs="Sylfaen"/>
          <w:i/>
          <w:iCs/>
          <w:sz w:val="24"/>
          <w:szCs w:val="24"/>
        </w:rPr>
        <w:t>Պաշտպանական և երկակի նշանակության հետազոտություններ</w:t>
      </w:r>
      <w:r w:rsidRPr="00C72AB5">
        <w:rPr>
          <w:rFonts w:ascii="GHEA Grapalat" w:hAnsi="GHEA Grapalat" w:cs="Sylfaen"/>
          <w:sz w:val="24"/>
          <w:szCs w:val="24"/>
        </w:rPr>
        <w:t xml:space="preserve"> (ՄԱ 2-3): Այս ծրագրի նպատակն է պաշտպանական </w:t>
      </w:r>
      <w:r w:rsidR="00F36F23">
        <w:rPr>
          <w:rFonts w:ascii="GHEA Grapalat" w:hAnsi="GHEA Grapalat" w:cs="Arial"/>
          <w:sz w:val="24"/>
          <w:szCs w:val="24"/>
        </w:rPr>
        <w:t>ՀևՄ</w:t>
      </w:r>
      <w:r w:rsidR="00F36F23" w:rsidRPr="00C72AB5">
        <w:rPr>
          <w:rFonts w:ascii="GHEA Grapalat" w:hAnsi="GHEA Grapalat" w:cs="Sylfaen"/>
          <w:sz w:val="24"/>
          <w:szCs w:val="24"/>
        </w:rPr>
        <w:t xml:space="preserve"> </w:t>
      </w:r>
      <w:r w:rsidRPr="00C72AB5">
        <w:rPr>
          <w:rFonts w:ascii="GHEA Grapalat" w:hAnsi="GHEA Grapalat" w:cs="Sylfaen"/>
          <w:sz w:val="24"/>
          <w:szCs w:val="24"/>
        </w:rPr>
        <w:t>ոլորտում իրականացվող քաղաքականությունների համուղղում` կազմակերպություններում հմտությունների պատշաճ մակարդակ ապահովելու նպատակով: Անհրաժեշտ է նաև ռեսուրսների պատշաճ օգտագործման համար կազմակերպությունների խոշորացում կամ առնվազն մեկտեղում` ֆիզիկական ենթակառուցվածքների մեջ պետական ներդրումներն ավելի արդյունավետ կիրառելու նպատակով</w:t>
      </w:r>
      <w:r w:rsidRPr="00C41B82">
        <w:rPr>
          <w:rFonts w:ascii="GHEA Grapalat" w:hAnsi="GHEA Grapalat" w:cs="Sylfaen"/>
          <w:sz w:val="24"/>
          <w:szCs w:val="24"/>
        </w:rPr>
        <w:t>,</w:t>
      </w:r>
      <w:r w:rsidRPr="00C72AB5">
        <w:rPr>
          <w:rFonts w:ascii="GHEA Grapalat" w:hAnsi="GHEA Grapalat" w:cs="Sylfaen"/>
          <w:sz w:val="24"/>
          <w:szCs w:val="24"/>
        </w:rPr>
        <w:t xml:space="preserve"> ինչպես նաև գիտամեթոդական ուղղորդում` ծրագրերի ղեկավարի ինստիտուտի ներդրմամբ: Անհրաժեշտ է նաև տարանջատել տեխնոլոգիաների զարգացվածության մակարդակներին համապատասխան պետական ներդրումների մեխանիզմները` մասնավորապես</w:t>
      </w:r>
      <w:r w:rsidRPr="00C41B82">
        <w:rPr>
          <w:rFonts w:ascii="GHEA Grapalat" w:hAnsi="GHEA Grapalat" w:cs="Sylfaen"/>
          <w:sz w:val="24"/>
          <w:szCs w:val="24"/>
        </w:rPr>
        <w:t>,</w:t>
      </w:r>
      <w:r w:rsidRPr="00C72AB5">
        <w:rPr>
          <w:rFonts w:ascii="GHEA Grapalat" w:hAnsi="GHEA Grapalat" w:cs="Sylfaen"/>
          <w:sz w:val="24"/>
          <w:szCs w:val="24"/>
        </w:rPr>
        <w:t xml:space="preserve"> ավելի ցածր պատրաստվածության մակարդակ ունեցող կոնցեպտների շուրջ ՀևՄ աշխատանքների համար նախատեսել այլ տիպի աշխատանքների իրականացում` ի սկզբանե ընդունելով այ</w:t>
      </w:r>
      <w:r w:rsidRPr="00C41B82">
        <w:rPr>
          <w:rFonts w:ascii="GHEA Grapalat" w:hAnsi="GHEA Grapalat" w:cs="Sylfaen"/>
          <w:sz w:val="24"/>
          <w:szCs w:val="24"/>
        </w:rPr>
        <w:t>ս</w:t>
      </w:r>
      <w:r w:rsidRPr="00C72AB5">
        <w:rPr>
          <w:rFonts w:ascii="GHEA Grapalat" w:hAnsi="GHEA Grapalat" w:cs="Sylfaen"/>
          <w:sz w:val="24"/>
          <w:szCs w:val="24"/>
        </w:rPr>
        <w:t xml:space="preserve"> տիպի աշխատանքների ավելի բարձր ռիսկայնությունը, իսկ տեխնոլոգիական ավելի բարձր պատրաստվածության մակարդակի ծրագրերի համար որդեգրել այլ մեխանիզմներ` վերջնարդյունքների ավելի հստակ ակնկալիքներով և դրանց հավաստման մեխանիզմների հստակությամբ: Անհրաժեշտ է նաև երաշխավորված ծրագրերի գիտամեթոդական ուղեկցում, ինչի համար պետք է կազմակերպվեն ֆինանսավորված ծրագրերի պարբերական բովանդակային ստուգատեսներ: Միևնույն ժամանակ պաշտպանական ոլորտում գործունեություն իրականացնող կազմակերպությունների կայունության ապահովման համար անհրաժեշտ է նաև խրախուսել կազմակերպություններին իրենց կարողությունները նաև քաղաքացիական կամ ոչ պաշտպանական նպատակներով կիրառելու ուղղությամբ:</w:t>
      </w:r>
    </w:p>
    <w:p w14:paraId="2D876B5C" w14:textId="77777777" w:rsidR="00C41B82" w:rsidRPr="00C72AB5" w:rsidRDefault="00C41B82" w:rsidP="00C41B82">
      <w:pPr>
        <w:tabs>
          <w:tab w:val="left" w:pos="851"/>
          <w:tab w:val="left" w:pos="993"/>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lastRenderedPageBreak/>
        <w:t>Արդյունքում` պաշտպանական ոլորտի ՀևՄ ծրագրերի համար հատկացվող պետական ֆինանսավորման կատարողականը բարձրացել է մինչև առնվազն 80%: Վերանայված են պաշտպանական ՀևՄ ծրագրերի կազմակերպման ընթացակարգերն ըստ տեխնոլոգիաների պատրաստվածության մակարդակի: Ներդրված է ծրագրերի ղեկավարի ինստիտուտը, որը պատասխանատու է թեմատիկ շրջանակում իրականացվող ներդրումների համուղղմամբ և աշխատանքների կոմպլեմենտարության մեծացման համար: Ներդրված է նաև ոլորտում ներգրավված մասնագետների որակավորման բարձրացման ծրագիրը:</w:t>
      </w:r>
    </w:p>
    <w:p w14:paraId="3F2E6FE7" w14:textId="49E763DC" w:rsidR="00C41B82" w:rsidRPr="00C72AB5" w:rsidRDefault="00C41B82" w:rsidP="00C41B82">
      <w:pPr>
        <w:tabs>
          <w:tab w:val="left" w:pos="851"/>
          <w:tab w:val="left" w:pos="993"/>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t xml:space="preserve">4) </w:t>
      </w:r>
      <w:r w:rsidRPr="00C72AB5">
        <w:rPr>
          <w:rFonts w:ascii="GHEA Grapalat" w:hAnsi="GHEA Grapalat" w:cs="Sylfaen"/>
          <w:i/>
          <w:iCs/>
          <w:sz w:val="24"/>
          <w:szCs w:val="24"/>
        </w:rPr>
        <w:t xml:space="preserve">Մասնավոր հատվածում </w:t>
      </w:r>
      <w:r w:rsidR="00F36F23">
        <w:rPr>
          <w:rFonts w:ascii="GHEA Grapalat" w:hAnsi="GHEA Grapalat" w:cs="Arial"/>
          <w:sz w:val="24"/>
          <w:szCs w:val="24"/>
        </w:rPr>
        <w:t>ՀևՄ</w:t>
      </w:r>
      <w:r w:rsidR="00F36F23" w:rsidRPr="00C72AB5">
        <w:rPr>
          <w:rFonts w:ascii="GHEA Grapalat" w:hAnsi="GHEA Grapalat" w:cs="Sylfaen"/>
          <w:i/>
          <w:iCs/>
          <w:sz w:val="24"/>
          <w:szCs w:val="24"/>
        </w:rPr>
        <w:t xml:space="preserve"> </w:t>
      </w:r>
      <w:r w:rsidRPr="00C72AB5">
        <w:rPr>
          <w:rFonts w:ascii="GHEA Grapalat" w:hAnsi="GHEA Grapalat" w:cs="Sylfaen"/>
          <w:i/>
          <w:iCs/>
          <w:sz w:val="24"/>
          <w:szCs w:val="24"/>
        </w:rPr>
        <w:t>խթանում</w:t>
      </w:r>
      <w:r w:rsidRPr="00C72AB5">
        <w:rPr>
          <w:rFonts w:ascii="GHEA Grapalat" w:hAnsi="GHEA Grapalat" w:cs="Sylfaen"/>
          <w:sz w:val="24"/>
          <w:szCs w:val="24"/>
        </w:rPr>
        <w:t xml:space="preserve"> (ՄԱ 2-4): Այս ծրագրի նպատակն է մասնավոր հատվածում </w:t>
      </w:r>
      <w:r w:rsidR="00F36F23">
        <w:rPr>
          <w:rFonts w:ascii="GHEA Grapalat" w:hAnsi="GHEA Grapalat" w:cs="Arial"/>
          <w:sz w:val="24"/>
          <w:szCs w:val="24"/>
        </w:rPr>
        <w:t>ՀևՄ</w:t>
      </w:r>
      <w:r w:rsidR="00F36F23" w:rsidRPr="00C72AB5">
        <w:rPr>
          <w:rFonts w:ascii="GHEA Grapalat" w:hAnsi="GHEA Grapalat" w:cs="Sylfaen"/>
          <w:sz w:val="24"/>
          <w:szCs w:val="24"/>
        </w:rPr>
        <w:t xml:space="preserve"> </w:t>
      </w:r>
      <w:r w:rsidRPr="00C72AB5">
        <w:rPr>
          <w:rFonts w:ascii="GHEA Grapalat" w:hAnsi="GHEA Grapalat" w:cs="Sylfaen"/>
          <w:sz w:val="24"/>
          <w:szCs w:val="24"/>
        </w:rPr>
        <w:t>ուղղությամբ աշխատանքների խթանմանն ուղղված պետական քաղաքականությունների գույքագրումը և դրանց արդյունավետության գնահատումը: Այս իմաստով անհրաժեշտ է ծրագրերն ուղղել ոչ միայն անցյալում իրականացված աշխատանքների համար փոխհատուցումների կամ արտոնությունների համատեքստում, այն իրականացնել ապագային միտված ծրագրերի աջակցություններ` անցյալում գրանցված հաջողությունների համար, այսպիսով պետական աջակցությ</w:t>
      </w:r>
      <w:r>
        <w:rPr>
          <w:rFonts w:ascii="GHEA Grapalat" w:hAnsi="GHEA Grapalat" w:cs="Sylfaen"/>
          <w:sz w:val="24"/>
          <w:szCs w:val="24"/>
        </w:rPr>
        <w:t xml:space="preserve">ունը կլինի ավելի նախաձեռնողական՝ միտված </w:t>
      </w:r>
      <w:r w:rsidRPr="00C72AB5">
        <w:rPr>
          <w:rFonts w:ascii="GHEA Grapalat" w:hAnsi="GHEA Grapalat" w:cs="Sylfaen"/>
          <w:sz w:val="24"/>
          <w:szCs w:val="24"/>
        </w:rPr>
        <w:t>ապագային և կազմակերպության հզորացմանը, հնարավորություն կունենա առաջարկել</w:t>
      </w:r>
      <w:r w:rsidRPr="00C41B82">
        <w:rPr>
          <w:rFonts w:ascii="GHEA Grapalat" w:hAnsi="GHEA Grapalat" w:cs="Sylfaen"/>
          <w:sz w:val="24"/>
          <w:szCs w:val="24"/>
        </w:rPr>
        <w:t>ու</w:t>
      </w:r>
      <w:r w:rsidRPr="00C72AB5">
        <w:rPr>
          <w:rFonts w:ascii="GHEA Grapalat" w:hAnsi="GHEA Grapalat" w:cs="Sylfaen"/>
          <w:sz w:val="24"/>
          <w:szCs w:val="24"/>
        </w:rPr>
        <w:t xml:space="preserve"> որոշակի փորձագիտական/մասնագիտական ուղղորդման տրամադր</w:t>
      </w:r>
      <w:r w:rsidRPr="00C41B82">
        <w:rPr>
          <w:rFonts w:ascii="GHEA Grapalat" w:hAnsi="GHEA Grapalat" w:cs="Sylfaen"/>
          <w:sz w:val="24"/>
          <w:szCs w:val="24"/>
        </w:rPr>
        <w:t>ու</w:t>
      </w:r>
      <w:r>
        <w:rPr>
          <w:rFonts w:ascii="GHEA Grapalat" w:hAnsi="GHEA Grapalat" w:cs="Sylfaen"/>
          <w:sz w:val="24"/>
          <w:szCs w:val="24"/>
        </w:rPr>
        <w:t>մ</w:t>
      </w:r>
      <w:r w:rsidRPr="00C41B82">
        <w:rPr>
          <w:rFonts w:ascii="GHEA Grapalat" w:hAnsi="GHEA Grapalat" w:cs="Sylfaen"/>
          <w:sz w:val="24"/>
          <w:szCs w:val="24"/>
        </w:rPr>
        <w:t>,</w:t>
      </w:r>
      <w:r>
        <w:rPr>
          <w:rFonts w:ascii="GHEA Grapalat" w:hAnsi="GHEA Grapalat" w:cs="Sylfaen"/>
          <w:sz w:val="24"/>
          <w:szCs w:val="24"/>
        </w:rPr>
        <w:t xml:space="preserve"> ինչպես նաև նպաստելու </w:t>
      </w:r>
      <w:r w:rsidRPr="00C72AB5">
        <w:rPr>
          <w:rFonts w:ascii="GHEA Grapalat" w:hAnsi="GHEA Grapalat" w:cs="Sylfaen"/>
          <w:sz w:val="24"/>
          <w:szCs w:val="24"/>
        </w:rPr>
        <w:t>մասնավոր-հանրային հետազոտական կազմակերպություն կապերի</w:t>
      </w:r>
      <w:r w:rsidRPr="00C41B82">
        <w:rPr>
          <w:rFonts w:ascii="GHEA Grapalat" w:hAnsi="GHEA Grapalat" w:cs="Sylfaen"/>
          <w:sz w:val="24"/>
          <w:szCs w:val="24"/>
        </w:rPr>
        <w:t xml:space="preserve"> ամրապնդմանը</w:t>
      </w:r>
      <w:r w:rsidRPr="00C72AB5">
        <w:rPr>
          <w:rFonts w:ascii="GHEA Grapalat" w:hAnsi="GHEA Grapalat" w:cs="Sylfaen"/>
          <w:sz w:val="24"/>
          <w:szCs w:val="24"/>
        </w:rPr>
        <w:t xml:space="preserve">: Միևնույն ժամանակ անհրաժեշտ է այնպիսի գործիքակազմի մշակում և կիրառում, որը կխրախուսի կազմակերպություններին ներդրումներ կատարել իրենց ՀևՄ ծրագրերում, քանի որ </w:t>
      </w:r>
      <w:r w:rsidRPr="00C41B82">
        <w:rPr>
          <w:rFonts w:ascii="GHEA Grapalat" w:hAnsi="GHEA Grapalat" w:cs="Sylfaen"/>
          <w:sz w:val="24"/>
          <w:szCs w:val="24"/>
        </w:rPr>
        <w:t>վերջինս</w:t>
      </w:r>
      <w:r w:rsidRPr="00C72AB5">
        <w:rPr>
          <w:rFonts w:ascii="GHEA Grapalat" w:hAnsi="GHEA Grapalat" w:cs="Sylfaen"/>
          <w:sz w:val="24"/>
          <w:szCs w:val="24"/>
        </w:rPr>
        <w:t xml:space="preserve"> հանդիսանում է շուկայում մրցակցային մնալու և առաջխաղացման կարևորագույն գրավականներից</w:t>
      </w:r>
      <w:r w:rsidRPr="00C41B82">
        <w:rPr>
          <w:rFonts w:ascii="GHEA Grapalat" w:hAnsi="GHEA Grapalat" w:cs="Sylfaen"/>
          <w:sz w:val="24"/>
          <w:szCs w:val="24"/>
        </w:rPr>
        <w:t xml:space="preserve"> մեկը</w:t>
      </w:r>
      <w:r w:rsidRPr="00C72AB5">
        <w:rPr>
          <w:rFonts w:ascii="GHEA Grapalat" w:hAnsi="GHEA Grapalat" w:cs="Sylfaen"/>
          <w:sz w:val="24"/>
          <w:szCs w:val="24"/>
        </w:rPr>
        <w:t>: Այս ծրագրի շրջանակներում կարևոր է նաև բուհական համակարգի և գիտական կազմակերպությունների կողմից մասնագիտական տարատեսակ մոդուլներով վերապատրաստման ծրագրերի (այդ թվում</w:t>
      </w:r>
      <w:r w:rsidR="00D4555B">
        <w:rPr>
          <w:rFonts w:ascii="GHEA Grapalat" w:hAnsi="GHEA Grapalat" w:cs="Sylfaen"/>
          <w:sz w:val="24"/>
          <w:szCs w:val="24"/>
        </w:rPr>
        <w:t>՝</w:t>
      </w:r>
      <w:r w:rsidRPr="00C72AB5">
        <w:rPr>
          <w:rFonts w:ascii="GHEA Grapalat" w:hAnsi="GHEA Grapalat" w:cs="Sylfaen"/>
          <w:sz w:val="24"/>
          <w:szCs w:val="24"/>
        </w:rPr>
        <w:t xml:space="preserve"> նաև միկրո-որակավորումներ շնորհող) իրականացումը, որոնք հնարավորություն կտան մասնավոր կազմակերպությունների աշխատակիցների որակավորման բարձրացման համար խիստ մասնագիտական և թիրախային ուղղություններով:</w:t>
      </w:r>
    </w:p>
    <w:p w14:paraId="7387D5B2" w14:textId="0727EBC5" w:rsidR="00C41B82" w:rsidRPr="00C72AB5" w:rsidRDefault="00C41B82" w:rsidP="00C41B82">
      <w:pPr>
        <w:tabs>
          <w:tab w:val="left" w:pos="851"/>
          <w:tab w:val="left" w:pos="993"/>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t>Արդյունքում` բուհերում կամ գիտական կազմակերպություններում որակավորման բարձրացման ծրագրերով կամ մոդուլներով վերապատրաստվող կամ վերապատրաստված մասնավոր հատվածի աշխատողների քանակը 2030 թվականի դրությամբ ավել</w:t>
      </w:r>
      <w:r w:rsidR="00B1467F">
        <w:rPr>
          <w:rFonts w:ascii="GHEA Grapalat" w:hAnsi="GHEA Grapalat" w:cs="Sylfaen"/>
          <w:sz w:val="24"/>
          <w:szCs w:val="24"/>
        </w:rPr>
        <w:t>ի</w:t>
      </w:r>
      <w:r w:rsidRPr="00C72AB5">
        <w:rPr>
          <w:rFonts w:ascii="GHEA Grapalat" w:hAnsi="GHEA Grapalat" w:cs="Sylfaen"/>
          <w:sz w:val="24"/>
          <w:szCs w:val="24"/>
        </w:rPr>
        <w:t xml:space="preserve"> է 100-ից: Մշակված է մասնավոր հատվածում ՀևՄ աշխատանքների խթանմանը միտված Հ</w:t>
      </w:r>
      <w:r w:rsidR="00D4555B">
        <w:rPr>
          <w:rFonts w:ascii="GHEA Grapalat" w:hAnsi="GHEA Grapalat" w:cs="Sylfaen"/>
          <w:sz w:val="24"/>
          <w:szCs w:val="24"/>
        </w:rPr>
        <w:t xml:space="preserve">այաստանի </w:t>
      </w:r>
      <w:r w:rsidRPr="00C72AB5">
        <w:rPr>
          <w:rFonts w:ascii="GHEA Grapalat" w:hAnsi="GHEA Grapalat" w:cs="Sylfaen"/>
          <w:sz w:val="24"/>
          <w:szCs w:val="24"/>
        </w:rPr>
        <w:t>Հ</w:t>
      </w:r>
      <w:r w:rsidR="00D4555B">
        <w:rPr>
          <w:rFonts w:ascii="GHEA Grapalat" w:hAnsi="GHEA Grapalat" w:cs="Sylfaen"/>
          <w:sz w:val="24"/>
          <w:szCs w:val="24"/>
        </w:rPr>
        <w:t>անրապետության</w:t>
      </w:r>
      <w:r w:rsidRPr="00C72AB5">
        <w:rPr>
          <w:rFonts w:ascii="GHEA Grapalat" w:hAnsi="GHEA Grapalat" w:cs="Sylfaen"/>
          <w:sz w:val="24"/>
          <w:szCs w:val="24"/>
        </w:rPr>
        <w:t xml:space="preserve"> քաղաքականությունների տեղեկանքը և ներդրված են այդ աշխատանքների խթանման նոր գործիքներ և այդ գործիքների արդյունավետության գնահատման մեխանիզմներ: Կազմված է պետական աջակցության ծրագրերից օգտվող ՀևՄ աշխատանքներ անող կազմակերպությունների ռեգիստր և վարվում է այդ կազմակերպությունների վիճակագրական վերլուծություններ և մշտադիտարկում: ՀևՄ ոլորտում մասնավոր հատվածի ներդրումները կազմում են առնվազն ՀՆԱ 0.25% 2030 թվականի դրությամբ:</w:t>
      </w:r>
    </w:p>
    <w:p w14:paraId="3D1DF344" w14:textId="77777777" w:rsidR="00C41B82" w:rsidRPr="00C72AB5" w:rsidRDefault="00C41B82" w:rsidP="00C41B82">
      <w:pPr>
        <w:tabs>
          <w:tab w:val="left" w:pos="851"/>
          <w:tab w:val="left" w:pos="993"/>
        </w:tabs>
        <w:spacing w:line="276" w:lineRule="auto"/>
        <w:ind w:firstLine="567"/>
        <w:jc w:val="both"/>
        <w:rPr>
          <w:rFonts w:ascii="GHEA Grapalat" w:hAnsi="GHEA Grapalat" w:cs="Sylfaen"/>
          <w:sz w:val="24"/>
          <w:szCs w:val="24"/>
        </w:rPr>
      </w:pPr>
    </w:p>
    <w:p w14:paraId="410A5D3B" w14:textId="77777777" w:rsidR="00C41B82" w:rsidRPr="00C72AB5" w:rsidRDefault="00C41B82" w:rsidP="00C41B82">
      <w:pPr>
        <w:pStyle w:val="Heading1"/>
      </w:pPr>
      <w:bookmarkStart w:id="20" w:name="_Toc215422097"/>
      <w:r w:rsidRPr="00C72AB5">
        <w:lastRenderedPageBreak/>
        <w:t>6. ՍՈՑԻԱԼԱԿԱՆ ՊԱՏԱՍԽԱՆԱՏՎՈՒԹՅԱՆ ԲԱՐՁՐԱՑՈՒՄ</w:t>
      </w:r>
      <w:bookmarkEnd w:id="20"/>
    </w:p>
    <w:p w14:paraId="45A77EFE" w14:textId="77777777" w:rsidR="00C41B82" w:rsidRPr="00C72AB5" w:rsidRDefault="00C41B82" w:rsidP="00C41B82">
      <w:pPr>
        <w:pStyle w:val="Heading2"/>
      </w:pPr>
      <w:bookmarkStart w:id="21" w:name="_Toc215422098"/>
      <w:r w:rsidRPr="00C72AB5">
        <w:t>6.1 ՍԿԶԲՈՒՆՔՆԵՐ ԵՎ ՀԻՄՆԱԽՆԴԻՐՆԵՐ</w:t>
      </w:r>
      <w:bookmarkEnd w:id="21"/>
    </w:p>
    <w:p w14:paraId="45BFB8F4" w14:textId="7B35D0BF" w:rsidR="00C41B82" w:rsidRPr="00C72AB5" w:rsidRDefault="00C41B82" w:rsidP="00C41B82">
      <w:pPr>
        <w:tabs>
          <w:tab w:val="left" w:pos="851"/>
          <w:tab w:val="left" w:pos="993"/>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t xml:space="preserve">56. Սոցիալական պատասխանատվության բարձրացում ռազմավարական նպատակի էությունը </w:t>
      </w:r>
      <w:r>
        <w:rPr>
          <w:rFonts w:ascii="GHEA Grapalat" w:hAnsi="GHEA Grapalat" w:cs="Sylfaen"/>
          <w:sz w:val="24"/>
          <w:szCs w:val="24"/>
        </w:rPr>
        <w:t xml:space="preserve">հիմնվում է այն </w:t>
      </w:r>
      <w:r w:rsidRPr="00C72AB5">
        <w:rPr>
          <w:rFonts w:ascii="GHEA Grapalat" w:hAnsi="GHEA Grapalat" w:cs="Sylfaen"/>
          <w:sz w:val="24"/>
          <w:szCs w:val="24"/>
        </w:rPr>
        <w:t>սկզբունք</w:t>
      </w:r>
      <w:r>
        <w:rPr>
          <w:rFonts w:ascii="GHEA Grapalat" w:hAnsi="GHEA Grapalat" w:cs="Sylfaen"/>
          <w:sz w:val="24"/>
          <w:szCs w:val="24"/>
        </w:rPr>
        <w:t>ի վրա</w:t>
      </w:r>
      <w:r w:rsidRPr="00C72AB5">
        <w:rPr>
          <w:rFonts w:ascii="GHEA Grapalat" w:hAnsi="GHEA Grapalat" w:cs="Sylfaen"/>
          <w:sz w:val="24"/>
          <w:szCs w:val="24"/>
        </w:rPr>
        <w:t>, որ գիտական գործունեության ոլորտը</w:t>
      </w:r>
      <w:r>
        <w:rPr>
          <w:rFonts w:ascii="GHEA Grapalat" w:hAnsi="GHEA Grapalat" w:cs="Sylfaen"/>
          <w:sz w:val="24"/>
          <w:szCs w:val="24"/>
        </w:rPr>
        <w:t>,</w:t>
      </w:r>
      <w:r w:rsidRPr="00C72AB5">
        <w:rPr>
          <w:rFonts w:ascii="GHEA Grapalat" w:hAnsi="GHEA Grapalat" w:cs="Sylfaen"/>
          <w:sz w:val="24"/>
          <w:szCs w:val="24"/>
        </w:rPr>
        <w:t xml:space="preserve"> հատկապես հանրային հատվածում</w:t>
      </w:r>
      <w:r>
        <w:rPr>
          <w:rFonts w:ascii="GHEA Grapalat" w:hAnsi="GHEA Grapalat" w:cs="Sylfaen"/>
          <w:sz w:val="24"/>
          <w:szCs w:val="24"/>
        </w:rPr>
        <w:t>,</w:t>
      </w:r>
      <w:r w:rsidRPr="00C72AB5">
        <w:rPr>
          <w:rFonts w:ascii="GHEA Grapalat" w:hAnsi="GHEA Grapalat" w:cs="Sylfaen"/>
          <w:sz w:val="24"/>
          <w:szCs w:val="24"/>
        </w:rPr>
        <w:t xml:space="preserve"> էապես կախված է հանրային ֆինանսավորումից և հետևաբար կրում է հավելյալ պատասխանատվություն ներդրվող ֆինանսավորման առավելագույնս հաշվետու և արդյունավետ ծախսելու համար, ինչպես նաև պարտավորություն` գիտական գործունեության արդյունքների և առհասարակ գործունեության ոլորտի մասին հանրային բավարար հաղորդակցություն ապահովելու համար: </w:t>
      </w:r>
      <w:r w:rsidRPr="00670181">
        <w:rPr>
          <w:rFonts w:ascii="GHEA Grapalat" w:hAnsi="GHEA Grapalat" w:cs="Sylfaen"/>
          <w:sz w:val="24"/>
          <w:szCs w:val="24"/>
        </w:rPr>
        <w:t>Այս իմաստով ռազմավարական նպա</w:t>
      </w:r>
      <w:r w:rsidRPr="00C72AB5">
        <w:rPr>
          <w:rFonts w:ascii="GHEA Grapalat" w:hAnsi="GHEA Grapalat" w:cs="Sylfaen"/>
          <w:sz w:val="24"/>
          <w:szCs w:val="24"/>
        </w:rPr>
        <w:t>տակի էությունը կայանում է մի կողմից պատշաճ ու արդյունավետ վարչարարության ապահովման ու հաշվետվողականության համակարգի զարգացման մեջ, մյուս կողմից հանրային պրոֆեսիոնալ և մեթոդաբանորեն ճիշ</w:t>
      </w:r>
      <w:r w:rsidR="00D4555B">
        <w:rPr>
          <w:rFonts w:ascii="GHEA Grapalat" w:hAnsi="GHEA Grapalat" w:cs="Sylfaen"/>
          <w:sz w:val="24"/>
          <w:szCs w:val="24"/>
        </w:rPr>
        <w:t>տ հաղորդակցության ապահովման մեջ,</w:t>
      </w:r>
      <w:r w:rsidRPr="00C72AB5">
        <w:rPr>
          <w:rFonts w:ascii="GHEA Grapalat" w:hAnsi="GHEA Grapalat" w:cs="Sylfaen"/>
          <w:sz w:val="24"/>
          <w:szCs w:val="24"/>
        </w:rPr>
        <w:t xml:space="preserve"> այդ թվում</w:t>
      </w:r>
      <w:r w:rsidR="00D4555B">
        <w:rPr>
          <w:rFonts w:ascii="GHEA Grapalat" w:hAnsi="GHEA Grapalat" w:cs="Sylfaen"/>
          <w:sz w:val="24"/>
          <w:szCs w:val="24"/>
        </w:rPr>
        <w:t>՝</w:t>
      </w:r>
      <w:r w:rsidRPr="00C72AB5">
        <w:rPr>
          <w:rFonts w:ascii="GHEA Grapalat" w:hAnsi="GHEA Grapalat" w:cs="Sylfaen"/>
          <w:sz w:val="24"/>
          <w:szCs w:val="24"/>
        </w:rPr>
        <w:t xml:space="preserve"> երաշխավորելով գիտական արդյունքների վերաբերյալ հանրամատչելի մակարդակով հաղորդակցություն, քաղաքացիների մասնակցության մեխանիզմների ներդրում, դպրոցական տարիքի երեխաների ներգրավման տարբեր միջոցառումներ:  Կարևորագույն սկզբունքներից է նաև ներդրումների հասցեականությունը, ինչը նշանակում է պետական ներդրումների և դրանց շահառուների միջև հնարավորինս քիչ ու արդյունավետ վարչարարական գործընթացների ներդրում և միևնույն ժամանակ ենթակառուցվածքների խոշորացում` նվազեցնելով վարչական կազմի վրա ծախսերը և երաշխավորելով ժամանակակից, նպաստող ու ներառական ֆիզիկական միջավայր: Միևնույն ժամանակ սոցիալական պատասխանատվության կարևոր բաղադրիչներից է գիտական համակարգի մասնակցությունը հանրային քաղաքականությունների մշակման մեջ` անաչառ մասնագիտական խորհրդատվության տրամադրման նպատակով: Սոցիալական պատասխանատվության կարևորագույն սկզբունքներից է հանդիսանում նաև ոլորտի հանրային կառավարման որակյալ և հաշվետու համակարգը, որը պետք է լինի առավելագույնս թվայնացված</w:t>
      </w:r>
      <w:r w:rsidRPr="00C41B82">
        <w:rPr>
          <w:rFonts w:ascii="GHEA Grapalat" w:hAnsi="GHEA Grapalat" w:cs="Sylfaen"/>
          <w:sz w:val="24"/>
          <w:szCs w:val="24"/>
        </w:rPr>
        <w:t>,</w:t>
      </w:r>
      <w:r w:rsidRPr="00C72AB5">
        <w:rPr>
          <w:rFonts w:ascii="GHEA Grapalat" w:hAnsi="GHEA Grapalat" w:cs="Sylfaen"/>
          <w:sz w:val="24"/>
          <w:szCs w:val="24"/>
        </w:rPr>
        <w:t xml:space="preserve"> երաշխավորի գործընթացների առավելագույն թափանցիկություն</w:t>
      </w:r>
      <w:r w:rsidRPr="00C41B82">
        <w:rPr>
          <w:rFonts w:ascii="GHEA Grapalat" w:hAnsi="GHEA Grapalat" w:cs="Sylfaen"/>
          <w:sz w:val="24"/>
          <w:szCs w:val="24"/>
        </w:rPr>
        <w:t>,</w:t>
      </w:r>
      <w:r w:rsidRPr="00C72AB5">
        <w:rPr>
          <w:rFonts w:ascii="GHEA Grapalat" w:hAnsi="GHEA Grapalat" w:cs="Sylfaen"/>
          <w:sz w:val="24"/>
          <w:szCs w:val="24"/>
        </w:rPr>
        <w:t xml:space="preserve"> ինչպես նաև որոշումների, հաշվետվությունների ու տվյալների հնարավորինս բաց հասանելիություն: </w:t>
      </w:r>
    </w:p>
    <w:p w14:paraId="67274AF2" w14:textId="77777777" w:rsidR="00C41B82" w:rsidRPr="00C72AB5" w:rsidRDefault="00C41B82" w:rsidP="00C41B82">
      <w:pPr>
        <w:tabs>
          <w:tab w:val="left" w:pos="851"/>
          <w:tab w:val="left" w:pos="993"/>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t xml:space="preserve">57. Այս ռազմավարական նպատակի շրջանակներում հիմնախնդիրներն են` </w:t>
      </w:r>
    </w:p>
    <w:p w14:paraId="69730BBD" w14:textId="7A8DC010" w:rsidR="00C41B82" w:rsidRPr="00C72AB5" w:rsidRDefault="00D4555B" w:rsidP="00C41B82">
      <w:pPr>
        <w:tabs>
          <w:tab w:val="left" w:pos="851"/>
          <w:tab w:val="left" w:pos="993"/>
        </w:tabs>
        <w:spacing w:line="276" w:lineRule="auto"/>
        <w:ind w:firstLine="567"/>
        <w:jc w:val="both"/>
        <w:rPr>
          <w:rFonts w:ascii="GHEA Grapalat" w:hAnsi="GHEA Grapalat" w:cs="Sylfaen"/>
          <w:sz w:val="24"/>
          <w:szCs w:val="24"/>
        </w:rPr>
      </w:pPr>
      <w:r>
        <w:rPr>
          <w:rFonts w:ascii="GHEA Grapalat" w:hAnsi="GHEA Grapalat" w:cs="Sylfaen"/>
          <w:sz w:val="24"/>
          <w:szCs w:val="24"/>
        </w:rPr>
        <w:t>1) չ</w:t>
      </w:r>
      <w:r w:rsidR="00C41B82" w:rsidRPr="00C72AB5">
        <w:rPr>
          <w:rFonts w:ascii="GHEA Grapalat" w:hAnsi="GHEA Grapalat" w:cs="Sylfaen"/>
          <w:sz w:val="24"/>
          <w:szCs w:val="24"/>
        </w:rPr>
        <w:t>նայած այն հանգամանքին, որ հանրապետությունում կազմակերպվում են գիտության ոլորտին առնչվող մի քանի հանրային միջոցառումներ` (գիտության փառատոն, գիտության շաբաթ)</w:t>
      </w:r>
      <w:r w:rsidR="00C41B82" w:rsidRPr="00C41B82">
        <w:rPr>
          <w:rFonts w:ascii="GHEA Grapalat" w:hAnsi="GHEA Grapalat" w:cs="Sylfaen"/>
          <w:sz w:val="24"/>
          <w:szCs w:val="24"/>
        </w:rPr>
        <w:t>,</w:t>
      </w:r>
      <w:r w:rsidR="00C41B82" w:rsidRPr="00C72AB5">
        <w:rPr>
          <w:rFonts w:ascii="GHEA Grapalat" w:hAnsi="GHEA Grapalat" w:cs="Sylfaen"/>
          <w:sz w:val="24"/>
          <w:szCs w:val="24"/>
        </w:rPr>
        <w:t xml:space="preserve"> ինչպես նաև Հայաստանի Հանրապետությունը մասնակցում է ԱՄՆ տիեզերական գործակալության ԳԼՈԲ ծրագրին</w:t>
      </w:r>
      <w:r w:rsidR="00C41B82" w:rsidRPr="00C72AB5">
        <w:rPr>
          <w:rStyle w:val="FootnoteReference"/>
          <w:rFonts w:ascii="GHEA Grapalat" w:hAnsi="GHEA Grapalat" w:cs="Sylfaen"/>
          <w:sz w:val="24"/>
          <w:szCs w:val="24"/>
        </w:rPr>
        <w:footnoteReference w:id="80"/>
      </w:r>
      <w:r w:rsidR="00C41B82" w:rsidRPr="00C72AB5">
        <w:rPr>
          <w:rFonts w:ascii="GHEA Grapalat" w:hAnsi="GHEA Grapalat" w:cs="Sylfaen"/>
          <w:sz w:val="24"/>
          <w:szCs w:val="24"/>
        </w:rPr>
        <w:t xml:space="preserve"> (GLOBE Global Learning and Observations to Benefit the Environment)</w:t>
      </w:r>
      <w:r w:rsidR="00C41B82" w:rsidRPr="00C41B82">
        <w:rPr>
          <w:rFonts w:ascii="GHEA Grapalat" w:hAnsi="GHEA Grapalat" w:cs="Sylfaen"/>
          <w:sz w:val="24"/>
          <w:szCs w:val="24"/>
        </w:rPr>
        <w:t>,</w:t>
      </w:r>
      <w:r w:rsidR="00C41B82" w:rsidRPr="00C72AB5">
        <w:rPr>
          <w:rFonts w:ascii="GHEA Grapalat" w:hAnsi="GHEA Grapalat" w:cs="Sylfaen"/>
          <w:sz w:val="24"/>
          <w:szCs w:val="24"/>
        </w:rPr>
        <w:t xml:space="preserve"> որը հանդիսանում է երկրի ուսումնա</w:t>
      </w:r>
      <w:r w:rsidR="00C41B82">
        <w:rPr>
          <w:rFonts w:ascii="GHEA Grapalat" w:hAnsi="GHEA Grapalat" w:cs="Sylfaen"/>
          <w:sz w:val="24"/>
          <w:szCs w:val="24"/>
        </w:rPr>
        <w:t>սիրության գլոբալ դպրոցական ցանց,</w:t>
      </w:r>
      <w:r w:rsidR="00C41B82" w:rsidRPr="00C72AB5">
        <w:rPr>
          <w:rFonts w:ascii="GHEA Grapalat" w:hAnsi="GHEA Grapalat" w:cs="Sylfaen"/>
          <w:sz w:val="24"/>
          <w:szCs w:val="24"/>
        </w:rPr>
        <w:t xml:space="preserve"> որն ապահովում է դպրոցների և դպրոցականների ներգրավումը մոլորակի ուսումնասիրության գլոբալ հետազոտություններին, ինչպես նաև հրատարակվում են գիտահանրամատչելի թերթ</w:t>
      </w:r>
      <w:r w:rsidR="00C41B82" w:rsidRPr="00C41B82">
        <w:rPr>
          <w:rFonts w:ascii="GHEA Grapalat" w:hAnsi="GHEA Grapalat" w:cs="Sylfaen"/>
          <w:sz w:val="24"/>
          <w:szCs w:val="24"/>
        </w:rPr>
        <w:t>եր</w:t>
      </w:r>
      <w:r w:rsidR="00C41B82" w:rsidRPr="00C72AB5">
        <w:rPr>
          <w:rFonts w:ascii="GHEA Grapalat" w:hAnsi="GHEA Grapalat" w:cs="Sylfaen"/>
          <w:sz w:val="24"/>
          <w:szCs w:val="24"/>
        </w:rPr>
        <w:t xml:space="preserve"> </w:t>
      </w:r>
      <w:r w:rsidR="00C41B82" w:rsidRPr="00C72AB5">
        <w:rPr>
          <w:rFonts w:ascii="GHEA Grapalat" w:hAnsi="GHEA Grapalat" w:cs="Sylfaen"/>
          <w:sz w:val="24"/>
          <w:szCs w:val="24"/>
        </w:rPr>
        <w:lastRenderedPageBreak/>
        <w:t>և պարբերական</w:t>
      </w:r>
      <w:r w:rsidR="00C41B82" w:rsidRPr="00C41B82">
        <w:rPr>
          <w:rFonts w:ascii="GHEA Grapalat" w:hAnsi="GHEA Grapalat" w:cs="Sylfaen"/>
          <w:sz w:val="24"/>
          <w:szCs w:val="24"/>
        </w:rPr>
        <w:t>ներ</w:t>
      </w:r>
      <w:r w:rsidR="00C41B82" w:rsidRPr="00C72AB5">
        <w:rPr>
          <w:rStyle w:val="FootnoteReference"/>
          <w:rFonts w:ascii="GHEA Grapalat" w:hAnsi="GHEA Grapalat" w:cs="Sylfaen"/>
          <w:sz w:val="24"/>
          <w:szCs w:val="24"/>
        </w:rPr>
        <w:footnoteReference w:id="81"/>
      </w:r>
      <w:r w:rsidR="00C41B82">
        <w:rPr>
          <w:rFonts w:ascii="GHEA Grapalat" w:hAnsi="GHEA Grapalat" w:cs="Sylfaen"/>
          <w:sz w:val="24"/>
          <w:szCs w:val="24"/>
        </w:rPr>
        <w:t>, այն</w:t>
      </w:r>
      <w:r w:rsidR="00C41B82" w:rsidRPr="00C72AB5">
        <w:rPr>
          <w:rFonts w:ascii="GHEA Grapalat" w:hAnsi="GHEA Grapalat" w:cs="Sylfaen"/>
          <w:sz w:val="24"/>
          <w:szCs w:val="24"/>
        </w:rPr>
        <w:t>ուամենայնիվ դրանց կազմակերպման և մասնակցության գործընթացը դեռևս ունի կատարելագործվելու և ինստիտուցիոնալացվելու տեղ</w:t>
      </w:r>
      <w:r w:rsidR="00C41B82" w:rsidRPr="00C41B82">
        <w:rPr>
          <w:rFonts w:ascii="GHEA Grapalat" w:hAnsi="GHEA Grapalat" w:cs="Sylfaen"/>
          <w:sz w:val="24"/>
          <w:szCs w:val="24"/>
        </w:rPr>
        <w:t>: Ի</w:t>
      </w:r>
      <w:r w:rsidR="00C41B82" w:rsidRPr="00C72AB5">
        <w:rPr>
          <w:rFonts w:ascii="GHEA Grapalat" w:hAnsi="GHEA Grapalat" w:cs="Sylfaen"/>
          <w:sz w:val="24"/>
          <w:szCs w:val="24"/>
        </w:rPr>
        <w:t>նչ վերաբերում է պարբերականներին, ապա դրանց ո</w:t>
      </w:r>
      <w:r w:rsidR="00C41B82">
        <w:rPr>
          <w:rFonts w:ascii="GHEA Grapalat" w:hAnsi="GHEA Grapalat" w:cs="Sylfaen"/>
          <w:sz w:val="24"/>
          <w:szCs w:val="24"/>
        </w:rPr>
        <w:t>՛</w:t>
      </w:r>
      <w:r w:rsidR="00C41B82" w:rsidRPr="00C72AB5">
        <w:rPr>
          <w:rFonts w:ascii="GHEA Grapalat" w:hAnsi="GHEA Grapalat" w:cs="Sylfaen"/>
          <w:sz w:val="24"/>
          <w:szCs w:val="24"/>
        </w:rPr>
        <w:t>չ բովանդակության մակարդակը և ո</w:t>
      </w:r>
      <w:r w:rsidR="00C41B82">
        <w:rPr>
          <w:rFonts w:ascii="GHEA Grapalat" w:hAnsi="GHEA Grapalat" w:cs="Sylfaen"/>
          <w:sz w:val="24"/>
          <w:szCs w:val="24"/>
        </w:rPr>
        <w:t>՛</w:t>
      </w:r>
      <w:r w:rsidR="00C41B82" w:rsidRPr="00C72AB5">
        <w:rPr>
          <w:rFonts w:ascii="GHEA Grapalat" w:hAnsi="GHEA Grapalat" w:cs="Sylfaen"/>
          <w:sz w:val="24"/>
          <w:szCs w:val="24"/>
        </w:rPr>
        <w:t>չ էլ տարածման աստիճանը և ձևաչափը չեն ապահովում որակյալ նյութեր և բավարար ընթե</w:t>
      </w:r>
      <w:r w:rsidR="00C41B82" w:rsidRPr="00C41B82">
        <w:rPr>
          <w:rFonts w:ascii="GHEA Grapalat" w:hAnsi="GHEA Grapalat" w:cs="Sylfaen"/>
          <w:sz w:val="24"/>
          <w:szCs w:val="24"/>
        </w:rPr>
        <w:t>ր</w:t>
      </w:r>
      <w:r w:rsidR="00C41B82" w:rsidRPr="00C72AB5">
        <w:rPr>
          <w:rFonts w:ascii="GHEA Grapalat" w:hAnsi="GHEA Grapalat" w:cs="Sylfaen"/>
          <w:sz w:val="24"/>
          <w:szCs w:val="24"/>
        </w:rPr>
        <w:t>ցելիությո</w:t>
      </w:r>
      <w:r>
        <w:rPr>
          <w:rFonts w:ascii="GHEA Grapalat" w:hAnsi="GHEA Grapalat" w:cs="Sylfaen"/>
          <w:sz w:val="24"/>
          <w:szCs w:val="24"/>
        </w:rPr>
        <w:t>ւն․</w:t>
      </w:r>
    </w:p>
    <w:p w14:paraId="7D964C17" w14:textId="00C118FE" w:rsidR="00C41B82" w:rsidRPr="00C72AB5" w:rsidRDefault="00D4555B" w:rsidP="00C41B82">
      <w:pPr>
        <w:tabs>
          <w:tab w:val="left" w:pos="851"/>
          <w:tab w:val="left" w:pos="993"/>
        </w:tabs>
        <w:spacing w:line="276" w:lineRule="auto"/>
        <w:ind w:firstLine="567"/>
        <w:jc w:val="both"/>
        <w:rPr>
          <w:rFonts w:ascii="GHEA Grapalat" w:hAnsi="GHEA Grapalat" w:cs="Sylfaen"/>
          <w:sz w:val="24"/>
          <w:szCs w:val="24"/>
        </w:rPr>
      </w:pPr>
      <w:r>
        <w:rPr>
          <w:rFonts w:ascii="GHEA Grapalat" w:hAnsi="GHEA Grapalat" w:cs="Sylfaen"/>
          <w:sz w:val="24"/>
          <w:szCs w:val="24"/>
        </w:rPr>
        <w:t>2) մ</w:t>
      </w:r>
      <w:r w:rsidR="00C41B82" w:rsidRPr="00C72AB5">
        <w:rPr>
          <w:rFonts w:ascii="GHEA Grapalat" w:hAnsi="GHEA Grapalat" w:cs="Sylfaen"/>
          <w:sz w:val="24"/>
          <w:szCs w:val="24"/>
        </w:rPr>
        <w:t>իջազգային առարկայական օլիմպիադաներում Հայաստանի Հանրապետության գրանցած որոշակի հաջողությունների հաշվառմամբ, հարկ է նշել, որ մինչ այժմ «օլիմպիական շարժումը» չի կարգավորվում ինստիտուցիոնալ եղանակով և շատ հաճախ խարսխված է անհատների  նախաձեռնողականության վրա` նախորդ տարիների մասնակիցների շատ հաճախ կամավորականության սկզբունքներ</w:t>
      </w:r>
      <w:r w:rsidR="00C41B82" w:rsidRPr="00C41B82">
        <w:rPr>
          <w:rFonts w:ascii="GHEA Grapalat" w:hAnsi="GHEA Grapalat" w:cs="Sylfaen"/>
          <w:sz w:val="24"/>
          <w:szCs w:val="24"/>
        </w:rPr>
        <w:t>ի</w:t>
      </w:r>
      <w:r w:rsidR="00C41B82" w:rsidRPr="00C72AB5">
        <w:rPr>
          <w:rFonts w:ascii="GHEA Grapalat" w:hAnsi="GHEA Grapalat" w:cs="Sylfaen"/>
          <w:sz w:val="24"/>
          <w:szCs w:val="24"/>
        </w:rPr>
        <w:t xml:space="preserve"> ներգրավմամբ: Միևնույն ժամանակ օլիմպիական շարժման մեջ ներգրավված դպրոցների քանակությունն ու մասնակցայնության մակարդակը դեռևս ցածր են</w:t>
      </w:r>
      <w:r w:rsidR="00C41B82" w:rsidRPr="00C41B82">
        <w:rPr>
          <w:rFonts w:ascii="GHEA Grapalat" w:hAnsi="GHEA Grapalat" w:cs="Sylfaen"/>
          <w:sz w:val="24"/>
          <w:szCs w:val="24"/>
        </w:rPr>
        <w:t>,</w:t>
      </w:r>
      <w:r w:rsidR="00C41B82" w:rsidRPr="00C72AB5">
        <w:rPr>
          <w:rFonts w:ascii="GHEA Grapalat" w:hAnsi="GHEA Grapalat" w:cs="Sylfaen"/>
          <w:sz w:val="24"/>
          <w:szCs w:val="24"/>
        </w:rPr>
        <w:t xml:space="preserve"> իսկ որակական գնահատմամբ, օլիմպիական շարժման մասնակցությունը աշակերտական տարիներին մեծապես նպաստում է հետագայում աշակերտների գիտական գործունեության ուղղություններով մասնագիտական կողմնորոշմանը: Գիտական կազմակերպություններում չեն իրականացվում նաև համապատասխան առարկայական ուսուցիչների լաբորատոր/փորձարարական հմտությունների զարգացման ծրագրեր, ինչը մեծապես կնպաստեր դասարաններում և դպրոցական լաբորատորիաներում ուսուցիչների կողմից մատուցվող կրթության որակի և գրավչության վրա: Միևնույն ժամանակ կան մի շարք գիտափորձեր, որոնք պահանջում են հանրապետության ամբողջ տարածքում մեծ քանակի չափումների և դիտարկումների իրականացում (բնական ջրային զանգվածների ջերմաստիճանի գրանցում, ամպերի դիտարկում, օդի ջերմաստիճանի գրանցում, քամու ուղղության ֆիքսում, քաղաքային ենթակառուցվածքների մոնիթորինգ և այլն), որոնք իրենց բարդության աստիճանով իրագործելի են ամենօրյա օգտագործման կամ դպրոցական լաբորատորիաների սարքավորումներով և կարող են ի</w:t>
      </w:r>
      <w:r>
        <w:rPr>
          <w:rFonts w:ascii="GHEA Grapalat" w:hAnsi="GHEA Grapalat" w:cs="Sylfaen"/>
          <w:sz w:val="24"/>
          <w:szCs w:val="24"/>
        </w:rPr>
        <w:t>րականացնել դպրոցականների կողմից․</w:t>
      </w:r>
    </w:p>
    <w:p w14:paraId="09F206EB" w14:textId="39EAA6E1" w:rsidR="00C41B82" w:rsidRPr="00C72AB5" w:rsidRDefault="00C41B82" w:rsidP="00C41B82">
      <w:pPr>
        <w:tabs>
          <w:tab w:val="left" w:pos="851"/>
          <w:tab w:val="left" w:pos="993"/>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t>3) 19-րդ մասում ներկայացված վերլուծությունը ցույց է տալիս, որ մասնագիտական առաջխաղացման ժամանակ չեն ապահովվում խտրականության բացառումը տարիքային և սեռային հատկանիշներով, իսկ ֆիզիկական սահմանափակումներ ունեցող</w:t>
      </w:r>
      <w:r>
        <w:rPr>
          <w:rFonts w:ascii="GHEA Grapalat" w:hAnsi="GHEA Grapalat" w:cs="Sylfaen"/>
          <w:sz w:val="24"/>
          <w:szCs w:val="24"/>
        </w:rPr>
        <w:t xml:space="preserve"> անձանց աշխատանքի համար ներկայիս</w:t>
      </w:r>
      <w:r w:rsidRPr="00C72AB5">
        <w:rPr>
          <w:rFonts w:ascii="GHEA Grapalat" w:hAnsi="GHEA Grapalat" w:cs="Sylfaen"/>
          <w:sz w:val="24"/>
          <w:szCs w:val="24"/>
        </w:rPr>
        <w:t xml:space="preserve"> ենթակառուցվածքներն առհասարակ հարմարեցված չեն: Միևնույն ժամանակ ենթակառուցվածքները զինված չեն անվտանգության ժամանակակից համակարգերով, սեյսիմկ, հակահրդեհային, էլեկտրական և այլ</w:t>
      </w:r>
      <w:r w:rsidRPr="00C41B82">
        <w:rPr>
          <w:rFonts w:ascii="GHEA Grapalat" w:hAnsi="GHEA Grapalat" w:cs="Sylfaen"/>
          <w:sz w:val="24"/>
          <w:szCs w:val="24"/>
        </w:rPr>
        <w:t>ն</w:t>
      </w:r>
      <w:r w:rsidR="00D4555B">
        <w:rPr>
          <w:rFonts w:ascii="GHEA Grapalat" w:hAnsi="GHEA Grapalat" w:cs="Sylfaen"/>
          <w:sz w:val="24"/>
          <w:szCs w:val="24"/>
        </w:rPr>
        <w:t>․</w:t>
      </w:r>
    </w:p>
    <w:p w14:paraId="250022E4" w14:textId="3ACCA854" w:rsidR="00C41B82" w:rsidRPr="00C72AB5" w:rsidRDefault="00C41B82" w:rsidP="00C41B82">
      <w:pPr>
        <w:tabs>
          <w:tab w:val="left" w:pos="851"/>
          <w:tab w:val="left" w:pos="993"/>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t xml:space="preserve">4) </w:t>
      </w:r>
      <w:r w:rsidR="00D4555B">
        <w:rPr>
          <w:rFonts w:ascii="GHEA Grapalat" w:hAnsi="GHEA Grapalat" w:cs="Sylfaen"/>
          <w:sz w:val="24"/>
          <w:szCs w:val="24"/>
        </w:rPr>
        <w:t>տ</w:t>
      </w:r>
      <w:r>
        <w:rPr>
          <w:rFonts w:ascii="GHEA Grapalat" w:hAnsi="GHEA Grapalat" w:cs="Sylfaen"/>
          <w:sz w:val="24"/>
          <w:szCs w:val="24"/>
        </w:rPr>
        <w:t>եղական պարբերականների առկայությ</w:t>
      </w:r>
      <w:r w:rsidRPr="00C72AB5">
        <w:rPr>
          <w:rFonts w:ascii="GHEA Grapalat" w:hAnsi="GHEA Grapalat" w:cs="Sylfaen"/>
          <w:sz w:val="24"/>
          <w:szCs w:val="24"/>
        </w:rPr>
        <w:t>ունը և գիտական գործունեության կազմակերպման ոչ պատշաճ մեխանիզմները հանգեցնում են որոշակի պարբերությամբ գրագողությանը կամ ակադեմիական ազնվությանն առնչվող երևույթների բացահայտմանը</w:t>
      </w:r>
      <w:r w:rsidRPr="00C41B82">
        <w:rPr>
          <w:rFonts w:ascii="GHEA Grapalat" w:hAnsi="GHEA Grapalat" w:cs="Sylfaen"/>
          <w:sz w:val="24"/>
          <w:szCs w:val="24"/>
        </w:rPr>
        <w:t>,</w:t>
      </w:r>
      <w:r w:rsidRPr="00C72AB5">
        <w:rPr>
          <w:rFonts w:ascii="GHEA Grapalat" w:hAnsi="GHEA Grapalat" w:cs="Sylfaen"/>
          <w:sz w:val="24"/>
          <w:szCs w:val="24"/>
        </w:rPr>
        <w:t xml:space="preserve"> ինչը մի կողմից համակարգի ինքնակարգավորման մեխանիզմներից է, սակայն մյուս կողմից դրանց ոչ պատշաճ հասցեագրումը հանգեցնում է համակարգի </w:t>
      </w:r>
      <w:r w:rsidRPr="00C72AB5">
        <w:rPr>
          <w:rFonts w:ascii="GHEA Grapalat" w:hAnsi="GHEA Grapalat" w:cs="Sylfaen"/>
          <w:sz w:val="24"/>
          <w:szCs w:val="24"/>
        </w:rPr>
        <w:lastRenderedPageBreak/>
        <w:t xml:space="preserve">նկատմամբ հանրային վստահության անկման: </w:t>
      </w:r>
      <w:r w:rsidR="00D4555B">
        <w:rPr>
          <w:rFonts w:ascii="GHEA Grapalat" w:hAnsi="GHEA Grapalat" w:cs="Sylfaen"/>
          <w:sz w:val="24"/>
          <w:szCs w:val="24"/>
        </w:rPr>
        <w:t>Մ</w:t>
      </w:r>
      <w:r w:rsidRPr="00C41B82">
        <w:rPr>
          <w:rFonts w:ascii="GHEA Grapalat" w:hAnsi="GHEA Grapalat" w:cs="Sylfaen"/>
          <w:sz w:val="24"/>
          <w:szCs w:val="24"/>
        </w:rPr>
        <w:t>իաժամանակ</w:t>
      </w:r>
      <w:r w:rsidRPr="00C72AB5">
        <w:rPr>
          <w:rFonts w:ascii="GHEA Grapalat" w:hAnsi="GHEA Grapalat" w:cs="Sylfaen"/>
          <w:sz w:val="24"/>
          <w:szCs w:val="24"/>
        </w:rPr>
        <w:t xml:space="preserve"> բացակայում են գիտափորձերի կամ հետազոտության մեթոդաբանության պլանավորման ժամանակ պատշաճ էթիկական և անվտանգային ընթացակարգերի պահպանումը, ինչը անդրադառնում է հետազոտության որակի և</w:t>
      </w:r>
      <w:r w:rsidR="00D4555B">
        <w:rPr>
          <w:rFonts w:ascii="GHEA Grapalat" w:hAnsi="GHEA Grapalat" w:cs="Sylfaen"/>
          <w:sz w:val="24"/>
          <w:szCs w:val="24"/>
        </w:rPr>
        <w:t xml:space="preserve"> արդյունքների հավաստիության վրա․</w:t>
      </w:r>
    </w:p>
    <w:p w14:paraId="41C1C8DE" w14:textId="35E34BCD" w:rsidR="00C41B82" w:rsidRPr="00C41B82" w:rsidRDefault="00D4555B" w:rsidP="00C41B82">
      <w:pPr>
        <w:tabs>
          <w:tab w:val="left" w:pos="851"/>
          <w:tab w:val="left" w:pos="993"/>
        </w:tabs>
        <w:spacing w:line="276" w:lineRule="auto"/>
        <w:ind w:firstLine="567"/>
        <w:jc w:val="both"/>
        <w:rPr>
          <w:rFonts w:ascii="GHEA Grapalat" w:hAnsi="GHEA Grapalat" w:cs="Sylfaen"/>
          <w:sz w:val="24"/>
          <w:szCs w:val="24"/>
        </w:rPr>
      </w:pPr>
      <w:r>
        <w:rPr>
          <w:rFonts w:ascii="GHEA Grapalat" w:hAnsi="GHEA Grapalat" w:cs="Sylfaen"/>
          <w:sz w:val="24"/>
          <w:szCs w:val="24"/>
        </w:rPr>
        <w:t>5) հ</w:t>
      </w:r>
      <w:r w:rsidR="00C41B82" w:rsidRPr="00C41B82">
        <w:rPr>
          <w:rFonts w:ascii="GHEA Grapalat" w:hAnsi="GHEA Grapalat" w:cs="Sylfaen"/>
          <w:sz w:val="24"/>
          <w:szCs w:val="24"/>
        </w:rPr>
        <w:t>անրային քաղաքականությունների մշակման ժամանակ գիտական կազմակերպությունների ներգրավվածությունը որոշ բացառություններով չունի վստահելիության այնպիսի մակարդակ, ինչը կերաշխավորեր դրանց առաջնահերթ դիտարկումը, որպես պատշաճ մակարդակի մասնագիտական եզրակացությունների կամ հետազոտական հարցերի պատասխաններ տրամադրելու ընդունակ կազմակերպություններ: Այս պարագայում ևս խնդիրն արմատավորված է ցածր մակարդակի և միջազգային հարթության մեջ ոչ մրցունակ հետազոտությունների քանակությամբ և այդպիսիք իրակնացնելու ավանդույթներով: Միևնույն ժամանակ հանրային կազմակերպությունների կողմից առաքելության գիտակցության ցածր մակարդակը հանգեցնում է նրան, որ փորձագիտական կամ մասնագիտական աշխատանքը հանրային հատվածի համար դիտարկվում է միայն, որպես հավելյալ եկամուտի աղբյուր, իսկ աշխատանքն արվում է ցածր մակարդակով և առանց</w:t>
      </w:r>
      <w:r>
        <w:rPr>
          <w:rFonts w:ascii="GHEA Grapalat" w:hAnsi="GHEA Grapalat" w:cs="Sylfaen"/>
          <w:sz w:val="24"/>
          <w:szCs w:val="24"/>
        </w:rPr>
        <w:t xml:space="preserve"> լրիվության պատշաճ երաշխավորման․</w:t>
      </w:r>
    </w:p>
    <w:p w14:paraId="4243CBBC" w14:textId="1476CDDA" w:rsidR="00C41B82" w:rsidRDefault="00C41B82" w:rsidP="00C41B82">
      <w:pPr>
        <w:tabs>
          <w:tab w:val="left" w:pos="851"/>
          <w:tab w:val="left" w:pos="993"/>
        </w:tabs>
        <w:spacing w:line="276" w:lineRule="auto"/>
        <w:ind w:firstLine="567"/>
        <w:jc w:val="both"/>
        <w:rPr>
          <w:rFonts w:ascii="GHEA Grapalat" w:hAnsi="GHEA Grapalat" w:cs="Sylfaen"/>
          <w:sz w:val="24"/>
          <w:szCs w:val="24"/>
        </w:rPr>
      </w:pPr>
      <w:r w:rsidRPr="00C41B82">
        <w:rPr>
          <w:rFonts w:ascii="GHEA Grapalat" w:hAnsi="GHEA Grapalat" w:cs="Sylfaen"/>
          <w:sz w:val="24"/>
          <w:szCs w:val="24"/>
        </w:rPr>
        <w:t xml:space="preserve">6) </w:t>
      </w:r>
      <w:r w:rsidR="00D4555B">
        <w:rPr>
          <w:rFonts w:ascii="GHEA Grapalat" w:hAnsi="GHEA Grapalat" w:cs="Sylfaen"/>
          <w:sz w:val="24"/>
          <w:szCs w:val="24"/>
        </w:rPr>
        <w:t>ո</w:t>
      </w:r>
      <w:r w:rsidRPr="00C41B82">
        <w:rPr>
          <w:rFonts w:ascii="GHEA Grapalat" w:hAnsi="GHEA Grapalat" w:cs="Sylfaen"/>
          <w:sz w:val="24"/>
          <w:szCs w:val="24"/>
        </w:rPr>
        <w:t xml:space="preserve">լորտի հանրային կառավարման շրջանակներում հիմնախնդիրներից է հանդիսանում կառավարման անբավարար թափանցիկությունը ինչպես նաև պետական ծրագրերի հատվածայնությունը` մասնավորապես ոլորտում իրականացվող ծրագրերի կառուցվածքն ու տրամաբանությունը դեռևս չեն ներդրվում ոլորտում վարվող պետական քաղաքականության ընդնհանուր պատկերում` յուրաքանչյուր ծրագիրը լուծելով որոշակի խնդիր և այդպիսով սահմանելով շահառուների որոշակի շրջանակ և պայմանների որոշակի տրամաբանությամբ ձևակերպումներ: Ոլորտի վերաբերյալ բացակայում է տեղեկատվության հավաքագրման հստակ մեթոդաբանություն և տվյալների այնպիսի շրջանակ, որոնց նպատակի և հավաքագրման մեթոդների վերաբերյալ կլինի հստակ մեթոդաբանություն ինչպես օրինակ առկա չի ՀևՄ ոլորտում պետական ծախսերի հավաքագրման պատշաճ մեխանիզմ, ինչի փոխարեն զեկուցվում են պետական հատկացումների ծավալների վերաբերյալ, գիտական արդյունավետության ցուցիչների վերաբերյալ առկա չեն հաստատված մեթոդաբանությամբ չափորոշիչներ, որոնք նաև կհամապատասխանեն միջազգային վերլուծական կառույցների կողմից հավաքագրվող տվյալների մեթոդաբանություններին: Տարեկան հաշվետվությունները դեռևս ներկայացվում են տեքստային տարբերակով առանց վիզուալ և ինտերակտիվ էլեմենտների, կազմակերպությունների և դրամաշնորհների ֆինանսավորման և դրանց հաշվետվությունների վերաբերյալ առկա չեն բավարար մատչելիության և տեսանելիության առցանց վիզուալ գործիքներ: Գիտության ոլորտի կազմակերպությունների կատարողականների գնահատման համար դեռևս մեծ կշիռ է հանդիսանում գիտական արդյունավետությունը, ինչը ինքնին լինելով կարևորագույն ցուցիչը կազմակերպությունների արդյունավետ գործունեության համար չի արտացոլում </w:t>
      </w:r>
      <w:r w:rsidRPr="00C41B82">
        <w:rPr>
          <w:rFonts w:ascii="GHEA Grapalat" w:hAnsi="GHEA Grapalat" w:cs="Sylfaen"/>
          <w:sz w:val="24"/>
          <w:szCs w:val="24"/>
        </w:rPr>
        <w:lastRenderedPageBreak/>
        <w:t>գիտական կազմակերպությունների կողմից այլ կարևորություն ներկայացնող գործունեության արդյունքի գնահատում և հաշվառում: Քիչ ուշադրություն է դարձվում նաև հանրային հաշվետվողականության մեխանիզմների կատարելագործման վրա:</w:t>
      </w:r>
    </w:p>
    <w:p w14:paraId="4766BD4E" w14:textId="77777777" w:rsidR="00990066" w:rsidRDefault="00990066" w:rsidP="00C41B82">
      <w:pPr>
        <w:tabs>
          <w:tab w:val="left" w:pos="851"/>
          <w:tab w:val="left" w:pos="993"/>
        </w:tabs>
        <w:spacing w:line="276" w:lineRule="auto"/>
        <w:ind w:firstLine="567"/>
        <w:jc w:val="both"/>
        <w:rPr>
          <w:rFonts w:ascii="GHEA Grapalat" w:hAnsi="GHEA Grapalat" w:cs="Sylfaen"/>
          <w:sz w:val="24"/>
          <w:szCs w:val="24"/>
        </w:rPr>
      </w:pPr>
    </w:p>
    <w:p w14:paraId="049323AE" w14:textId="77777777" w:rsidR="00990066" w:rsidRDefault="00990066" w:rsidP="00C41B82">
      <w:pPr>
        <w:tabs>
          <w:tab w:val="left" w:pos="851"/>
          <w:tab w:val="left" w:pos="993"/>
        </w:tabs>
        <w:spacing w:line="276" w:lineRule="auto"/>
        <w:ind w:firstLine="567"/>
        <w:jc w:val="both"/>
        <w:rPr>
          <w:rFonts w:ascii="GHEA Grapalat" w:hAnsi="GHEA Grapalat" w:cs="Sylfaen"/>
          <w:sz w:val="24"/>
          <w:szCs w:val="24"/>
        </w:rPr>
      </w:pPr>
    </w:p>
    <w:p w14:paraId="0FE77023" w14:textId="77777777" w:rsidR="00990066" w:rsidRPr="00C41B82" w:rsidRDefault="00990066" w:rsidP="00C41B82">
      <w:pPr>
        <w:tabs>
          <w:tab w:val="left" w:pos="851"/>
          <w:tab w:val="left" w:pos="993"/>
        </w:tabs>
        <w:spacing w:line="276" w:lineRule="auto"/>
        <w:ind w:firstLine="567"/>
        <w:jc w:val="both"/>
        <w:rPr>
          <w:rFonts w:ascii="GHEA Grapalat" w:hAnsi="GHEA Grapalat" w:cs="Sylfaen"/>
          <w:sz w:val="24"/>
          <w:szCs w:val="24"/>
        </w:rPr>
      </w:pPr>
    </w:p>
    <w:p w14:paraId="6A0A8838" w14:textId="77777777" w:rsidR="00A26647" w:rsidRPr="00C72AB5" w:rsidRDefault="00A26647" w:rsidP="004630D9">
      <w:pPr>
        <w:tabs>
          <w:tab w:val="left" w:pos="851"/>
          <w:tab w:val="left" w:pos="993"/>
        </w:tabs>
        <w:spacing w:line="276" w:lineRule="auto"/>
        <w:ind w:firstLine="567"/>
        <w:jc w:val="both"/>
        <w:rPr>
          <w:rFonts w:ascii="GHEA Grapalat" w:hAnsi="GHEA Grapalat" w:cs="Sylfaen"/>
          <w:sz w:val="24"/>
          <w:szCs w:val="24"/>
        </w:rPr>
      </w:pPr>
    </w:p>
    <w:p w14:paraId="114F8CD8" w14:textId="0403E63C" w:rsidR="007740EA" w:rsidRDefault="003B5B80" w:rsidP="003B5B80">
      <w:pPr>
        <w:pStyle w:val="Heading2"/>
      </w:pPr>
      <w:bookmarkStart w:id="22" w:name="_Toc215422099"/>
      <w:r w:rsidRPr="00C72AB5">
        <w:t>6</w:t>
      </w:r>
      <w:r w:rsidR="007740EA" w:rsidRPr="00C72AB5">
        <w:t>.2 ՀԻՄՆԱԽՆԴՐԻ ԼՈՒԾՄԱՆ ԵՂԱՆԱԿՆԵՐԸ</w:t>
      </w:r>
      <w:bookmarkEnd w:id="22"/>
    </w:p>
    <w:p w14:paraId="24A43289" w14:textId="77777777" w:rsidR="00FC4265" w:rsidRPr="00C72AB5" w:rsidRDefault="00FC4265" w:rsidP="0073444C"/>
    <w:p w14:paraId="33DAFA02" w14:textId="5E867121" w:rsidR="007740EA" w:rsidRPr="00C72AB5" w:rsidRDefault="0069521F" w:rsidP="007740EA">
      <w:pPr>
        <w:tabs>
          <w:tab w:val="left" w:pos="851"/>
          <w:tab w:val="left" w:pos="993"/>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t>5</w:t>
      </w:r>
      <w:r w:rsidR="00D7609F" w:rsidRPr="00C72AB5">
        <w:rPr>
          <w:rFonts w:ascii="GHEA Grapalat" w:hAnsi="GHEA Grapalat" w:cs="Sylfaen"/>
          <w:sz w:val="24"/>
          <w:szCs w:val="24"/>
        </w:rPr>
        <w:t>8</w:t>
      </w:r>
      <w:r w:rsidR="007740EA" w:rsidRPr="00C72AB5">
        <w:rPr>
          <w:rFonts w:ascii="GHEA Grapalat" w:hAnsi="GHEA Grapalat" w:cs="Sylfaen"/>
          <w:sz w:val="24"/>
          <w:szCs w:val="24"/>
        </w:rPr>
        <w:t>. Սոցիալական պատասխանատվության բարձրացում (ՌՆ-3) ռազմավարական նպատակի ներքո նկարագրած հիմնախնդիրների լուծման նպատակով նախանշվում են հետևյալ ծրա</w:t>
      </w:r>
      <w:r w:rsidR="00D4555B">
        <w:rPr>
          <w:rFonts w:ascii="GHEA Grapalat" w:hAnsi="GHEA Grapalat" w:cs="Sylfaen"/>
          <w:sz w:val="24"/>
          <w:szCs w:val="24"/>
        </w:rPr>
        <w:t>գրերն ու միջանկյալ արդյունքները․</w:t>
      </w:r>
    </w:p>
    <w:p w14:paraId="6EFD58ED" w14:textId="69530990" w:rsidR="003C4687" w:rsidRPr="00C72AB5" w:rsidRDefault="007740EA" w:rsidP="003C4687">
      <w:pPr>
        <w:tabs>
          <w:tab w:val="left" w:pos="851"/>
          <w:tab w:val="left" w:pos="993"/>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t>1)</w:t>
      </w:r>
      <w:r w:rsidR="004630D9" w:rsidRPr="00C72AB5">
        <w:rPr>
          <w:rFonts w:ascii="GHEA Grapalat" w:hAnsi="GHEA Grapalat" w:cs="Sylfaen"/>
          <w:sz w:val="24"/>
          <w:szCs w:val="24"/>
        </w:rPr>
        <w:t xml:space="preserve"> </w:t>
      </w:r>
      <w:r w:rsidR="004630D9" w:rsidRPr="00C72AB5">
        <w:rPr>
          <w:rFonts w:ascii="GHEA Grapalat" w:hAnsi="GHEA Grapalat" w:cs="Sylfaen"/>
          <w:i/>
          <w:iCs/>
          <w:sz w:val="24"/>
          <w:szCs w:val="24"/>
        </w:rPr>
        <w:t>Գիտության հանրայնացում և հանրային ներգրավվածություն</w:t>
      </w:r>
      <w:r w:rsidR="004630D9" w:rsidRPr="00C72AB5">
        <w:rPr>
          <w:rFonts w:ascii="GHEA Grapalat" w:hAnsi="GHEA Grapalat" w:cs="Sylfaen"/>
          <w:sz w:val="24"/>
          <w:szCs w:val="24"/>
        </w:rPr>
        <w:t xml:space="preserve"> (ՄԱ 3-</w:t>
      </w:r>
      <w:r w:rsidRPr="00C72AB5">
        <w:rPr>
          <w:rFonts w:ascii="GHEA Grapalat" w:hAnsi="GHEA Grapalat" w:cs="Sylfaen"/>
          <w:sz w:val="24"/>
          <w:szCs w:val="24"/>
        </w:rPr>
        <w:t>1</w:t>
      </w:r>
      <w:r w:rsidR="004630D9" w:rsidRPr="00C72AB5">
        <w:rPr>
          <w:rFonts w:ascii="GHEA Grapalat" w:hAnsi="GHEA Grapalat" w:cs="Sylfaen"/>
          <w:sz w:val="24"/>
          <w:szCs w:val="24"/>
        </w:rPr>
        <w:t>)</w:t>
      </w:r>
      <w:r w:rsidR="00584B7F" w:rsidRPr="00C72AB5">
        <w:rPr>
          <w:rFonts w:ascii="GHEA Grapalat" w:hAnsi="GHEA Grapalat" w:cs="Sylfaen"/>
          <w:sz w:val="24"/>
          <w:szCs w:val="24"/>
        </w:rPr>
        <w:t>:</w:t>
      </w:r>
      <w:r w:rsidR="004630D9" w:rsidRPr="00C72AB5">
        <w:rPr>
          <w:rFonts w:ascii="GHEA Grapalat" w:hAnsi="GHEA Grapalat" w:cs="Sylfaen"/>
          <w:sz w:val="24"/>
          <w:szCs w:val="24"/>
        </w:rPr>
        <w:t xml:space="preserve"> </w:t>
      </w:r>
      <w:r w:rsidR="00584B7F" w:rsidRPr="00C72AB5">
        <w:rPr>
          <w:rFonts w:ascii="GHEA Grapalat" w:hAnsi="GHEA Grapalat" w:cs="Sylfaen"/>
          <w:sz w:val="24"/>
          <w:szCs w:val="24"/>
        </w:rPr>
        <w:t xml:space="preserve">Այս ծրագրի նպատակն է </w:t>
      </w:r>
      <w:r w:rsidR="00145D01" w:rsidRPr="00C72AB5">
        <w:rPr>
          <w:rFonts w:ascii="GHEA Grapalat" w:hAnsi="GHEA Grapalat" w:cs="Sylfaen"/>
          <w:sz w:val="24"/>
          <w:szCs w:val="24"/>
        </w:rPr>
        <w:t xml:space="preserve">տարատեսակ ձևաչափերով </w:t>
      </w:r>
      <w:r w:rsidR="004630D9" w:rsidRPr="00C72AB5">
        <w:rPr>
          <w:rFonts w:ascii="GHEA Grapalat" w:hAnsi="GHEA Grapalat" w:cs="Sylfaen"/>
          <w:sz w:val="24"/>
          <w:szCs w:val="24"/>
        </w:rPr>
        <w:t>գիտության հանրայնացման</w:t>
      </w:r>
      <w:r w:rsidR="00145D01" w:rsidRPr="00C72AB5">
        <w:rPr>
          <w:rFonts w:ascii="GHEA Grapalat" w:hAnsi="GHEA Grapalat" w:cs="Sylfaen"/>
          <w:sz w:val="24"/>
          <w:szCs w:val="24"/>
        </w:rPr>
        <w:t xml:space="preserve"> </w:t>
      </w:r>
      <w:r w:rsidR="004630D9" w:rsidRPr="00C72AB5">
        <w:rPr>
          <w:rFonts w:ascii="GHEA Grapalat" w:hAnsi="GHEA Grapalat" w:cs="Sylfaen"/>
          <w:sz w:val="24"/>
          <w:szCs w:val="24"/>
        </w:rPr>
        <w:t xml:space="preserve">միջոցառումների </w:t>
      </w:r>
      <w:r w:rsidR="00145D01" w:rsidRPr="00C72AB5">
        <w:rPr>
          <w:rFonts w:ascii="GHEA Grapalat" w:hAnsi="GHEA Grapalat" w:cs="Sylfaen"/>
          <w:sz w:val="24"/>
          <w:szCs w:val="24"/>
        </w:rPr>
        <w:t xml:space="preserve">(գիտական դասախոսություններ, գիտության գիշերներ, հետազոտող քաղաքացի, դպրոցական գիտական մրցույթներ, գիտության և մշակույթի փառատոններ, բաց դռների օրեր գիտական կազմակերպություններում) </w:t>
      </w:r>
      <w:r w:rsidR="004630D9" w:rsidRPr="00C72AB5">
        <w:rPr>
          <w:rFonts w:ascii="GHEA Grapalat" w:hAnsi="GHEA Grapalat" w:cs="Sylfaen"/>
          <w:sz w:val="24"/>
          <w:szCs w:val="24"/>
        </w:rPr>
        <w:t>իրականացում</w:t>
      </w:r>
      <w:r w:rsidR="00145D01" w:rsidRPr="00C72AB5">
        <w:rPr>
          <w:rFonts w:ascii="GHEA Grapalat" w:hAnsi="GHEA Grapalat" w:cs="Sylfaen"/>
          <w:sz w:val="24"/>
          <w:szCs w:val="24"/>
        </w:rPr>
        <w:t xml:space="preserve">ը և գոյություն ունեցող ձևաչափերի ինստիտուցիոնալացումը: </w:t>
      </w:r>
      <w:r w:rsidR="006F0BF1" w:rsidRPr="00C72AB5">
        <w:rPr>
          <w:rFonts w:ascii="GHEA Grapalat" w:hAnsi="GHEA Grapalat" w:cs="Sylfaen"/>
          <w:sz w:val="24"/>
          <w:szCs w:val="24"/>
        </w:rPr>
        <w:t xml:space="preserve">Կարևոր է նաև </w:t>
      </w:r>
      <w:r w:rsidR="004630D9" w:rsidRPr="00C72AB5">
        <w:rPr>
          <w:rFonts w:ascii="GHEA Grapalat" w:hAnsi="GHEA Grapalat" w:cs="Sylfaen"/>
          <w:sz w:val="24"/>
          <w:szCs w:val="24"/>
        </w:rPr>
        <w:t>գիտության թանգարանի հիմնում</w:t>
      </w:r>
      <w:r w:rsidR="006F0BF1" w:rsidRPr="00C72AB5">
        <w:rPr>
          <w:rFonts w:ascii="GHEA Grapalat" w:hAnsi="GHEA Grapalat" w:cs="Sylfaen"/>
          <w:sz w:val="24"/>
          <w:szCs w:val="24"/>
        </w:rPr>
        <w:t>ը</w:t>
      </w:r>
      <w:r w:rsidR="00536135" w:rsidRPr="00C72AB5">
        <w:rPr>
          <w:rFonts w:ascii="GHEA Grapalat" w:hAnsi="GHEA Grapalat" w:cs="Sylfaen"/>
          <w:sz w:val="24"/>
          <w:szCs w:val="24"/>
        </w:rPr>
        <w:t>, որը կապահովի գիտության վերաբերյալ հանրամատչելի հաղորդակցությունը և հաջողության դեպքում կարող է աշխատել ինքնաբավ կամ նվազագույն աջակցությամբ, սրա համար անհրաժեշտ է դիտարկել Ակադեմիական քաղաքի տարածքը կամ ընդհակառակը` շատ քանակով այցելուներ ունեցող որևէ միջավայր:</w:t>
      </w:r>
      <w:r w:rsidR="006F0BF1" w:rsidRPr="00C72AB5">
        <w:rPr>
          <w:rFonts w:ascii="GHEA Grapalat" w:hAnsi="GHEA Grapalat" w:cs="Sylfaen"/>
          <w:sz w:val="24"/>
          <w:szCs w:val="24"/>
        </w:rPr>
        <w:t xml:space="preserve"> </w:t>
      </w:r>
      <w:r w:rsidR="00536135" w:rsidRPr="00C72AB5">
        <w:rPr>
          <w:rFonts w:ascii="GHEA Grapalat" w:hAnsi="GHEA Grapalat" w:cs="Sylfaen"/>
          <w:sz w:val="24"/>
          <w:szCs w:val="24"/>
        </w:rPr>
        <w:t xml:space="preserve">Հանրայնացման կարևոր բաղադրիչներից է </w:t>
      </w:r>
      <w:r w:rsidR="004630D9" w:rsidRPr="00C72AB5">
        <w:rPr>
          <w:rFonts w:ascii="GHEA Grapalat" w:hAnsi="GHEA Grapalat" w:cs="Sylfaen"/>
          <w:sz w:val="24"/>
          <w:szCs w:val="24"/>
        </w:rPr>
        <w:t xml:space="preserve">հանրային մեդիա դաշտում հայալեզու գիտահանրամատչելի նյութերի </w:t>
      </w:r>
      <w:r w:rsidR="00536135" w:rsidRPr="00C72AB5">
        <w:rPr>
          <w:rFonts w:ascii="GHEA Grapalat" w:hAnsi="GHEA Grapalat" w:cs="Sylfaen"/>
          <w:sz w:val="24"/>
          <w:szCs w:val="24"/>
        </w:rPr>
        <w:t xml:space="preserve">առկայությունը, ընդ որում ինչպես մասնագիտացմված մեդիա հարթակներում` պարբերականներ կամ թերթեր, այնպես էլ ոչ ֆորմալ հարթակներում` սոցիալական ցանցերում` անհատական էջերի միջոցով, այս դեպքում սակայն բարձր ազդեցության համար կարևոր է նյութի </w:t>
      </w:r>
      <w:r w:rsidR="004630D9" w:rsidRPr="00C72AB5">
        <w:rPr>
          <w:rFonts w:ascii="GHEA Grapalat" w:hAnsi="GHEA Grapalat" w:cs="Sylfaen"/>
          <w:sz w:val="24"/>
          <w:szCs w:val="24"/>
        </w:rPr>
        <w:t xml:space="preserve">գիտական </w:t>
      </w:r>
      <w:r w:rsidR="00536135" w:rsidRPr="00C72AB5">
        <w:rPr>
          <w:rFonts w:ascii="GHEA Grapalat" w:hAnsi="GHEA Grapalat" w:cs="Sylfaen"/>
          <w:sz w:val="24"/>
          <w:szCs w:val="24"/>
        </w:rPr>
        <w:t xml:space="preserve">բարձր </w:t>
      </w:r>
      <w:r w:rsidR="004630D9" w:rsidRPr="00C72AB5">
        <w:rPr>
          <w:rFonts w:ascii="GHEA Grapalat" w:hAnsi="GHEA Grapalat" w:cs="Sylfaen"/>
          <w:sz w:val="24"/>
          <w:szCs w:val="24"/>
        </w:rPr>
        <w:t>որակ</w:t>
      </w:r>
      <w:r w:rsidR="00536135" w:rsidRPr="00C72AB5">
        <w:rPr>
          <w:rFonts w:ascii="GHEA Grapalat" w:hAnsi="GHEA Grapalat" w:cs="Sylfaen"/>
          <w:sz w:val="24"/>
          <w:szCs w:val="24"/>
        </w:rPr>
        <w:t xml:space="preserve">ը և հաղորդակցման պատշաճ թիրախային մակարդակի ապահովումը, այսինքն թիրախային խմբի հստակ ընկալումը և այդ խմբի համար ընդունելի ձևաչափերով մատուցումը, սրա համար կարևոր է համագործակցությունը միջազգային հանրահայտ հարթակների և բլոգերների հետ` այդ թվում բովանդակության թարգմանությունների համար: Լրատվական դաշտում ոլորտի վերաբերյալ հաղորդումների ավելի պրոֆեսիոնալ մակարդակի ապահովման համար անհրաժեշտ է ներդնել լրագրողների որակավորման բարձրացման կրթական մոդուլներ, ինչպես նաև </w:t>
      </w:r>
      <w:r w:rsidR="00286C56" w:rsidRPr="00C72AB5">
        <w:rPr>
          <w:rFonts w:ascii="GHEA Grapalat" w:hAnsi="GHEA Grapalat" w:cs="Sylfaen"/>
          <w:sz w:val="24"/>
          <w:szCs w:val="24"/>
        </w:rPr>
        <w:t xml:space="preserve">համապատասխան կրթական ծրագրերում ներառել գիտական լրատվությանը նվիրված ակադեմիական մոդուլ: Գիտության ոլորտի հանրայնացման համար էական նշանակություն ունի նաև գիտական ֆանտաստիկայի գեղարվեստական ժանրի տարածումը և այս նպատակով պետք է իրականացնել ինչպես օտարալեզու առաջատար աշխատությունների պատշաճ մակարդակի թարմանությունների ծրագիր, այնպես էլ խրախուսել գիտական ֆանտաստիկայի ժանրում ստեղծագործելը` համապատասխան մրցույթների և </w:t>
      </w:r>
      <w:r w:rsidR="000F06BB" w:rsidRPr="00C72AB5">
        <w:rPr>
          <w:rFonts w:ascii="GHEA Grapalat" w:hAnsi="GHEA Grapalat" w:cs="Sylfaen"/>
          <w:sz w:val="24"/>
          <w:szCs w:val="24"/>
        </w:rPr>
        <w:lastRenderedPageBreak/>
        <w:t xml:space="preserve">սիրողական կամ սկսնակ ստեղծագործողներին </w:t>
      </w:r>
      <w:r w:rsidR="00286C56" w:rsidRPr="00C72AB5">
        <w:rPr>
          <w:rFonts w:ascii="GHEA Grapalat" w:hAnsi="GHEA Grapalat" w:cs="Sylfaen"/>
          <w:sz w:val="24"/>
          <w:szCs w:val="24"/>
        </w:rPr>
        <w:t>հրատարակվելու հարթակների տրամադրմամբ:</w:t>
      </w:r>
      <w:r w:rsidR="004630D9" w:rsidRPr="00C72AB5">
        <w:rPr>
          <w:rFonts w:ascii="GHEA Grapalat" w:hAnsi="GHEA Grapalat" w:cs="Sylfaen"/>
          <w:sz w:val="24"/>
          <w:szCs w:val="24"/>
        </w:rPr>
        <w:t xml:space="preserve"> Հայագիտական հետազոտությունների արդյունքներ</w:t>
      </w:r>
      <w:r w:rsidR="000F06BB" w:rsidRPr="00C72AB5">
        <w:rPr>
          <w:rFonts w:ascii="GHEA Grapalat" w:hAnsi="GHEA Grapalat" w:cs="Sylfaen"/>
          <w:sz w:val="24"/>
          <w:szCs w:val="24"/>
        </w:rPr>
        <w:t xml:space="preserve">ը բացի գիտական նշանակությունից հաճախ ունեն նաև հանրային կարևորություն, </w:t>
      </w:r>
      <w:r w:rsidR="004630D9" w:rsidRPr="00C72AB5">
        <w:rPr>
          <w:rFonts w:ascii="GHEA Grapalat" w:hAnsi="GHEA Grapalat" w:cs="Sylfaen"/>
          <w:sz w:val="24"/>
          <w:szCs w:val="24"/>
        </w:rPr>
        <w:t>ի</w:t>
      </w:r>
      <w:r w:rsidR="000F06BB" w:rsidRPr="00C72AB5">
        <w:rPr>
          <w:rFonts w:ascii="GHEA Grapalat" w:hAnsi="GHEA Grapalat" w:cs="Sylfaen"/>
          <w:sz w:val="24"/>
          <w:szCs w:val="24"/>
        </w:rPr>
        <w:t>նչի համար առանձնահատուկ կարևորություն է ներկայացնում հանրայնացման ենթակա նյութի և հանրայնացման առավելագույն արդյունավետ եղանակի ընտրությունը:</w:t>
      </w:r>
      <w:r w:rsidR="003C4687" w:rsidRPr="00C72AB5">
        <w:rPr>
          <w:rFonts w:ascii="GHEA Grapalat" w:hAnsi="GHEA Grapalat" w:cs="Sylfaen"/>
          <w:sz w:val="24"/>
          <w:szCs w:val="24"/>
        </w:rPr>
        <w:t xml:space="preserve"> Վերանայվելու է միջազգային </w:t>
      </w:r>
      <w:r w:rsidR="001F693C" w:rsidRPr="00C72AB5">
        <w:rPr>
          <w:rFonts w:ascii="GHEA Grapalat" w:hAnsi="GHEA Grapalat" w:cs="Sylfaen"/>
          <w:sz w:val="24"/>
          <w:szCs w:val="24"/>
        </w:rPr>
        <w:t xml:space="preserve">հանրային </w:t>
      </w:r>
      <w:r w:rsidR="003C4687" w:rsidRPr="00C72AB5">
        <w:rPr>
          <w:rFonts w:ascii="GHEA Grapalat" w:hAnsi="GHEA Grapalat" w:cs="Sylfaen"/>
          <w:sz w:val="24"/>
          <w:szCs w:val="24"/>
        </w:rPr>
        <w:t>գիտ</w:t>
      </w:r>
      <w:r w:rsidR="001F693C" w:rsidRPr="00C72AB5">
        <w:rPr>
          <w:rFonts w:ascii="GHEA Grapalat" w:hAnsi="GHEA Grapalat" w:cs="Sylfaen"/>
          <w:sz w:val="24"/>
          <w:szCs w:val="24"/>
        </w:rPr>
        <w:t>ությ</w:t>
      </w:r>
      <w:r w:rsidR="003C4687" w:rsidRPr="00C72AB5">
        <w:rPr>
          <w:rFonts w:ascii="GHEA Grapalat" w:hAnsi="GHEA Grapalat" w:cs="Sylfaen"/>
          <w:sz w:val="24"/>
          <w:szCs w:val="24"/>
        </w:rPr>
        <w:t xml:space="preserve">ան ծրագրերում մասնակցության կազմակերպման ձևը և ներդրվելու են մասնակցության խթանման գործիքներ, ինչպես նաև սահմանվելու են խոշոր հետազոտական ծրագրերում քաղաքացիների ներգրավման </w:t>
      </w:r>
      <w:r w:rsidR="009E3A97" w:rsidRPr="00C72AB5">
        <w:rPr>
          <w:rFonts w:ascii="GHEA Grapalat" w:hAnsi="GHEA Grapalat" w:cs="Sylfaen"/>
          <w:sz w:val="24"/>
          <w:szCs w:val="24"/>
        </w:rPr>
        <w:t>հնարավորությունները` քաղաքացիական գիտության (citizen science) կայացման նպատակով:</w:t>
      </w:r>
      <w:r w:rsidR="003C4687" w:rsidRPr="00C72AB5">
        <w:rPr>
          <w:rFonts w:ascii="GHEA Grapalat" w:hAnsi="GHEA Grapalat" w:cs="Sylfaen"/>
          <w:sz w:val="24"/>
          <w:szCs w:val="24"/>
        </w:rPr>
        <w:t xml:space="preserve"> </w:t>
      </w:r>
    </w:p>
    <w:p w14:paraId="43D34859" w14:textId="5A363126" w:rsidR="003C4687" w:rsidRPr="00C72AB5" w:rsidRDefault="000F06BB" w:rsidP="00145D01">
      <w:pPr>
        <w:tabs>
          <w:tab w:val="left" w:pos="851"/>
          <w:tab w:val="left" w:pos="993"/>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t xml:space="preserve">Արդյունքում` 2030 թվականին բոլոր հանրային գիտական կազմակերպությունները </w:t>
      </w:r>
      <w:r w:rsidR="003C4687" w:rsidRPr="00C72AB5">
        <w:rPr>
          <w:rFonts w:ascii="GHEA Grapalat" w:hAnsi="GHEA Grapalat" w:cs="Sylfaen"/>
          <w:sz w:val="24"/>
          <w:szCs w:val="24"/>
        </w:rPr>
        <w:t xml:space="preserve">իրականացնում են </w:t>
      </w:r>
      <w:r w:rsidRPr="00C72AB5">
        <w:rPr>
          <w:rFonts w:ascii="GHEA Grapalat" w:hAnsi="GHEA Grapalat" w:cs="Sylfaen"/>
          <w:sz w:val="24"/>
          <w:szCs w:val="24"/>
        </w:rPr>
        <w:t>քաղաքացիների ընդունելությ</w:t>
      </w:r>
      <w:r w:rsidR="009E3A97" w:rsidRPr="00C72AB5">
        <w:rPr>
          <w:rFonts w:ascii="GHEA Grapalat" w:hAnsi="GHEA Grapalat" w:cs="Sylfaen"/>
          <w:sz w:val="24"/>
          <w:szCs w:val="24"/>
        </w:rPr>
        <w:t xml:space="preserve">ուն` </w:t>
      </w:r>
      <w:r w:rsidR="003C4687" w:rsidRPr="00C72AB5">
        <w:rPr>
          <w:rFonts w:ascii="GHEA Grapalat" w:hAnsi="GHEA Grapalat" w:cs="Sylfaen"/>
          <w:sz w:val="24"/>
          <w:szCs w:val="24"/>
        </w:rPr>
        <w:t>բաց դռների օրեր</w:t>
      </w:r>
      <w:r w:rsidR="009E3A97" w:rsidRPr="00C72AB5">
        <w:rPr>
          <w:rFonts w:ascii="GHEA Grapalat" w:hAnsi="GHEA Grapalat" w:cs="Sylfaen"/>
          <w:sz w:val="24"/>
          <w:szCs w:val="24"/>
        </w:rPr>
        <w:t xml:space="preserve"> կամ գիտության գիշերներ կամ այլ ձևաչափերով` ապահովելով մասնագիտական ուղեկցմամբ ծանոթացում գիտական ենթակառուցվածքների և իրականացվող հետազոտությունների հետ: Միջազգային լավագույն փորձի ուսումնասիրությամբ հիմնադրված է գիտության թանգարան: Հանրային մեդիա դաշտում ներդրված է առնվազն մեկ գիտահանրամատչելի էլեկտրոնային պարբերական, որն ապահովում է ինչպես ՀՀ հեղինակների նյութերի հրապարակում, այնպես էլ միջազգային լավագույն գիտահանրամատչելի պարբերականներից ընտրված նյութերի մասնագիտական թարգմանություններով հրապարակումներ: Միջազգային գործընկերների հետ համագործակցությամբ ներդրված է գիտական լրատվության ակադեմիական մոդուլը, որը նաև դասավանդվում է որպես լրացուցիչ կրթության մոդուլ: Սոցիալական ցանցերում առկա են գիտական ուղղվածության առնվազն 3 բովանդակություն ստեղծողներ, որոնք </w:t>
      </w:r>
      <w:r w:rsidR="007A3EEB" w:rsidRPr="00C72AB5">
        <w:rPr>
          <w:rFonts w:ascii="GHEA Grapalat" w:hAnsi="GHEA Grapalat" w:cs="Sylfaen"/>
          <w:sz w:val="24"/>
          <w:szCs w:val="24"/>
        </w:rPr>
        <w:t>ապահովում են բարձրորակ հաղորդակցություն, ինչպես նաև առկա է սոցիալական մեդիա տիրույթում հայտնի բովանդակությունների թարգմանություն և տարածում: Թարգմանված է առնվազն 10 անուն գիտական ֆանտաստիկայի ժանրի համաշխարհային հայտնի գրական ստեղծագործություններ և կազմակերպվել է գիտական ֆանտաստիկայի ժանրում ստեղծագործելուն նվիրված մրցույթ, կամ իրականացվում է այդ մրցույթին աջակցություն</w:t>
      </w:r>
      <w:r w:rsidR="00D4555B">
        <w:rPr>
          <w:rFonts w:ascii="Cambria Math" w:hAnsi="Cambria Math" w:cs="Sylfaen"/>
          <w:sz w:val="24"/>
          <w:szCs w:val="24"/>
        </w:rPr>
        <w:t>․</w:t>
      </w:r>
      <w:r w:rsidR="007A3EEB" w:rsidRPr="00C72AB5">
        <w:rPr>
          <w:rFonts w:ascii="GHEA Grapalat" w:hAnsi="GHEA Grapalat" w:cs="Sylfaen"/>
          <w:sz w:val="24"/>
          <w:szCs w:val="24"/>
        </w:rPr>
        <w:t xml:space="preserve"> </w:t>
      </w:r>
    </w:p>
    <w:p w14:paraId="22CF08F7" w14:textId="369AED85" w:rsidR="004630D9" w:rsidRPr="00C72AB5" w:rsidRDefault="00145D01" w:rsidP="004630D9">
      <w:pPr>
        <w:tabs>
          <w:tab w:val="left" w:pos="851"/>
          <w:tab w:val="left" w:pos="993"/>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t>2)</w:t>
      </w:r>
      <w:r w:rsidR="004630D9" w:rsidRPr="00C72AB5">
        <w:rPr>
          <w:rFonts w:ascii="GHEA Grapalat" w:hAnsi="GHEA Grapalat" w:cs="Sylfaen"/>
          <w:sz w:val="24"/>
          <w:szCs w:val="24"/>
        </w:rPr>
        <w:t xml:space="preserve"> </w:t>
      </w:r>
      <w:r w:rsidR="004630D9" w:rsidRPr="00C72AB5">
        <w:rPr>
          <w:rFonts w:ascii="GHEA Grapalat" w:hAnsi="GHEA Grapalat" w:cs="Sylfaen"/>
          <w:i/>
          <w:iCs/>
          <w:sz w:val="24"/>
          <w:szCs w:val="24"/>
        </w:rPr>
        <w:t xml:space="preserve">Գիտությունից դպրոց </w:t>
      </w:r>
      <w:r w:rsidR="004630D9" w:rsidRPr="00C72AB5">
        <w:rPr>
          <w:rFonts w:ascii="GHEA Grapalat" w:hAnsi="GHEA Grapalat" w:cs="Sylfaen"/>
          <w:sz w:val="24"/>
          <w:szCs w:val="24"/>
        </w:rPr>
        <w:t>(ՄԱ 3-</w:t>
      </w:r>
      <w:r w:rsidR="00421E2B" w:rsidRPr="00C72AB5">
        <w:rPr>
          <w:rFonts w:ascii="GHEA Grapalat" w:hAnsi="GHEA Grapalat" w:cs="Sylfaen"/>
          <w:sz w:val="24"/>
          <w:szCs w:val="24"/>
        </w:rPr>
        <w:t>2</w:t>
      </w:r>
      <w:r w:rsidR="004630D9" w:rsidRPr="00C72AB5">
        <w:rPr>
          <w:rFonts w:ascii="GHEA Grapalat" w:hAnsi="GHEA Grapalat" w:cs="Sylfaen"/>
          <w:sz w:val="24"/>
          <w:szCs w:val="24"/>
        </w:rPr>
        <w:t>)</w:t>
      </w:r>
      <w:r w:rsidR="00DD3C8D" w:rsidRPr="00C72AB5">
        <w:rPr>
          <w:rFonts w:ascii="GHEA Grapalat" w:hAnsi="GHEA Grapalat" w:cs="Sylfaen"/>
          <w:sz w:val="24"/>
          <w:szCs w:val="24"/>
        </w:rPr>
        <w:t>:</w:t>
      </w:r>
      <w:r w:rsidR="004630D9" w:rsidRPr="00C72AB5">
        <w:rPr>
          <w:rFonts w:ascii="GHEA Grapalat" w:hAnsi="GHEA Grapalat" w:cs="Sylfaen"/>
          <w:sz w:val="24"/>
          <w:szCs w:val="24"/>
        </w:rPr>
        <w:t xml:space="preserve"> </w:t>
      </w:r>
      <w:r w:rsidR="00DD3C8D" w:rsidRPr="00C72AB5">
        <w:rPr>
          <w:rFonts w:ascii="GHEA Grapalat" w:hAnsi="GHEA Grapalat" w:cs="Sylfaen"/>
          <w:sz w:val="24"/>
          <w:szCs w:val="24"/>
        </w:rPr>
        <w:t xml:space="preserve">Առարկայական օլիմպիական խմբակների միջազգային փուլի մասնակից աշակերտների համար գիտական կազմակերպություններում իրականացվելու են պարապմունքներ և լաբորատոր փորձեր, գիտական կազմակերպություններին կից կամ դրանց կազմում գործելու են նաև համապատասխան առարկայական օլիմպիադաների կազմակերպման թիմերը, ինչպես նաև իրականացվելու է աշակերտական օլիմպիական շարժմանը պատրաստվելու եղանակների բազմազանացում` ներառյալ առցանց համակարգերի և հեռավար ուսուցման գործիների կիրառումը: Գիտական կազմակերպություններում և համալսարաններում իրականացվելու են ուսուցիչների վերապատրաստման դասընթացներ` մասնագիտական առարկաների շրջանակներում` մասնագիտական հմտությունների թարմացման և լաբորատոր հմտությունների ձևավորման համար: </w:t>
      </w:r>
      <w:r w:rsidR="004A19AB" w:rsidRPr="00C72AB5">
        <w:rPr>
          <w:rFonts w:ascii="GHEA Grapalat" w:hAnsi="GHEA Grapalat" w:cs="Sylfaen"/>
          <w:sz w:val="24"/>
          <w:szCs w:val="24"/>
        </w:rPr>
        <w:lastRenderedPageBreak/>
        <w:t xml:space="preserve">Նախատեսվում է նաև </w:t>
      </w:r>
      <w:r w:rsidR="004630D9" w:rsidRPr="00C72AB5">
        <w:rPr>
          <w:rFonts w:ascii="GHEA Grapalat" w:hAnsi="GHEA Grapalat" w:cs="Sylfaen"/>
          <w:sz w:val="24"/>
          <w:szCs w:val="24"/>
        </w:rPr>
        <w:t>հետազոտող դպրոցների ցանցի ձևավորում և դրանց բովանդակային ուղեկցում գիտական կազմակերպությունների կողմից</w:t>
      </w:r>
      <w:r w:rsidR="004A19AB" w:rsidRPr="00C72AB5">
        <w:rPr>
          <w:rFonts w:ascii="GHEA Grapalat" w:hAnsi="GHEA Grapalat" w:cs="Sylfaen"/>
          <w:sz w:val="24"/>
          <w:szCs w:val="24"/>
        </w:rPr>
        <w:t>, ցանցի դպրոցներում աշակերտների մասնակցությամբ կիրականացվեն հետազոտական աշխատանքներ, որոնք կներկայացվեն գիտության փառատոններին, միևնույն ժամանակ կմասնակցեն խոշորամասշտաբ և մատչելի հետազոտություններին:</w:t>
      </w:r>
    </w:p>
    <w:p w14:paraId="26BADECE" w14:textId="243B5027" w:rsidR="002E1D81" w:rsidRPr="00C72AB5" w:rsidRDefault="00027141" w:rsidP="002E1D81">
      <w:pPr>
        <w:tabs>
          <w:tab w:val="left" w:pos="851"/>
          <w:tab w:val="left" w:pos="993"/>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t>Արդյունքում`</w:t>
      </w:r>
      <w:r w:rsidR="00603817" w:rsidRPr="00C72AB5">
        <w:rPr>
          <w:rFonts w:ascii="GHEA Grapalat" w:hAnsi="GHEA Grapalat" w:cs="Sylfaen"/>
          <w:sz w:val="24"/>
          <w:szCs w:val="24"/>
        </w:rPr>
        <w:t xml:space="preserve"> Առնվազն ԲՏՃՄ առարկաների ուղղությամբ համապատասխան գիտական կազմակերպություններում կազմակերպվում </w:t>
      </w:r>
      <w:r w:rsidR="00295D54">
        <w:rPr>
          <w:rFonts w:ascii="GHEA Grapalat" w:hAnsi="GHEA Grapalat" w:cs="Sylfaen"/>
          <w:sz w:val="24"/>
          <w:szCs w:val="24"/>
        </w:rPr>
        <w:t>է</w:t>
      </w:r>
      <w:r w:rsidR="00603817" w:rsidRPr="00C72AB5">
        <w:rPr>
          <w:rFonts w:ascii="GHEA Grapalat" w:hAnsi="GHEA Grapalat" w:cs="Sylfaen"/>
          <w:sz w:val="24"/>
          <w:szCs w:val="24"/>
        </w:rPr>
        <w:t xml:space="preserve"> առարկայական օլիմպիադաների խմբակների աշխատանքը` սկսած հեռավար </w:t>
      </w:r>
      <w:r w:rsidR="00EC0811" w:rsidRPr="00C72AB5">
        <w:rPr>
          <w:rFonts w:ascii="GHEA Grapalat" w:hAnsi="GHEA Grapalat" w:cs="Sylfaen"/>
          <w:sz w:val="24"/>
          <w:szCs w:val="24"/>
        </w:rPr>
        <w:t xml:space="preserve">կամ առցանց տարաժամանակյա </w:t>
      </w:r>
      <w:r w:rsidR="00603817" w:rsidRPr="00C72AB5">
        <w:rPr>
          <w:rFonts w:ascii="GHEA Grapalat" w:hAnsi="GHEA Grapalat" w:cs="Sylfaen"/>
          <w:sz w:val="24"/>
          <w:szCs w:val="24"/>
        </w:rPr>
        <w:t xml:space="preserve">եղանակով հնարավորինս լայն ընդգրկում </w:t>
      </w:r>
      <w:r w:rsidR="00EC0811" w:rsidRPr="00C72AB5">
        <w:rPr>
          <w:rFonts w:ascii="GHEA Grapalat" w:hAnsi="GHEA Grapalat" w:cs="Sylfaen"/>
          <w:sz w:val="24"/>
          <w:szCs w:val="24"/>
        </w:rPr>
        <w:t xml:space="preserve">ապահովող խմբակների վարմամբ մինչև հանրապետությունը ներկայացնող թիմի պարապմունքների կազմակերպմամբ: Համապատասխան գիտական կազմակերպություններում առնվազն ԲՏՃՄ մասնագիտությունների ուղղությամբ կազմակերպվում են առարկաների ուսուցիչների մասնագիտական վերապատրաստումներ` տարբեր ձևաչափերի կիրառմամբ: Ձևակերպվել է հետազոտող դպրոցների հայեցակարգը, որի շրջանակներում կազմակերպվում է դպրոցների ընտրություն, որոնց աշակերտները կմասնակցեն տարբեր հետազոտությունների: </w:t>
      </w:r>
      <w:r w:rsidR="002E1D81" w:rsidRPr="00C72AB5">
        <w:rPr>
          <w:rFonts w:ascii="GHEA Grapalat" w:hAnsi="GHEA Grapalat" w:cs="Sylfaen"/>
          <w:sz w:val="24"/>
          <w:szCs w:val="24"/>
        </w:rPr>
        <w:t>Միջազգային հետազոտական ծրագրերի</w:t>
      </w:r>
      <w:r w:rsidR="00D4555B">
        <w:rPr>
          <w:rFonts w:ascii="GHEA Grapalat" w:hAnsi="GHEA Grapalat" w:cs="Sylfaen"/>
          <w:sz w:val="24"/>
          <w:szCs w:val="24"/>
        </w:rPr>
        <w:t>ն մասնակցում է առնվազն 20 դպրոց․</w:t>
      </w:r>
    </w:p>
    <w:p w14:paraId="33F373DD" w14:textId="24DECB38" w:rsidR="00E90746" w:rsidRPr="00C72AB5" w:rsidRDefault="00421E2B" w:rsidP="00E90746">
      <w:pPr>
        <w:tabs>
          <w:tab w:val="left" w:pos="851"/>
          <w:tab w:val="left" w:pos="993"/>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t>3)</w:t>
      </w:r>
      <w:r w:rsidR="00E90746" w:rsidRPr="00C72AB5">
        <w:rPr>
          <w:rFonts w:ascii="GHEA Grapalat" w:hAnsi="GHEA Grapalat" w:cs="Sylfaen"/>
          <w:sz w:val="24"/>
          <w:szCs w:val="24"/>
        </w:rPr>
        <w:t xml:space="preserve"> </w:t>
      </w:r>
      <w:r w:rsidR="00E90746" w:rsidRPr="00C72AB5">
        <w:rPr>
          <w:rFonts w:ascii="GHEA Grapalat" w:hAnsi="GHEA Grapalat" w:cs="Sylfaen"/>
          <w:i/>
          <w:iCs/>
          <w:sz w:val="24"/>
          <w:szCs w:val="24"/>
        </w:rPr>
        <w:t>Ներառականություն</w:t>
      </w:r>
      <w:r w:rsidR="00646BD4" w:rsidRPr="00C72AB5">
        <w:rPr>
          <w:rFonts w:ascii="GHEA Grapalat" w:hAnsi="GHEA Grapalat" w:cs="Sylfaen"/>
          <w:i/>
          <w:iCs/>
          <w:sz w:val="24"/>
          <w:szCs w:val="24"/>
        </w:rPr>
        <w:t xml:space="preserve">, </w:t>
      </w:r>
      <w:r w:rsidR="00E90746" w:rsidRPr="00C72AB5">
        <w:rPr>
          <w:rFonts w:ascii="GHEA Grapalat" w:hAnsi="GHEA Grapalat" w:cs="Sylfaen"/>
          <w:i/>
          <w:iCs/>
          <w:sz w:val="24"/>
          <w:szCs w:val="24"/>
        </w:rPr>
        <w:t>հավասար հնարավորություններ</w:t>
      </w:r>
      <w:r w:rsidR="00646BD4" w:rsidRPr="00C72AB5">
        <w:rPr>
          <w:rFonts w:ascii="GHEA Grapalat" w:hAnsi="GHEA Grapalat" w:cs="Sylfaen"/>
          <w:i/>
          <w:iCs/>
          <w:sz w:val="24"/>
          <w:szCs w:val="24"/>
        </w:rPr>
        <w:t>, անվտանգություն</w:t>
      </w:r>
      <w:r w:rsidR="00E90746" w:rsidRPr="00C72AB5">
        <w:rPr>
          <w:rFonts w:ascii="GHEA Grapalat" w:hAnsi="GHEA Grapalat" w:cs="Sylfaen"/>
          <w:sz w:val="24"/>
          <w:szCs w:val="24"/>
        </w:rPr>
        <w:t xml:space="preserve"> (ՄԱ 3-</w:t>
      </w:r>
      <w:r w:rsidRPr="00C72AB5">
        <w:rPr>
          <w:rFonts w:ascii="GHEA Grapalat" w:hAnsi="GHEA Grapalat" w:cs="Sylfaen"/>
          <w:sz w:val="24"/>
          <w:szCs w:val="24"/>
        </w:rPr>
        <w:t>3</w:t>
      </w:r>
      <w:r w:rsidR="00E90746" w:rsidRPr="00C72AB5">
        <w:rPr>
          <w:rFonts w:ascii="GHEA Grapalat" w:hAnsi="GHEA Grapalat" w:cs="Sylfaen"/>
          <w:sz w:val="24"/>
          <w:szCs w:val="24"/>
        </w:rPr>
        <w:t>)</w:t>
      </w:r>
      <w:r w:rsidR="00160E92" w:rsidRPr="00C72AB5">
        <w:rPr>
          <w:rFonts w:ascii="GHEA Grapalat" w:hAnsi="GHEA Grapalat" w:cs="Sylfaen"/>
          <w:sz w:val="24"/>
          <w:szCs w:val="24"/>
        </w:rPr>
        <w:t>:</w:t>
      </w:r>
      <w:r w:rsidR="00E90746" w:rsidRPr="00C72AB5">
        <w:rPr>
          <w:rFonts w:ascii="GHEA Grapalat" w:hAnsi="GHEA Grapalat" w:cs="Sylfaen"/>
          <w:sz w:val="24"/>
          <w:szCs w:val="24"/>
        </w:rPr>
        <w:t xml:space="preserve"> </w:t>
      </w:r>
      <w:r w:rsidR="00C55DA6" w:rsidRPr="00C72AB5">
        <w:rPr>
          <w:rFonts w:ascii="GHEA Grapalat" w:hAnsi="GHEA Grapalat" w:cs="Sylfaen"/>
          <w:sz w:val="24"/>
          <w:szCs w:val="24"/>
        </w:rPr>
        <w:t xml:space="preserve">Ծրագիր շրջանակներում իրականացվելու են </w:t>
      </w:r>
      <w:r w:rsidR="003868B1">
        <w:rPr>
          <w:rFonts w:ascii="GHEA Grapalat" w:hAnsi="GHEA Grapalat" w:cs="Sylfaen"/>
          <w:sz w:val="24"/>
          <w:szCs w:val="24"/>
        </w:rPr>
        <w:t>միջոցառումն</w:t>
      </w:r>
      <w:r w:rsidR="00C55DA6" w:rsidRPr="00C72AB5">
        <w:rPr>
          <w:rFonts w:ascii="GHEA Grapalat" w:hAnsi="GHEA Grapalat" w:cs="Sylfaen"/>
          <w:sz w:val="24"/>
          <w:szCs w:val="24"/>
        </w:rPr>
        <w:t>եր, որոնք միտված են գիտության հ</w:t>
      </w:r>
      <w:r w:rsidR="00E90746" w:rsidRPr="00C72AB5">
        <w:rPr>
          <w:rFonts w:ascii="GHEA Grapalat" w:hAnsi="GHEA Grapalat" w:cs="Sylfaen"/>
          <w:sz w:val="24"/>
          <w:szCs w:val="24"/>
        </w:rPr>
        <w:t>ամակարգում աշխատանքային առաջընթացի համար հավասար պայմանների և հնարավորությունների ստեղծ</w:t>
      </w:r>
      <w:r w:rsidR="00C55DA6" w:rsidRPr="00C72AB5">
        <w:rPr>
          <w:rFonts w:ascii="GHEA Grapalat" w:hAnsi="GHEA Grapalat" w:cs="Sylfaen"/>
          <w:sz w:val="24"/>
          <w:szCs w:val="24"/>
        </w:rPr>
        <w:t>մանը: Այս իմաստով դիտարկվելու է ղեկավար պաշտոններ զբաղեցնող անձանց արդյունավետությունը` համապետական ատեստավորման ժամանակ, և ներդրվելու է ղեկավարների վերապատրաստման ծրագիրը, որի արդյունքները հիմք կհանդիսանան ղեկավար պաշտոններում առաջխաղացման համար: Ներդրվելու են նաև խտրականության որևէ տեսքով բացառման ներքին կանոնակարգեր ինչպես նաև խտրականության դեպքերի քննման ներքին մեխանիզմներ` պետության կողմից ստանդարտների և լավագույն ընթացակարգերի ուղեցույցերի մշակմամբ</w:t>
      </w:r>
      <w:r w:rsidR="00E90746" w:rsidRPr="00C72AB5">
        <w:rPr>
          <w:rFonts w:ascii="GHEA Grapalat" w:hAnsi="GHEA Grapalat" w:cs="Sylfaen"/>
          <w:sz w:val="24"/>
          <w:szCs w:val="24"/>
        </w:rPr>
        <w:t>:</w:t>
      </w:r>
      <w:r w:rsidR="00C55DA6" w:rsidRPr="00C72AB5">
        <w:rPr>
          <w:rFonts w:ascii="GHEA Grapalat" w:hAnsi="GHEA Grapalat" w:cs="Sylfaen"/>
          <w:sz w:val="24"/>
          <w:szCs w:val="24"/>
        </w:rPr>
        <w:t xml:space="preserve"> Ակադեմիական քաղաք ծրագրի շրջանակներում իրականացվելու են նաև ներառականության ապահովման ֆիզիկական պայմանների ներառում կազմակերպությունների նորովի կառուցվող շենքերում և տարածքներում:</w:t>
      </w:r>
      <w:r w:rsidR="00E44880" w:rsidRPr="00C72AB5">
        <w:rPr>
          <w:rFonts w:ascii="GHEA Grapalat" w:hAnsi="GHEA Grapalat" w:cs="Sylfaen"/>
          <w:sz w:val="24"/>
          <w:szCs w:val="24"/>
        </w:rPr>
        <w:t xml:space="preserve"> Նոր կառուցվող ենթակառուցվածքները կահավորված են անվտանգության բարձր ստանդարտներին համապատասխանող ենթակառուցվածքներով:</w:t>
      </w:r>
    </w:p>
    <w:p w14:paraId="660B8952" w14:textId="636BD366" w:rsidR="009C06E5" w:rsidRPr="00C72AB5" w:rsidRDefault="009C06E5" w:rsidP="00E90746">
      <w:pPr>
        <w:tabs>
          <w:tab w:val="left" w:pos="851"/>
          <w:tab w:val="left" w:pos="993"/>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t>Արդյունքում` իրականացվել է ոլորտի ղեկավար պաշտոններ զբաղեցնող անձանց ատեստավորում: Մասնագիտական համայնքի հետ մշակվել են և ոլորտի լիազոր մարմնի կողմից հաստատվել են խտրականության բացառման և խտրականության դեպքերի քննման ներքին ընթացակարգերի օրինակելի ձևերը, որոնց հիման վրա ներդրված են ներքին իրավական շրջանակները: Ակադեմիական քաղաք ծրագրի շրջանակում կառուցվ</w:t>
      </w:r>
      <w:r w:rsidR="005D7E39" w:rsidRPr="00C72AB5">
        <w:rPr>
          <w:rFonts w:ascii="GHEA Grapalat" w:hAnsi="GHEA Grapalat" w:cs="Sylfaen"/>
          <w:sz w:val="24"/>
          <w:szCs w:val="24"/>
        </w:rPr>
        <w:t xml:space="preserve">ած և կառուցվելիք ենթակառուցվածքների համար ներդրված են </w:t>
      </w:r>
      <w:r w:rsidR="005D7E39" w:rsidRPr="00C72AB5">
        <w:rPr>
          <w:rFonts w:ascii="GHEA Grapalat" w:hAnsi="GHEA Grapalat" w:cs="Sylfaen"/>
          <w:sz w:val="24"/>
          <w:szCs w:val="24"/>
        </w:rPr>
        <w:lastRenderedPageBreak/>
        <w:t>համապատասխան ֆիզիկական հարմարեցումները</w:t>
      </w:r>
      <w:r w:rsidR="00436EEF" w:rsidRPr="00C72AB5">
        <w:rPr>
          <w:rFonts w:ascii="GHEA Grapalat" w:hAnsi="GHEA Grapalat" w:cs="Sylfaen"/>
          <w:sz w:val="24"/>
          <w:szCs w:val="24"/>
        </w:rPr>
        <w:t xml:space="preserve"> և ապահովության ու անվտանգության ենթակառուցվածքները</w:t>
      </w:r>
      <w:r w:rsidR="005D7E39" w:rsidRPr="00C72AB5">
        <w:rPr>
          <w:rFonts w:ascii="GHEA Grapalat" w:hAnsi="GHEA Grapalat" w:cs="Sylfaen"/>
          <w:sz w:val="24"/>
          <w:szCs w:val="24"/>
        </w:rPr>
        <w:t>:</w:t>
      </w:r>
    </w:p>
    <w:p w14:paraId="1DB0BEAD" w14:textId="72F98FF9" w:rsidR="00E90746" w:rsidRPr="00C72AB5" w:rsidRDefault="00421E2B" w:rsidP="00E90746">
      <w:pPr>
        <w:tabs>
          <w:tab w:val="left" w:pos="851"/>
          <w:tab w:val="left" w:pos="993"/>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t>4)</w:t>
      </w:r>
      <w:r w:rsidR="00E90746" w:rsidRPr="00C72AB5">
        <w:rPr>
          <w:rFonts w:ascii="GHEA Grapalat" w:hAnsi="GHEA Grapalat" w:cs="Sylfaen"/>
          <w:i/>
          <w:iCs/>
          <w:sz w:val="24"/>
          <w:szCs w:val="24"/>
        </w:rPr>
        <w:t xml:space="preserve"> </w:t>
      </w:r>
      <w:r w:rsidR="00D34C9F" w:rsidRPr="00C72AB5">
        <w:rPr>
          <w:rFonts w:ascii="GHEA Grapalat" w:hAnsi="GHEA Grapalat" w:cs="Sylfaen"/>
          <w:i/>
          <w:iCs/>
          <w:sz w:val="24"/>
          <w:szCs w:val="24"/>
        </w:rPr>
        <w:t>Է</w:t>
      </w:r>
      <w:r w:rsidR="00E90746" w:rsidRPr="00C72AB5">
        <w:rPr>
          <w:rFonts w:ascii="GHEA Grapalat" w:hAnsi="GHEA Grapalat" w:cs="Sylfaen"/>
          <w:i/>
          <w:iCs/>
          <w:sz w:val="24"/>
          <w:szCs w:val="24"/>
        </w:rPr>
        <w:t>թիկա և պատասխանատվություն</w:t>
      </w:r>
      <w:r w:rsidR="00E90746" w:rsidRPr="00C72AB5">
        <w:rPr>
          <w:rFonts w:ascii="GHEA Grapalat" w:hAnsi="GHEA Grapalat" w:cs="Sylfaen"/>
          <w:sz w:val="24"/>
          <w:szCs w:val="24"/>
        </w:rPr>
        <w:t xml:space="preserve"> (ՄԱ 3-</w:t>
      </w:r>
      <w:r w:rsidRPr="00C72AB5">
        <w:rPr>
          <w:rFonts w:ascii="GHEA Grapalat" w:hAnsi="GHEA Grapalat" w:cs="Sylfaen"/>
          <w:sz w:val="24"/>
          <w:szCs w:val="24"/>
        </w:rPr>
        <w:t>4</w:t>
      </w:r>
      <w:r w:rsidR="00E90746" w:rsidRPr="00C72AB5">
        <w:rPr>
          <w:rFonts w:ascii="GHEA Grapalat" w:hAnsi="GHEA Grapalat" w:cs="Sylfaen"/>
          <w:sz w:val="24"/>
          <w:szCs w:val="24"/>
        </w:rPr>
        <w:t>)</w:t>
      </w:r>
      <w:r w:rsidR="001C5F69" w:rsidRPr="00C72AB5">
        <w:rPr>
          <w:rFonts w:ascii="GHEA Grapalat" w:hAnsi="GHEA Grapalat" w:cs="Sylfaen"/>
          <w:sz w:val="24"/>
          <w:szCs w:val="24"/>
        </w:rPr>
        <w:t>:</w:t>
      </w:r>
      <w:r w:rsidR="00E90746" w:rsidRPr="00C72AB5">
        <w:rPr>
          <w:rFonts w:ascii="GHEA Grapalat" w:hAnsi="GHEA Grapalat" w:cs="Sylfaen"/>
          <w:sz w:val="24"/>
          <w:szCs w:val="24"/>
        </w:rPr>
        <w:t xml:space="preserve"> </w:t>
      </w:r>
      <w:r w:rsidR="00B27B07" w:rsidRPr="00C72AB5">
        <w:rPr>
          <w:rFonts w:ascii="GHEA Grapalat" w:hAnsi="GHEA Grapalat" w:cs="Sylfaen"/>
          <w:sz w:val="24"/>
          <w:szCs w:val="24"/>
        </w:rPr>
        <w:t xml:space="preserve">Ծրագրի շրջանակներում հաստատվելու է ակադեմիական </w:t>
      </w:r>
      <w:r w:rsidR="00556A67" w:rsidRPr="00C72AB5">
        <w:rPr>
          <w:rFonts w:ascii="GHEA Grapalat" w:hAnsi="GHEA Grapalat" w:cs="Sylfaen"/>
          <w:sz w:val="24"/>
          <w:szCs w:val="24"/>
        </w:rPr>
        <w:t>էթիկայի (</w:t>
      </w:r>
      <w:r w:rsidR="00B27B07" w:rsidRPr="00C72AB5">
        <w:rPr>
          <w:rFonts w:ascii="GHEA Grapalat" w:hAnsi="GHEA Grapalat" w:cs="Sylfaen"/>
          <w:sz w:val="24"/>
          <w:szCs w:val="24"/>
        </w:rPr>
        <w:t>բարեվարքության</w:t>
      </w:r>
      <w:r w:rsidR="00556A67" w:rsidRPr="00C72AB5">
        <w:rPr>
          <w:rFonts w:ascii="GHEA Grapalat" w:hAnsi="GHEA Grapalat" w:cs="Sylfaen"/>
          <w:sz w:val="24"/>
          <w:szCs w:val="24"/>
        </w:rPr>
        <w:t>)</w:t>
      </w:r>
      <w:r w:rsidR="00B27B07" w:rsidRPr="00C72AB5">
        <w:rPr>
          <w:rFonts w:ascii="GHEA Grapalat" w:hAnsi="GHEA Grapalat" w:cs="Sylfaen"/>
          <w:sz w:val="24"/>
          <w:szCs w:val="24"/>
        </w:rPr>
        <w:t xml:space="preserve"> ուղեցույցը և պատասխանատվությունների մեխանիզմները` պատասխանատվության բազմաշերտ մեխանիզմով և քննման հրապարակային ու թափանցիկ ընթացակարգերով: Այս իմաստով գործընթացները կազմակերպվելու են ոչ թե իբրև սահմանափակումներ, որոնք պետք է շրջանցել, այլ որպես գործունեության ընդհանրական սկզբունքներ, որոնք անհրաժեշտ է պահպանել, միևնույն ժամանակ ակադեմիական ազնվության խախտումները պետք է քննվեն ընդհանուր համատեքստում, այսինքն սկսած հեղինակողից մինչև այն միջավայրը, որում դա տեղի է ունեցել: Ծրագրի շրջանակներում նաև ներդրվելու են Գիտական հետազոտությունների կազմակերպման էթիկական և անվտանգային պահանջների ապահովման, ակադեմիական ազնվության և գիտական արդյունքի համար պատասխանատվության  </w:t>
      </w:r>
      <w:r w:rsidR="00556A67" w:rsidRPr="00C72AB5">
        <w:rPr>
          <w:rFonts w:ascii="GHEA Grapalat" w:hAnsi="GHEA Grapalat" w:cs="Sylfaen"/>
          <w:sz w:val="24"/>
          <w:szCs w:val="24"/>
        </w:rPr>
        <w:t>սկզբունքները և դրանց պահպանման ուղեցույցերը</w:t>
      </w:r>
      <w:r w:rsidR="00B66294" w:rsidRPr="00C72AB5">
        <w:rPr>
          <w:rFonts w:ascii="GHEA Grapalat" w:hAnsi="GHEA Grapalat" w:cs="Sylfaen"/>
          <w:sz w:val="24"/>
          <w:szCs w:val="24"/>
        </w:rPr>
        <w:t xml:space="preserve">, որոնց նպատակն է երաշխավորել, որ հետազոտությունները կազմակերպվում և իրականացվում են ինչպես անվտանգային նկատառումների հաշվառմամբ` սկսած հետազոտողից և վերջացրած շրջակա միջավայրի վրա ազդեցությունը ինչպես նաև </w:t>
      </w:r>
      <w:r w:rsidR="00021B9B" w:rsidRPr="00C72AB5">
        <w:rPr>
          <w:rFonts w:ascii="GHEA Grapalat" w:hAnsi="GHEA Grapalat" w:cs="Sylfaen"/>
          <w:sz w:val="24"/>
          <w:szCs w:val="24"/>
        </w:rPr>
        <w:t>հետազոտությունների էթիկական նկատառումները` խուսափելու համար խնդրահարույց ընթացակարգերով հետազոտությունների իրականացումը հատկապես կենդանի օրգանիզմների ներգրավման պարագայում` երաշխավորելով միջազգային բարձր ստանդարտների պահպանումը</w:t>
      </w:r>
      <w:r w:rsidR="00E90746" w:rsidRPr="00C72AB5">
        <w:rPr>
          <w:rFonts w:ascii="GHEA Grapalat" w:hAnsi="GHEA Grapalat" w:cs="Sylfaen"/>
          <w:sz w:val="24"/>
          <w:szCs w:val="24"/>
        </w:rPr>
        <w:t>:</w:t>
      </w:r>
    </w:p>
    <w:p w14:paraId="23478918" w14:textId="12A2B92D" w:rsidR="00D34C9F" w:rsidRPr="00C72AB5" w:rsidRDefault="00556A67" w:rsidP="00D521A7">
      <w:pPr>
        <w:tabs>
          <w:tab w:val="left" w:pos="851"/>
          <w:tab w:val="left" w:pos="993"/>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t>Արդյունքում` լիազոր մարմնի կողմից հաստատված է ակադեմիական էթիկայի, ներառյալ ակադեմիական ազնվության և վարվեցողության սկզբունքները, որ</w:t>
      </w:r>
      <w:r w:rsidR="003868B1">
        <w:rPr>
          <w:rFonts w:ascii="GHEA Grapalat" w:hAnsi="GHEA Grapalat" w:cs="Sylfaen"/>
          <w:sz w:val="24"/>
          <w:szCs w:val="24"/>
        </w:rPr>
        <w:t>ոնք</w:t>
      </w:r>
      <w:r w:rsidRPr="00C72AB5">
        <w:rPr>
          <w:rFonts w:ascii="GHEA Grapalat" w:hAnsi="GHEA Grapalat" w:cs="Sylfaen"/>
          <w:sz w:val="24"/>
          <w:szCs w:val="24"/>
        </w:rPr>
        <w:t xml:space="preserve"> ներառում </w:t>
      </w:r>
      <w:r w:rsidR="003868B1">
        <w:rPr>
          <w:rFonts w:ascii="GHEA Grapalat" w:hAnsi="GHEA Grapalat" w:cs="Sylfaen"/>
          <w:sz w:val="24"/>
          <w:szCs w:val="24"/>
        </w:rPr>
        <w:t>են</w:t>
      </w:r>
      <w:r w:rsidRPr="00C72AB5">
        <w:rPr>
          <w:rFonts w:ascii="GHEA Grapalat" w:hAnsi="GHEA Grapalat" w:cs="Sylfaen"/>
          <w:sz w:val="24"/>
          <w:szCs w:val="24"/>
        </w:rPr>
        <w:t xml:space="preserve"> նաև պատասխանատվության մեխանիզմների վերաբերյալ ուղեցույց: Դրա հիման վրա գիտական կազմակերպություններն ու բուհերը մշակում և հաստատում են հարցը կարգավորող ներքին իրավական շրջանակը:</w:t>
      </w:r>
      <w:r w:rsidR="00A948FC" w:rsidRPr="00C72AB5">
        <w:rPr>
          <w:rFonts w:ascii="GHEA Grapalat" w:hAnsi="GHEA Grapalat" w:cs="Sylfaen"/>
          <w:sz w:val="24"/>
          <w:szCs w:val="24"/>
        </w:rPr>
        <w:t xml:space="preserve"> Հաստատված է նաև հետազոտությունների կազմակերպման էթիկական և անվտանգության սկզբունքների շրջանակը</w:t>
      </w:r>
      <w:r w:rsidR="00D521A7" w:rsidRPr="00C72AB5">
        <w:rPr>
          <w:rFonts w:ascii="GHEA Grapalat" w:hAnsi="GHEA Grapalat" w:cs="Sylfaen"/>
          <w:sz w:val="24"/>
          <w:szCs w:val="24"/>
        </w:rPr>
        <w:t>, որի հիման վրա գիտական կազմակերպություններում և բուհերում ներդ</w:t>
      </w:r>
      <w:r w:rsidR="00D4555B">
        <w:rPr>
          <w:rFonts w:ascii="GHEA Grapalat" w:hAnsi="GHEA Grapalat" w:cs="Sylfaen"/>
          <w:sz w:val="24"/>
          <w:szCs w:val="24"/>
        </w:rPr>
        <w:t>րված է ներքին իրավական շրջանակը․</w:t>
      </w:r>
    </w:p>
    <w:p w14:paraId="01BB4270" w14:textId="696EDE8D" w:rsidR="00156127" w:rsidRPr="00C72AB5" w:rsidRDefault="009751C1" w:rsidP="00156127">
      <w:pPr>
        <w:tabs>
          <w:tab w:val="left" w:pos="851"/>
          <w:tab w:val="left" w:pos="993"/>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t>5</w:t>
      </w:r>
      <w:r w:rsidR="00421E2B" w:rsidRPr="00C72AB5">
        <w:rPr>
          <w:rFonts w:ascii="GHEA Grapalat" w:hAnsi="GHEA Grapalat" w:cs="Sylfaen"/>
          <w:sz w:val="24"/>
          <w:szCs w:val="24"/>
        </w:rPr>
        <w:t>)</w:t>
      </w:r>
      <w:r w:rsidR="00305BAC" w:rsidRPr="00C72AB5">
        <w:rPr>
          <w:rFonts w:ascii="GHEA Grapalat" w:hAnsi="GHEA Grapalat" w:cs="Sylfaen"/>
          <w:sz w:val="24"/>
          <w:szCs w:val="24"/>
        </w:rPr>
        <w:t xml:space="preserve"> </w:t>
      </w:r>
      <w:r w:rsidR="00305BAC" w:rsidRPr="00C72AB5">
        <w:rPr>
          <w:rFonts w:ascii="GHEA Grapalat" w:hAnsi="GHEA Grapalat" w:cs="Sylfaen"/>
          <w:i/>
          <w:iCs/>
          <w:sz w:val="24"/>
          <w:szCs w:val="24"/>
        </w:rPr>
        <w:t xml:space="preserve">Ներգրավվածություն հանրային քաղաքականությունների մշակման մեջ </w:t>
      </w:r>
      <w:r w:rsidR="00305BAC" w:rsidRPr="00C72AB5">
        <w:rPr>
          <w:rFonts w:ascii="GHEA Grapalat" w:hAnsi="GHEA Grapalat" w:cs="Sylfaen"/>
          <w:sz w:val="24"/>
          <w:szCs w:val="24"/>
        </w:rPr>
        <w:t>(ՄԱ 3-</w:t>
      </w:r>
      <w:r w:rsidR="00133BAB" w:rsidRPr="00C72AB5">
        <w:rPr>
          <w:rFonts w:ascii="GHEA Grapalat" w:hAnsi="GHEA Grapalat" w:cs="Sylfaen"/>
          <w:sz w:val="24"/>
          <w:szCs w:val="24"/>
        </w:rPr>
        <w:t>5</w:t>
      </w:r>
      <w:r w:rsidR="00305BAC" w:rsidRPr="00C72AB5">
        <w:rPr>
          <w:rFonts w:ascii="GHEA Grapalat" w:hAnsi="GHEA Grapalat" w:cs="Sylfaen"/>
          <w:sz w:val="24"/>
          <w:szCs w:val="24"/>
        </w:rPr>
        <w:t>)</w:t>
      </w:r>
      <w:r w:rsidR="00A73D87" w:rsidRPr="00C72AB5">
        <w:rPr>
          <w:rFonts w:ascii="GHEA Grapalat" w:hAnsi="GHEA Grapalat" w:cs="Sylfaen"/>
          <w:sz w:val="24"/>
          <w:szCs w:val="24"/>
        </w:rPr>
        <w:t xml:space="preserve">: Ծրագրի շրջանակներում գնահատվելու է գիտական կազմակերպությունների մասնակցության արդյունավետությունը հանրային քաղաքականությունների մշակման մեջ` հիմք ընդունելով հետազոտությունների հիման վրա ընդունված քաղաքականությունների փաստաթղթերի քանակը և հետազոտության որակից և մատուցումից պատվիրատու մարմինների բավարարվածության վերաբերյալ հարցումների արդյունքները: Ներդրվելու են հանրային քաղաքականության մարմինների հետ աշխատանքի և հետազոտության որակի ու արդյունքների </w:t>
      </w:r>
      <w:r w:rsidR="001F693C" w:rsidRPr="00C72AB5">
        <w:rPr>
          <w:rFonts w:ascii="GHEA Grapalat" w:hAnsi="GHEA Grapalat" w:cs="Sylfaen"/>
          <w:sz w:val="24"/>
          <w:szCs w:val="24"/>
        </w:rPr>
        <w:t xml:space="preserve">պատշաճ </w:t>
      </w:r>
      <w:r w:rsidR="00A73D87" w:rsidRPr="00C72AB5">
        <w:rPr>
          <w:rFonts w:ascii="GHEA Grapalat" w:hAnsi="GHEA Grapalat" w:cs="Sylfaen"/>
          <w:sz w:val="24"/>
          <w:szCs w:val="24"/>
        </w:rPr>
        <w:t>ներկայացման</w:t>
      </w:r>
      <w:r w:rsidR="001F693C" w:rsidRPr="00C72AB5">
        <w:rPr>
          <w:rFonts w:ascii="GHEA Grapalat" w:hAnsi="GHEA Grapalat" w:cs="Sylfaen"/>
          <w:sz w:val="24"/>
          <w:szCs w:val="24"/>
        </w:rPr>
        <w:t xml:space="preserve"> կամ հաղորդակցման ներքին</w:t>
      </w:r>
      <w:r w:rsidR="00A73D87" w:rsidRPr="00C72AB5">
        <w:rPr>
          <w:rFonts w:ascii="GHEA Grapalat" w:hAnsi="GHEA Grapalat" w:cs="Sylfaen"/>
          <w:sz w:val="24"/>
          <w:szCs w:val="24"/>
        </w:rPr>
        <w:t xml:space="preserve"> ընթացակարգեր</w:t>
      </w:r>
      <w:r w:rsidR="001F693C" w:rsidRPr="00C72AB5">
        <w:rPr>
          <w:rFonts w:ascii="GHEA Grapalat" w:hAnsi="GHEA Grapalat" w:cs="Sylfaen"/>
          <w:sz w:val="24"/>
          <w:szCs w:val="24"/>
        </w:rPr>
        <w:t>, ներառյալ համապատասխան մասնագետների ներգրավումը</w:t>
      </w:r>
      <w:r w:rsidR="00305BAC" w:rsidRPr="00C72AB5">
        <w:rPr>
          <w:rFonts w:ascii="GHEA Grapalat" w:hAnsi="GHEA Grapalat" w:cs="Sylfaen"/>
          <w:sz w:val="24"/>
          <w:szCs w:val="24"/>
        </w:rPr>
        <w:t>:</w:t>
      </w:r>
    </w:p>
    <w:p w14:paraId="60D34343" w14:textId="7AA5C504" w:rsidR="001F693C" w:rsidRPr="00C72AB5" w:rsidRDefault="001F693C" w:rsidP="00AF2AE0">
      <w:pPr>
        <w:tabs>
          <w:tab w:val="left" w:pos="851"/>
          <w:tab w:val="left" w:pos="993"/>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lastRenderedPageBreak/>
        <w:t xml:space="preserve">Արդյունքում` </w:t>
      </w:r>
      <w:r w:rsidR="00A3779B" w:rsidRPr="00C72AB5">
        <w:rPr>
          <w:rFonts w:ascii="GHEA Grapalat" w:hAnsi="GHEA Grapalat" w:cs="Sylfaen"/>
          <w:sz w:val="24"/>
          <w:szCs w:val="24"/>
        </w:rPr>
        <w:t>պատվիրատու մարմինների հետ հարցումների արդյունքում իրականացվել է գիտական կազմակերպությունների ներգրավման արդյունքների և դրա մակարդակի վերաբերյալ բավարարվածության վերլուծություն: Վերլուծության արդյունքների հիման վրա խոշորացված գիտական կազմակերպություններում ներդրված են հանրային քաղաքականությունների մշակման</w:t>
      </w:r>
      <w:r w:rsidR="009843C6" w:rsidRPr="00C72AB5">
        <w:rPr>
          <w:rFonts w:ascii="GHEA Grapalat" w:hAnsi="GHEA Grapalat" w:cs="Sylfaen"/>
          <w:sz w:val="24"/>
          <w:szCs w:val="24"/>
        </w:rPr>
        <w:t xml:space="preserve"> նպատակով հետազոտությունների իրականացմանը աջակցելու և արդյունքները պատշաճ հաղորդակցելու մեխանիզմ</w:t>
      </w:r>
      <w:r w:rsidR="00D4555B">
        <w:rPr>
          <w:rFonts w:ascii="GHEA Grapalat" w:hAnsi="GHEA Grapalat" w:cs="Sylfaen"/>
          <w:sz w:val="24"/>
          <w:szCs w:val="24"/>
        </w:rPr>
        <w:t>ներ, ստանդարտներ և ընթացակարգեր․</w:t>
      </w:r>
    </w:p>
    <w:p w14:paraId="026BDCA0" w14:textId="401E560F" w:rsidR="00027141" w:rsidRPr="00C72AB5" w:rsidRDefault="009D0578" w:rsidP="00EB79C5">
      <w:pPr>
        <w:tabs>
          <w:tab w:val="left" w:pos="851"/>
          <w:tab w:val="left" w:pos="993"/>
        </w:tabs>
        <w:spacing w:line="276" w:lineRule="auto"/>
        <w:ind w:firstLine="567"/>
        <w:jc w:val="both"/>
        <w:rPr>
          <w:rFonts w:ascii="GHEA Grapalat" w:hAnsi="GHEA Grapalat" w:cs="Sylfaen"/>
          <w:sz w:val="24"/>
          <w:szCs w:val="24"/>
        </w:rPr>
      </w:pPr>
      <w:r>
        <w:rPr>
          <w:rFonts w:ascii="GHEA Grapalat" w:hAnsi="GHEA Grapalat" w:cs="Sylfaen"/>
          <w:sz w:val="24"/>
          <w:szCs w:val="24"/>
        </w:rPr>
        <w:t>6</w:t>
      </w:r>
      <w:r w:rsidR="00421E2B" w:rsidRPr="00C72AB5">
        <w:rPr>
          <w:rFonts w:ascii="GHEA Grapalat" w:hAnsi="GHEA Grapalat" w:cs="Sylfaen"/>
          <w:sz w:val="24"/>
          <w:szCs w:val="24"/>
        </w:rPr>
        <w:t>)</w:t>
      </w:r>
      <w:r w:rsidR="00156127" w:rsidRPr="00C72AB5">
        <w:rPr>
          <w:rFonts w:ascii="GHEA Grapalat" w:hAnsi="GHEA Grapalat" w:cs="Sylfaen"/>
          <w:sz w:val="24"/>
          <w:szCs w:val="24"/>
        </w:rPr>
        <w:t xml:space="preserve"> </w:t>
      </w:r>
      <w:r w:rsidR="00A02451" w:rsidRPr="00C72AB5">
        <w:rPr>
          <w:rFonts w:ascii="GHEA Grapalat" w:hAnsi="GHEA Grapalat" w:cs="Sylfaen"/>
          <w:i/>
          <w:iCs/>
          <w:sz w:val="24"/>
          <w:szCs w:val="24"/>
        </w:rPr>
        <w:t>Պետական կառավարման ա</w:t>
      </w:r>
      <w:r w:rsidR="00156127" w:rsidRPr="00C72AB5">
        <w:rPr>
          <w:rFonts w:ascii="GHEA Grapalat" w:hAnsi="GHEA Grapalat" w:cs="Sylfaen"/>
          <w:i/>
          <w:iCs/>
          <w:sz w:val="24"/>
          <w:szCs w:val="24"/>
        </w:rPr>
        <w:t>րդյունավետ</w:t>
      </w:r>
      <w:r w:rsidR="00A02451" w:rsidRPr="00C72AB5">
        <w:rPr>
          <w:rFonts w:ascii="GHEA Grapalat" w:hAnsi="GHEA Grapalat" w:cs="Sylfaen"/>
          <w:i/>
          <w:iCs/>
          <w:sz w:val="24"/>
          <w:szCs w:val="24"/>
        </w:rPr>
        <w:t>ություն</w:t>
      </w:r>
      <w:r w:rsidR="00156127" w:rsidRPr="00C72AB5">
        <w:rPr>
          <w:rFonts w:ascii="GHEA Grapalat" w:hAnsi="GHEA Grapalat" w:cs="Sylfaen"/>
          <w:i/>
          <w:iCs/>
          <w:sz w:val="24"/>
          <w:szCs w:val="24"/>
        </w:rPr>
        <w:t xml:space="preserve"> և թափանցիկ</w:t>
      </w:r>
      <w:r w:rsidR="00A02451" w:rsidRPr="00C72AB5">
        <w:rPr>
          <w:rFonts w:ascii="GHEA Grapalat" w:hAnsi="GHEA Grapalat" w:cs="Sylfaen"/>
          <w:i/>
          <w:iCs/>
          <w:sz w:val="24"/>
          <w:szCs w:val="24"/>
        </w:rPr>
        <w:t>ություն</w:t>
      </w:r>
      <w:r w:rsidR="00156127" w:rsidRPr="00C72AB5">
        <w:rPr>
          <w:rFonts w:ascii="GHEA Grapalat" w:hAnsi="GHEA Grapalat" w:cs="Sylfaen"/>
          <w:i/>
          <w:iCs/>
          <w:sz w:val="24"/>
          <w:szCs w:val="24"/>
        </w:rPr>
        <w:t xml:space="preserve"> </w:t>
      </w:r>
      <w:r w:rsidR="00156127" w:rsidRPr="00C72AB5">
        <w:rPr>
          <w:rFonts w:ascii="GHEA Grapalat" w:hAnsi="GHEA Grapalat" w:cs="Sylfaen"/>
          <w:sz w:val="24"/>
          <w:szCs w:val="24"/>
        </w:rPr>
        <w:t>(ՄԱ 3-</w:t>
      </w:r>
      <w:r w:rsidR="00133BAB" w:rsidRPr="00C72AB5">
        <w:rPr>
          <w:rFonts w:ascii="GHEA Grapalat" w:hAnsi="GHEA Grapalat" w:cs="Sylfaen"/>
          <w:sz w:val="24"/>
          <w:szCs w:val="24"/>
        </w:rPr>
        <w:t>6</w:t>
      </w:r>
      <w:r w:rsidR="00156127" w:rsidRPr="00C72AB5">
        <w:rPr>
          <w:rFonts w:ascii="GHEA Grapalat" w:hAnsi="GHEA Grapalat" w:cs="Sylfaen"/>
          <w:sz w:val="24"/>
          <w:szCs w:val="24"/>
        </w:rPr>
        <w:t>)</w:t>
      </w:r>
      <w:r w:rsidR="004930BF" w:rsidRPr="00C72AB5">
        <w:rPr>
          <w:rFonts w:ascii="GHEA Grapalat" w:hAnsi="GHEA Grapalat" w:cs="Sylfaen"/>
          <w:sz w:val="24"/>
          <w:szCs w:val="24"/>
        </w:rPr>
        <w:t>:</w:t>
      </w:r>
      <w:r w:rsidR="00156127" w:rsidRPr="00C72AB5">
        <w:rPr>
          <w:rFonts w:ascii="GHEA Grapalat" w:hAnsi="GHEA Grapalat" w:cs="Sylfaen"/>
          <w:sz w:val="24"/>
          <w:szCs w:val="24"/>
        </w:rPr>
        <w:t xml:space="preserve"> </w:t>
      </w:r>
      <w:r w:rsidR="001D4073" w:rsidRPr="00C72AB5">
        <w:rPr>
          <w:rFonts w:ascii="GHEA Grapalat" w:hAnsi="GHEA Grapalat" w:cs="Sylfaen"/>
          <w:sz w:val="24"/>
          <w:szCs w:val="24"/>
        </w:rPr>
        <w:t xml:space="preserve">Ծրագրի շրջանակներում կազմակերպվելու է ոլորտում իրականացվող պետական </w:t>
      </w:r>
      <w:r w:rsidR="00043F3E" w:rsidRPr="00C72AB5">
        <w:rPr>
          <w:rFonts w:ascii="GHEA Grapalat" w:hAnsi="GHEA Grapalat" w:cs="Sylfaen"/>
          <w:sz w:val="24"/>
          <w:szCs w:val="24"/>
        </w:rPr>
        <w:t>միջոցառումների</w:t>
      </w:r>
      <w:r w:rsidR="001D4073" w:rsidRPr="00C72AB5">
        <w:rPr>
          <w:rFonts w:ascii="GHEA Grapalat" w:hAnsi="GHEA Grapalat" w:cs="Sylfaen"/>
          <w:sz w:val="24"/>
          <w:szCs w:val="24"/>
        </w:rPr>
        <w:t xml:space="preserve"> համադրական վերլուծություն ռազմավարական նպատակների և ծրագրերից ակնկալիքների համեմատ, </w:t>
      </w:r>
      <w:r w:rsidR="00043F3E" w:rsidRPr="00C72AB5">
        <w:rPr>
          <w:rFonts w:ascii="GHEA Grapalat" w:hAnsi="GHEA Grapalat" w:cs="Sylfaen"/>
          <w:sz w:val="24"/>
          <w:szCs w:val="24"/>
        </w:rPr>
        <w:t xml:space="preserve">անհրաժեշտության դեպքում վերանայելով մրցույթների փաթեթները: Իրականացվելու է մրցույթների փաստաթղթային փաթեթների օպտիմալացում և </w:t>
      </w:r>
      <w:r w:rsidR="00CE44B1" w:rsidRPr="00C72AB5">
        <w:rPr>
          <w:rFonts w:ascii="GHEA Grapalat" w:hAnsi="GHEA Grapalat" w:cs="Sylfaen"/>
          <w:sz w:val="24"/>
          <w:szCs w:val="24"/>
        </w:rPr>
        <w:t>ստանդարտ</w:t>
      </w:r>
      <w:r w:rsidR="00043F3E" w:rsidRPr="00C72AB5">
        <w:rPr>
          <w:rFonts w:ascii="GHEA Grapalat" w:hAnsi="GHEA Grapalat" w:cs="Sylfaen"/>
          <w:sz w:val="24"/>
          <w:szCs w:val="24"/>
        </w:rPr>
        <w:t xml:space="preserve">ացում, ներառյալ պայմանագրերի ձևաչափերի, համադրում մրցույթի պայմանների հետ: </w:t>
      </w:r>
      <w:r w:rsidR="00CE44B1" w:rsidRPr="00C72AB5">
        <w:rPr>
          <w:rFonts w:ascii="GHEA Grapalat" w:hAnsi="GHEA Grapalat" w:cs="Sylfaen"/>
          <w:sz w:val="24"/>
          <w:szCs w:val="24"/>
        </w:rPr>
        <w:t>Հանրային հաշվետվողականության բարձրացման նպատակով իրականացվելու է հ</w:t>
      </w:r>
      <w:r w:rsidR="00156127" w:rsidRPr="00C72AB5">
        <w:rPr>
          <w:rFonts w:ascii="GHEA Grapalat" w:hAnsi="GHEA Grapalat" w:cs="Sylfaen"/>
          <w:sz w:val="24"/>
          <w:szCs w:val="24"/>
        </w:rPr>
        <w:t>այտերի և հաշվետվությունների ընդունման էլեկտրոնային հարթակներ</w:t>
      </w:r>
      <w:r w:rsidR="00CE44B1" w:rsidRPr="00C72AB5">
        <w:rPr>
          <w:rFonts w:ascii="GHEA Grapalat" w:hAnsi="GHEA Grapalat" w:cs="Sylfaen"/>
          <w:sz w:val="24"/>
          <w:szCs w:val="24"/>
        </w:rPr>
        <w:t>ի</w:t>
      </w:r>
      <w:r w:rsidR="00156127" w:rsidRPr="00C72AB5">
        <w:rPr>
          <w:rStyle w:val="FootnoteReference"/>
          <w:rFonts w:ascii="GHEA Grapalat" w:hAnsi="GHEA Grapalat" w:cs="Sylfaen"/>
          <w:sz w:val="24"/>
          <w:szCs w:val="24"/>
        </w:rPr>
        <w:footnoteReference w:id="82"/>
      </w:r>
      <w:r w:rsidR="00156127" w:rsidRPr="00C72AB5">
        <w:rPr>
          <w:rFonts w:ascii="GHEA Grapalat" w:hAnsi="GHEA Grapalat" w:cs="Sylfaen"/>
          <w:sz w:val="24"/>
          <w:szCs w:val="24"/>
        </w:rPr>
        <w:t xml:space="preserve"> կատարելագործ</w:t>
      </w:r>
      <w:r w:rsidR="00CE44B1" w:rsidRPr="00C72AB5">
        <w:rPr>
          <w:rFonts w:ascii="GHEA Grapalat" w:hAnsi="GHEA Grapalat" w:cs="Sylfaen"/>
          <w:sz w:val="24"/>
          <w:szCs w:val="24"/>
        </w:rPr>
        <w:t xml:space="preserve">ում, </w:t>
      </w:r>
      <w:r w:rsidR="00156127" w:rsidRPr="00C72AB5">
        <w:rPr>
          <w:rFonts w:ascii="GHEA Grapalat" w:hAnsi="GHEA Grapalat" w:cs="Sylfaen"/>
          <w:sz w:val="24"/>
          <w:szCs w:val="24"/>
        </w:rPr>
        <w:t xml:space="preserve">կատարողականի ցուցանիշների հսկողություն և </w:t>
      </w:r>
      <w:r w:rsidR="00CE44B1" w:rsidRPr="00C72AB5">
        <w:rPr>
          <w:rFonts w:ascii="GHEA Grapalat" w:hAnsi="GHEA Grapalat" w:cs="Sylfaen"/>
          <w:sz w:val="24"/>
          <w:szCs w:val="24"/>
        </w:rPr>
        <w:t xml:space="preserve">հաշվետվություններով ներկայացված  արդյունքների արագ վերլուծության և </w:t>
      </w:r>
      <w:r w:rsidR="00156127" w:rsidRPr="00C72AB5">
        <w:rPr>
          <w:rFonts w:ascii="GHEA Grapalat" w:hAnsi="GHEA Grapalat" w:cs="Sylfaen"/>
          <w:sz w:val="24"/>
          <w:szCs w:val="24"/>
        </w:rPr>
        <w:t>վիզուալիզացիա</w:t>
      </w:r>
      <w:r w:rsidR="00CE44B1" w:rsidRPr="00C72AB5">
        <w:rPr>
          <w:rFonts w:ascii="GHEA Grapalat" w:hAnsi="GHEA Grapalat" w:cs="Sylfaen"/>
          <w:sz w:val="24"/>
          <w:szCs w:val="24"/>
        </w:rPr>
        <w:t xml:space="preserve">յի էլեմենտների ներդրմամբ: Հաշվետվությունների համակարգը համալրվելու է նաև արտաքին ինտերֆեյսով, որտեղ ըստ ֆինանսավորման ձևերի հնարավոր է լինելու ծանոթանալ ծրագրերի իրականացման ընթացքին և արդյունքներին, միևնույն ժամանակ լիազոր մարմնի կողմից հաստատվելու է </w:t>
      </w:r>
      <w:r w:rsidR="0018339A">
        <w:rPr>
          <w:rFonts w:ascii="GHEA Grapalat" w:hAnsi="GHEA Grapalat" w:cs="Sylfaen"/>
          <w:sz w:val="24"/>
          <w:szCs w:val="24"/>
        </w:rPr>
        <w:t>Կ</w:t>
      </w:r>
      <w:r w:rsidR="00CE44B1" w:rsidRPr="00C72AB5">
        <w:rPr>
          <w:rFonts w:ascii="GHEA Grapalat" w:hAnsi="GHEA Grapalat" w:cs="Sylfaen"/>
          <w:sz w:val="24"/>
          <w:szCs w:val="24"/>
        </w:rPr>
        <w:t xml:space="preserve">ոմիտեի տարեկան հաշվետվության ներկայացման ձևաչափը` ներառյալ վիզուալ տարրերը, որի համաձայն իրականացվելու է ոլորտի տարեկան արդյունքների վերաբերյալ զեկուցումները: Գիտությունների ազգային ակադեմիայի հետ համատեղ մշակվելու է գիտության ոլորտի վերաբերյալ տարեկան և հնգամյա վերլուծությունների շրջանակն ու ձևաչափը: </w:t>
      </w:r>
      <w:r w:rsidR="00A26647" w:rsidRPr="00C72AB5">
        <w:rPr>
          <w:rFonts w:ascii="GHEA Grapalat" w:hAnsi="GHEA Grapalat" w:cs="Sylfaen"/>
          <w:sz w:val="24"/>
          <w:szCs w:val="24"/>
        </w:rPr>
        <w:t xml:space="preserve"> </w:t>
      </w:r>
      <w:r w:rsidR="00CE44B1" w:rsidRPr="00C72AB5">
        <w:rPr>
          <w:rFonts w:ascii="GHEA Grapalat" w:hAnsi="GHEA Grapalat" w:cs="Sylfaen"/>
          <w:sz w:val="24"/>
          <w:szCs w:val="24"/>
        </w:rPr>
        <w:t xml:space="preserve">Մշակվելու է ոլորտի նկատմամբ ներկայացվող </w:t>
      </w:r>
      <w:r w:rsidR="00A26647" w:rsidRPr="00C72AB5">
        <w:rPr>
          <w:rFonts w:ascii="GHEA Grapalat" w:hAnsi="GHEA Grapalat" w:cs="Sylfaen"/>
          <w:sz w:val="24"/>
          <w:szCs w:val="24"/>
        </w:rPr>
        <w:t xml:space="preserve">կատարողականի </w:t>
      </w:r>
      <w:r w:rsidR="00CE44B1" w:rsidRPr="00C72AB5">
        <w:rPr>
          <w:rFonts w:ascii="GHEA Grapalat" w:hAnsi="GHEA Grapalat" w:cs="Sylfaen"/>
          <w:sz w:val="24"/>
          <w:szCs w:val="24"/>
        </w:rPr>
        <w:t>բազմաչափ համակարգը այդ թվում նաև ռազմավարությամբ հաստատված նպատակների ներառմամբ</w:t>
      </w:r>
      <w:r w:rsidR="00141652" w:rsidRPr="00C72AB5">
        <w:rPr>
          <w:rFonts w:ascii="GHEA Grapalat" w:hAnsi="GHEA Grapalat" w:cs="Sylfaen"/>
          <w:sz w:val="24"/>
          <w:szCs w:val="24"/>
        </w:rPr>
        <w:t xml:space="preserve"> և </w:t>
      </w:r>
      <w:r w:rsidR="00A26647" w:rsidRPr="00C72AB5">
        <w:rPr>
          <w:rFonts w:ascii="GHEA Grapalat" w:hAnsi="GHEA Grapalat" w:cs="Sylfaen"/>
          <w:sz w:val="24"/>
          <w:szCs w:val="24"/>
        </w:rPr>
        <w:t xml:space="preserve">միջազգային </w:t>
      </w:r>
      <w:r w:rsidR="00141652" w:rsidRPr="00C72AB5">
        <w:rPr>
          <w:rFonts w:ascii="GHEA Grapalat" w:hAnsi="GHEA Grapalat" w:cs="Sylfaen"/>
          <w:sz w:val="24"/>
          <w:szCs w:val="24"/>
        </w:rPr>
        <w:t xml:space="preserve">պրակտիկայում կիրառվող </w:t>
      </w:r>
      <w:r w:rsidR="00A26647" w:rsidRPr="00C72AB5">
        <w:rPr>
          <w:rFonts w:ascii="GHEA Grapalat" w:hAnsi="GHEA Grapalat" w:cs="Sylfaen"/>
          <w:sz w:val="24"/>
          <w:szCs w:val="24"/>
        </w:rPr>
        <w:t>չափանիշների սահմանմ</w:t>
      </w:r>
      <w:r w:rsidR="00141652" w:rsidRPr="00C72AB5">
        <w:rPr>
          <w:rFonts w:ascii="GHEA Grapalat" w:hAnsi="GHEA Grapalat" w:cs="Sylfaen"/>
          <w:sz w:val="24"/>
          <w:szCs w:val="24"/>
        </w:rPr>
        <w:t>ամբ</w:t>
      </w:r>
      <w:r w:rsidR="00A26647" w:rsidRPr="00C72AB5">
        <w:rPr>
          <w:rFonts w:ascii="GHEA Grapalat" w:hAnsi="GHEA Grapalat" w:cs="Sylfaen"/>
          <w:sz w:val="24"/>
          <w:szCs w:val="24"/>
        </w:rPr>
        <w:t xml:space="preserve"> և </w:t>
      </w:r>
      <w:r w:rsidR="00141652" w:rsidRPr="00C72AB5">
        <w:rPr>
          <w:rFonts w:ascii="GHEA Grapalat" w:hAnsi="GHEA Grapalat" w:cs="Sylfaen"/>
          <w:sz w:val="24"/>
          <w:szCs w:val="24"/>
        </w:rPr>
        <w:t xml:space="preserve">ներդրվելու են </w:t>
      </w:r>
      <w:r w:rsidR="00A26647" w:rsidRPr="00C72AB5">
        <w:rPr>
          <w:rFonts w:ascii="GHEA Grapalat" w:hAnsi="GHEA Grapalat" w:cs="Sylfaen"/>
          <w:sz w:val="24"/>
          <w:szCs w:val="24"/>
        </w:rPr>
        <w:t>կատարողականի գնահատման, ինչպես նաև մշտադիտարկման մեխանիզմներ</w:t>
      </w:r>
      <w:r w:rsidR="00141652" w:rsidRPr="00C72AB5">
        <w:rPr>
          <w:rFonts w:ascii="GHEA Grapalat" w:hAnsi="GHEA Grapalat" w:cs="Sylfaen"/>
          <w:sz w:val="24"/>
          <w:szCs w:val="24"/>
        </w:rPr>
        <w:t>ը`</w:t>
      </w:r>
      <w:r w:rsidR="00A26647" w:rsidRPr="00C72AB5">
        <w:rPr>
          <w:rFonts w:ascii="GHEA Grapalat" w:hAnsi="GHEA Grapalat" w:cs="Sylfaen"/>
          <w:sz w:val="24"/>
          <w:szCs w:val="24"/>
        </w:rPr>
        <w:t xml:space="preserve"> </w:t>
      </w:r>
      <w:r w:rsidR="00141652" w:rsidRPr="00C72AB5">
        <w:rPr>
          <w:rFonts w:ascii="GHEA Grapalat" w:hAnsi="GHEA Grapalat" w:cs="Sylfaen"/>
          <w:sz w:val="24"/>
          <w:szCs w:val="24"/>
        </w:rPr>
        <w:t xml:space="preserve">թույլ տալով </w:t>
      </w:r>
      <w:r w:rsidR="00A26647" w:rsidRPr="00C72AB5">
        <w:rPr>
          <w:rFonts w:ascii="GHEA Grapalat" w:hAnsi="GHEA Grapalat" w:cs="Sylfaen"/>
          <w:sz w:val="24"/>
          <w:szCs w:val="24"/>
        </w:rPr>
        <w:t>անց</w:t>
      </w:r>
      <w:r w:rsidR="00141652" w:rsidRPr="00C72AB5">
        <w:rPr>
          <w:rFonts w:ascii="GHEA Grapalat" w:hAnsi="GHEA Grapalat" w:cs="Sylfaen"/>
          <w:sz w:val="24"/>
          <w:szCs w:val="24"/>
        </w:rPr>
        <w:t xml:space="preserve">նել </w:t>
      </w:r>
      <w:r w:rsidR="00A26647" w:rsidRPr="00C72AB5">
        <w:rPr>
          <w:rFonts w:ascii="GHEA Grapalat" w:hAnsi="GHEA Grapalat" w:cs="Sylfaen"/>
          <w:sz w:val="24"/>
          <w:szCs w:val="24"/>
        </w:rPr>
        <w:t>հիմնականում գիտաչափական գնահատման սկզբունքներից դեպի բազմաշերտ գնահատման համակար</w:t>
      </w:r>
      <w:r w:rsidR="00141652" w:rsidRPr="00C72AB5">
        <w:rPr>
          <w:rFonts w:ascii="GHEA Grapalat" w:hAnsi="GHEA Grapalat" w:cs="Sylfaen"/>
          <w:sz w:val="24"/>
          <w:szCs w:val="24"/>
        </w:rPr>
        <w:t>գի</w:t>
      </w:r>
      <w:r w:rsidR="00A26647" w:rsidRPr="00C72AB5">
        <w:rPr>
          <w:rFonts w:ascii="GHEA Grapalat" w:hAnsi="GHEA Grapalat" w:cs="Sylfaen"/>
          <w:sz w:val="24"/>
          <w:szCs w:val="24"/>
        </w:rPr>
        <w:t>:</w:t>
      </w:r>
      <w:r w:rsidR="00141652" w:rsidRPr="00C72AB5">
        <w:rPr>
          <w:rFonts w:ascii="GHEA Grapalat" w:hAnsi="GHEA Grapalat" w:cs="Sylfaen"/>
          <w:sz w:val="24"/>
          <w:szCs w:val="24"/>
        </w:rPr>
        <w:t xml:space="preserve"> Մշակվելու և հաստատվելու է ո</w:t>
      </w:r>
      <w:r w:rsidR="00156127" w:rsidRPr="00C72AB5">
        <w:rPr>
          <w:rFonts w:ascii="GHEA Grapalat" w:hAnsi="GHEA Grapalat" w:cs="Sylfaen"/>
          <w:sz w:val="24"/>
          <w:szCs w:val="24"/>
        </w:rPr>
        <w:t>լորտի գործունեության վերաբերյալ վիճակագրական տվյալների ամբողջական ցանկ</w:t>
      </w:r>
      <w:r w:rsidR="00141652" w:rsidRPr="00C72AB5">
        <w:rPr>
          <w:rFonts w:ascii="GHEA Grapalat" w:hAnsi="GHEA Grapalat" w:cs="Sylfaen"/>
          <w:sz w:val="24"/>
          <w:szCs w:val="24"/>
        </w:rPr>
        <w:t xml:space="preserve">ը որը </w:t>
      </w:r>
      <w:r w:rsidR="00156127" w:rsidRPr="00C72AB5">
        <w:rPr>
          <w:rFonts w:ascii="GHEA Grapalat" w:hAnsi="GHEA Grapalat" w:cs="Sylfaen"/>
          <w:sz w:val="24"/>
          <w:szCs w:val="24"/>
        </w:rPr>
        <w:t>ներառ</w:t>
      </w:r>
      <w:r w:rsidR="00141652" w:rsidRPr="00C72AB5">
        <w:rPr>
          <w:rFonts w:ascii="GHEA Grapalat" w:hAnsi="GHEA Grapalat" w:cs="Sylfaen"/>
          <w:sz w:val="24"/>
          <w:szCs w:val="24"/>
        </w:rPr>
        <w:t>ելու է</w:t>
      </w:r>
      <w:r w:rsidR="00156127" w:rsidRPr="00C72AB5">
        <w:rPr>
          <w:rFonts w:ascii="GHEA Grapalat" w:hAnsi="GHEA Grapalat" w:cs="Sylfaen"/>
          <w:sz w:val="24"/>
          <w:szCs w:val="24"/>
        </w:rPr>
        <w:t xml:space="preserve"> յուրաքանչյուր տվյալի նկարագիրը և հավաքագրման մեթոդաբանությունը</w:t>
      </w:r>
      <w:r w:rsidR="00141652" w:rsidRPr="00C72AB5">
        <w:rPr>
          <w:rFonts w:ascii="GHEA Grapalat" w:hAnsi="GHEA Grapalat" w:cs="Sylfaen"/>
          <w:sz w:val="24"/>
          <w:szCs w:val="24"/>
        </w:rPr>
        <w:t xml:space="preserve"> և հիմնվելու է </w:t>
      </w:r>
      <w:r w:rsidR="00156127" w:rsidRPr="00C72AB5">
        <w:rPr>
          <w:rFonts w:ascii="GHEA Grapalat" w:hAnsi="GHEA Grapalat" w:cs="Sylfaen"/>
          <w:sz w:val="24"/>
          <w:szCs w:val="24"/>
        </w:rPr>
        <w:t xml:space="preserve">ոլորտի վերաբերյալ միջազգային վիճակագրական </w:t>
      </w:r>
      <w:r w:rsidR="00141652" w:rsidRPr="00C72AB5">
        <w:rPr>
          <w:rFonts w:ascii="GHEA Grapalat" w:hAnsi="GHEA Grapalat" w:cs="Sylfaen"/>
          <w:sz w:val="24"/>
          <w:szCs w:val="24"/>
        </w:rPr>
        <w:t xml:space="preserve">կառույցների մեթոդաբանությունների վրա: </w:t>
      </w:r>
      <w:r w:rsidR="0018339A">
        <w:rPr>
          <w:rFonts w:ascii="GHEA Grapalat" w:hAnsi="GHEA Grapalat" w:cs="Sylfaen"/>
          <w:sz w:val="24"/>
          <w:szCs w:val="24"/>
        </w:rPr>
        <w:t>Կ</w:t>
      </w:r>
      <w:r w:rsidR="00141652" w:rsidRPr="00C72AB5">
        <w:rPr>
          <w:rFonts w:ascii="GHEA Grapalat" w:hAnsi="GHEA Grapalat" w:cs="Sylfaen"/>
          <w:sz w:val="24"/>
          <w:szCs w:val="24"/>
        </w:rPr>
        <w:t>ոմիտեին են վերապահվելու ոլորտ</w:t>
      </w:r>
      <w:r w:rsidR="00153102" w:rsidRPr="00C72AB5">
        <w:rPr>
          <w:rFonts w:ascii="GHEA Grapalat" w:hAnsi="GHEA Grapalat" w:cs="Sylfaen"/>
          <w:sz w:val="24"/>
          <w:szCs w:val="24"/>
        </w:rPr>
        <w:t>ում աշխատանքներ կատարող կազմակերպությունների վարչական ռեգիստրի</w:t>
      </w:r>
      <w:r w:rsidR="00141652" w:rsidRPr="00C72AB5">
        <w:rPr>
          <w:rFonts w:ascii="GHEA Grapalat" w:hAnsi="GHEA Grapalat" w:cs="Sylfaen"/>
          <w:sz w:val="24"/>
          <w:szCs w:val="24"/>
        </w:rPr>
        <w:t xml:space="preserve"> գործառույթները</w:t>
      </w:r>
      <w:r w:rsidR="00EB79C5" w:rsidRPr="00C72AB5">
        <w:rPr>
          <w:rFonts w:ascii="GHEA Grapalat" w:hAnsi="GHEA Grapalat" w:cs="Sylfaen"/>
          <w:sz w:val="24"/>
          <w:szCs w:val="24"/>
        </w:rPr>
        <w:t>:</w:t>
      </w:r>
    </w:p>
    <w:p w14:paraId="014E8CF3" w14:textId="53F179B5" w:rsidR="00F06DD7" w:rsidRPr="00C72AB5" w:rsidRDefault="00027141" w:rsidP="00EB79C5">
      <w:pPr>
        <w:tabs>
          <w:tab w:val="left" w:pos="851"/>
          <w:tab w:val="left" w:pos="993"/>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lastRenderedPageBreak/>
        <w:t xml:space="preserve">Արդյունքում` </w:t>
      </w:r>
      <w:r w:rsidR="00F06DD7" w:rsidRPr="00C72AB5">
        <w:rPr>
          <w:rFonts w:ascii="GHEA Grapalat" w:hAnsi="GHEA Grapalat" w:cs="Sylfaen"/>
          <w:sz w:val="24"/>
          <w:szCs w:val="24"/>
        </w:rPr>
        <w:t>պետական մրցութային ծրագրերը կազմակերպվում են ռազմավարության նպատակներին համապատասխան` հրավերում ունենալով համապատասխան հղում կամ նշում: Մրցութային փաթեթները և պայմանագրերի ձևերը հնարավորինս ստանդարտացված են և լիարժեքորեն արտացոլում են ֆինանսավորվող ծրագրերի վերջնարդյունքները: Հայտերի և հաշվետվությունների ընդունման էլեկտրոնային հարթակները ունեն ընդհանուր հասանելիության ինտերֆեյս, որտեղ արտացոլվում են յուրաքանչյուր մրցույթի շրջանակներում ֆինանսավորման երաշխավորված ծրագրերը և դրանցից յուրաքանչյուրի վերաբերյալ հանրային հասանելի տեղեկատվություն: Լիազոր մարմնի կողմից հաստատվել է ոլորտում կատարողականի չափանիշները, այդ թվում սույն ռազմավարության ռազմավարական նպատակների և միջոցառումների հիման վրա, կատարողականի չափանիշների հիման վրա կազմակերպությունները ներկայացնում են իրենց միջնաժամկետ ֆինանսավորման հայտերը և արդյունքային ցուցանիշները: Լիազոր մարմնի կողմից հաստատվել է գիտության ոլորտի վերաբերյալ վիճակագրական տվյալների ցանկը և դրանց հավաքագրման մեթոդաբանությունը:</w:t>
      </w:r>
    </w:p>
    <w:p w14:paraId="1858B125" w14:textId="77777777" w:rsidR="00475DD7" w:rsidRPr="00C72AB5" w:rsidRDefault="00475DD7" w:rsidP="0073444C"/>
    <w:p w14:paraId="7F0CA7E7" w14:textId="223EBC36" w:rsidR="00475DD7" w:rsidRDefault="00475DD7" w:rsidP="00475DD7">
      <w:pPr>
        <w:pStyle w:val="Heading1"/>
      </w:pPr>
      <w:bookmarkStart w:id="23" w:name="_Toc215422100"/>
      <w:r w:rsidRPr="00C72AB5">
        <w:t>7. ՎԵՐԱԿԱԶՄԱՎՈՐՈՒՄ ԵՎ ԱՌԱՋԽԱՂԱՑՈՒՄ</w:t>
      </w:r>
      <w:bookmarkEnd w:id="23"/>
    </w:p>
    <w:p w14:paraId="5BC73A88" w14:textId="77777777" w:rsidR="00692DC6" w:rsidRPr="00692DC6" w:rsidRDefault="00692DC6" w:rsidP="00692DC6">
      <w:pPr>
        <w:rPr>
          <w:rFonts w:ascii="Sylfaen" w:hAnsi="Sylfaen"/>
        </w:rPr>
      </w:pPr>
    </w:p>
    <w:p w14:paraId="239236EA" w14:textId="3CA05E75" w:rsidR="00475DD7" w:rsidRPr="00C72AB5" w:rsidRDefault="00475DD7" w:rsidP="00475DD7">
      <w:pPr>
        <w:pStyle w:val="Heading2"/>
      </w:pPr>
      <w:bookmarkStart w:id="24" w:name="_Toc215422101"/>
      <w:r w:rsidRPr="00C72AB5">
        <w:t>7.1 ՍԿԶԲՈՒՆՔՆԵՐ ԵՎ ՀԻՄՆԱԽՆԴԻՐՆԵՐ</w:t>
      </w:r>
      <w:bookmarkEnd w:id="24"/>
    </w:p>
    <w:p w14:paraId="3E6C4AA1" w14:textId="31FACD2B" w:rsidR="003B0E40" w:rsidRPr="00C72AB5" w:rsidRDefault="003B0E40" w:rsidP="003B0E40">
      <w:pPr>
        <w:tabs>
          <w:tab w:val="left" w:pos="851"/>
          <w:tab w:val="left" w:pos="993"/>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t>5</w:t>
      </w:r>
      <w:r w:rsidR="00E4522F" w:rsidRPr="00C72AB5">
        <w:rPr>
          <w:rFonts w:ascii="GHEA Grapalat" w:hAnsi="GHEA Grapalat" w:cs="Sylfaen"/>
          <w:sz w:val="24"/>
          <w:szCs w:val="24"/>
        </w:rPr>
        <w:t>9</w:t>
      </w:r>
      <w:r w:rsidRPr="00C72AB5">
        <w:rPr>
          <w:rFonts w:ascii="GHEA Grapalat" w:hAnsi="GHEA Grapalat" w:cs="Sylfaen"/>
          <w:sz w:val="24"/>
          <w:szCs w:val="24"/>
        </w:rPr>
        <w:t xml:space="preserve">. </w:t>
      </w:r>
      <w:r w:rsidR="003E0443" w:rsidRPr="00C72AB5">
        <w:rPr>
          <w:rFonts w:ascii="GHEA Grapalat" w:hAnsi="GHEA Grapalat" w:cs="Sylfaen"/>
          <w:sz w:val="24"/>
          <w:szCs w:val="24"/>
        </w:rPr>
        <w:t>Վերակազմավորում և առաջխաղացում</w:t>
      </w:r>
      <w:r w:rsidR="00133BAB" w:rsidRPr="00C72AB5">
        <w:rPr>
          <w:rFonts w:ascii="GHEA Grapalat" w:hAnsi="GHEA Grapalat" w:cs="Sylfaen"/>
          <w:sz w:val="24"/>
          <w:szCs w:val="24"/>
        </w:rPr>
        <w:t xml:space="preserve"> (ՌՆ-4)</w:t>
      </w:r>
      <w:r w:rsidR="003E0443" w:rsidRPr="00C72AB5">
        <w:rPr>
          <w:rFonts w:ascii="GHEA Grapalat" w:hAnsi="GHEA Grapalat" w:cs="Sylfaen"/>
          <w:sz w:val="24"/>
          <w:szCs w:val="24"/>
        </w:rPr>
        <w:t xml:space="preserve"> </w:t>
      </w:r>
      <w:r w:rsidRPr="00C72AB5">
        <w:rPr>
          <w:rFonts w:ascii="GHEA Grapalat" w:hAnsi="GHEA Grapalat" w:cs="Sylfaen"/>
          <w:sz w:val="24"/>
          <w:szCs w:val="24"/>
        </w:rPr>
        <w:t xml:space="preserve">ռազմավարական նպատակը ենթադրում է </w:t>
      </w:r>
      <w:r w:rsidR="003E0443" w:rsidRPr="00C72AB5">
        <w:rPr>
          <w:rFonts w:ascii="GHEA Grapalat" w:hAnsi="GHEA Grapalat" w:cs="Sylfaen"/>
          <w:sz w:val="24"/>
          <w:szCs w:val="24"/>
        </w:rPr>
        <w:t xml:space="preserve">Պետական բյուջերից ֆինանսավորվող հանրային գիտական կազմակերպությունների և համալսարանների գիտական ստորաբաժանումների մասնատված ենթակառուցվածքների վերախմբավորում և կոնսոլիդացում` </w:t>
      </w:r>
      <w:r w:rsidR="003E0443" w:rsidRPr="00D4555B">
        <w:rPr>
          <w:rFonts w:ascii="GHEA Grapalat" w:hAnsi="GHEA Grapalat" w:cs="Sylfaen"/>
          <w:sz w:val="24"/>
          <w:szCs w:val="24"/>
        </w:rPr>
        <w:t>արդյունավետ</w:t>
      </w:r>
      <w:r w:rsidR="003E0443" w:rsidRPr="006D1458">
        <w:rPr>
          <w:rFonts w:ascii="GHEA Grapalat" w:hAnsi="GHEA Grapalat" w:cs="Sylfaen"/>
          <w:color w:val="FF0000"/>
          <w:sz w:val="24"/>
          <w:szCs w:val="24"/>
        </w:rPr>
        <w:t xml:space="preserve"> </w:t>
      </w:r>
      <w:r w:rsidR="003E0443" w:rsidRPr="00C72AB5">
        <w:rPr>
          <w:rFonts w:ascii="GHEA Grapalat" w:hAnsi="GHEA Grapalat" w:cs="Sylfaen"/>
          <w:sz w:val="24"/>
          <w:szCs w:val="24"/>
        </w:rPr>
        <w:t xml:space="preserve">աշխատող հետազոտողների աշխատանքին առավելագույնս նպաստող, հետազոտական աշխատանքներում ուսանողների ներգրավվածությունը </w:t>
      </w:r>
      <w:r w:rsidR="005D27F9" w:rsidRPr="00C72AB5">
        <w:rPr>
          <w:rFonts w:ascii="GHEA Grapalat" w:hAnsi="GHEA Grapalat" w:cs="Sylfaen"/>
          <w:sz w:val="24"/>
          <w:szCs w:val="24"/>
        </w:rPr>
        <w:t xml:space="preserve">երաշխավորող, հետազոտական ժամանակակից սարքավորումներով զինված և նախատիպավորման ենթակառուցվածքներ ունեցող </w:t>
      </w:r>
      <w:r w:rsidR="001F19F7" w:rsidRPr="00C72AB5">
        <w:rPr>
          <w:rFonts w:ascii="GHEA Grapalat" w:hAnsi="GHEA Grapalat" w:cs="Sylfaen"/>
          <w:sz w:val="24"/>
          <w:szCs w:val="24"/>
        </w:rPr>
        <w:t>համակարգի ստեղծում</w:t>
      </w:r>
      <w:r w:rsidRPr="00C72AB5">
        <w:rPr>
          <w:rFonts w:ascii="GHEA Grapalat" w:hAnsi="GHEA Grapalat" w:cs="Sylfaen"/>
          <w:sz w:val="24"/>
          <w:szCs w:val="24"/>
        </w:rPr>
        <w:t>:</w:t>
      </w:r>
      <w:r w:rsidR="00EF1E77" w:rsidRPr="00C72AB5">
        <w:rPr>
          <w:rFonts w:ascii="GHEA Grapalat" w:hAnsi="GHEA Grapalat" w:cs="Sylfaen"/>
          <w:sz w:val="24"/>
          <w:szCs w:val="24"/>
        </w:rPr>
        <w:t xml:space="preserve"> Կոնսոլիդացման գործընթացն իրականացվում է «Ակադեմիական քաղաք» և  Հայաստանի Հանրապետության կրթության մինչև 2030 թվականի զարգացման պետական ծրագրերի շրջանակներում, նախորդող ժամանակահատվածում իրականացված աշխատանքային խմբերի շևջանակներում քննարկումների և համալսարանական կլաստերների ձևավորման ընթացիկ աշխատանքների շրջանակներում:</w:t>
      </w:r>
    </w:p>
    <w:p w14:paraId="5B77E099" w14:textId="7C0FE11C" w:rsidR="003B0E40" w:rsidRPr="00C72AB5" w:rsidRDefault="00E4522F" w:rsidP="003B0E40">
      <w:pPr>
        <w:tabs>
          <w:tab w:val="left" w:pos="851"/>
          <w:tab w:val="left" w:pos="993"/>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t>60</w:t>
      </w:r>
      <w:r w:rsidR="003B0E40" w:rsidRPr="00C72AB5">
        <w:rPr>
          <w:rFonts w:ascii="GHEA Grapalat" w:hAnsi="GHEA Grapalat" w:cs="Sylfaen"/>
          <w:sz w:val="24"/>
          <w:szCs w:val="24"/>
        </w:rPr>
        <w:t xml:space="preserve">. Այս ռազմավարական նպատակի շրջանակներում հիմնախնդիրներն են` </w:t>
      </w:r>
    </w:p>
    <w:p w14:paraId="35C4738F" w14:textId="07B1E7F6" w:rsidR="003B0E40" w:rsidRPr="00C72AB5" w:rsidRDefault="002F59E8" w:rsidP="003B0E40">
      <w:pPr>
        <w:tabs>
          <w:tab w:val="left" w:pos="851"/>
          <w:tab w:val="left" w:pos="993"/>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t>1</w:t>
      </w:r>
      <w:r w:rsidR="003B0E40" w:rsidRPr="00C72AB5">
        <w:rPr>
          <w:rFonts w:ascii="GHEA Grapalat" w:hAnsi="GHEA Grapalat" w:cs="Sylfaen"/>
          <w:sz w:val="24"/>
          <w:szCs w:val="24"/>
        </w:rPr>
        <w:t xml:space="preserve">) </w:t>
      </w:r>
      <w:r w:rsidR="00D4555B">
        <w:rPr>
          <w:rFonts w:ascii="GHEA Grapalat" w:hAnsi="GHEA Grapalat" w:cs="Sylfaen"/>
          <w:sz w:val="24"/>
          <w:szCs w:val="24"/>
        </w:rPr>
        <w:t>ե</w:t>
      </w:r>
      <w:r w:rsidR="003B0E40" w:rsidRPr="00C72AB5">
        <w:rPr>
          <w:rFonts w:ascii="GHEA Grapalat" w:hAnsi="GHEA Grapalat" w:cs="Sylfaen"/>
          <w:sz w:val="24"/>
          <w:szCs w:val="24"/>
        </w:rPr>
        <w:t>նթակառուցվածքների տրոհվածությունը և փոքր գիտահետազոտական կազմակերպությունների առկայությունը բերում է ոլորտի անարդյունավետության և պետական ներդրումների փոշիացման` արհեստականորեն ստեղծված միջինստիտուցիոնալ սահմանների և համագործակցո</w:t>
      </w:r>
      <w:r w:rsidRPr="00C72AB5">
        <w:rPr>
          <w:rFonts w:ascii="GHEA Grapalat" w:hAnsi="GHEA Grapalat" w:cs="Sylfaen"/>
          <w:sz w:val="24"/>
          <w:szCs w:val="24"/>
        </w:rPr>
        <w:t xml:space="preserve">ւթյունների </w:t>
      </w:r>
      <w:r w:rsidR="003B0E40" w:rsidRPr="00C72AB5">
        <w:rPr>
          <w:rFonts w:ascii="GHEA Grapalat" w:hAnsi="GHEA Grapalat" w:cs="Sylfaen"/>
          <w:sz w:val="24"/>
          <w:szCs w:val="24"/>
        </w:rPr>
        <w:t xml:space="preserve">ձևական </w:t>
      </w:r>
      <w:r w:rsidRPr="00C72AB5">
        <w:rPr>
          <w:rFonts w:ascii="GHEA Grapalat" w:hAnsi="GHEA Grapalat" w:cs="Sylfaen"/>
          <w:sz w:val="24"/>
          <w:szCs w:val="24"/>
        </w:rPr>
        <w:t xml:space="preserve">կամ սպորադիկ </w:t>
      </w:r>
      <w:r w:rsidR="003B0E40" w:rsidRPr="00C72AB5">
        <w:rPr>
          <w:rFonts w:ascii="GHEA Grapalat" w:hAnsi="GHEA Grapalat" w:cs="Sylfaen"/>
          <w:sz w:val="24"/>
          <w:szCs w:val="24"/>
        </w:rPr>
        <w:t xml:space="preserve">բնույթի, վարչական ապարատի վրա իրականացվող </w:t>
      </w:r>
      <w:r w:rsidRPr="00C72AB5">
        <w:rPr>
          <w:rFonts w:ascii="GHEA Grapalat" w:hAnsi="GHEA Grapalat" w:cs="Sylfaen"/>
          <w:sz w:val="24"/>
          <w:szCs w:val="24"/>
        </w:rPr>
        <w:t xml:space="preserve">անհարկի </w:t>
      </w:r>
      <w:r w:rsidR="003B0E40" w:rsidRPr="00C72AB5">
        <w:rPr>
          <w:rFonts w:ascii="GHEA Grapalat" w:hAnsi="GHEA Grapalat" w:cs="Sylfaen"/>
          <w:sz w:val="24"/>
          <w:szCs w:val="24"/>
        </w:rPr>
        <w:t xml:space="preserve">ծախսերի, ենթակառուցվածքների հնամաշ լինելու և ժամանակակից ստանդարտներին </w:t>
      </w:r>
      <w:r w:rsidR="003B0E40" w:rsidRPr="00C72AB5">
        <w:rPr>
          <w:rFonts w:ascii="GHEA Grapalat" w:hAnsi="GHEA Grapalat" w:cs="Sylfaen"/>
          <w:sz w:val="24"/>
          <w:szCs w:val="24"/>
        </w:rPr>
        <w:lastRenderedPageBreak/>
        <w:t xml:space="preserve">անհամապատասխանության հետևանքով թանկարժեք հետազոտական սարքավորումների տեղադրման և պատշաճ շահագործման </w:t>
      </w:r>
      <w:r w:rsidR="00D4555B">
        <w:rPr>
          <w:rFonts w:ascii="GHEA Grapalat" w:hAnsi="GHEA Grapalat" w:cs="Sylfaen"/>
          <w:sz w:val="24"/>
          <w:szCs w:val="24"/>
        </w:rPr>
        <w:t>համար սահմանափակումների տեսքով․</w:t>
      </w:r>
    </w:p>
    <w:p w14:paraId="725B47E7" w14:textId="2FA8E176" w:rsidR="00796BE6" w:rsidRPr="00C72AB5" w:rsidRDefault="002F59E8" w:rsidP="00796BE6">
      <w:pPr>
        <w:pStyle w:val="NormalWeb"/>
        <w:spacing w:before="0" w:beforeAutospacing="0" w:after="0" w:afterAutospacing="0" w:line="276" w:lineRule="auto"/>
        <w:jc w:val="both"/>
        <w:rPr>
          <w:rFonts w:ascii="GHEA Grapalat" w:hAnsi="GHEA Grapalat" w:cs="Sylfaen"/>
          <w:lang w:val="hy-AM"/>
        </w:rPr>
      </w:pPr>
      <w:r w:rsidRPr="00C72AB5">
        <w:rPr>
          <w:rFonts w:ascii="GHEA Grapalat" w:hAnsi="GHEA Grapalat" w:cs="Sylfaen"/>
          <w:lang w:val="hy-AM"/>
        </w:rPr>
        <w:t>2</w:t>
      </w:r>
      <w:r w:rsidR="003B0E40" w:rsidRPr="00C72AB5">
        <w:rPr>
          <w:rFonts w:ascii="GHEA Grapalat" w:hAnsi="GHEA Grapalat" w:cs="Sylfaen"/>
          <w:lang w:val="hy-AM"/>
        </w:rPr>
        <w:t xml:space="preserve">) </w:t>
      </w:r>
      <w:r w:rsidR="00D4555B">
        <w:rPr>
          <w:rFonts w:ascii="GHEA Grapalat" w:hAnsi="GHEA Grapalat" w:cs="Sylfaen"/>
          <w:lang w:val="hy-AM"/>
        </w:rPr>
        <w:t>բ</w:t>
      </w:r>
      <w:r w:rsidR="003B0E40" w:rsidRPr="00C72AB5">
        <w:rPr>
          <w:rFonts w:ascii="GHEA Grapalat" w:hAnsi="GHEA Grapalat" w:cs="Sylfaen"/>
          <w:lang w:val="hy-AM"/>
        </w:rPr>
        <w:t xml:space="preserve">ազային ֆինանսավորման շրջանակներում գիտության ոլորտին հատկացվող ֆինանսավորման ծավալների ինչպես նաև աշխատակիցների քանակության վերլուծությունը ցույց է տալիս, որ </w:t>
      </w:r>
      <w:r w:rsidR="003B0E40" w:rsidRPr="00C72AB5">
        <w:rPr>
          <w:rFonts w:ascii="GHEA Grapalat" w:hAnsi="GHEA Grapalat" w:cs="Arial"/>
          <w:color w:val="222222"/>
          <w:lang w:val="hy-AM"/>
        </w:rPr>
        <w:t>համակարգում ներգրավված յուրաքանչյուր 2 գիտական աշխատակցին զուգահեռ ներգրավված է 1 վարչական կամ սպասարկող աշխատակից</w:t>
      </w:r>
      <w:r w:rsidRPr="00C72AB5">
        <w:rPr>
          <w:rFonts w:ascii="GHEA Grapalat" w:hAnsi="GHEA Grapalat" w:cs="Arial"/>
          <w:color w:val="222222"/>
          <w:lang w:val="hy-AM"/>
        </w:rPr>
        <w:t xml:space="preserve">, </w:t>
      </w:r>
      <w:r w:rsidR="003B0E40" w:rsidRPr="00C72AB5">
        <w:rPr>
          <w:rFonts w:ascii="GHEA Grapalat" w:hAnsi="GHEA Grapalat" w:cs="Arial"/>
          <w:color w:val="222222"/>
          <w:lang w:val="hy-AM"/>
        </w:rPr>
        <w:t>որոնց ճնշող մեծամասնությունը աշխատում են գիտական կազմակերպություններում (</w:t>
      </w:r>
      <w:r w:rsidR="00692DC6" w:rsidRPr="00692DC6">
        <w:rPr>
          <w:rFonts w:ascii="GHEA Grapalat" w:eastAsia="Calibri" w:hAnsi="GHEA Grapalat" w:cs="Arial"/>
          <w:lang w:val="hy-AM" w:eastAsia="en-US"/>
        </w:rPr>
        <w:t xml:space="preserve">տե՛ս, </w:t>
      </w:r>
      <w:r w:rsidR="003B0E40" w:rsidRPr="00C72AB5">
        <w:rPr>
          <w:rFonts w:ascii="GHEA Grapalat" w:hAnsi="GHEA Grapalat" w:cs="Arial"/>
          <w:color w:val="222222"/>
          <w:lang w:val="hy-AM"/>
        </w:rPr>
        <w:t xml:space="preserve">Գծապատկեր 32): Գիտության ոլորտին հատկացվող բազային ֆինանսավորման 73%-ը ուղղորդվում է ԳԱԱ համակարգի կազմակերպություններին, սակայն Միջազգային Վեբ Օֆ Սայնս գիտական տեղեկատվական համակարգում ինդեքսավորվող գիտական պարբերականներում հրապարակումների միայն 32%-ն է տպագրվել ԳԱԱ համակարգի կազմակերպությունների աշխատակիցների կողմից: </w:t>
      </w:r>
      <w:r w:rsidR="003B0E40" w:rsidRPr="00C72AB5">
        <w:rPr>
          <w:rFonts w:ascii="GHEA Grapalat" w:hAnsi="GHEA Grapalat" w:cs="Sylfaen"/>
          <w:lang w:val="hy-AM"/>
        </w:rPr>
        <w:t>Սա նշանակում է, որ հանրային միջոցներից ներդրումների մի զգալի մասն ուղղվում է հնացած մոդելի համակարգի պահպանության համար, քանի որ մի կողմից ակնհայտ լինելով հանդերձ, որ գիտահետազոտական կազմակերպությունը պահանջում է որոշակի քանակությամբ վարչական և սպասարկող աշխատակիցների առկայություն</w:t>
      </w:r>
      <w:r w:rsidR="00641C18" w:rsidRPr="00C72AB5">
        <w:rPr>
          <w:rFonts w:ascii="GHEA Grapalat" w:hAnsi="GHEA Grapalat" w:cs="Sylfaen"/>
          <w:lang w:val="hy-AM"/>
        </w:rPr>
        <w:t>:</w:t>
      </w:r>
      <w:r w:rsidR="00796BE6" w:rsidRPr="00796BE6">
        <w:rPr>
          <w:rFonts w:ascii="GHEA Grapalat" w:hAnsi="GHEA Grapalat" w:cs="Sylfaen"/>
          <w:lang w:val="hy-AM"/>
        </w:rPr>
        <w:t xml:space="preserve"> </w:t>
      </w:r>
      <w:r w:rsidR="00796BE6" w:rsidRPr="00C72AB5">
        <w:rPr>
          <w:rFonts w:ascii="GHEA Grapalat" w:hAnsi="GHEA Grapalat" w:cs="Sylfaen"/>
          <w:lang w:val="hy-AM"/>
        </w:rPr>
        <w:t>Սրան ավելանում է նաև այն հանգամանքը, որ ոլորտի կազմակերպությունների կառավարումը գիտահետազոտական կազմակերպություններում իրականացվում է ավելի շատ սովորութային եղանակով` ղեկավար պաշտոնների «ժառանգաբար» փոխանցմամբ, բացառելով թափանցիկ և մրցութային եղանակով ղեկավարների ընտրությունը ինչպես նաև պաշտոններին ներկայացվող որակավորման և ռազմավարական կառավարման պահանջների ու հաշվետվողականության մեխանիզմների բացակայությունը: Զուգահեռաբար` գիտական համակարգի կազմակերպությունները տեղակայված են հնամաշ շինություններում, որոնք չեն նպաստում էներգախնայողության բարձր պահանջներին, որոշ դեպքերում կազմակերպությունները ներկայացնում են գիտական ենթակառուցվածքների և սարքավորումների նույնական պահանջներ, ինչը հնարավորություն չի ընձեռում առավել արդյունավետ ներդրումների համար և չի երաշխավորում խոշոր ներդրումների առավելագույն արդյունավետությամբ օգտագործումը կամ ծանրաբեռնումը, բուհական համակարգում գիտական ենթակառուցվածքները չունեն բավարար շենքային պայմաններ, քանի որ տեղակայված են հենց բուհական շինություններում:</w:t>
      </w:r>
    </w:p>
    <w:p w14:paraId="53EB8A85" w14:textId="77777777" w:rsidR="003B0E40" w:rsidRPr="00C72AB5" w:rsidRDefault="003B0E40" w:rsidP="003B0E40">
      <w:pPr>
        <w:pStyle w:val="NormalWeb"/>
        <w:spacing w:before="0" w:beforeAutospacing="0" w:after="0" w:afterAutospacing="0" w:line="276" w:lineRule="auto"/>
        <w:ind w:firstLine="567"/>
        <w:jc w:val="center"/>
        <w:rPr>
          <w:rFonts w:ascii="GHEA Grapalat" w:hAnsi="GHEA Grapalat" w:cs="Arial"/>
          <w:color w:val="222222"/>
          <w:lang w:val="hy-AM"/>
        </w:rPr>
      </w:pPr>
      <w:r w:rsidRPr="00C72AB5">
        <w:rPr>
          <w:rFonts w:ascii="GHEA Grapalat" w:hAnsi="GHEA Grapalat" w:cs="Arial"/>
          <w:noProof/>
          <w:color w:val="222222"/>
          <w:lang w:val="en-US" w:eastAsia="en-US"/>
        </w:rPr>
        <w:lastRenderedPageBreak/>
        <w:drawing>
          <wp:inline distT="0" distB="0" distL="0" distR="0" wp14:anchorId="7671C727" wp14:editId="7B6D5751">
            <wp:extent cx="2555483" cy="1913860"/>
            <wp:effectExtent l="0" t="0" r="0" b="0"/>
            <wp:docPr id="25724635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572182" cy="1926366"/>
                    </a:xfrm>
                    <a:prstGeom prst="rect">
                      <a:avLst/>
                    </a:prstGeom>
                    <a:noFill/>
                  </pic:spPr>
                </pic:pic>
              </a:graphicData>
            </a:graphic>
          </wp:inline>
        </w:drawing>
      </w:r>
      <w:r w:rsidRPr="00C72AB5">
        <w:rPr>
          <w:rFonts w:ascii="GHEA Grapalat" w:hAnsi="GHEA Grapalat" w:cs="Arial"/>
          <w:noProof/>
          <w:color w:val="222222"/>
          <w:lang w:val="en-US" w:eastAsia="en-US"/>
        </w:rPr>
        <w:drawing>
          <wp:inline distT="0" distB="0" distL="0" distR="0" wp14:anchorId="34DC49EA" wp14:editId="4BFE7222">
            <wp:extent cx="2390775" cy="1991866"/>
            <wp:effectExtent l="0" t="0" r="0" b="8890"/>
            <wp:docPr id="211109743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440458" cy="2033260"/>
                    </a:xfrm>
                    <a:prstGeom prst="rect">
                      <a:avLst/>
                    </a:prstGeom>
                    <a:noFill/>
                  </pic:spPr>
                </pic:pic>
              </a:graphicData>
            </a:graphic>
          </wp:inline>
        </w:drawing>
      </w:r>
    </w:p>
    <w:p w14:paraId="0E2DFF24" w14:textId="77777777" w:rsidR="003B0E40" w:rsidRPr="00C72AB5" w:rsidRDefault="003B0E40" w:rsidP="003B0E40">
      <w:pPr>
        <w:pStyle w:val="NormalWeb"/>
        <w:spacing w:before="0" w:beforeAutospacing="0" w:after="0" w:afterAutospacing="0" w:line="276" w:lineRule="auto"/>
        <w:ind w:firstLine="567"/>
        <w:jc w:val="center"/>
        <w:rPr>
          <w:rFonts w:ascii="GHEA Grapalat" w:hAnsi="GHEA Grapalat" w:cs="Arial"/>
          <w:color w:val="222222"/>
          <w:lang w:val="hy-AM"/>
        </w:rPr>
      </w:pPr>
      <w:r w:rsidRPr="00C72AB5">
        <w:rPr>
          <w:rFonts w:ascii="GHEA Grapalat" w:hAnsi="GHEA Grapalat" w:cs="Arial"/>
          <w:noProof/>
          <w:color w:val="222222"/>
          <w:lang w:val="en-US" w:eastAsia="en-US"/>
        </w:rPr>
        <w:drawing>
          <wp:inline distT="0" distB="0" distL="0" distR="0" wp14:anchorId="3262470C" wp14:editId="1DCFE7DB">
            <wp:extent cx="2313986" cy="1931212"/>
            <wp:effectExtent l="0" t="0" r="0" b="0"/>
            <wp:docPr id="177393170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338879" cy="1951987"/>
                    </a:xfrm>
                    <a:prstGeom prst="rect">
                      <a:avLst/>
                    </a:prstGeom>
                    <a:noFill/>
                  </pic:spPr>
                </pic:pic>
              </a:graphicData>
            </a:graphic>
          </wp:inline>
        </w:drawing>
      </w:r>
      <w:r w:rsidRPr="00C72AB5">
        <w:rPr>
          <w:rFonts w:ascii="GHEA Grapalat" w:hAnsi="GHEA Grapalat" w:cs="Arial"/>
          <w:noProof/>
          <w:color w:val="222222"/>
          <w:lang w:val="en-US" w:eastAsia="en-US"/>
        </w:rPr>
        <w:drawing>
          <wp:inline distT="0" distB="0" distL="0" distR="0" wp14:anchorId="3251FDB2" wp14:editId="22D9EFC4">
            <wp:extent cx="2479852" cy="1891086"/>
            <wp:effectExtent l="0" t="0" r="0" b="0"/>
            <wp:docPr id="93714272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493747" cy="1901682"/>
                    </a:xfrm>
                    <a:prstGeom prst="rect">
                      <a:avLst/>
                    </a:prstGeom>
                    <a:noFill/>
                  </pic:spPr>
                </pic:pic>
              </a:graphicData>
            </a:graphic>
          </wp:inline>
        </w:drawing>
      </w:r>
    </w:p>
    <w:p w14:paraId="15A1ADFF" w14:textId="3A9F54B4" w:rsidR="003B0E40" w:rsidRPr="00C72AB5" w:rsidRDefault="003B0E40" w:rsidP="00796BE6">
      <w:pPr>
        <w:tabs>
          <w:tab w:val="left" w:pos="851"/>
        </w:tabs>
        <w:ind w:left="567" w:hanging="567"/>
        <w:jc w:val="both"/>
        <w:rPr>
          <w:rFonts w:ascii="GHEA Grapalat" w:hAnsi="GHEA Grapalat" w:cs="Arial"/>
        </w:rPr>
      </w:pPr>
      <w:r w:rsidRPr="00C72AB5">
        <w:rPr>
          <w:rFonts w:ascii="GHEA Grapalat" w:hAnsi="GHEA Grapalat"/>
          <w:b/>
        </w:rPr>
        <w:t>Գծապատկեր</w:t>
      </w:r>
      <w:r w:rsidRPr="00C72AB5">
        <w:rPr>
          <w:rFonts w:ascii="GHEA Grapalat" w:hAnsi="GHEA Grapalat" w:cs="Arial"/>
          <w:b/>
        </w:rPr>
        <w:t xml:space="preserve"> 32</w:t>
      </w:r>
      <w:r w:rsidRPr="00C72AB5">
        <w:rPr>
          <w:rFonts w:ascii="GHEA Grapalat" w:hAnsi="GHEA Grapalat" w:cs="Arial"/>
        </w:rPr>
        <w:t>. Բազային ֆինանսավորման շրջանակներում ՀՀ կազմակերպություններում աշխատող գիտական աշխատողների, վարչական աշխատողների քանակությունները, հատկացումների ծավալները ըստ կազմակերպությունների և հրապարակումների համադրությունը</w:t>
      </w:r>
      <w:r w:rsidR="002046A6" w:rsidRPr="00C72AB5">
        <w:rPr>
          <w:rFonts w:ascii="GHEA Grapalat" w:hAnsi="GHEA Grapalat" w:cs="Arial"/>
        </w:rPr>
        <w:t xml:space="preserve"> 2023 թվականի հաշվետվությունների համադրությամբ</w:t>
      </w:r>
      <w:r w:rsidRPr="00C72AB5">
        <w:rPr>
          <w:rFonts w:ascii="GHEA Grapalat" w:hAnsi="GHEA Grapalat" w:cs="Arial"/>
        </w:rPr>
        <w:t>:</w:t>
      </w:r>
    </w:p>
    <w:p w14:paraId="45A1BAEF" w14:textId="77777777" w:rsidR="00641C18" w:rsidRPr="00C72AB5" w:rsidRDefault="00641C18" w:rsidP="003B0E40">
      <w:pPr>
        <w:tabs>
          <w:tab w:val="left" w:pos="851"/>
        </w:tabs>
        <w:spacing w:line="276" w:lineRule="auto"/>
        <w:ind w:left="567" w:hanging="567"/>
        <w:jc w:val="both"/>
        <w:rPr>
          <w:rFonts w:ascii="GHEA Grapalat" w:hAnsi="GHEA Grapalat" w:cs="Arial"/>
        </w:rPr>
      </w:pPr>
    </w:p>
    <w:p w14:paraId="3C416E1E" w14:textId="451D43CA" w:rsidR="003D4AA0" w:rsidRDefault="003D4AA0" w:rsidP="003D4AA0">
      <w:pPr>
        <w:pStyle w:val="Heading2"/>
      </w:pPr>
      <w:bookmarkStart w:id="25" w:name="_Toc215422102"/>
      <w:r w:rsidRPr="00C72AB5">
        <w:t>7.2 ՀԻՄՆԱԽՆԴՐԻ ԼՈՒԾՄԱՆ ԵՂԱՆԱԿՆԵՐԸ</w:t>
      </w:r>
      <w:bookmarkEnd w:id="25"/>
    </w:p>
    <w:p w14:paraId="7EE9AE7D" w14:textId="77777777" w:rsidR="00960F98" w:rsidRPr="00C72AB5" w:rsidRDefault="00960F98" w:rsidP="0073444C"/>
    <w:p w14:paraId="352A3ABC" w14:textId="28982D06" w:rsidR="003D4AA0" w:rsidRPr="00C72AB5" w:rsidRDefault="00E4522F" w:rsidP="003D4AA0">
      <w:pPr>
        <w:tabs>
          <w:tab w:val="left" w:pos="851"/>
          <w:tab w:val="left" w:pos="993"/>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t>61</w:t>
      </w:r>
      <w:r w:rsidR="003D4AA0" w:rsidRPr="00C72AB5">
        <w:rPr>
          <w:rFonts w:ascii="GHEA Grapalat" w:hAnsi="GHEA Grapalat" w:cs="Sylfaen"/>
          <w:sz w:val="24"/>
          <w:szCs w:val="24"/>
        </w:rPr>
        <w:t xml:space="preserve">. </w:t>
      </w:r>
      <w:r w:rsidR="00133BAB" w:rsidRPr="00C72AB5">
        <w:rPr>
          <w:rFonts w:ascii="GHEA Grapalat" w:hAnsi="GHEA Grapalat" w:cs="Sylfaen"/>
          <w:sz w:val="24"/>
          <w:szCs w:val="24"/>
        </w:rPr>
        <w:t>Վերակազմավորում և առաջխաղացում</w:t>
      </w:r>
      <w:r w:rsidR="003D4AA0" w:rsidRPr="00C72AB5">
        <w:rPr>
          <w:rFonts w:ascii="GHEA Grapalat" w:hAnsi="GHEA Grapalat" w:cs="Sylfaen"/>
          <w:sz w:val="24"/>
          <w:szCs w:val="24"/>
        </w:rPr>
        <w:t xml:space="preserve"> (ՌՆ-</w:t>
      </w:r>
      <w:r w:rsidR="00133BAB" w:rsidRPr="00C72AB5">
        <w:rPr>
          <w:rFonts w:ascii="GHEA Grapalat" w:hAnsi="GHEA Grapalat" w:cs="Sylfaen"/>
          <w:sz w:val="24"/>
          <w:szCs w:val="24"/>
        </w:rPr>
        <w:t>4</w:t>
      </w:r>
      <w:r w:rsidR="003D4AA0" w:rsidRPr="00C72AB5">
        <w:rPr>
          <w:rFonts w:ascii="GHEA Grapalat" w:hAnsi="GHEA Grapalat" w:cs="Sylfaen"/>
          <w:sz w:val="24"/>
          <w:szCs w:val="24"/>
        </w:rPr>
        <w:t>) ռազմավարական նպատակի ներքո նկարագրած հիմնախնդիրների լուծման նպատակով նախանշվում են հետևյալ ծրա</w:t>
      </w:r>
      <w:r w:rsidR="00D4555B">
        <w:rPr>
          <w:rFonts w:ascii="GHEA Grapalat" w:hAnsi="GHEA Grapalat" w:cs="Sylfaen"/>
          <w:sz w:val="24"/>
          <w:szCs w:val="24"/>
        </w:rPr>
        <w:t>գրերն ու միջանկյալ արդյունքները՝</w:t>
      </w:r>
    </w:p>
    <w:p w14:paraId="1E13729C" w14:textId="4F49F6AD" w:rsidR="003D4AA0" w:rsidRPr="00C72AB5" w:rsidRDefault="003D4AA0" w:rsidP="003D4AA0">
      <w:pPr>
        <w:tabs>
          <w:tab w:val="left" w:pos="851"/>
          <w:tab w:val="left" w:pos="993"/>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t xml:space="preserve">1) </w:t>
      </w:r>
      <w:r w:rsidRPr="00C72AB5">
        <w:rPr>
          <w:rFonts w:ascii="GHEA Grapalat" w:hAnsi="GHEA Grapalat" w:cs="Sylfaen"/>
          <w:i/>
          <w:iCs/>
          <w:sz w:val="24"/>
          <w:szCs w:val="24"/>
        </w:rPr>
        <w:t xml:space="preserve">Հետազոտական ենթակառուցվածքների կոնսոլիդացում և արդյունավետություն </w:t>
      </w:r>
      <w:r w:rsidRPr="00C72AB5">
        <w:rPr>
          <w:rFonts w:ascii="GHEA Grapalat" w:hAnsi="GHEA Grapalat" w:cs="Sylfaen"/>
          <w:sz w:val="24"/>
          <w:szCs w:val="24"/>
        </w:rPr>
        <w:t xml:space="preserve">(ՄԱ </w:t>
      </w:r>
      <w:r w:rsidR="00133BAB" w:rsidRPr="00C72AB5">
        <w:rPr>
          <w:rFonts w:ascii="GHEA Grapalat" w:hAnsi="GHEA Grapalat" w:cs="Sylfaen"/>
          <w:sz w:val="24"/>
          <w:szCs w:val="24"/>
        </w:rPr>
        <w:t>4</w:t>
      </w:r>
      <w:r w:rsidRPr="00C72AB5">
        <w:rPr>
          <w:rFonts w:ascii="GHEA Grapalat" w:hAnsi="GHEA Grapalat" w:cs="Sylfaen"/>
          <w:sz w:val="24"/>
          <w:szCs w:val="24"/>
        </w:rPr>
        <w:t xml:space="preserve">-1): Այս ծրագրի շրջականկերում իրականացվող միջոցառումների նպատակն է վերանայելով Հայաստանի Հանրապետությունում առկա հետազոտական ենթակառուցվածքներն ու կազմակերպությունները` դրանց հիման վրա ստեղծել նոր կոնսոլիդացված համակարգ, որը ամբողջությամբ կծառայի որակյալ հետազոտական աշխատանքի իրականացմանը սպասարկելուն, կերաշխավորի միջգիտակարգային հետազոտությունների իրականացումը, կապահովի հետազոտական սարքերի և սարքավորումների պատշաճ ծանրաբեռնվածություն, ինչպես նաև կներգրավվի  կրթական պրոցեսի մեջ` ապահովելով ինչպես փոխանցելի հմտությունների ստացումը ուսանողների կողմից, այնպես էլ երիտասարդ կադրերի ներգրավումը հետազոտական աշխատանքներում: Խոշորացման գործընթացն իրականացվելու է «Ակադեմիական քաղաք» ծրագրի հայեցակարգի շրջանակից ելնելով: Գիտական կազմակերպությունների խոշորացմանը զուգահեռ իրականացվելու է մինչ այժմ ձեռք բերված գիտական սարքավորումների տրամաբանական խմբավորում սարքերի համատեղ օգտագործման կենտրոններում` բացահայտվելու են համալիր </w:t>
      </w:r>
      <w:r w:rsidRPr="00C72AB5">
        <w:rPr>
          <w:rFonts w:ascii="GHEA Grapalat" w:hAnsi="GHEA Grapalat" w:cs="Sylfaen"/>
          <w:sz w:val="24"/>
          <w:szCs w:val="24"/>
        </w:rPr>
        <w:lastRenderedPageBreak/>
        <w:t xml:space="preserve">հետազոտությունների համար անհրաժեշտ սարքերի պահանջարկը և դրանք որպես գերակայություն դրվելու են սարքերի ձեռք բերման ծրագրի հիմքում: </w:t>
      </w:r>
    </w:p>
    <w:p w14:paraId="19F39BE9" w14:textId="56A92EFF" w:rsidR="00156127" w:rsidRPr="00C72AB5" w:rsidRDefault="003D4AA0" w:rsidP="003D4AA0">
      <w:pPr>
        <w:tabs>
          <w:tab w:val="left" w:pos="851"/>
          <w:tab w:val="left" w:pos="993"/>
        </w:tabs>
        <w:spacing w:line="276" w:lineRule="auto"/>
        <w:ind w:firstLine="567"/>
        <w:jc w:val="both"/>
        <w:rPr>
          <w:rFonts w:ascii="GHEA Grapalat" w:hAnsi="GHEA Grapalat" w:cs="Arial"/>
          <w:sz w:val="24"/>
          <w:szCs w:val="24"/>
        </w:rPr>
      </w:pPr>
      <w:r w:rsidRPr="00C72AB5">
        <w:rPr>
          <w:rFonts w:ascii="GHEA Grapalat" w:hAnsi="GHEA Grapalat" w:cs="Sylfaen"/>
          <w:sz w:val="24"/>
          <w:szCs w:val="24"/>
        </w:rPr>
        <w:t>Արդյունքում` գիտական կազմակերպությունները միավորած են խոշոր կենտրոններում և ինտեգրված են խոշորացված բուհական համակարգի հետ` 2030 թվականին ունենալով մինչև 15 խոշոր գիտական կազմակերպություն: Խոշորացման ճանապարհային քարտեզին զուգահեռ մշակված է արդեն ձեռք բերված խոշոր սարքավորումների հիման վրա համատեղ օգտագործման կենտրոնների ստեղծման հայեցակարգը, ինչպես նաև բացահայտված կարիքների հիման վրա իրականացվում են համապատասխան պակասող սարքավորումների և ենթակառուցվածքների ստեղծման ծրագրերը: Իրականացվում են միջգիտակարգային հետազոտությունների խրախուսման ծրագրեր 2030 թվականի դրությամբ` իրականացված և ընթացիկ 30 ծրագիր:</w:t>
      </w:r>
      <w:r w:rsidRPr="00C72AB5">
        <w:t xml:space="preserve"> </w:t>
      </w:r>
      <w:r w:rsidRPr="00C72AB5">
        <w:rPr>
          <w:rFonts w:ascii="GHEA Grapalat" w:hAnsi="GHEA Grapalat" w:cs="Sylfaen"/>
          <w:sz w:val="24"/>
          <w:szCs w:val="24"/>
        </w:rPr>
        <w:t>Բազային ֆինանսավորման կարգում հստակեցված է ֆինանսավորման ձևի շրջ</w:t>
      </w:r>
      <w:r w:rsidR="00960F98">
        <w:rPr>
          <w:rFonts w:ascii="GHEA Grapalat" w:hAnsi="GHEA Grapalat" w:cs="Sylfaen"/>
          <w:sz w:val="24"/>
          <w:szCs w:val="24"/>
        </w:rPr>
        <w:t>ա</w:t>
      </w:r>
      <w:r w:rsidRPr="00C72AB5">
        <w:rPr>
          <w:rFonts w:ascii="GHEA Grapalat" w:hAnsi="GHEA Grapalat" w:cs="Sylfaen"/>
          <w:sz w:val="24"/>
          <w:szCs w:val="24"/>
        </w:rPr>
        <w:t>նակում իրականացվող գիտական ծրագրերի արդիականության և արդյունավետության գնահատման ընթացակարգերը և իրականացվ</w:t>
      </w:r>
      <w:r w:rsidR="00D4555B">
        <w:rPr>
          <w:rFonts w:ascii="GHEA Grapalat" w:hAnsi="GHEA Grapalat" w:cs="Sylfaen"/>
          <w:sz w:val="24"/>
          <w:szCs w:val="24"/>
        </w:rPr>
        <w:t>ած է գնահատման առաջին շրջափուլը․</w:t>
      </w:r>
    </w:p>
    <w:p w14:paraId="2C9C6C25" w14:textId="13D3F8A6" w:rsidR="00AB43FF" w:rsidRPr="00C72AB5" w:rsidRDefault="00F128B0" w:rsidP="00AB43FF">
      <w:pPr>
        <w:tabs>
          <w:tab w:val="left" w:pos="851"/>
          <w:tab w:val="left" w:pos="993"/>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t>2</w:t>
      </w:r>
      <w:r w:rsidR="00AB43FF" w:rsidRPr="00C72AB5">
        <w:rPr>
          <w:rFonts w:ascii="GHEA Grapalat" w:hAnsi="GHEA Grapalat" w:cs="Sylfaen"/>
          <w:sz w:val="24"/>
          <w:szCs w:val="24"/>
        </w:rPr>
        <w:t xml:space="preserve">) </w:t>
      </w:r>
      <w:r w:rsidR="00AB43FF" w:rsidRPr="00C72AB5">
        <w:rPr>
          <w:rFonts w:ascii="GHEA Grapalat" w:hAnsi="GHEA Grapalat" w:cs="Sylfaen"/>
          <w:i/>
          <w:iCs/>
          <w:sz w:val="24"/>
          <w:szCs w:val="24"/>
        </w:rPr>
        <w:t xml:space="preserve">Կառավարման արդյունավետություն </w:t>
      </w:r>
      <w:r w:rsidR="00AB43FF" w:rsidRPr="00C72AB5">
        <w:rPr>
          <w:rFonts w:ascii="GHEA Grapalat" w:hAnsi="GHEA Grapalat" w:cs="Sylfaen"/>
          <w:sz w:val="24"/>
          <w:szCs w:val="24"/>
        </w:rPr>
        <w:t xml:space="preserve">(ՄԱ </w:t>
      </w:r>
      <w:r w:rsidRPr="00C72AB5">
        <w:rPr>
          <w:rFonts w:ascii="GHEA Grapalat" w:hAnsi="GHEA Grapalat" w:cs="Sylfaen"/>
          <w:sz w:val="24"/>
          <w:szCs w:val="24"/>
        </w:rPr>
        <w:t>4</w:t>
      </w:r>
      <w:r w:rsidR="00AB43FF" w:rsidRPr="00C72AB5">
        <w:rPr>
          <w:rFonts w:ascii="GHEA Grapalat" w:hAnsi="GHEA Grapalat" w:cs="Sylfaen"/>
          <w:sz w:val="24"/>
          <w:szCs w:val="24"/>
        </w:rPr>
        <w:t>-</w:t>
      </w:r>
      <w:r w:rsidRPr="00C72AB5">
        <w:rPr>
          <w:rFonts w:ascii="GHEA Grapalat" w:hAnsi="GHEA Grapalat" w:cs="Sylfaen"/>
          <w:sz w:val="24"/>
          <w:szCs w:val="24"/>
        </w:rPr>
        <w:t>2</w:t>
      </w:r>
      <w:r w:rsidR="00AB43FF" w:rsidRPr="00C72AB5">
        <w:rPr>
          <w:rFonts w:ascii="GHEA Grapalat" w:hAnsi="GHEA Grapalat" w:cs="Sylfaen"/>
          <w:sz w:val="24"/>
          <w:szCs w:val="24"/>
        </w:rPr>
        <w:t>): Այս ծրագիրն առանձնացվել է ելնելով այն տրամաբանությունից, որ հետազոտությունների գերազանցությունը երաշխավորելու և դրա ուղղությամբ ձեռքբերումներն ամրագրելու համար կարևոր բաղադրիչներից է արդյունավետ կառավարումը, ընդ որում կառավարման բոլոր մակարդակներում` խմբի ղեկավարումից մինչև գիտահետազոտական ինստիտուտի և համալսարանի կառավարումը, որը պետք է լինի հաշվետու, թափանցիկ, առավելագույնս արդյունավետ և ծառայի կազմակերպության կամ ակադեմիական միավորի ռազմավարական նպատակներին և թիրախում ունենա առաջխաղացումն ու գերազանցությունը: Այս իմաստով իրականացվելու են ղեկավար պաշտոններ զբաղեցնող անձանց վերապատրաստումներ արտե</w:t>
      </w:r>
      <w:r w:rsidR="00960F98">
        <w:rPr>
          <w:rFonts w:ascii="GHEA Grapalat" w:hAnsi="GHEA Grapalat" w:cs="Sylfaen"/>
          <w:sz w:val="24"/>
          <w:szCs w:val="24"/>
        </w:rPr>
        <w:t xml:space="preserve">րկրի գործընկեր </w:t>
      </w:r>
      <w:r w:rsidR="00960F98" w:rsidRPr="00692DC6">
        <w:rPr>
          <w:rFonts w:ascii="GHEA Grapalat" w:hAnsi="GHEA Grapalat" w:cs="Sylfaen"/>
          <w:sz w:val="24"/>
          <w:szCs w:val="24"/>
        </w:rPr>
        <w:t xml:space="preserve">համալսարաններում, </w:t>
      </w:r>
      <w:r w:rsidR="00AB43FF" w:rsidRPr="00692DC6">
        <w:rPr>
          <w:rFonts w:ascii="GHEA Grapalat" w:hAnsi="GHEA Grapalat" w:cs="Sylfaen"/>
          <w:sz w:val="24"/>
          <w:szCs w:val="24"/>
        </w:rPr>
        <w:t xml:space="preserve">ինչպես </w:t>
      </w:r>
      <w:r w:rsidR="00AB43FF" w:rsidRPr="00C72AB5">
        <w:rPr>
          <w:rFonts w:ascii="GHEA Grapalat" w:hAnsi="GHEA Grapalat" w:cs="Sylfaen"/>
          <w:sz w:val="24"/>
          <w:szCs w:val="24"/>
        </w:rPr>
        <w:t xml:space="preserve">նաև դրանց հետ համագործակցությամբ տեղում ներդրված վերապատրաստման ծրագրերով: </w:t>
      </w:r>
      <w:r w:rsidR="00133BAB" w:rsidRPr="00C72AB5">
        <w:rPr>
          <w:rFonts w:ascii="GHEA Grapalat" w:hAnsi="GHEA Grapalat" w:cs="Sylfaen"/>
          <w:sz w:val="24"/>
          <w:szCs w:val="24"/>
        </w:rPr>
        <w:t xml:space="preserve">Ծրագրի շրջանակներում հանրային գիտական կազմակերպությունների համար ներդրվելու են վարչական կազմի քանակին ու շրջանակին ներկայացվող պահանջներ, ինչի հետևանքով կանխվելու է վարչական կազմի պահպանության պատճառով գիտության ոլորտին ու գիտական գործունեությանը հատկացվող պետական միջոցների փոշիացումը: Վարչական կազմի կրճատումն իրականացվելու է նաև գիտական կազմակերպությունների խոշորացման միջոցով, թվային ընթացակարգերի ներդրմամբ և ղեկավար պաշտոնների համար որակավորման պահանջների սահմանմամբ: Պետական ֆինանսավորման մեխանիզմները հղկվելու են` որպեսզի ներառեն կառավարման պաշտոնների արդյունավետության բաղադրիչներ` ապահովելով պատշաճ ու արդյունավետ վարչարարության խթանման և անարդյունավետ վարչարարության կանխարգելման մեխանիզմներ: Նոր կառուցվող ենթակառուցվածքների համար սահմանվելու են էներգախնայողության և ջրի խնայողական օգտագործման պայմանները, իսկ գործող կազմակերպություններում ըստ հնարավորության ներդրվելու են խնայողության </w:t>
      </w:r>
      <w:r w:rsidR="00133BAB" w:rsidRPr="00C72AB5">
        <w:rPr>
          <w:rFonts w:ascii="GHEA Grapalat" w:hAnsi="GHEA Grapalat" w:cs="Sylfaen"/>
          <w:sz w:val="24"/>
          <w:szCs w:val="24"/>
        </w:rPr>
        <w:lastRenderedPageBreak/>
        <w:t xml:space="preserve">սկզբունքներ: Ներդրվելու է խոշոր և թանկարժեք սարքերի օգտագործման, ինչպես նաև ծանրաբեռնվածության և արդյունքի մոնիթորինգի համակարգ` </w:t>
      </w:r>
      <w:r w:rsidR="0018339A">
        <w:rPr>
          <w:rFonts w:ascii="GHEA Grapalat" w:hAnsi="GHEA Grapalat" w:cs="Sylfaen"/>
          <w:sz w:val="24"/>
          <w:szCs w:val="24"/>
        </w:rPr>
        <w:t>Կ</w:t>
      </w:r>
      <w:r w:rsidR="00133BAB" w:rsidRPr="00C72AB5">
        <w:rPr>
          <w:rFonts w:ascii="GHEA Grapalat" w:hAnsi="GHEA Grapalat" w:cs="Sylfaen"/>
          <w:sz w:val="24"/>
          <w:szCs w:val="24"/>
        </w:rPr>
        <w:t>ոմիտեի տեղեկատվական համակարգի հիման վրա</w:t>
      </w:r>
      <w:r w:rsidR="00133BAB" w:rsidRPr="00C72AB5">
        <w:rPr>
          <w:rStyle w:val="FootnoteReference"/>
          <w:rFonts w:ascii="GHEA Grapalat" w:hAnsi="GHEA Grapalat" w:cs="Sylfaen"/>
          <w:sz w:val="24"/>
          <w:szCs w:val="24"/>
        </w:rPr>
        <w:footnoteReference w:id="83"/>
      </w:r>
      <w:r w:rsidR="00133BAB" w:rsidRPr="00C72AB5">
        <w:rPr>
          <w:rFonts w:ascii="GHEA Grapalat" w:hAnsi="GHEA Grapalat" w:cs="Sylfaen"/>
          <w:sz w:val="24"/>
          <w:szCs w:val="24"/>
        </w:rPr>
        <w:t>:</w:t>
      </w:r>
    </w:p>
    <w:p w14:paraId="456529E6" w14:textId="1109E3DF" w:rsidR="00133BAB" w:rsidRPr="00C72AB5" w:rsidRDefault="00AB43FF" w:rsidP="00133BAB">
      <w:pPr>
        <w:tabs>
          <w:tab w:val="left" w:pos="851"/>
          <w:tab w:val="left" w:pos="993"/>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t>Արդյունքում` միջազգային գործընկեր համալսարանների ներգրավմամբ կվերապատրաստվեն բուհերի և գիտական կազմակերպությունների առնվազն 100 գործող կամ ապագա կառավարիչներ</w:t>
      </w:r>
      <w:r w:rsidRPr="00692DC6">
        <w:rPr>
          <w:rFonts w:ascii="GHEA Grapalat" w:hAnsi="GHEA Grapalat" w:cs="Sylfaen"/>
          <w:sz w:val="24"/>
          <w:szCs w:val="24"/>
        </w:rPr>
        <w:t xml:space="preserve">, և </w:t>
      </w:r>
      <w:r w:rsidR="00692DC6" w:rsidRPr="00692DC6">
        <w:rPr>
          <w:rFonts w:ascii="GHEA Grapalat" w:hAnsi="GHEA Grapalat" w:cs="Sylfaen"/>
          <w:sz w:val="24"/>
          <w:szCs w:val="24"/>
        </w:rPr>
        <w:t>ՀՀ</w:t>
      </w:r>
      <w:r w:rsidR="00887D6B" w:rsidRPr="00692DC6">
        <w:rPr>
          <w:rFonts w:ascii="GHEA Grapalat" w:hAnsi="GHEA Grapalat" w:cs="Sylfaen"/>
          <w:sz w:val="24"/>
          <w:szCs w:val="24"/>
        </w:rPr>
        <w:t xml:space="preserve"> </w:t>
      </w:r>
      <w:r w:rsidRPr="00692DC6">
        <w:rPr>
          <w:rFonts w:ascii="GHEA Grapalat" w:hAnsi="GHEA Grapalat" w:cs="Sylfaen"/>
          <w:sz w:val="24"/>
          <w:szCs w:val="24"/>
        </w:rPr>
        <w:t xml:space="preserve">բուհերից </w:t>
      </w:r>
      <w:r w:rsidRPr="00C72AB5">
        <w:rPr>
          <w:rFonts w:ascii="GHEA Grapalat" w:hAnsi="GHEA Grapalat" w:cs="Sylfaen"/>
          <w:sz w:val="24"/>
          <w:szCs w:val="24"/>
        </w:rPr>
        <w:t>առնվազն մեկում գործընկեր համալսարանների հետ համագործակցությամբ կներդրվի ոլորտների կառավարիչների պատրաստման սերտիֆիկացվող դասընթաց կամ կրթական ծրագիր, կվերանայվեն կառավարչական պաշտոնների անձնագրերն ու կներմուծվեն հաշվետվողականության ու պատասխանատվության մեխանիզմներ: Ներդրված է ղեկավար պաշտոններում ընտրության բաց և թափանցիկ մեխանիզմներ</w:t>
      </w:r>
      <w:r w:rsidR="00887D6B">
        <w:rPr>
          <w:rFonts w:ascii="GHEA Grapalat" w:hAnsi="GHEA Grapalat" w:cs="Sylfaen"/>
          <w:sz w:val="24"/>
          <w:szCs w:val="24"/>
        </w:rPr>
        <w:t>,</w:t>
      </w:r>
      <w:r w:rsidRPr="00C72AB5">
        <w:rPr>
          <w:rFonts w:ascii="GHEA Grapalat" w:hAnsi="GHEA Grapalat" w:cs="Sylfaen"/>
          <w:sz w:val="24"/>
          <w:szCs w:val="24"/>
        </w:rPr>
        <w:t xml:space="preserve"> ինչպես նաև սահմանված է ղեկավար պաշտոններին ներկայացվող հմտությունների և որակավորման շրջանակը: Բազային ֆինանսավորման կարգերում ներդրվելու է թերի վարչարարության կանխման կամ դրա համ</w:t>
      </w:r>
      <w:r w:rsidR="00887D6B">
        <w:rPr>
          <w:rFonts w:ascii="GHEA Grapalat" w:hAnsi="GHEA Grapalat" w:cs="Sylfaen"/>
          <w:sz w:val="24"/>
          <w:szCs w:val="24"/>
        </w:rPr>
        <w:t xml:space="preserve">ար պատասխանատվության </w:t>
      </w:r>
      <w:r w:rsidR="00887D6B" w:rsidRPr="00692DC6">
        <w:rPr>
          <w:rFonts w:ascii="GHEA Grapalat" w:hAnsi="GHEA Grapalat" w:cs="Sylfaen"/>
          <w:sz w:val="24"/>
          <w:szCs w:val="24"/>
        </w:rPr>
        <w:t xml:space="preserve">գործիքներ, </w:t>
      </w:r>
      <w:r w:rsidRPr="00C72AB5">
        <w:rPr>
          <w:rFonts w:ascii="GHEA Grapalat" w:hAnsi="GHEA Grapalat" w:cs="Sylfaen"/>
          <w:sz w:val="24"/>
          <w:szCs w:val="24"/>
        </w:rPr>
        <w:t>որոնք կարտացոլվեն վարչական ապարատին հատկացվող ֆինանսավորման ծավալներում:</w:t>
      </w:r>
      <w:r w:rsidR="00133BAB" w:rsidRPr="00C72AB5">
        <w:rPr>
          <w:rFonts w:ascii="GHEA Grapalat" w:hAnsi="GHEA Grapalat" w:cs="Sylfaen"/>
          <w:sz w:val="24"/>
          <w:szCs w:val="24"/>
        </w:rPr>
        <w:t xml:space="preserve"> Բազային ֆինանսավորման կարգում ներդրված է վարչական կազմի քանակին ներկայացվող չափանիշները</w:t>
      </w:r>
      <w:r w:rsidR="00887D6B" w:rsidRPr="00887D6B">
        <w:rPr>
          <w:rFonts w:ascii="GHEA Grapalat" w:hAnsi="GHEA Grapalat" w:cs="Sylfaen"/>
          <w:color w:val="FF0000"/>
          <w:sz w:val="24"/>
          <w:szCs w:val="24"/>
        </w:rPr>
        <w:t>,</w:t>
      </w:r>
      <w:r w:rsidR="00133BAB" w:rsidRPr="00C72AB5">
        <w:rPr>
          <w:rFonts w:ascii="GHEA Grapalat" w:hAnsi="GHEA Grapalat" w:cs="Sylfaen"/>
          <w:sz w:val="24"/>
          <w:szCs w:val="24"/>
        </w:rPr>
        <w:t xml:space="preserve"> ինչպես նաև խոշոր ենթակառուցվածքների դեպքում առանձին ընթացակարգով դրանց պատշաճ պահպանումը ֆինանսավորելու մեխանիզմները: «Ակադեմիական քաղաք» ծրագրի շրջանակներում կառուցվող շինությունների համար սահմանված են ռեսուրսների խնայողության չափանիշները և շինությունները նախագծված են խնայողության նկատառումներով: Խոշորացման ճանապարհային քարտեզին զուգահեռ մշակված է արդեն ձեռք բերված խոշոր սարքավորումների հիման վրա համատեղ օգտագործման կենտրոնների ստեղծման հայեցակարգը, ինչպես նաև բացահայտված կարիքների հիման վրա իրականացվում են համապատասխան պակասող սարքավորումների և ենթակ</w:t>
      </w:r>
      <w:r w:rsidR="00D4555B">
        <w:rPr>
          <w:rFonts w:ascii="GHEA Grapalat" w:hAnsi="GHEA Grapalat" w:cs="Sylfaen"/>
          <w:sz w:val="24"/>
          <w:szCs w:val="24"/>
        </w:rPr>
        <w:t>առուցվածքների ստեղծման ծրագրերը․</w:t>
      </w:r>
    </w:p>
    <w:p w14:paraId="62AC2315" w14:textId="0E40D832" w:rsidR="00382FDA" w:rsidRPr="00C72AB5" w:rsidRDefault="007D1554" w:rsidP="00133BAB">
      <w:pPr>
        <w:tabs>
          <w:tab w:val="left" w:pos="851"/>
          <w:tab w:val="left" w:pos="993"/>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t>3</w:t>
      </w:r>
      <w:r w:rsidR="00CC2A46" w:rsidRPr="00C72AB5">
        <w:rPr>
          <w:rFonts w:ascii="GHEA Grapalat" w:hAnsi="GHEA Grapalat" w:cs="Sylfaen"/>
          <w:sz w:val="24"/>
          <w:szCs w:val="24"/>
        </w:rPr>
        <w:t xml:space="preserve">) </w:t>
      </w:r>
      <w:r w:rsidR="00CC2A46" w:rsidRPr="00C72AB5">
        <w:rPr>
          <w:rFonts w:ascii="GHEA Grapalat" w:hAnsi="GHEA Grapalat" w:cs="Sylfaen"/>
          <w:i/>
          <w:iCs/>
          <w:sz w:val="24"/>
          <w:szCs w:val="24"/>
        </w:rPr>
        <w:t>Խոշորացված կլաստերներում գիտական և կրթական գործունեության համու</w:t>
      </w:r>
      <w:r w:rsidR="00DA51A6" w:rsidRPr="00C72AB5">
        <w:rPr>
          <w:rFonts w:ascii="GHEA Grapalat" w:hAnsi="GHEA Grapalat" w:cs="Sylfaen"/>
          <w:i/>
          <w:iCs/>
          <w:sz w:val="24"/>
          <w:szCs w:val="24"/>
        </w:rPr>
        <w:t>ղ</w:t>
      </w:r>
      <w:r w:rsidR="00CC2A46" w:rsidRPr="00C72AB5">
        <w:rPr>
          <w:rFonts w:ascii="GHEA Grapalat" w:hAnsi="GHEA Grapalat" w:cs="Sylfaen"/>
          <w:i/>
          <w:iCs/>
          <w:sz w:val="24"/>
          <w:szCs w:val="24"/>
        </w:rPr>
        <w:t xml:space="preserve">ղում </w:t>
      </w:r>
      <w:r w:rsidR="00CC2A46" w:rsidRPr="00C72AB5">
        <w:rPr>
          <w:rFonts w:ascii="GHEA Grapalat" w:hAnsi="GHEA Grapalat" w:cs="Sylfaen"/>
          <w:sz w:val="24"/>
          <w:szCs w:val="24"/>
        </w:rPr>
        <w:t>(ՄԱ 4-</w:t>
      </w:r>
      <w:r w:rsidR="004C518A" w:rsidRPr="00C72AB5">
        <w:rPr>
          <w:rFonts w:ascii="GHEA Grapalat" w:hAnsi="GHEA Grapalat" w:cs="Sylfaen"/>
          <w:sz w:val="24"/>
          <w:szCs w:val="24"/>
        </w:rPr>
        <w:t>3</w:t>
      </w:r>
      <w:r w:rsidR="00CC2A46" w:rsidRPr="00C72AB5">
        <w:rPr>
          <w:rFonts w:ascii="GHEA Grapalat" w:hAnsi="GHEA Grapalat" w:cs="Sylfaen"/>
          <w:sz w:val="24"/>
          <w:szCs w:val="24"/>
        </w:rPr>
        <w:t xml:space="preserve">): </w:t>
      </w:r>
      <w:r w:rsidR="004C518A" w:rsidRPr="00C72AB5">
        <w:rPr>
          <w:rFonts w:ascii="GHEA Grapalat" w:hAnsi="GHEA Grapalat" w:cs="Sylfaen"/>
          <w:sz w:val="24"/>
          <w:szCs w:val="24"/>
        </w:rPr>
        <w:t>Ծ</w:t>
      </w:r>
      <w:r w:rsidR="00CC2A46" w:rsidRPr="00C72AB5">
        <w:rPr>
          <w:rFonts w:ascii="GHEA Grapalat" w:hAnsi="GHEA Grapalat" w:cs="Sylfaen"/>
          <w:sz w:val="24"/>
          <w:szCs w:val="24"/>
        </w:rPr>
        <w:t>րագր</w:t>
      </w:r>
      <w:r w:rsidR="004C518A" w:rsidRPr="00C72AB5">
        <w:rPr>
          <w:rFonts w:ascii="GHEA Grapalat" w:hAnsi="GHEA Grapalat" w:cs="Sylfaen"/>
          <w:sz w:val="24"/>
          <w:szCs w:val="24"/>
        </w:rPr>
        <w:t>ի շրջանակներում խոշորացված համալսարաններում ներդրվելու է գիտական գործունեության և կրթական պրոցեսի կազմակերպման հստակ ներքին մեխանիզմներ, որի արդյունքում հնարավորություն է ստեղծվելու ակադեմիական կազմի աշխատակցին որոշակի ճկունությամբ ընտրել իր ծանրաբեռնվածության համամասնությունը` համադրելով դասախոսական կամ կրթական այլ պրոցեսի աշխատանքը հետազոտական աշխատանքի հետ</w:t>
      </w:r>
      <w:r w:rsidR="00382FDA" w:rsidRPr="00C72AB5">
        <w:rPr>
          <w:rFonts w:ascii="GHEA Grapalat" w:hAnsi="GHEA Grapalat" w:cs="Sylfaen"/>
          <w:sz w:val="24"/>
          <w:szCs w:val="24"/>
        </w:rPr>
        <w:t>: Միաժամանակ ներդրվելու են համալսարանների ներքին գործավարության այնպիսի մեխանիզմներ, որոնք հնարավորինս թեթևացնում են վարչարարությունը և պայմանագրերի ու փաստաթղթերի բեռը:</w:t>
      </w:r>
      <w:r w:rsidR="00F83A4A" w:rsidRPr="00C72AB5">
        <w:rPr>
          <w:rFonts w:ascii="GHEA Grapalat" w:hAnsi="GHEA Grapalat" w:cs="Arial"/>
          <w:sz w:val="24"/>
          <w:szCs w:val="24"/>
        </w:rPr>
        <w:t xml:space="preserve"> Ծրագրի շրջանակներում բուհերի հետ միավորված գիտական կազմակերպություններում ըստ մասնագիտական անհրաժեշտության ստեղծվելու են ուսումնահետազոտական լաբորատորիաներ, որտեղ ուսանողների համար կազմակերպվելու են իրենց լաբրատոր դասընթացները, այնպես </w:t>
      </w:r>
      <w:r w:rsidR="00F83A4A" w:rsidRPr="00C72AB5">
        <w:rPr>
          <w:rFonts w:ascii="GHEA Grapalat" w:hAnsi="GHEA Grapalat" w:cs="Arial"/>
          <w:sz w:val="24"/>
          <w:szCs w:val="24"/>
        </w:rPr>
        <w:lastRenderedPageBreak/>
        <w:t>էլ հնարավորություն է ընձեռվելու ըստ անհրաժեշտության ունենալ աշխատանքային տարածք` իրենց հետազոտական աշխատանքի իրականացման համար:</w:t>
      </w:r>
    </w:p>
    <w:p w14:paraId="215C31C1" w14:textId="04E0348A" w:rsidR="00382FDA" w:rsidRPr="00C72AB5" w:rsidRDefault="00382FDA" w:rsidP="00133BAB">
      <w:pPr>
        <w:tabs>
          <w:tab w:val="left" w:pos="851"/>
          <w:tab w:val="left" w:pos="993"/>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t>Արդյունքում` համալսարաններում ներդրված է պայմանագրերի ճկուն և պարզ համակարգ, որը թույլ է տալիս մեկ պայմանագրի շրջանակներում աշխատակցի հետ կազմակերպել ծանրաբեռնվածությունների տեսակների և մակարդակի կարգավորման հնարավորություններ, ներդրված են խրախուսման մեխանիզմներ դասավանդման կամ կրթական պրոցեսում ներգրավման համար, ինչպես նաև ամբողջությամբ հետազոտական աշխատանքով զբաղվելիս` համապատասխան հավելյալ պայմաններ: Կրթական և հետազոտական գործութնեություններում ակադեմիական կազմի ներգրավումը կազմակերպվում են հասկանալի մեխանիզմներով` յուրաքանչյուր գործունեության տեսակի համար ունենալով առանձին շրջանակ, ինչը թույլ կտա խուսափելու հնարավոր «գորշ» հատվածներից:</w:t>
      </w:r>
      <w:r w:rsidR="00F83A4A" w:rsidRPr="00C72AB5">
        <w:rPr>
          <w:rFonts w:ascii="GHEA Grapalat" w:hAnsi="GHEA Grapalat" w:cs="Arial"/>
          <w:sz w:val="24"/>
          <w:szCs w:val="24"/>
        </w:rPr>
        <w:t xml:space="preserve"> Գիտական կազմակերպությունների կառուցվածում առկա են ուսումնահետազոտական ժամանակակից լաբորատորիաներ կամ տարածքներ` ուսանողների լաբորատոր պարապմունքների և հետազոտական</w:t>
      </w:r>
      <w:r w:rsidR="00D4555B">
        <w:rPr>
          <w:rFonts w:ascii="GHEA Grapalat" w:hAnsi="GHEA Grapalat" w:cs="Arial"/>
          <w:sz w:val="24"/>
          <w:szCs w:val="24"/>
        </w:rPr>
        <w:t xml:space="preserve"> աշխատանքնարի իրականացման համար․</w:t>
      </w:r>
    </w:p>
    <w:p w14:paraId="12498822" w14:textId="31A17A47" w:rsidR="00D5775B" w:rsidRPr="00C72AB5" w:rsidRDefault="00F83A4A" w:rsidP="00EB79C5">
      <w:pPr>
        <w:tabs>
          <w:tab w:val="left" w:pos="851"/>
          <w:tab w:val="left" w:pos="993"/>
        </w:tabs>
        <w:spacing w:line="276" w:lineRule="auto"/>
        <w:ind w:firstLine="567"/>
        <w:jc w:val="both"/>
        <w:rPr>
          <w:rFonts w:ascii="GHEA Grapalat" w:hAnsi="GHEA Grapalat" w:cs="Arial"/>
          <w:sz w:val="24"/>
          <w:szCs w:val="24"/>
        </w:rPr>
      </w:pPr>
      <w:r w:rsidRPr="00C72AB5">
        <w:rPr>
          <w:rFonts w:ascii="GHEA Grapalat" w:hAnsi="GHEA Grapalat" w:cs="Arial"/>
          <w:sz w:val="24"/>
          <w:szCs w:val="24"/>
        </w:rPr>
        <w:t>4</w:t>
      </w:r>
      <w:r w:rsidR="00D5775B" w:rsidRPr="00C72AB5">
        <w:rPr>
          <w:rFonts w:ascii="GHEA Grapalat" w:hAnsi="GHEA Grapalat" w:cs="Arial"/>
          <w:sz w:val="24"/>
          <w:szCs w:val="24"/>
        </w:rPr>
        <w:t xml:space="preserve">) </w:t>
      </w:r>
      <w:r w:rsidR="00D5775B" w:rsidRPr="00C72AB5">
        <w:rPr>
          <w:rFonts w:ascii="GHEA Grapalat" w:hAnsi="GHEA Grapalat" w:cs="Arial"/>
          <w:i/>
          <w:iCs/>
          <w:sz w:val="24"/>
          <w:szCs w:val="24"/>
        </w:rPr>
        <w:t>Միջազգային նշանակության հետազոտական ենթակառուցվածքներ</w:t>
      </w:r>
      <w:r w:rsidR="00D5775B" w:rsidRPr="00C72AB5">
        <w:rPr>
          <w:rFonts w:ascii="GHEA Grapalat" w:hAnsi="GHEA Grapalat" w:cs="Arial"/>
          <w:sz w:val="24"/>
          <w:szCs w:val="24"/>
        </w:rPr>
        <w:t xml:space="preserve"> (ՄԱ 4-</w:t>
      </w:r>
      <w:r w:rsidRPr="00C72AB5">
        <w:rPr>
          <w:rFonts w:ascii="GHEA Grapalat" w:hAnsi="GHEA Grapalat" w:cs="Arial"/>
          <w:sz w:val="24"/>
          <w:szCs w:val="24"/>
        </w:rPr>
        <w:t>4</w:t>
      </w:r>
      <w:r w:rsidR="00D5775B" w:rsidRPr="00C72AB5">
        <w:rPr>
          <w:rFonts w:ascii="GHEA Grapalat" w:hAnsi="GHEA Grapalat" w:cs="Arial"/>
          <w:sz w:val="24"/>
          <w:szCs w:val="24"/>
        </w:rPr>
        <w:t>) ծրագրի շրջանակներում իրականացվելու է որոշակի ուղղությամբ մասնագիտացված և իր առանձնահատկությամբ միջազգային կարևորության ունեցող խոշոր ենթակառուցվածքների ստեղծում</w:t>
      </w:r>
      <w:r w:rsidR="00E923B2" w:rsidRPr="00C72AB5">
        <w:rPr>
          <w:rFonts w:ascii="GHEA Grapalat" w:hAnsi="GHEA Grapalat" w:cs="Arial"/>
          <w:sz w:val="24"/>
          <w:szCs w:val="24"/>
        </w:rPr>
        <w:t xml:space="preserve"> (օպտիկական, արագացուցչային, նյութագիտության ոլորտի, կիսահավորդիչների ուսումնասիրության, գերկամակարգչային</w:t>
      </w:r>
      <w:r w:rsidR="004E21A5" w:rsidRPr="00C72AB5">
        <w:rPr>
          <w:rFonts w:ascii="GHEA Grapalat" w:hAnsi="GHEA Grapalat" w:cs="Arial"/>
          <w:sz w:val="24"/>
          <w:szCs w:val="24"/>
        </w:rPr>
        <w:t>, ձեռագրերի, շտեմարանների</w:t>
      </w:r>
      <w:r w:rsidR="00E923B2" w:rsidRPr="00C72AB5">
        <w:rPr>
          <w:rFonts w:ascii="GHEA Grapalat" w:hAnsi="GHEA Grapalat" w:cs="Arial"/>
          <w:sz w:val="24"/>
          <w:szCs w:val="24"/>
        </w:rPr>
        <w:t xml:space="preserve"> կամ այլ ուղղություններ)</w:t>
      </w:r>
      <w:r w:rsidR="00D5775B" w:rsidRPr="00C72AB5">
        <w:rPr>
          <w:rFonts w:ascii="GHEA Grapalat" w:hAnsi="GHEA Grapalat" w:cs="Arial"/>
          <w:sz w:val="24"/>
          <w:szCs w:val="24"/>
        </w:rPr>
        <w:t>, որոնք համուղղված են գիտության և տեխնիկայի ոլորտների գերակայությունների հետ և հանդիսանում են միջազգային հետազոտողների և հետազոտական ծրագրերի ներգրավման միջոց: Ըստ հնարավորության դիտարկվելու է նաև եվրոպական հետազոտական ենթակառուցվածքների կոնսորցիումի (European Research Infrastructure Consortium (ERIC)</w:t>
      </w:r>
      <w:r w:rsidR="00D5775B" w:rsidRPr="00C72AB5">
        <w:rPr>
          <w:rStyle w:val="FootnoteReference"/>
          <w:rFonts w:ascii="GHEA Grapalat" w:hAnsi="GHEA Grapalat" w:cs="Arial"/>
          <w:sz w:val="24"/>
          <w:szCs w:val="24"/>
        </w:rPr>
        <w:footnoteReference w:id="84"/>
      </w:r>
      <w:r w:rsidR="00D5775B" w:rsidRPr="00C72AB5">
        <w:rPr>
          <w:rFonts w:ascii="GHEA Grapalat" w:hAnsi="GHEA Grapalat" w:cs="Arial"/>
          <w:sz w:val="24"/>
          <w:szCs w:val="24"/>
        </w:rPr>
        <w:t>)</w:t>
      </w:r>
      <w:r w:rsidR="00E923B2" w:rsidRPr="00C72AB5">
        <w:rPr>
          <w:rFonts w:ascii="GHEA Grapalat" w:hAnsi="GHEA Grapalat" w:cs="Arial"/>
          <w:sz w:val="24"/>
          <w:szCs w:val="24"/>
        </w:rPr>
        <w:t xml:space="preserve"> կազմում դրանց ներգրավումը և միջազգային համատեղ ջանքերով դրանց կազմավորումը:</w:t>
      </w:r>
    </w:p>
    <w:p w14:paraId="58F980F9" w14:textId="001D35A6" w:rsidR="00E923B2" w:rsidRDefault="00E923B2" w:rsidP="00EB79C5">
      <w:pPr>
        <w:tabs>
          <w:tab w:val="left" w:pos="851"/>
          <w:tab w:val="left" w:pos="993"/>
        </w:tabs>
        <w:spacing w:line="276" w:lineRule="auto"/>
        <w:ind w:firstLine="567"/>
        <w:jc w:val="both"/>
        <w:rPr>
          <w:rFonts w:ascii="GHEA Grapalat" w:hAnsi="GHEA Grapalat" w:cs="Arial"/>
          <w:sz w:val="24"/>
          <w:szCs w:val="24"/>
        </w:rPr>
      </w:pPr>
      <w:r w:rsidRPr="00C72AB5">
        <w:rPr>
          <w:rFonts w:ascii="GHEA Grapalat" w:hAnsi="GHEA Grapalat" w:cs="Arial"/>
          <w:sz w:val="24"/>
          <w:szCs w:val="24"/>
        </w:rPr>
        <w:t xml:space="preserve">Արդյունքում` Ակադեմիական քաղաքի տարածքում </w:t>
      </w:r>
      <w:r w:rsidR="004E21A5" w:rsidRPr="00C72AB5">
        <w:rPr>
          <w:rFonts w:ascii="GHEA Grapalat" w:hAnsi="GHEA Grapalat" w:cs="Arial"/>
          <w:sz w:val="24"/>
          <w:szCs w:val="24"/>
        </w:rPr>
        <w:t xml:space="preserve">կամ դրա շրջանակներում </w:t>
      </w:r>
      <w:r w:rsidRPr="00C72AB5">
        <w:rPr>
          <w:rFonts w:ascii="GHEA Grapalat" w:hAnsi="GHEA Grapalat" w:cs="Arial"/>
          <w:sz w:val="24"/>
          <w:szCs w:val="24"/>
        </w:rPr>
        <w:t>ստեղծվել է առնվազն մեկ միջազգային նշանակություն և հետաքրքրություն ներկայացնող հետազոտական խոշոր ենթակառուցվածք, որը հասանելի է գործընկերների համար` նախապես հայտարարած պայմաններով:</w:t>
      </w:r>
    </w:p>
    <w:p w14:paraId="7B9FDA79" w14:textId="77777777" w:rsidR="006478E9" w:rsidRPr="00C72AB5" w:rsidRDefault="006478E9" w:rsidP="00EB79C5">
      <w:pPr>
        <w:tabs>
          <w:tab w:val="left" w:pos="851"/>
          <w:tab w:val="left" w:pos="993"/>
        </w:tabs>
        <w:spacing w:line="276" w:lineRule="auto"/>
        <w:ind w:firstLine="567"/>
        <w:jc w:val="both"/>
        <w:rPr>
          <w:rFonts w:ascii="GHEA Grapalat" w:hAnsi="GHEA Grapalat" w:cs="Arial"/>
          <w:sz w:val="24"/>
          <w:szCs w:val="24"/>
        </w:rPr>
      </w:pPr>
    </w:p>
    <w:p w14:paraId="0A429A53" w14:textId="77777777" w:rsidR="000424DC" w:rsidRPr="004A6626" w:rsidRDefault="000424DC" w:rsidP="000424DC">
      <w:pPr>
        <w:pStyle w:val="Heading1"/>
      </w:pPr>
      <w:bookmarkStart w:id="26" w:name="_Toc215422103"/>
      <w:r w:rsidRPr="004A6626">
        <w:t>8. ԾՐԱԳՐԻ ՌԻՍԿԵՐԸ ԵՎ ԴՐԱՆՑ ԿԱՌԱՎԱՐՄԱՆ ԵՂԱՆԱԿՆԵՐԸ</w:t>
      </w:r>
      <w:bookmarkEnd w:id="26"/>
    </w:p>
    <w:p w14:paraId="5464E65E" w14:textId="77777777" w:rsidR="008B0C08" w:rsidRDefault="008B0C08" w:rsidP="0073444C">
      <w:bookmarkStart w:id="27" w:name="_Toc215422104"/>
    </w:p>
    <w:p w14:paraId="1ED84A83" w14:textId="7B750C46" w:rsidR="000424DC" w:rsidRPr="004A6626" w:rsidRDefault="000424DC" w:rsidP="000424DC">
      <w:pPr>
        <w:pStyle w:val="Heading2"/>
      </w:pPr>
      <w:r w:rsidRPr="004A6626">
        <w:t>8.1 ՌԻՍԿԵՐԸ</w:t>
      </w:r>
      <w:bookmarkEnd w:id="27"/>
      <w:r w:rsidRPr="004A6626">
        <w:t xml:space="preserve"> </w:t>
      </w:r>
    </w:p>
    <w:p w14:paraId="169A3AA6" w14:textId="77777777" w:rsidR="0073444C" w:rsidRDefault="0073444C" w:rsidP="006478E9">
      <w:pPr>
        <w:tabs>
          <w:tab w:val="left" w:pos="851"/>
          <w:tab w:val="left" w:pos="993"/>
        </w:tabs>
        <w:spacing w:line="276" w:lineRule="auto"/>
        <w:ind w:firstLine="567"/>
        <w:jc w:val="both"/>
        <w:rPr>
          <w:rFonts w:ascii="GHEA Grapalat" w:hAnsi="GHEA Grapalat" w:cs="Arial"/>
          <w:sz w:val="24"/>
          <w:szCs w:val="24"/>
        </w:rPr>
      </w:pPr>
    </w:p>
    <w:p w14:paraId="792A359A" w14:textId="4707F04B" w:rsidR="00BB7531" w:rsidRPr="004A6626" w:rsidRDefault="00BB7531" w:rsidP="006478E9">
      <w:pPr>
        <w:tabs>
          <w:tab w:val="left" w:pos="851"/>
          <w:tab w:val="left" w:pos="993"/>
        </w:tabs>
        <w:spacing w:line="276" w:lineRule="auto"/>
        <w:ind w:firstLine="567"/>
        <w:jc w:val="both"/>
        <w:rPr>
          <w:rFonts w:ascii="GHEA Grapalat" w:hAnsi="GHEA Grapalat" w:cs="Arial"/>
          <w:sz w:val="24"/>
          <w:szCs w:val="24"/>
        </w:rPr>
      </w:pPr>
      <w:r w:rsidRPr="004A6626">
        <w:rPr>
          <w:rFonts w:ascii="GHEA Grapalat" w:hAnsi="GHEA Grapalat" w:cs="Arial"/>
          <w:sz w:val="24"/>
          <w:szCs w:val="24"/>
        </w:rPr>
        <w:t>62. Ծրագրի իրականացումը կապված է երկու խոշոր դասի ռիսկերի հետ` Ինստիտուցիոնալ-օպերացիոնալ</w:t>
      </w:r>
      <w:r w:rsidR="006478E9" w:rsidRPr="004A6626">
        <w:rPr>
          <w:rFonts w:ascii="GHEA Grapalat" w:hAnsi="GHEA Grapalat" w:cs="Arial"/>
          <w:sz w:val="24"/>
          <w:szCs w:val="24"/>
        </w:rPr>
        <w:t xml:space="preserve"> և քաղաքական-արտաքին:</w:t>
      </w:r>
    </w:p>
    <w:p w14:paraId="68BC1AEC" w14:textId="5D3BDE7B" w:rsidR="00AE4922" w:rsidRDefault="006478E9" w:rsidP="00AE4922">
      <w:pPr>
        <w:tabs>
          <w:tab w:val="left" w:pos="851"/>
          <w:tab w:val="left" w:pos="993"/>
        </w:tabs>
        <w:spacing w:line="276" w:lineRule="auto"/>
        <w:ind w:firstLine="567"/>
        <w:jc w:val="both"/>
        <w:rPr>
          <w:rFonts w:ascii="GHEA Grapalat" w:hAnsi="GHEA Grapalat" w:cs="Arial"/>
          <w:sz w:val="24"/>
          <w:szCs w:val="24"/>
        </w:rPr>
      </w:pPr>
      <w:r w:rsidRPr="004A6626">
        <w:rPr>
          <w:rFonts w:ascii="GHEA Grapalat" w:hAnsi="GHEA Grapalat" w:cs="Arial"/>
          <w:sz w:val="24"/>
          <w:szCs w:val="24"/>
        </w:rPr>
        <w:lastRenderedPageBreak/>
        <w:t>63. Ինստիտուցիոնալ-օպերացիոնալ ռիսկերը վերաբերում են գիտատեխնոլոգիական ոլորտի` փոփոխությունների և վերաիմաստավորման գործընթացում կարողությունների</w:t>
      </w:r>
      <w:r w:rsidR="00803581" w:rsidRPr="004A6626">
        <w:rPr>
          <w:rFonts w:ascii="GHEA Grapalat" w:hAnsi="GHEA Grapalat" w:cs="Arial"/>
          <w:sz w:val="24"/>
          <w:szCs w:val="24"/>
        </w:rPr>
        <w:t xml:space="preserve"> անհամապատասխանություններին</w:t>
      </w:r>
      <w:r w:rsidR="004037E3" w:rsidRPr="004A6626">
        <w:rPr>
          <w:rFonts w:ascii="GHEA Grapalat" w:hAnsi="GHEA Grapalat" w:cs="Arial"/>
          <w:sz w:val="24"/>
          <w:szCs w:val="24"/>
        </w:rPr>
        <w:t>, ադմինիստրատիվ</w:t>
      </w:r>
      <w:r w:rsidR="00803581" w:rsidRPr="004A6626">
        <w:rPr>
          <w:rFonts w:ascii="GHEA Grapalat" w:hAnsi="GHEA Grapalat" w:cs="Arial"/>
          <w:sz w:val="24"/>
          <w:szCs w:val="24"/>
        </w:rPr>
        <w:t>`</w:t>
      </w:r>
      <w:r w:rsidR="004037E3" w:rsidRPr="004A6626">
        <w:rPr>
          <w:rFonts w:ascii="GHEA Grapalat" w:hAnsi="GHEA Grapalat" w:cs="Arial"/>
          <w:sz w:val="24"/>
          <w:szCs w:val="24"/>
        </w:rPr>
        <w:t xml:space="preserve"> </w:t>
      </w:r>
      <w:r w:rsidR="00803581" w:rsidRPr="004A6626">
        <w:rPr>
          <w:rFonts w:ascii="GHEA Grapalat" w:hAnsi="GHEA Grapalat" w:cs="Arial"/>
          <w:sz w:val="24"/>
          <w:szCs w:val="24"/>
        </w:rPr>
        <w:t>Ծ</w:t>
      </w:r>
      <w:r w:rsidR="004037E3" w:rsidRPr="004A6626">
        <w:rPr>
          <w:rFonts w:ascii="GHEA Grapalat" w:hAnsi="GHEA Grapalat" w:cs="Arial"/>
          <w:sz w:val="24"/>
          <w:szCs w:val="24"/>
        </w:rPr>
        <w:t>րագրի իրականացման ժամանակ վարչարարության</w:t>
      </w:r>
      <w:r w:rsidR="00803581" w:rsidRPr="004A6626">
        <w:rPr>
          <w:rFonts w:ascii="GHEA Grapalat" w:hAnsi="GHEA Grapalat" w:cs="Arial"/>
          <w:sz w:val="24"/>
          <w:szCs w:val="24"/>
        </w:rPr>
        <w:t>,</w:t>
      </w:r>
      <w:r w:rsidR="004037E3" w:rsidRPr="004A6626">
        <w:rPr>
          <w:rFonts w:ascii="GHEA Grapalat" w:hAnsi="GHEA Grapalat" w:cs="Arial"/>
          <w:sz w:val="24"/>
          <w:szCs w:val="24"/>
        </w:rPr>
        <w:t xml:space="preserve"> խնդիրներին, հմտությունների և կարողությունների պակասին և մշակութայի</w:t>
      </w:r>
      <w:r w:rsidR="00D4555B">
        <w:rPr>
          <w:rFonts w:ascii="GHEA Grapalat" w:hAnsi="GHEA Grapalat" w:cs="Arial"/>
          <w:sz w:val="24"/>
          <w:szCs w:val="24"/>
        </w:rPr>
        <w:t>ն կամ սուբյեկտիվ հանգամանքներին՝</w:t>
      </w:r>
    </w:p>
    <w:p w14:paraId="64F70A10" w14:textId="36451FE3" w:rsidR="00075D3F" w:rsidRDefault="00AE4922" w:rsidP="00075D3F">
      <w:pPr>
        <w:tabs>
          <w:tab w:val="left" w:pos="851"/>
          <w:tab w:val="left" w:pos="993"/>
        </w:tabs>
        <w:spacing w:line="276" w:lineRule="auto"/>
        <w:ind w:firstLine="567"/>
        <w:jc w:val="both"/>
        <w:rPr>
          <w:rFonts w:ascii="GHEA Grapalat" w:hAnsi="GHEA Grapalat" w:cs="Arial"/>
          <w:sz w:val="24"/>
          <w:szCs w:val="24"/>
        </w:rPr>
      </w:pPr>
      <w:r w:rsidRPr="003F34B8">
        <w:rPr>
          <w:rFonts w:ascii="GHEA Grapalat" w:hAnsi="GHEA Grapalat" w:cs="Arial"/>
          <w:sz w:val="24"/>
          <w:szCs w:val="24"/>
        </w:rPr>
        <w:t xml:space="preserve">1) </w:t>
      </w:r>
      <w:r w:rsidR="00D4555B">
        <w:rPr>
          <w:rFonts w:ascii="GHEA Grapalat" w:hAnsi="GHEA Grapalat" w:cs="Arial"/>
          <w:sz w:val="24"/>
          <w:szCs w:val="24"/>
        </w:rPr>
        <w:t>պ</w:t>
      </w:r>
      <w:r>
        <w:rPr>
          <w:rFonts w:ascii="GHEA Grapalat" w:hAnsi="GHEA Grapalat" w:cs="Arial"/>
          <w:sz w:val="24"/>
          <w:szCs w:val="24"/>
        </w:rPr>
        <w:t xml:space="preserve">ատշաճ միջգերատեսչական համակարգման ձախողում: ՀՀ գիտատեխնոլոգիական ոլորտը պատմականորեն եղել է </w:t>
      </w:r>
      <w:r w:rsidR="00366E49">
        <w:rPr>
          <w:rFonts w:ascii="GHEA Grapalat" w:hAnsi="GHEA Grapalat" w:cs="Arial"/>
          <w:sz w:val="24"/>
          <w:szCs w:val="24"/>
        </w:rPr>
        <w:t xml:space="preserve">մասնատված ինչպես ենթակառուցվածքների իմաստով այնպես էլ պատկանելությունների և ենթակայությունների և հաշվետվողականության իմաստով` հանգեցնելով որոշակի անտագոնիզմի պետական գերատեսչությունների և գիտական համակարգի միջև: Այս իմաստով նախարարությունների, գերատեսչությունների, կոմիտեի </w:t>
      </w:r>
      <w:r w:rsidR="008856AD">
        <w:rPr>
          <w:rFonts w:ascii="GHEA Grapalat" w:hAnsi="GHEA Grapalat" w:cs="Arial"/>
          <w:sz w:val="24"/>
          <w:szCs w:val="24"/>
        </w:rPr>
        <w:t xml:space="preserve">և ինստիտուտների միջև </w:t>
      </w:r>
      <w:r w:rsidR="00AC49CE">
        <w:rPr>
          <w:rFonts w:ascii="GHEA Grapalat" w:hAnsi="GHEA Grapalat" w:cs="Arial"/>
          <w:sz w:val="24"/>
          <w:szCs w:val="24"/>
        </w:rPr>
        <w:t>ջանքերի վատ համակարգումը և կառավարման անհստակությունը կարող է հանգեցնել ջանքերի կրկնարկման</w:t>
      </w:r>
      <w:r w:rsidR="00075D3F">
        <w:rPr>
          <w:rFonts w:ascii="GHEA Grapalat" w:hAnsi="GHEA Grapalat" w:cs="Arial"/>
          <w:sz w:val="24"/>
          <w:szCs w:val="24"/>
        </w:rPr>
        <w:t xml:space="preserve"> կամ կարևոր նախաձեռնությունների ուծացման, կամ խոշոր պատկերի կորսման և ջանքերի ֆրագմենտացման և անհամաչափության` հանգեցնելով գիտատեխնոլոգիական համակարգի, որպես մեկ ամբողջություն զարգացման դա</w:t>
      </w:r>
      <w:r w:rsidR="00D4555B">
        <w:rPr>
          <w:rFonts w:ascii="GHEA Grapalat" w:hAnsi="GHEA Grapalat" w:cs="Arial"/>
          <w:sz w:val="24"/>
          <w:szCs w:val="24"/>
        </w:rPr>
        <w:t>նդաղեցման․</w:t>
      </w:r>
    </w:p>
    <w:p w14:paraId="49E0ABCA" w14:textId="79314D76" w:rsidR="00E91D03" w:rsidRPr="00D4555B" w:rsidRDefault="00075D3F" w:rsidP="00075D3F">
      <w:pPr>
        <w:tabs>
          <w:tab w:val="left" w:pos="851"/>
          <w:tab w:val="left" w:pos="993"/>
        </w:tabs>
        <w:spacing w:line="276" w:lineRule="auto"/>
        <w:ind w:firstLine="567"/>
        <w:jc w:val="both"/>
        <w:rPr>
          <w:rFonts w:ascii="Cambria Math" w:hAnsi="Cambria Math" w:cs="Arial"/>
          <w:sz w:val="24"/>
          <w:szCs w:val="24"/>
        </w:rPr>
      </w:pPr>
      <w:r w:rsidRPr="003F34B8">
        <w:rPr>
          <w:rFonts w:ascii="GHEA Grapalat" w:hAnsi="GHEA Grapalat" w:cs="Arial"/>
          <w:sz w:val="24"/>
          <w:szCs w:val="24"/>
        </w:rPr>
        <w:t xml:space="preserve">2) </w:t>
      </w:r>
      <w:r w:rsidR="00D4555B">
        <w:rPr>
          <w:rFonts w:ascii="GHEA Grapalat" w:hAnsi="GHEA Grapalat" w:cs="Arial"/>
          <w:sz w:val="24"/>
          <w:szCs w:val="24"/>
        </w:rPr>
        <w:t>վ</w:t>
      </w:r>
      <w:r w:rsidR="001411BC">
        <w:rPr>
          <w:rFonts w:ascii="GHEA Grapalat" w:hAnsi="GHEA Grapalat" w:cs="Arial"/>
          <w:sz w:val="24"/>
          <w:szCs w:val="24"/>
        </w:rPr>
        <w:t>արչարարական գերբեռնվածություն և բյուրոկրատական արգելակում:</w:t>
      </w:r>
      <w:r w:rsidR="004E6EA8">
        <w:rPr>
          <w:rFonts w:ascii="GHEA Grapalat" w:hAnsi="GHEA Grapalat" w:cs="Arial"/>
          <w:sz w:val="24"/>
          <w:szCs w:val="24"/>
        </w:rPr>
        <w:t xml:space="preserve"> Բարեփոխումների հավակնոտ օրակարգը և նոր ծրագրեր</w:t>
      </w:r>
      <w:r w:rsidR="00976F78">
        <w:rPr>
          <w:rFonts w:ascii="GHEA Grapalat" w:hAnsi="GHEA Grapalat" w:cs="Arial"/>
          <w:sz w:val="24"/>
          <w:szCs w:val="24"/>
        </w:rPr>
        <w:t xml:space="preserve">ի ավելացող քանակությունը կարող են որոշակի լարում ավելացնել վարչական կարողությունների առումով: Բազմաթիվ </w:t>
      </w:r>
      <w:r w:rsidR="00FF6349">
        <w:rPr>
          <w:rFonts w:ascii="GHEA Grapalat" w:hAnsi="GHEA Grapalat" w:cs="Arial"/>
          <w:sz w:val="24"/>
          <w:szCs w:val="24"/>
        </w:rPr>
        <w:t>դրամաշնորհային ծրագրերի իրականացում</w:t>
      </w:r>
      <w:r w:rsidR="004E6EA8">
        <w:rPr>
          <w:rFonts w:ascii="GHEA Grapalat" w:hAnsi="GHEA Grapalat" w:cs="Arial"/>
          <w:sz w:val="24"/>
          <w:szCs w:val="24"/>
        </w:rPr>
        <w:t>ը</w:t>
      </w:r>
      <w:r w:rsidR="00FF6349">
        <w:rPr>
          <w:rFonts w:ascii="GHEA Grapalat" w:hAnsi="GHEA Grapalat" w:cs="Arial"/>
          <w:sz w:val="24"/>
          <w:szCs w:val="24"/>
        </w:rPr>
        <w:t>, համակարգերի մշտադիտարկումը և օրենսդրական ու ինստիտուցիոնալ բարեփոխումները</w:t>
      </w:r>
      <w:r w:rsidR="004E6EA8">
        <w:rPr>
          <w:rFonts w:ascii="GHEA Grapalat" w:hAnsi="GHEA Grapalat" w:cs="Arial"/>
          <w:sz w:val="24"/>
          <w:szCs w:val="24"/>
        </w:rPr>
        <w:t xml:space="preserve"> կարող են </w:t>
      </w:r>
      <w:r w:rsidR="00A344EE">
        <w:rPr>
          <w:rFonts w:ascii="GHEA Grapalat" w:hAnsi="GHEA Grapalat" w:cs="Arial"/>
          <w:sz w:val="24"/>
          <w:szCs w:val="24"/>
        </w:rPr>
        <w:t>գերբեռնել սահմանափակ աշխատակազմը և համակարգային կարողությունները:</w:t>
      </w:r>
      <w:r w:rsidR="0085507B">
        <w:rPr>
          <w:rFonts w:ascii="GHEA Grapalat" w:hAnsi="GHEA Grapalat" w:cs="Arial"/>
          <w:sz w:val="24"/>
          <w:szCs w:val="24"/>
        </w:rPr>
        <w:t xml:space="preserve"> Առկա է որոշակի ռիսկ, որ ավելացված զեկուցումների և հաշվետվությունների համակարգը և բարդ կարգավորումները կստեղծեն բյուրոկրատական արգելակում` շեղելով հետազոտողների և գիտության կառավարիչների ժամանակը դեպի ավելացված թղթաբանություն</w:t>
      </w:r>
      <w:r w:rsidR="00496171">
        <w:rPr>
          <w:rFonts w:ascii="GHEA Grapalat" w:hAnsi="GHEA Grapalat" w:cs="Arial"/>
          <w:sz w:val="24"/>
          <w:szCs w:val="24"/>
        </w:rPr>
        <w:t xml:space="preserve">` ի հակադրում արդյունավետ աշխատանքի: Չնայած այն հանգամանքին, որ Ծրագիրը նախատեսում է արդյունավետ վարչարարության </w:t>
      </w:r>
      <w:r w:rsidR="001461BF">
        <w:rPr>
          <w:rFonts w:ascii="GHEA Grapalat" w:hAnsi="GHEA Grapalat" w:cs="Arial"/>
          <w:sz w:val="24"/>
          <w:szCs w:val="24"/>
        </w:rPr>
        <w:t xml:space="preserve">ներառյալ թվային, </w:t>
      </w:r>
      <w:r w:rsidR="00496171">
        <w:rPr>
          <w:rFonts w:ascii="GHEA Grapalat" w:hAnsi="GHEA Grapalat" w:cs="Arial"/>
          <w:sz w:val="24"/>
          <w:szCs w:val="24"/>
        </w:rPr>
        <w:t xml:space="preserve">գործիքակազմի </w:t>
      </w:r>
      <w:r w:rsidR="001461BF">
        <w:rPr>
          <w:rFonts w:ascii="GHEA Grapalat" w:hAnsi="GHEA Grapalat" w:cs="Arial"/>
          <w:sz w:val="24"/>
          <w:szCs w:val="24"/>
        </w:rPr>
        <w:t>ներդրումը,</w:t>
      </w:r>
      <w:r w:rsidR="00496171">
        <w:rPr>
          <w:rFonts w:ascii="GHEA Grapalat" w:hAnsi="GHEA Grapalat" w:cs="Arial"/>
          <w:sz w:val="24"/>
          <w:szCs w:val="24"/>
        </w:rPr>
        <w:t xml:space="preserve"> </w:t>
      </w:r>
      <w:r w:rsidR="001461BF">
        <w:rPr>
          <w:rFonts w:ascii="GHEA Grapalat" w:hAnsi="GHEA Grapalat" w:cs="Arial"/>
          <w:sz w:val="24"/>
          <w:szCs w:val="24"/>
        </w:rPr>
        <w:t xml:space="preserve">կառավարման </w:t>
      </w:r>
      <w:r w:rsidR="00496171">
        <w:rPr>
          <w:rFonts w:ascii="GHEA Grapalat" w:hAnsi="GHEA Grapalat" w:cs="Arial"/>
          <w:sz w:val="24"/>
          <w:szCs w:val="24"/>
        </w:rPr>
        <w:t xml:space="preserve">կարողությունների ձևավորումը, և </w:t>
      </w:r>
      <w:r w:rsidR="001461BF">
        <w:rPr>
          <w:rFonts w:ascii="GHEA Grapalat" w:hAnsi="GHEA Grapalat" w:cs="Arial"/>
          <w:sz w:val="24"/>
          <w:szCs w:val="24"/>
        </w:rPr>
        <w:t>անարդյունավետությունների կրճատումը, այնուամենայնիվ իրականացման փուլում առկա է որոշակի ռիսկ, որ անցումային շրջանը գոնե ժամանակավորապես ավելացնելու է ադմինիստրատիվ բեռը` բերելով դանդաղեցումների և ձգձգումների</w:t>
      </w:r>
      <w:r w:rsidR="00D4555B">
        <w:rPr>
          <w:rFonts w:ascii="Cambria Math" w:hAnsi="Cambria Math" w:cs="Arial"/>
          <w:sz w:val="24"/>
          <w:szCs w:val="24"/>
        </w:rPr>
        <w:t>․</w:t>
      </w:r>
    </w:p>
    <w:p w14:paraId="3DBDC094" w14:textId="6E1B7A8C" w:rsidR="00642140" w:rsidRDefault="006E2777" w:rsidP="00642140">
      <w:pPr>
        <w:tabs>
          <w:tab w:val="left" w:pos="851"/>
          <w:tab w:val="left" w:pos="993"/>
        </w:tabs>
        <w:spacing w:line="276" w:lineRule="auto"/>
        <w:ind w:firstLine="567"/>
        <w:jc w:val="both"/>
        <w:rPr>
          <w:rFonts w:ascii="GHEA Grapalat" w:hAnsi="GHEA Grapalat" w:cs="Arial"/>
          <w:sz w:val="24"/>
          <w:szCs w:val="24"/>
        </w:rPr>
      </w:pPr>
      <w:r w:rsidRPr="003F34B8">
        <w:rPr>
          <w:rFonts w:ascii="GHEA Grapalat" w:hAnsi="GHEA Grapalat" w:cs="Arial"/>
          <w:sz w:val="24"/>
          <w:szCs w:val="24"/>
        </w:rPr>
        <w:t>3)</w:t>
      </w:r>
      <w:r w:rsidR="00D4555B">
        <w:rPr>
          <w:rFonts w:ascii="GHEA Grapalat" w:hAnsi="GHEA Grapalat" w:cs="Arial"/>
          <w:sz w:val="24"/>
          <w:szCs w:val="24"/>
        </w:rPr>
        <w:t xml:space="preserve"> կ</w:t>
      </w:r>
      <w:r w:rsidR="00247BB1">
        <w:rPr>
          <w:rFonts w:ascii="GHEA Grapalat" w:hAnsi="GHEA Grapalat" w:cs="Arial"/>
          <w:sz w:val="24"/>
          <w:szCs w:val="24"/>
        </w:rPr>
        <w:t>արողությունների սղություն և հմտությունների բացեր: Բարեփոխումների իրականացման ժամանակ պատշաճ որակավորված անձնակազմի սակավությունը կարող է դրսևորվել որպես վճռորոշ ռիսկ:</w:t>
      </w:r>
      <w:r w:rsidR="000D5326">
        <w:rPr>
          <w:rFonts w:ascii="GHEA Grapalat" w:hAnsi="GHEA Grapalat" w:cs="Arial"/>
          <w:sz w:val="24"/>
          <w:szCs w:val="24"/>
        </w:rPr>
        <w:t xml:space="preserve"> Հայաստանի Հանրապետության գիտական կազմակերպություններում առկա է կադրային կազմի էական խնդիրներ և գիտության կառավարիչների մեծամասնությունը կենսաթոշակային տարիքից բարձր տարիք ունի, ինչը էականորեն կարող է ազդել</w:t>
      </w:r>
      <w:r w:rsidR="00642140">
        <w:rPr>
          <w:rFonts w:ascii="GHEA Grapalat" w:hAnsi="GHEA Grapalat" w:cs="Arial"/>
          <w:sz w:val="24"/>
          <w:szCs w:val="24"/>
        </w:rPr>
        <w:t xml:space="preserve"> </w:t>
      </w:r>
      <w:r w:rsidR="000D5326">
        <w:rPr>
          <w:rFonts w:ascii="GHEA Grapalat" w:hAnsi="GHEA Grapalat" w:cs="Arial"/>
          <w:sz w:val="24"/>
          <w:szCs w:val="24"/>
        </w:rPr>
        <w:t>Ծրագ</w:t>
      </w:r>
      <w:r w:rsidR="00642140">
        <w:rPr>
          <w:rFonts w:ascii="GHEA Grapalat" w:hAnsi="GHEA Grapalat" w:cs="Arial"/>
          <w:sz w:val="24"/>
          <w:szCs w:val="24"/>
        </w:rPr>
        <w:t xml:space="preserve">իրը նկարագրված ծավալով </w:t>
      </w:r>
      <w:r w:rsidR="000D5326">
        <w:rPr>
          <w:rFonts w:ascii="GHEA Grapalat" w:hAnsi="GHEA Grapalat" w:cs="Arial"/>
          <w:sz w:val="24"/>
          <w:szCs w:val="24"/>
        </w:rPr>
        <w:t>իրականաց</w:t>
      </w:r>
      <w:r w:rsidR="00642140">
        <w:rPr>
          <w:rFonts w:ascii="GHEA Grapalat" w:hAnsi="GHEA Grapalat" w:cs="Arial"/>
          <w:sz w:val="24"/>
          <w:szCs w:val="24"/>
        </w:rPr>
        <w:t xml:space="preserve">նելու </w:t>
      </w:r>
      <w:r w:rsidR="000D5326">
        <w:rPr>
          <w:rFonts w:ascii="GHEA Grapalat" w:hAnsi="GHEA Grapalat" w:cs="Arial"/>
          <w:sz w:val="24"/>
          <w:szCs w:val="24"/>
        </w:rPr>
        <w:t>վրա</w:t>
      </w:r>
      <w:r w:rsidR="00D4555B">
        <w:rPr>
          <w:rFonts w:ascii="GHEA Grapalat" w:hAnsi="GHEA Grapalat" w:cs="Arial"/>
          <w:sz w:val="24"/>
          <w:szCs w:val="24"/>
        </w:rPr>
        <w:t>․</w:t>
      </w:r>
    </w:p>
    <w:p w14:paraId="3EEDE6F4" w14:textId="5D21FA0B" w:rsidR="005A42CE" w:rsidRDefault="00642140" w:rsidP="005A42CE">
      <w:pPr>
        <w:tabs>
          <w:tab w:val="left" w:pos="851"/>
          <w:tab w:val="left" w:pos="993"/>
        </w:tabs>
        <w:spacing w:line="276" w:lineRule="auto"/>
        <w:ind w:firstLine="567"/>
        <w:jc w:val="both"/>
        <w:rPr>
          <w:rFonts w:ascii="GHEA Grapalat" w:hAnsi="GHEA Grapalat" w:cs="Arial"/>
          <w:sz w:val="24"/>
          <w:szCs w:val="24"/>
        </w:rPr>
      </w:pPr>
      <w:r w:rsidRPr="003F34B8">
        <w:rPr>
          <w:rFonts w:ascii="GHEA Grapalat" w:hAnsi="GHEA Grapalat" w:cs="Arial"/>
          <w:sz w:val="24"/>
          <w:szCs w:val="24"/>
        </w:rPr>
        <w:lastRenderedPageBreak/>
        <w:t xml:space="preserve">4) </w:t>
      </w:r>
      <w:r w:rsidR="00D4555B">
        <w:rPr>
          <w:rFonts w:ascii="GHEA Grapalat" w:hAnsi="GHEA Grapalat" w:cs="Arial"/>
          <w:sz w:val="24"/>
          <w:szCs w:val="24"/>
        </w:rPr>
        <w:t>ի</w:t>
      </w:r>
      <w:r w:rsidR="00670EB6">
        <w:rPr>
          <w:rFonts w:ascii="GHEA Grapalat" w:hAnsi="GHEA Grapalat" w:cs="Arial"/>
          <w:sz w:val="24"/>
          <w:szCs w:val="24"/>
        </w:rPr>
        <w:t>նստիտուցիոնալ վերափոխումների հանդեպ դիմադրությունը:</w:t>
      </w:r>
      <w:r w:rsidR="00D71256">
        <w:rPr>
          <w:rFonts w:ascii="GHEA Grapalat" w:hAnsi="GHEA Grapalat" w:cs="Arial"/>
          <w:sz w:val="24"/>
          <w:szCs w:val="24"/>
        </w:rPr>
        <w:t xml:space="preserve"> Գիտատեխնոլոգիական համակարգի վերակառուցման գործընթացները, ինչպիսիք են գիտական կազմակերպությունների խոշորացումն ու ինտեգրումը բուհական համկարգի հետ, կատարողականի վրա հիմնված ֆինանսավորման մեխանիզմների ներդրումը, հետազոտողների ատեստավորման նոր համակարգը, կարող են արժանանալ էական դիմադրության</w:t>
      </w:r>
      <w:r w:rsidR="00BE7ECB">
        <w:rPr>
          <w:rFonts w:ascii="GHEA Grapalat" w:hAnsi="GHEA Grapalat" w:cs="Arial"/>
          <w:sz w:val="24"/>
          <w:szCs w:val="24"/>
        </w:rPr>
        <w:t>`</w:t>
      </w:r>
      <w:r w:rsidR="00D71256">
        <w:rPr>
          <w:rFonts w:ascii="GHEA Grapalat" w:hAnsi="GHEA Grapalat" w:cs="Arial"/>
          <w:sz w:val="24"/>
          <w:szCs w:val="24"/>
        </w:rPr>
        <w:t xml:space="preserve"> </w:t>
      </w:r>
      <w:r w:rsidR="00BE7ECB">
        <w:rPr>
          <w:rFonts w:ascii="GHEA Grapalat" w:hAnsi="GHEA Grapalat" w:cs="Arial"/>
          <w:sz w:val="24"/>
          <w:szCs w:val="24"/>
        </w:rPr>
        <w:t xml:space="preserve">արմատավորված շահերի հետ հակասության պատճառով: </w:t>
      </w:r>
      <w:r w:rsidR="00CC3D0C">
        <w:rPr>
          <w:rFonts w:ascii="GHEA Grapalat" w:hAnsi="GHEA Grapalat" w:cs="Arial"/>
          <w:sz w:val="24"/>
          <w:szCs w:val="24"/>
        </w:rPr>
        <w:t xml:space="preserve">Բազմամյա ինստիտուտները և առաջադեմ տարիքի հետազոտողները կարող են հակազդել այն փոփոխություններին, որոնք </w:t>
      </w:r>
      <w:r w:rsidR="00302847">
        <w:rPr>
          <w:rFonts w:ascii="GHEA Grapalat" w:hAnsi="GHEA Grapalat" w:cs="Arial"/>
          <w:sz w:val="24"/>
          <w:szCs w:val="24"/>
        </w:rPr>
        <w:t>առաջադրում են որոշակի ռիսկեր իրենց կարգավիճակի վերաբերյալ</w:t>
      </w:r>
      <w:r w:rsidR="004E68E5" w:rsidRPr="003F34B8">
        <w:rPr>
          <w:rFonts w:ascii="GHEA Grapalat" w:hAnsi="GHEA Grapalat" w:cs="Arial"/>
          <w:sz w:val="24"/>
          <w:szCs w:val="24"/>
        </w:rPr>
        <w:t xml:space="preserve"> </w:t>
      </w:r>
      <w:r w:rsidR="004E68E5">
        <w:rPr>
          <w:rFonts w:ascii="GHEA Grapalat" w:hAnsi="GHEA Grapalat" w:cs="Arial"/>
          <w:sz w:val="24"/>
          <w:szCs w:val="24"/>
        </w:rPr>
        <w:t>ինչպես նաև ստեղծում են աշխատանքի նոր պահանջներ: ՀՀ համատեքստում, երբ գիտության կազմակերպումը և գիտական համակարգը էական փոփոխություննե</w:t>
      </w:r>
      <w:r w:rsidR="00625163">
        <w:rPr>
          <w:rFonts w:ascii="GHEA Grapalat" w:hAnsi="GHEA Grapalat" w:cs="Arial"/>
          <w:sz w:val="24"/>
          <w:szCs w:val="24"/>
        </w:rPr>
        <w:t>րի չի ենթարկվել ութ տասնամյակների ընթացքում (հիմնադրման ժամանակահատվածից) առկա է մշակութային և ինստիտուցիոնալ իներցիա, որը կարող է հակազդել խոշորացմանը, վարչակազմի կրճատմանը կամ հաշվետվողականության նոր համակարգի ներդրմանը: Հակազդեցությունը</w:t>
      </w:r>
      <w:r w:rsidR="00D6737E">
        <w:rPr>
          <w:rFonts w:ascii="GHEA Grapalat" w:hAnsi="GHEA Grapalat" w:cs="Arial"/>
          <w:sz w:val="24"/>
          <w:szCs w:val="24"/>
        </w:rPr>
        <w:t xml:space="preserve"> կարող է դրսևորվել սաբոտաժի, ուշացումների, կարգավորումների անտեսման կամ անգամ բաց հակազդեցության`  այդպիսով վտանգելով </w:t>
      </w:r>
      <w:r w:rsidR="00803581">
        <w:rPr>
          <w:rFonts w:ascii="GHEA Grapalat" w:hAnsi="GHEA Grapalat" w:cs="Arial"/>
          <w:sz w:val="24"/>
          <w:szCs w:val="24"/>
        </w:rPr>
        <w:t>փոփոխությունների ժամանակացույցը ամբողջական համակարգում</w:t>
      </w:r>
      <w:r w:rsidR="00D4555B">
        <w:rPr>
          <w:rFonts w:ascii="GHEA Grapalat" w:hAnsi="GHEA Grapalat" w:cs="Arial"/>
          <w:sz w:val="24"/>
          <w:szCs w:val="24"/>
        </w:rPr>
        <w:t>․</w:t>
      </w:r>
    </w:p>
    <w:p w14:paraId="44FC587F" w14:textId="39D5A586" w:rsidR="00E91D03" w:rsidRPr="005A42CE" w:rsidRDefault="005A42CE" w:rsidP="005A42CE">
      <w:pPr>
        <w:tabs>
          <w:tab w:val="left" w:pos="851"/>
          <w:tab w:val="left" w:pos="993"/>
        </w:tabs>
        <w:spacing w:line="276" w:lineRule="auto"/>
        <w:ind w:firstLine="567"/>
        <w:jc w:val="both"/>
        <w:rPr>
          <w:rFonts w:ascii="GHEA Grapalat" w:hAnsi="GHEA Grapalat" w:cs="Arial"/>
          <w:sz w:val="24"/>
          <w:szCs w:val="24"/>
        </w:rPr>
      </w:pPr>
      <w:r w:rsidRPr="003F34B8">
        <w:rPr>
          <w:rFonts w:ascii="GHEA Grapalat" w:hAnsi="GHEA Grapalat" w:cs="Arial"/>
          <w:sz w:val="24"/>
          <w:szCs w:val="24"/>
        </w:rPr>
        <w:t xml:space="preserve">5) </w:t>
      </w:r>
      <w:r w:rsidR="00D4555B">
        <w:rPr>
          <w:rFonts w:ascii="GHEA Grapalat" w:hAnsi="GHEA Grapalat" w:cs="Arial"/>
          <w:sz w:val="24"/>
          <w:szCs w:val="24"/>
        </w:rPr>
        <w:t>բ</w:t>
      </w:r>
      <w:r w:rsidR="00E80E1E">
        <w:rPr>
          <w:rFonts w:ascii="GHEA Grapalat" w:hAnsi="GHEA Grapalat" w:cs="Arial"/>
          <w:sz w:val="24"/>
          <w:szCs w:val="24"/>
        </w:rPr>
        <w:t>արեփոխումների տևականություն և հյուծում: Ծրագրի ընդգրկումը` հետազոտությունների գերազանցություն, տնտեսական ազդեցություն, սոցիալական պատասխանատվություն և վերակազմակվորում</w:t>
      </w:r>
      <w:r w:rsidR="00624986">
        <w:rPr>
          <w:rFonts w:ascii="GHEA Grapalat" w:hAnsi="GHEA Grapalat" w:cs="Arial"/>
          <w:sz w:val="24"/>
          <w:szCs w:val="24"/>
        </w:rPr>
        <w:t xml:space="preserve"> և այլն</w:t>
      </w:r>
      <w:r w:rsidR="00E80E1E">
        <w:rPr>
          <w:rFonts w:ascii="GHEA Grapalat" w:hAnsi="GHEA Grapalat" w:cs="Arial"/>
          <w:sz w:val="24"/>
          <w:szCs w:val="24"/>
        </w:rPr>
        <w:t xml:space="preserve">, կարող է առաջացնել ժամանակի առումով </w:t>
      </w:r>
      <w:r w:rsidR="00624986">
        <w:rPr>
          <w:rFonts w:ascii="GHEA Grapalat" w:hAnsi="GHEA Grapalat" w:cs="Arial"/>
          <w:sz w:val="24"/>
          <w:szCs w:val="24"/>
        </w:rPr>
        <w:t xml:space="preserve">փոփոխությունների </w:t>
      </w:r>
      <w:r w:rsidR="00E80E1E">
        <w:rPr>
          <w:rFonts w:ascii="GHEA Grapalat" w:hAnsi="GHEA Grapalat" w:cs="Arial"/>
          <w:sz w:val="24"/>
          <w:szCs w:val="24"/>
        </w:rPr>
        <w:t xml:space="preserve">տևականության </w:t>
      </w:r>
      <w:r w:rsidR="00624986">
        <w:rPr>
          <w:rFonts w:ascii="GHEA Grapalat" w:hAnsi="GHEA Grapalat" w:cs="Arial"/>
          <w:sz w:val="24"/>
          <w:szCs w:val="24"/>
        </w:rPr>
        <w:t>ռիսկ: Բազմազան նախաձեռնությունների միաժամանակ</w:t>
      </w:r>
      <w:r w:rsidR="00E80E1E">
        <w:rPr>
          <w:rFonts w:ascii="GHEA Grapalat" w:hAnsi="GHEA Grapalat" w:cs="Arial"/>
          <w:sz w:val="24"/>
          <w:szCs w:val="24"/>
        </w:rPr>
        <w:t xml:space="preserve"> </w:t>
      </w:r>
      <w:r w:rsidR="00624986">
        <w:rPr>
          <w:rFonts w:ascii="GHEA Grapalat" w:hAnsi="GHEA Grapalat" w:cs="Arial"/>
          <w:sz w:val="24"/>
          <w:szCs w:val="24"/>
        </w:rPr>
        <w:t>մեկնարկումը (</w:t>
      </w:r>
      <w:r w:rsidR="000070B6">
        <w:rPr>
          <w:rFonts w:ascii="GHEA Grapalat" w:hAnsi="GHEA Grapalat" w:cs="Arial"/>
          <w:sz w:val="24"/>
          <w:szCs w:val="24"/>
        </w:rPr>
        <w:t>սկսզած</w:t>
      </w:r>
      <w:r w:rsidR="00624986">
        <w:rPr>
          <w:rFonts w:ascii="GHEA Grapalat" w:hAnsi="GHEA Grapalat" w:cs="Arial"/>
          <w:sz w:val="24"/>
          <w:szCs w:val="24"/>
        </w:rPr>
        <w:t xml:space="preserve"> գերազանցության կենտրոնների ստեղծում</w:t>
      </w:r>
      <w:r w:rsidR="000070B6">
        <w:rPr>
          <w:rFonts w:ascii="GHEA Grapalat" w:hAnsi="GHEA Grapalat" w:cs="Arial"/>
          <w:sz w:val="24"/>
          <w:szCs w:val="24"/>
        </w:rPr>
        <w:t>ից մինչև ֆինանսավորման մեխանիզմների վերանայումը և ենթակառուցվածքների զարգացումը</w:t>
      </w:r>
      <w:r w:rsidR="00624986">
        <w:rPr>
          <w:rFonts w:ascii="GHEA Grapalat" w:hAnsi="GHEA Grapalat" w:cs="Arial"/>
          <w:sz w:val="24"/>
          <w:szCs w:val="24"/>
        </w:rPr>
        <w:t>)</w:t>
      </w:r>
      <w:r w:rsidR="00E80E1E">
        <w:rPr>
          <w:rFonts w:ascii="GHEA Grapalat" w:hAnsi="GHEA Grapalat" w:cs="Arial"/>
          <w:sz w:val="24"/>
          <w:szCs w:val="24"/>
        </w:rPr>
        <w:t xml:space="preserve"> </w:t>
      </w:r>
      <w:r w:rsidR="000070B6">
        <w:rPr>
          <w:rFonts w:ascii="GHEA Grapalat" w:hAnsi="GHEA Grapalat" w:cs="Arial"/>
          <w:sz w:val="24"/>
          <w:szCs w:val="24"/>
        </w:rPr>
        <w:t>կարող են բերել ինստիտուտների գերլարման ինչն էլ իր հերթին կարող է առաջացնել համակարգային հյուծվածություն միաժամանակ մեծ քանակով փոփոխությունների կլանման պահանջի արդյունքում</w:t>
      </w:r>
      <w:r w:rsidR="0081594D">
        <w:rPr>
          <w:rFonts w:ascii="GHEA Grapalat" w:hAnsi="GHEA Grapalat" w:cs="Arial"/>
          <w:sz w:val="24"/>
          <w:szCs w:val="24"/>
        </w:rPr>
        <w:t xml:space="preserve">: Այս ռիսկը կարող է դրսևորվել բարեփոխումների ձևական իրականացմամբ </w:t>
      </w:r>
      <w:r w:rsidR="007914B0">
        <w:rPr>
          <w:rFonts w:ascii="GHEA Grapalat" w:hAnsi="GHEA Grapalat" w:cs="Arial"/>
          <w:sz w:val="24"/>
          <w:szCs w:val="24"/>
        </w:rPr>
        <w:t xml:space="preserve">կամ </w:t>
      </w:r>
      <w:r w:rsidR="00C12BF6">
        <w:rPr>
          <w:rFonts w:ascii="GHEA Grapalat" w:hAnsi="GHEA Grapalat" w:cs="Arial"/>
          <w:sz w:val="24"/>
          <w:szCs w:val="24"/>
        </w:rPr>
        <w:t>չիրականացմամբ</w:t>
      </w:r>
      <w:r w:rsidR="00AC5A33" w:rsidRPr="003F34B8">
        <w:rPr>
          <w:rFonts w:ascii="GHEA Grapalat" w:hAnsi="GHEA Grapalat" w:cs="Arial"/>
          <w:sz w:val="24"/>
          <w:szCs w:val="24"/>
        </w:rPr>
        <w:t xml:space="preserve"> </w:t>
      </w:r>
      <w:r w:rsidR="00AC5A33">
        <w:rPr>
          <w:rFonts w:ascii="GHEA Grapalat" w:hAnsi="GHEA Grapalat" w:cs="Arial"/>
          <w:sz w:val="24"/>
          <w:szCs w:val="24"/>
        </w:rPr>
        <w:t xml:space="preserve">եթե համակարգը ի վիճակի չլինի </w:t>
      </w:r>
      <w:r w:rsidR="0025259A">
        <w:rPr>
          <w:rFonts w:ascii="GHEA Grapalat" w:hAnsi="GHEA Grapalat" w:cs="Arial"/>
          <w:sz w:val="24"/>
          <w:szCs w:val="24"/>
        </w:rPr>
        <w:t>փուլայնացնել աշխատանքը և սահմանել իրականացման հաջորդականություն</w:t>
      </w:r>
      <w:r w:rsidR="00C12BF6">
        <w:rPr>
          <w:rFonts w:ascii="GHEA Grapalat" w:hAnsi="GHEA Grapalat" w:cs="Arial"/>
          <w:sz w:val="24"/>
          <w:szCs w:val="24"/>
        </w:rPr>
        <w:t>:</w:t>
      </w:r>
    </w:p>
    <w:p w14:paraId="11846CEF" w14:textId="4C897B66" w:rsidR="0025259A" w:rsidRDefault="004037E3" w:rsidP="0025259A">
      <w:pPr>
        <w:tabs>
          <w:tab w:val="left" w:pos="851"/>
          <w:tab w:val="left" w:pos="993"/>
        </w:tabs>
        <w:spacing w:line="276" w:lineRule="auto"/>
        <w:ind w:firstLine="567"/>
        <w:jc w:val="both"/>
        <w:rPr>
          <w:rFonts w:ascii="GHEA Grapalat" w:hAnsi="GHEA Grapalat" w:cs="Arial"/>
          <w:sz w:val="24"/>
          <w:szCs w:val="24"/>
        </w:rPr>
      </w:pPr>
      <w:r w:rsidRPr="004037E3">
        <w:rPr>
          <w:rFonts w:ascii="GHEA Grapalat" w:hAnsi="GHEA Grapalat" w:cs="Arial"/>
          <w:sz w:val="24"/>
          <w:szCs w:val="24"/>
        </w:rPr>
        <w:t xml:space="preserve">63. </w:t>
      </w:r>
      <w:r w:rsidR="00DE0EEA">
        <w:rPr>
          <w:rFonts w:ascii="GHEA Grapalat" w:hAnsi="GHEA Grapalat" w:cs="Arial"/>
          <w:sz w:val="24"/>
          <w:szCs w:val="24"/>
        </w:rPr>
        <w:t>Ք</w:t>
      </w:r>
      <w:r w:rsidR="00DE0EEA" w:rsidRPr="006478E9">
        <w:rPr>
          <w:rFonts w:ascii="GHEA Grapalat" w:hAnsi="GHEA Grapalat" w:cs="Arial"/>
          <w:sz w:val="24"/>
          <w:szCs w:val="24"/>
        </w:rPr>
        <w:t>աղաքական-արտաքին</w:t>
      </w:r>
      <w:r w:rsidR="00DE0EEA" w:rsidRPr="004037E3">
        <w:rPr>
          <w:rFonts w:ascii="GHEA Grapalat" w:hAnsi="GHEA Grapalat" w:cs="Arial"/>
          <w:sz w:val="24"/>
          <w:szCs w:val="24"/>
        </w:rPr>
        <w:t xml:space="preserve"> </w:t>
      </w:r>
      <w:r w:rsidR="00DE0EEA">
        <w:rPr>
          <w:rFonts w:ascii="GHEA Grapalat" w:hAnsi="GHEA Grapalat" w:cs="Arial"/>
          <w:sz w:val="24"/>
          <w:szCs w:val="24"/>
        </w:rPr>
        <w:t xml:space="preserve">ռիսկերն ընդհանուր առմամբ վերաբերում են այն ռիսկերին, որոնք դուրս են գիտատեխնոլոգիական ոլորտի անմիջական առնչության տիրույթից </w:t>
      </w:r>
      <w:r w:rsidR="003C7D5D">
        <w:rPr>
          <w:rFonts w:ascii="GHEA Grapalat" w:hAnsi="GHEA Grapalat" w:cs="Arial"/>
          <w:sz w:val="24"/>
          <w:szCs w:val="24"/>
        </w:rPr>
        <w:t>սակայն կարող են ազդեցություն ունենալ Ծրագրի իրականացման վրա</w:t>
      </w:r>
      <w:r w:rsidR="00D4555B">
        <w:rPr>
          <w:rFonts w:ascii="GHEA Grapalat" w:hAnsi="GHEA Grapalat" w:cs="Arial"/>
          <w:sz w:val="24"/>
          <w:szCs w:val="24"/>
        </w:rPr>
        <w:t>՝</w:t>
      </w:r>
    </w:p>
    <w:p w14:paraId="50741B6C" w14:textId="7550C59A" w:rsidR="00E91D03" w:rsidRPr="00D4555B" w:rsidRDefault="0025259A" w:rsidP="0025259A">
      <w:pPr>
        <w:tabs>
          <w:tab w:val="left" w:pos="851"/>
          <w:tab w:val="left" w:pos="993"/>
        </w:tabs>
        <w:spacing w:line="276" w:lineRule="auto"/>
        <w:ind w:firstLine="567"/>
        <w:jc w:val="both"/>
        <w:rPr>
          <w:rFonts w:ascii="Cambria Math" w:hAnsi="Cambria Math" w:cs="Arial"/>
          <w:sz w:val="24"/>
          <w:szCs w:val="24"/>
        </w:rPr>
      </w:pPr>
      <w:r w:rsidRPr="003F34B8">
        <w:rPr>
          <w:rFonts w:ascii="GHEA Grapalat" w:hAnsi="GHEA Grapalat" w:cs="Arial"/>
          <w:sz w:val="24"/>
          <w:szCs w:val="24"/>
        </w:rPr>
        <w:t>1)</w:t>
      </w:r>
      <w:r w:rsidR="00076268" w:rsidRPr="003F34B8">
        <w:rPr>
          <w:rFonts w:ascii="GHEA Grapalat" w:hAnsi="GHEA Grapalat" w:cs="Arial"/>
          <w:sz w:val="24"/>
          <w:szCs w:val="24"/>
        </w:rPr>
        <w:t xml:space="preserve"> </w:t>
      </w:r>
      <w:r w:rsidR="00D4555B">
        <w:rPr>
          <w:rFonts w:ascii="GHEA Grapalat" w:hAnsi="GHEA Grapalat" w:cs="Arial"/>
          <w:sz w:val="24"/>
          <w:szCs w:val="24"/>
        </w:rPr>
        <w:t>ա</w:t>
      </w:r>
      <w:r w:rsidR="00076268">
        <w:rPr>
          <w:rFonts w:ascii="GHEA Grapalat" w:hAnsi="GHEA Grapalat" w:cs="Arial"/>
          <w:sz w:val="24"/>
          <w:szCs w:val="24"/>
        </w:rPr>
        <w:t>շխարհաքաղաքական անկայունություն</w:t>
      </w:r>
      <w:r w:rsidR="00060321">
        <w:rPr>
          <w:rFonts w:ascii="GHEA Grapalat" w:hAnsi="GHEA Grapalat" w:cs="Arial"/>
          <w:sz w:val="24"/>
          <w:szCs w:val="24"/>
        </w:rPr>
        <w:t xml:space="preserve"> </w:t>
      </w:r>
      <w:r w:rsidR="00076268">
        <w:rPr>
          <w:rFonts w:ascii="GHEA Grapalat" w:hAnsi="GHEA Grapalat" w:cs="Arial"/>
          <w:sz w:val="24"/>
          <w:szCs w:val="24"/>
        </w:rPr>
        <w:t xml:space="preserve">և անվտանգային իրավիճակ: Հաշվի առնելով տարածաշրջանի աշխարհաքաղաքական իրավիճակը, որոշակի ռիսկեր են առաջ գալիս գիտական սարքերի ներմուծման սահմանափակումների ինչպես նաև </w:t>
      </w:r>
      <w:r w:rsidR="00A405E7">
        <w:rPr>
          <w:rFonts w:ascii="GHEA Grapalat" w:hAnsi="GHEA Grapalat" w:cs="Arial"/>
          <w:sz w:val="24"/>
          <w:szCs w:val="24"/>
        </w:rPr>
        <w:t xml:space="preserve">սանկցիաների հետ կապված, միևնույն ժամանակ տարածաշրջանային կայունությունը հանդիսանում է էական գործոն, որը հաշվի է առնվում երկարաժամկետ պլանավորման և գիտական միջազգային համագործակցությունների ներհոսքի իմաստով: </w:t>
      </w:r>
      <w:r w:rsidR="00864E80">
        <w:rPr>
          <w:rFonts w:ascii="GHEA Grapalat" w:hAnsi="GHEA Grapalat" w:cs="Arial"/>
          <w:sz w:val="24"/>
          <w:szCs w:val="24"/>
        </w:rPr>
        <w:t>Միևնույն ժամանակ աշխարհաքաղաքական վիճակը ազդեցություն ունի նաև հետազոտողների շարժունության և համագործակցությունների կազմակերպման ու ընթացքի վրա</w:t>
      </w:r>
      <w:r w:rsidR="00D4555B">
        <w:rPr>
          <w:rFonts w:ascii="Cambria Math" w:hAnsi="Cambria Math" w:cs="Arial"/>
          <w:sz w:val="24"/>
          <w:szCs w:val="24"/>
        </w:rPr>
        <w:t>․</w:t>
      </w:r>
    </w:p>
    <w:p w14:paraId="14CA4A20" w14:textId="3D5D8EC2" w:rsidR="00864E80" w:rsidRDefault="00864E80" w:rsidP="0025259A">
      <w:pPr>
        <w:tabs>
          <w:tab w:val="left" w:pos="851"/>
          <w:tab w:val="left" w:pos="993"/>
        </w:tabs>
        <w:spacing w:line="276" w:lineRule="auto"/>
        <w:ind w:firstLine="567"/>
        <w:jc w:val="both"/>
        <w:rPr>
          <w:rFonts w:ascii="GHEA Grapalat" w:hAnsi="GHEA Grapalat" w:cs="Arial"/>
          <w:sz w:val="24"/>
          <w:szCs w:val="24"/>
        </w:rPr>
      </w:pPr>
      <w:r w:rsidRPr="003F34B8">
        <w:rPr>
          <w:rFonts w:ascii="GHEA Grapalat" w:hAnsi="GHEA Grapalat" w:cs="Arial"/>
          <w:sz w:val="24"/>
          <w:szCs w:val="24"/>
        </w:rPr>
        <w:lastRenderedPageBreak/>
        <w:t>2)</w:t>
      </w:r>
      <w:r>
        <w:rPr>
          <w:rFonts w:ascii="GHEA Grapalat" w:hAnsi="GHEA Grapalat" w:cs="Arial"/>
          <w:sz w:val="24"/>
          <w:szCs w:val="24"/>
        </w:rPr>
        <w:t xml:space="preserve"> </w:t>
      </w:r>
      <w:r w:rsidR="00D4555B">
        <w:rPr>
          <w:rFonts w:ascii="GHEA Grapalat" w:hAnsi="GHEA Grapalat" w:cs="Arial"/>
          <w:sz w:val="24"/>
          <w:szCs w:val="24"/>
        </w:rPr>
        <w:t>ո</w:t>
      </w:r>
      <w:r>
        <w:rPr>
          <w:rFonts w:ascii="GHEA Grapalat" w:hAnsi="GHEA Grapalat" w:cs="Arial"/>
          <w:sz w:val="24"/>
          <w:szCs w:val="24"/>
        </w:rPr>
        <w:t>ւղեղների արտահոսք և տաղանդի արտագաղթ</w:t>
      </w:r>
      <w:r w:rsidR="008D44A6">
        <w:rPr>
          <w:rFonts w:ascii="GHEA Grapalat" w:hAnsi="GHEA Grapalat" w:cs="Arial"/>
          <w:sz w:val="24"/>
          <w:szCs w:val="24"/>
        </w:rPr>
        <w:t>: Համաձայն Խաղաղության Հիմնադրամի Փխրուն պետությունների համաթվի` Հայաստանի Հանրապետությունը ունի բավականաչափ վատ դիրքեր ուղեղների արտահոսքի ցուցիչով</w:t>
      </w:r>
      <w:r w:rsidR="00503048">
        <w:rPr>
          <w:rFonts w:ascii="GHEA Grapalat" w:hAnsi="GHEA Grapalat" w:cs="Arial"/>
          <w:sz w:val="24"/>
          <w:szCs w:val="24"/>
        </w:rPr>
        <w:t xml:space="preserve"> (</w:t>
      </w:r>
      <w:r w:rsidR="00AE32AF">
        <w:rPr>
          <w:rFonts w:ascii="GHEA Grapalat" w:hAnsi="GHEA Grapalat" w:cs="Arial"/>
          <w:sz w:val="24"/>
          <w:szCs w:val="24"/>
        </w:rPr>
        <w:t xml:space="preserve">Գծապատկեր </w:t>
      </w:r>
      <w:r w:rsidR="00AE32AF" w:rsidRPr="003F34B8">
        <w:rPr>
          <w:rFonts w:ascii="GHEA Grapalat" w:hAnsi="GHEA Grapalat" w:cs="Arial"/>
          <w:sz w:val="24"/>
          <w:szCs w:val="24"/>
        </w:rPr>
        <w:t>33</w:t>
      </w:r>
      <w:r w:rsidR="00503048">
        <w:rPr>
          <w:rFonts w:ascii="GHEA Grapalat" w:hAnsi="GHEA Grapalat" w:cs="Arial"/>
          <w:sz w:val="24"/>
          <w:szCs w:val="24"/>
        </w:rPr>
        <w:t>)</w:t>
      </w:r>
      <w:r w:rsidR="00F27F3A" w:rsidRPr="003F34B8">
        <w:rPr>
          <w:rFonts w:ascii="GHEA Grapalat" w:hAnsi="GHEA Grapalat" w:cs="Arial"/>
          <w:sz w:val="24"/>
          <w:szCs w:val="24"/>
        </w:rPr>
        <w:t xml:space="preserve">: </w:t>
      </w:r>
      <w:r w:rsidR="00F27F3A">
        <w:rPr>
          <w:rFonts w:ascii="GHEA Grapalat" w:hAnsi="GHEA Grapalat" w:cs="Arial"/>
          <w:sz w:val="24"/>
          <w:szCs w:val="24"/>
        </w:rPr>
        <w:t>Այս իմաստով ուղեղների արտահոսքը խնդիր է, որը պատշաճ չհասցեագրվելու պարագայում կարող է էապես արգելակել Ծրագրի իրականացումը</w:t>
      </w:r>
      <w:r w:rsidR="009C74CC">
        <w:rPr>
          <w:rFonts w:ascii="GHEA Grapalat" w:hAnsi="GHEA Grapalat" w:cs="Arial"/>
          <w:sz w:val="24"/>
          <w:szCs w:val="24"/>
        </w:rPr>
        <w:t>, քանի որ կարող են հանգեցնել մի իրավիճակի, երբ ուղղակի գոյություն չի ունենա անհրաժտ քանակությամբ մարդկային ներուժ Ծրագրի բոլոր ու</w:t>
      </w:r>
      <w:r w:rsidR="00D4555B">
        <w:rPr>
          <w:rFonts w:ascii="GHEA Grapalat" w:hAnsi="GHEA Grapalat" w:cs="Arial"/>
          <w:sz w:val="24"/>
          <w:szCs w:val="24"/>
        </w:rPr>
        <w:t>ղղությունների իրականացման համար․</w:t>
      </w:r>
    </w:p>
    <w:p w14:paraId="05699CF3" w14:textId="3E279720" w:rsidR="00503048" w:rsidRDefault="00C61882" w:rsidP="000D05AD">
      <w:pPr>
        <w:tabs>
          <w:tab w:val="left" w:pos="851"/>
          <w:tab w:val="left" w:pos="993"/>
        </w:tabs>
        <w:spacing w:line="276" w:lineRule="auto"/>
        <w:ind w:firstLine="567"/>
        <w:jc w:val="center"/>
        <w:rPr>
          <w:rFonts w:ascii="GHEA Grapalat" w:hAnsi="GHEA Grapalat" w:cs="Arial"/>
          <w:sz w:val="24"/>
          <w:szCs w:val="24"/>
        </w:rPr>
      </w:pPr>
      <w:r>
        <w:rPr>
          <w:noProof/>
          <w:lang w:val="en-US" w:eastAsia="en-US"/>
        </w:rPr>
        <w:drawing>
          <wp:inline distT="0" distB="0" distL="0" distR="0" wp14:anchorId="0FDD787D" wp14:editId="04FBBF9A">
            <wp:extent cx="5341620" cy="2743200"/>
            <wp:effectExtent l="0" t="0" r="0" b="0"/>
            <wp:docPr id="1" name="Chart 1">
              <a:extLst xmlns:a="http://schemas.openxmlformats.org/drawingml/2006/main">
                <a:ext uri="{FF2B5EF4-FFF2-40B4-BE49-F238E27FC236}">
                  <a16:creationId xmlns:a16="http://schemas.microsoft.com/office/drawing/2014/main" id="{1E8F3983-2F30-41B7-BDF5-EDAE627FF52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14:paraId="1D8FADCC" w14:textId="382DF385" w:rsidR="00503048" w:rsidRPr="00C72AB5" w:rsidRDefault="00503048" w:rsidP="00503048">
      <w:pPr>
        <w:tabs>
          <w:tab w:val="left" w:pos="851"/>
        </w:tabs>
        <w:spacing w:line="276" w:lineRule="auto"/>
        <w:ind w:left="567" w:hanging="567"/>
        <w:jc w:val="both"/>
        <w:rPr>
          <w:rFonts w:ascii="GHEA Grapalat" w:hAnsi="GHEA Grapalat" w:cs="Arial"/>
        </w:rPr>
      </w:pPr>
      <w:r w:rsidRPr="00C72AB5">
        <w:rPr>
          <w:rFonts w:ascii="GHEA Grapalat" w:hAnsi="GHEA Grapalat"/>
          <w:b/>
        </w:rPr>
        <w:t>Գծապատկեր</w:t>
      </w:r>
      <w:r w:rsidRPr="00C72AB5">
        <w:rPr>
          <w:rFonts w:ascii="GHEA Grapalat" w:hAnsi="GHEA Grapalat" w:cs="Arial"/>
          <w:b/>
        </w:rPr>
        <w:t xml:space="preserve"> 3</w:t>
      </w:r>
      <w:r w:rsidR="000D05AD" w:rsidRPr="003F34B8">
        <w:rPr>
          <w:rFonts w:ascii="GHEA Grapalat" w:hAnsi="GHEA Grapalat" w:cs="Arial"/>
          <w:b/>
        </w:rPr>
        <w:t>3</w:t>
      </w:r>
      <w:r w:rsidRPr="00C72AB5">
        <w:rPr>
          <w:rFonts w:ascii="GHEA Grapalat" w:hAnsi="GHEA Grapalat" w:cs="Arial"/>
        </w:rPr>
        <w:t xml:space="preserve">. </w:t>
      </w:r>
      <w:r w:rsidR="000D05AD" w:rsidRPr="000D05AD">
        <w:rPr>
          <w:rFonts w:ascii="GHEA Grapalat" w:hAnsi="GHEA Grapalat" w:cs="Arial"/>
        </w:rPr>
        <w:t>Խաղաղության Հիմնադրամի Փխրուն պետությունների համաթվի</w:t>
      </w:r>
      <w:r w:rsidR="000D05AD">
        <w:rPr>
          <w:rStyle w:val="FootnoteReference"/>
          <w:rFonts w:ascii="GHEA Grapalat" w:hAnsi="GHEA Grapalat" w:cs="Arial"/>
        </w:rPr>
        <w:footnoteReference w:id="85"/>
      </w:r>
      <w:r w:rsidR="000D05AD" w:rsidRPr="003F34B8">
        <w:rPr>
          <w:rFonts w:ascii="GHEA Grapalat" w:hAnsi="GHEA Grapalat" w:cs="Arial"/>
        </w:rPr>
        <w:t xml:space="preserve"> </w:t>
      </w:r>
      <w:r w:rsidR="000D05AD">
        <w:rPr>
          <w:rFonts w:ascii="GHEA Grapalat" w:hAnsi="GHEA Grapalat" w:cs="Arial"/>
        </w:rPr>
        <w:t>մարդկանց փախուստի և ուղեղների արտահոսքի ցուցիչ</w:t>
      </w:r>
      <w:r w:rsidR="00C61882">
        <w:rPr>
          <w:rFonts w:ascii="GHEA Grapalat" w:hAnsi="GHEA Grapalat" w:cs="Arial"/>
        </w:rPr>
        <w:t>ում ՀՀ դիրքերը (</w:t>
      </w:r>
      <w:r w:rsidR="00C61882" w:rsidRPr="003F34B8">
        <w:rPr>
          <w:rFonts w:ascii="GHEA Grapalat" w:hAnsi="GHEA Grapalat" w:cs="Arial"/>
        </w:rPr>
        <w:t xml:space="preserve">0-10 </w:t>
      </w:r>
      <w:r w:rsidR="00C61882">
        <w:rPr>
          <w:rFonts w:ascii="GHEA Grapalat" w:hAnsi="GHEA Grapalat" w:cs="Arial"/>
        </w:rPr>
        <w:t xml:space="preserve">սանդղակում, </w:t>
      </w:r>
      <w:r w:rsidR="00C61882" w:rsidRPr="003F34B8">
        <w:rPr>
          <w:rFonts w:ascii="GHEA Grapalat" w:hAnsi="GHEA Grapalat" w:cs="Arial"/>
        </w:rPr>
        <w:t>0-</w:t>
      </w:r>
      <w:r w:rsidR="00C61882">
        <w:rPr>
          <w:rFonts w:ascii="GHEA Grapalat" w:hAnsi="GHEA Grapalat" w:cs="Arial"/>
        </w:rPr>
        <w:t>ն լինելով լավագույն արժեքը)</w:t>
      </w:r>
      <w:r w:rsidRPr="00C72AB5">
        <w:rPr>
          <w:rFonts w:ascii="GHEA Grapalat" w:hAnsi="GHEA Grapalat" w:cs="Arial"/>
        </w:rPr>
        <w:t>:</w:t>
      </w:r>
    </w:p>
    <w:p w14:paraId="79FE23AD" w14:textId="77777777" w:rsidR="00826B3B" w:rsidRPr="003F34B8" w:rsidRDefault="00826B3B" w:rsidP="00826B3B">
      <w:pPr>
        <w:tabs>
          <w:tab w:val="left" w:pos="851"/>
          <w:tab w:val="left" w:pos="993"/>
        </w:tabs>
        <w:spacing w:line="276" w:lineRule="auto"/>
        <w:ind w:firstLine="567"/>
        <w:jc w:val="both"/>
        <w:rPr>
          <w:rFonts w:ascii="GHEA Grapalat" w:hAnsi="GHEA Grapalat" w:cs="Arial"/>
          <w:sz w:val="24"/>
          <w:szCs w:val="24"/>
        </w:rPr>
      </w:pPr>
    </w:p>
    <w:p w14:paraId="6397A5E8" w14:textId="5C1FF217" w:rsidR="00DA5761" w:rsidRDefault="00826B3B" w:rsidP="00826B3B">
      <w:pPr>
        <w:tabs>
          <w:tab w:val="left" w:pos="851"/>
          <w:tab w:val="left" w:pos="993"/>
        </w:tabs>
        <w:spacing w:line="276" w:lineRule="auto"/>
        <w:ind w:firstLine="567"/>
        <w:jc w:val="both"/>
        <w:rPr>
          <w:rFonts w:ascii="GHEA Grapalat" w:hAnsi="GHEA Grapalat" w:cs="Arial"/>
          <w:sz w:val="24"/>
          <w:szCs w:val="24"/>
        </w:rPr>
      </w:pPr>
      <w:r w:rsidRPr="003F34B8">
        <w:rPr>
          <w:rFonts w:ascii="GHEA Grapalat" w:hAnsi="GHEA Grapalat" w:cs="Arial"/>
          <w:sz w:val="24"/>
          <w:szCs w:val="24"/>
        </w:rPr>
        <w:t>3)</w:t>
      </w:r>
      <w:r>
        <w:rPr>
          <w:rFonts w:ascii="GHEA Grapalat" w:hAnsi="GHEA Grapalat" w:cs="Arial"/>
          <w:sz w:val="24"/>
          <w:szCs w:val="24"/>
        </w:rPr>
        <w:t xml:space="preserve"> </w:t>
      </w:r>
      <w:r w:rsidR="00D4555B">
        <w:rPr>
          <w:rFonts w:ascii="GHEA Grapalat" w:hAnsi="GHEA Grapalat" w:cs="Arial"/>
          <w:sz w:val="24"/>
          <w:szCs w:val="24"/>
        </w:rPr>
        <w:t>ք</w:t>
      </w:r>
      <w:r w:rsidR="00841627">
        <w:rPr>
          <w:rFonts w:ascii="GHEA Grapalat" w:hAnsi="GHEA Grapalat" w:cs="Arial"/>
          <w:sz w:val="24"/>
          <w:szCs w:val="24"/>
        </w:rPr>
        <w:t xml:space="preserve">աղաքական օրակարգի փոփոխություն և քաղաքականությունների ցածր հետևողականություն: </w:t>
      </w:r>
      <w:r w:rsidR="00841627" w:rsidRPr="003F34B8">
        <w:rPr>
          <w:rFonts w:ascii="GHEA Grapalat" w:hAnsi="GHEA Grapalat" w:cs="Arial"/>
          <w:sz w:val="24"/>
          <w:szCs w:val="24"/>
        </w:rPr>
        <w:t xml:space="preserve">2026-2030 </w:t>
      </w:r>
      <w:r w:rsidR="00841627">
        <w:rPr>
          <w:rFonts w:ascii="GHEA Grapalat" w:hAnsi="GHEA Grapalat" w:cs="Arial"/>
          <w:sz w:val="24"/>
          <w:szCs w:val="24"/>
        </w:rPr>
        <w:t xml:space="preserve">ժամանակահատվածում քաղաքական առաջնահերթությունների փոփոխությունները և </w:t>
      </w:r>
      <w:r w:rsidR="0043760B">
        <w:rPr>
          <w:rFonts w:ascii="GHEA Grapalat" w:hAnsi="GHEA Grapalat" w:cs="Arial"/>
          <w:sz w:val="24"/>
          <w:szCs w:val="24"/>
        </w:rPr>
        <w:t>ֆինանսավորման անկայունությունը կարող են</w:t>
      </w:r>
      <w:r w:rsidR="00BB2709">
        <w:rPr>
          <w:rFonts w:ascii="GHEA Grapalat" w:hAnsi="GHEA Grapalat" w:cs="Arial"/>
          <w:sz w:val="24"/>
          <w:szCs w:val="24"/>
        </w:rPr>
        <w:t xml:space="preserve"> հանգեցնել ռազմավարության թերի կատարման: Այս իմաստով անհրաժեշտ է ապահովել հետևողական և բարձր մակարդակում ռազմավարության աջակցությունը, որպեսզի ժանքերը արմատավորվեն և ապահովվի բարեփոխումների կայունությունը: Քաղաքական կամքի ցանկացած թուլացում կամ շեղում</w:t>
      </w:r>
      <w:r w:rsidR="008C0387">
        <w:rPr>
          <w:rFonts w:ascii="GHEA Grapalat" w:hAnsi="GHEA Grapalat" w:cs="Arial"/>
          <w:sz w:val="24"/>
          <w:szCs w:val="24"/>
        </w:rPr>
        <w:t xml:space="preserve"> կարող է</w:t>
      </w:r>
      <w:r w:rsidR="000C1C45">
        <w:rPr>
          <w:rFonts w:ascii="GHEA Grapalat" w:hAnsi="GHEA Grapalat" w:cs="Arial"/>
          <w:sz w:val="24"/>
          <w:szCs w:val="24"/>
        </w:rPr>
        <w:t xml:space="preserve"> բերել ֆինանսավորման վերաբաշխման </w:t>
      </w:r>
      <w:r w:rsidR="00BB2709">
        <w:rPr>
          <w:rFonts w:ascii="GHEA Grapalat" w:hAnsi="GHEA Grapalat" w:cs="Arial"/>
          <w:sz w:val="24"/>
          <w:szCs w:val="24"/>
        </w:rPr>
        <w:t xml:space="preserve">դեպի այլ ավելի </w:t>
      </w:r>
      <w:r w:rsidR="008C0387">
        <w:rPr>
          <w:rFonts w:ascii="GHEA Grapalat" w:hAnsi="GHEA Grapalat" w:cs="Arial"/>
          <w:sz w:val="24"/>
          <w:szCs w:val="24"/>
        </w:rPr>
        <w:t xml:space="preserve">հանրահաճո </w:t>
      </w:r>
      <w:r w:rsidR="0052779F">
        <w:rPr>
          <w:rFonts w:ascii="GHEA Grapalat" w:hAnsi="GHEA Grapalat" w:cs="Arial"/>
          <w:sz w:val="24"/>
          <w:szCs w:val="24"/>
        </w:rPr>
        <w:t xml:space="preserve">կամ առաջնահերթ </w:t>
      </w:r>
      <w:r w:rsidR="000C1C45">
        <w:rPr>
          <w:rFonts w:ascii="GHEA Grapalat" w:hAnsi="GHEA Grapalat" w:cs="Arial"/>
          <w:sz w:val="24"/>
          <w:szCs w:val="24"/>
        </w:rPr>
        <w:t>ուղղություններ</w:t>
      </w:r>
      <w:r w:rsidR="00E95791">
        <w:rPr>
          <w:rFonts w:ascii="GHEA Grapalat" w:hAnsi="GHEA Grapalat" w:cs="Arial"/>
          <w:sz w:val="24"/>
          <w:szCs w:val="24"/>
        </w:rPr>
        <w:t xml:space="preserve">` </w:t>
      </w:r>
      <w:r w:rsidR="0052779F">
        <w:rPr>
          <w:rFonts w:ascii="GHEA Grapalat" w:hAnsi="GHEA Grapalat" w:cs="Arial"/>
          <w:sz w:val="24"/>
          <w:szCs w:val="24"/>
        </w:rPr>
        <w:t>այդպիսով թողնելով Ծրագիրը առանց իրականացման ռեսուրսի</w:t>
      </w:r>
      <w:r w:rsidR="00D4555B">
        <w:rPr>
          <w:rFonts w:ascii="Cambria Math" w:hAnsi="Cambria Math" w:cs="Arial"/>
          <w:sz w:val="24"/>
          <w:szCs w:val="24"/>
        </w:rPr>
        <w:t>․</w:t>
      </w:r>
    </w:p>
    <w:p w14:paraId="57AC6F21" w14:textId="742903C2" w:rsidR="00510129" w:rsidRPr="0073444C" w:rsidRDefault="00DA5761" w:rsidP="00510129">
      <w:pPr>
        <w:tabs>
          <w:tab w:val="left" w:pos="851"/>
          <w:tab w:val="left" w:pos="993"/>
        </w:tabs>
        <w:spacing w:line="276" w:lineRule="auto"/>
        <w:ind w:firstLine="567"/>
        <w:jc w:val="both"/>
        <w:rPr>
          <w:rFonts w:ascii="GHEA Grapalat" w:hAnsi="GHEA Grapalat" w:cs="Arial"/>
          <w:sz w:val="24"/>
          <w:szCs w:val="24"/>
        </w:rPr>
      </w:pPr>
      <w:r w:rsidRPr="003F34B8">
        <w:rPr>
          <w:rFonts w:ascii="GHEA Grapalat" w:hAnsi="GHEA Grapalat" w:cs="Arial"/>
          <w:sz w:val="24"/>
          <w:szCs w:val="24"/>
        </w:rPr>
        <w:t xml:space="preserve">4) </w:t>
      </w:r>
      <w:r w:rsidR="00D4555B">
        <w:rPr>
          <w:rFonts w:ascii="GHEA Grapalat" w:hAnsi="GHEA Grapalat" w:cs="Arial"/>
          <w:sz w:val="24"/>
          <w:szCs w:val="24"/>
        </w:rPr>
        <w:t>գ</w:t>
      </w:r>
      <w:r>
        <w:rPr>
          <w:rFonts w:ascii="GHEA Grapalat" w:hAnsi="GHEA Grapalat" w:cs="Arial"/>
          <w:sz w:val="24"/>
          <w:szCs w:val="24"/>
        </w:rPr>
        <w:t>լոբալ տնտեսական և առողջապահական ցնցումներ: Ավելի լայնարձա</w:t>
      </w:r>
      <w:r w:rsidR="002C2B69">
        <w:rPr>
          <w:rFonts w:ascii="GHEA Grapalat" w:hAnsi="GHEA Grapalat" w:cs="Arial"/>
          <w:sz w:val="24"/>
          <w:szCs w:val="24"/>
        </w:rPr>
        <w:t>կ միջազգային ճգնաժամները ինչպիսին գլոբալ տնտեսական անկումներն են կամ առողջապահական իրավիճակները, կարող են անուղղակիորեն անդրադառնալ ռազմավարության իրականացման վրա</w:t>
      </w:r>
      <w:r w:rsidR="00BC01E0">
        <w:rPr>
          <w:rFonts w:ascii="GHEA Grapalat" w:hAnsi="GHEA Grapalat" w:cs="Arial"/>
          <w:sz w:val="24"/>
          <w:szCs w:val="24"/>
        </w:rPr>
        <w:t xml:space="preserve">: Տնտեսական ճգնաժամը կարող է նվազեցնել պետական եկամուտները, այդպիսով սպառնալիք ստեղծելով գիտության ոլորտի ֆինանսավորման կայունության համար: Միևնույն ժամանակ ֆինանսական </w:t>
      </w:r>
      <w:r w:rsidR="00BC01E0">
        <w:rPr>
          <w:rFonts w:ascii="GHEA Grapalat" w:hAnsi="GHEA Grapalat" w:cs="Arial"/>
          <w:sz w:val="24"/>
          <w:szCs w:val="24"/>
        </w:rPr>
        <w:lastRenderedPageBreak/>
        <w:t xml:space="preserve">անկայունությունը կամ դրամի արժեզրկումը կարող են դժվարացնել նյութերի ու սարքավորումների ձեռքբերումը կամ աշխատավարձերի մրցունակության </w:t>
      </w:r>
      <w:r w:rsidR="00BC01E0" w:rsidRPr="0073444C">
        <w:rPr>
          <w:rFonts w:ascii="GHEA Grapalat" w:hAnsi="GHEA Grapalat" w:cs="Arial"/>
          <w:sz w:val="24"/>
          <w:szCs w:val="24"/>
        </w:rPr>
        <w:t>պահպանումը</w:t>
      </w:r>
      <w:r w:rsidR="00510129" w:rsidRPr="0073444C">
        <w:rPr>
          <w:rFonts w:ascii="GHEA Grapalat" w:hAnsi="GHEA Grapalat" w:cs="Arial"/>
          <w:sz w:val="24"/>
          <w:szCs w:val="24"/>
        </w:rPr>
        <w:t>` որոշակիորեն հետ պտտելով իրականացված բարեփոխումների ընթացքը: Նմանապես համավարակը կամ նմանատիպ գլոբալ առողջապահական իրավիճակը կարող է ակնթարթորեն շեղել պետության առաջնահերթությունները Ծրագրից:</w:t>
      </w:r>
    </w:p>
    <w:p w14:paraId="0B718D4D" w14:textId="0AB26285" w:rsidR="00510129" w:rsidRPr="0073444C" w:rsidRDefault="00510129" w:rsidP="00510129">
      <w:pPr>
        <w:tabs>
          <w:tab w:val="left" w:pos="851"/>
          <w:tab w:val="left" w:pos="993"/>
        </w:tabs>
        <w:spacing w:line="276" w:lineRule="auto"/>
        <w:ind w:firstLine="567"/>
        <w:jc w:val="both"/>
        <w:rPr>
          <w:rFonts w:ascii="GHEA Grapalat" w:hAnsi="GHEA Grapalat" w:cs="Arial"/>
          <w:sz w:val="24"/>
          <w:szCs w:val="24"/>
        </w:rPr>
      </w:pPr>
    </w:p>
    <w:p w14:paraId="057F9EF9" w14:textId="7FFA5F34" w:rsidR="00510129" w:rsidRPr="0073444C" w:rsidRDefault="00510129" w:rsidP="00510129">
      <w:pPr>
        <w:pStyle w:val="Heading2"/>
      </w:pPr>
      <w:bookmarkStart w:id="28" w:name="_Toc215422105"/>
      <w:r w:rsidRPr="0073444C">
        <w:t>8.2 ՌԻՍԿԵՐԻ ԿԱՌԱՎԱՐՈՒՄԸ</w:t>
      </w:r>
      <w:bookmarkEnd w:id="28"/>
    </w:p>
    <w:p w14:paraId="066C3358" w14:textId="77777777" w:rsidR="001C6C9C" w:rsidRPr="0073444C" w:rsidRDefault="001C6C9C" w:rsidP="0073444C">
      <w:pPr>
        <w:rPr>
          <w:rFonts w:ascii="GHEA Grapalat" w:hAnsi="GHEA Grapalat"/>
          <w:sz w:val="24"/>
          <w:szCs w:val="24"/>
        </w:rPr>
      </w:pPr>
    </w:p>
    <w:p w14:paraId="592D4923" w14:textId="4429A832" w:rsidR="00510129" w:rsidRPr="0073444C" w:rsidRDefault="00AF3EC0" w:rsidP="00AF3EC0">
      <w:pPr>
        <w:tabs>
          <w:tab w:val="left" w:pos="851"/>
          <w:tab w:val="left" w:pos="993"/>
        </w:tabs>
        <w:spacing w:line="276" w:lineRule="auto"/>
        <w:ind w:firstLine="567"/>
        <w:jc w:val="both"/>
        <w:rPr>
          <w:rFonts w:ascii="GHEA Grapalat" w:hAnsi="GHEA Grapalat" w:cs="Arial"/>
          <w:sz w:val="24"/>
          <w:szCs w:val="24"/>
        </w:rPr>
      </w:pPr>
      <w:r w:rsidRPr="0073444C">
        <w:rPr>
          <w:rFonts w:ascii="GHEA Grapalat" w:hAnsi="GHEA Grapalat" w:cs="Arial"/>
          <w:sz w:val="24"/>
          <w:szCs w:val="24"/>
        </w:rPr>
        <w:t>6</w:t>
      </w:r>
      <w:r w:rsidR="002831A5" w:rsidRPr="0073444C">
        <w:rPr>
          <w:rFonts w:ascii="GHEA Grapalat" w:hAnsi="GHEA Grapalat" w:cs="Arial"/>
          <w:sz w:val="24"/>
          <w:szCs w:val="24"/>
        </w:rPr>
        <w:t>4</w:t>
      </w:r>
      <w:r w:rsidRPr="0073444C">
        <w:rPr>
          <w:rFonts w:ascii="GHEA Grapalat" w:hAnsi="GHEA Grapalat" w:cs="Arial"/>
          <w:sz w:val="24"/>
          <w:szCs w:val="24"/>
        </w:rPr>
        <w:t>. Ինստիտուցիոնալ-օպերացիոնալ ռիսկերի կառավարման համար նախ</w:t>
      </w:r>
      <w:r w:rsidR="00D4555B" w:rsidRPr="0073444C">
        <w:rPr>
          <w:rFonts w:ascii="GHEA Grapalat" w:hAnsi="GHEA Grapalat" w:cs="Arial"/>
          <w:sz w:val="24"/>
          <w:szCs w:val="24"/>
        </w:rPr>
        <w:t>ատեսված են հետևյալ տարբերակները՝</w:t>
      </w:r>
    </w:p>
    <w:p w14:paraId="07DC86F8" w14:textId="7259AFFC" w:rsidR="00512D51" w:rsidRPr="00512D51" w:rsidRDefault="00AF3EC0" w:rsidP="00512D51">
      <w:pPr>
        <w:tabs>
          <w:tab w:val="left" w:pos="851"/>
          <w:tab w:val="left" w:pos="993"/>
        </w:tabs>
        <w:spacing w:line="276" w:lineRule="auto"/>
        <w:ind w:firstLine="567"/>
        <w:jc w:val="both"/>
        <w:rPr>
          <w:rFonts w:ascii="GHEA Grapalat" w:hAnsi="GHEA Grapalat" w:cs="Arial"/>
          <w:sz w:val="24"/>
          <w:szCs w:val="24"/>
        </w:rPr>
      </w:pPr>
      <w:r w:rsidRPr="0073444C">
        <w:rPr>
          <w:rFonts w:ascii="GHEA Grapalat" w:hAnsi="GHEA Grapalat" w:cs="Arial"/>
          <w:sz w:val="24"/>
          <w:szCs w:val="24"/>
        </w:rPr>
        <w:t xml:space="preserve">1) </w:t>
      </w:r>
      <w:r w:rsidR="00D4555B" w:rsidRPr="0073444C">
        <w:rPr>
          <w:rFonts w:ascii="GHEA Grapalat" w:hAnsi="GHEA Grapalat" w:cs="Arial"/>
          <w:sz w:val="24"/>
          <w:szCs w:val="24"/>
        </w:rPr>
        <w:t>պ</w:t>
      </w:r>
      <w:r w:rsidRPr="0073444C">
        <w:rPr>
          <w:rFonts w:ascii="GHEA Grapalat" w:hAnsi="GHEA Grapalat" w:cs="Arial"/>
          <w:sz w:val="24"/>
          <w:szCs w:val="24"/>
        </w:rPr>
        <w:t xml:space="preserve">ատշաճ միջգերատեսչական համակարգման ձախողումից խուսափելու նպատակով ռազմավարության իրականացման համար պատասխանատու </w:t>
      </w:r>
      <w:r w:rsidR="00592133" w:rsidRPr="0073444C">
        <w:rPr>
          <w:rFonts w:ascii="GHEA Grapalat" w:hAnsi="GHEA Grapalat" w:cs="Arial"/>
          <w:sz w:val="24"/>
          <w:szCs w:val="24"/>
        </w:rPr>
        <w:t xml:space="preserve">կազմակերպություն է սահմանվում </w:t>
      </w:r>
      <w:r w:rsidR="00692DC6" w:rsidRPr="0073444C">
        <w:rPr>
          <w:rFonts w:ascii="GHEA Grapalat" w:hAnsi="GHEA Grapalat" w:cs="Arial"/>
          <w:sz w:val="24"/>
          <w:szCs w:val="24"/>
        </w:rPr>
        <w:t>Կ</w:t>
      </w:r>
      <w:r w:rsidR="00592133" w:rsidRPr="0073444C">
        <w:rPr>
          <w:rFonts w:ascii="GHEA Grapalat" w:hAnsi="GHEA Grapalat" w:cs="Arial"/>
          <w:sz w:val="24"/>
          <w:szCs w:val="24"/>
        </w:rPr>
        <w:t xml:space="preserve">ոմիտեն, որին վերապահվում է </w:t>
      </w:r>
      <w:r w:rsidR="00BC6FFF" w:rsidRPr="0073444C">
        <w:rPr>
          <w:rFonts w:ascii="GHEA Grapalat" w:hAnsi="GHEA Grapalat" w:cs="Arial"/>
          <w:sz w:val="24"/>
          <w:szCs w:val="24"/>
        </w:rPr>
        <w:t xml:space="preserve">Ծրագրի շրջանակներում </w:t>
      </w:r>
      <w:r w:rsidR="00592133" w:rsidRPr="0073444C">
        <w:rPr>
          <w:rFonts w:ascii="GHEA Grapalat" w:hAnsi="GHEA Grapalat" w:cs="Arial"/>
          <w:sz w:val="24"/>
          <w:szCs w:val="24"/>
        </w:rPr>
        <w:t xml:space="preserve">միջգերատեսչական աշխատանքների </w:t>
      </w:r>
      <w:r w:rsidR="00BC6FFF" w:rsidRPr="0073444C">
        <w:rPr>
          <w:rFonts w:ascii="GHEA Grapalat" w:hAnsi="GHEA Grapalat" w:cs="Arial"/>
          <w:sz w:val="24"/>
          <w:szCs w:val="24"/>
        </w:rPr>
        <w:t>համակարգման գործառույթը</w:t>
      </w:r>
      <w:r w:rsidRPr="0073444C">
        <w:rPr>
          <w:rFonts w:ascii="GHEA Grapalat" w:hAnsi="GHEA Grapalat" w:cs="Arial"/>
          <w:sz w:val="24"/>
          <w:szCs w:val="24"/>
        </w:rPr>
        <w:t>:</w:t>
      </w:r>
      <w:r w:rsidR="00BC6FFF">
        <w:rPr>
          <w:rFonts w:ascii="GHEA Grapalat" w:hAnsi="GHEA Grapalat" w:cs="Arial"/>
          <w:sz w:val="24"/>
          <w:szCs w:val="24"/>
        </w:rPr>
        <w:t xml:space="preserve"> Դրա իրականացման համար </w:t>
      </w:r>
      <w:r w:rsidR="00A02F10">
        <w:rPr>
          <w:rFonts w:ascii="GHEA Grapalat" w:hAnsi="GHEA Grapalat" w:cs="Arial"/>
          <w:sz w:val="24"/>
          <w:szCs w:val="24"/>
        </w:rPr>
        <w:t>Կ</w:t>
      </w:r>
      <w:r w:rsidR="00BC6FFF">
        <w:rPr>
          <w:rFonts w:ascii="GHEA Grapalat" w:hAnsi="GHEA Grapalat" w:cs="Arial"/>
          <w:sz w:val="24"/>
          <w:szCs w:val="24"/>
        </w:rPr>
        <w:t>ոմիտեն վարում է ռազմավարության իրականացման ընթացքը ներկայացնող հանրային հասանելիությամբ առցանց համակարգը:</w:t>
      </w:r>
    </w:p>
    <w:p w14:paraId="3232899F" w14:textId="71CC0648" w:rsidR="00512D51" w:rsidRPr="00512D51" w:rsidRDefault="00BC6FFF" w:rsidP="00512D51">
      <w:pPr>
        <w:tabs>
          <w:tab w:val="left" w:pos="851"/>
          <w:tab w:val="left" w:pos="993"/>
        </w:tabs>
        <w:spacing w:line="276" w:lineRule="auto"/>
        <w:ind w:firstLine="567"/>
        <w:jc w:val="both"/>
        <w:rPr>
          <w:rFonts w:ascii="GHEA Grapalat" w:hAnsi="GHEA Grapalat" w:cs="Arial"/>
          <w:sz w:val="24"/>
          <w:szCs w:val="24"/>
        </w:rPr>
      </w:pPr>
      <w:r>
        <w:rPr>
          <w:rFonts w:ascii="GHEA Grapalat" w:hAnsi="GHEA Grapalat" w:cs="Arial"/>
          <w:sz w:val="24"/>
          <w:szCs w:val="24"/>
        </w:rPr>
        <w:t xml:space="preserve">Միջգերատեսչական աշխատանքների համակարգման համար ըստ անհրաժեշտության կազմակերպվում է նախարարությունների կամ կոմիտեների մակարդակներում </w:t>
      </w:r>
      <w:r w:rsidR="002E4122">
        <w:rPr>
          <w:rFonts w:ascii="GHEA Grapalat" w:hAnsi="GHEA Grapalat" w:cs="Arial"/>
          <w:sz w:val="24"/>
          <w:szCs w:val="24"/>
        </w:rPr>
        <w:t>իրականացման ենթակա մտադրությունների հուշագրերի և պարտականությունների բաշխման մատրիցաների վավերացում, յուրաքանչյուր համատեղ ծրագրերի համար, որոնք ստորագրվում են համապատասխան նախարարների, ղեկավարների կամ ռեկտորների կողմից:</w:t>
      </w:r>
    </w:p>
    <w:p w14:paraId="59C9E02E" w14:textId="484F2B29" w:rsidR="00512D51" w:rsidRPr="00512D51" w:rsidRDefault="002E4122" w:rsidP="00512D51">
      <w:pPr>
        <w:tabs>
          <w:tab w:val="left" w:pos="851"/>
          <w:tab w:val="left" w:pos="993"/>
        </w:tabs>
        <w:spacing w:line="276" w:lineRule="auto"/>
        <w:ind w:firstLine="567"/>
        <w:jc w:val="both"/>
        <w:rPr>
          <w:rFonts w:ascii="GHEA Grapalat" w:hAnsi="GHEA Grapalat" w:cs="Arial"/>
          <w:sz w:val="24"/>
          <w:szCs w:val="24"/>
        </w:rPr>
      </w:pPr>
      <w:r>
        <w:rPr>
          <w:rFonts w:ascii="GHEA Grapalat" w:hAnsi="GHEA Grapalat" w:cs="Arial"/>
          <w:sz w:val="24"/>
          <w:szCs w:val="24"/>
        </w:rPr>
        <w:t>Յուրաքանչյուր եռամսյակի կամ կիսամյակի առա</w:t>
      </w:r>
      <w:r w:rsidR="00D33D69">
        <w:rPr>
          <w:rFonts w:ascii="GHEA Grapalat" w:hAnsi="GHEA Grapalat" w:cs="Arial"/>
          <w:sz w:val="24"/>
          <w:szCs w:val="24"/>
        </w:rPr>
        <w:t>ջընթացի մոնիթորինգի հանդիպումներ դերակատարների մասնակցությամբ</w:t>
      </w:r>
      <w:r w:rsidR="00A02F10">
        <w:rPr>
          <w:rFonts w:ascii="GHEA Grapalat" w:hAnsi="GHEA Grapalat" w:cs="Arial"/>
          <w:sz w:val="24"/>
          <w:szCs w:val="24"/>
        </w:rPr>
        <w:t>,</w:t>
      </w:r>
      <w:r w:rsidR="00D33D69">
        <w:rPr>
          <w:rFonts w:ascii="GHEA Grapalat" w:hAnsi="GHEA Grapalat" w:cs="Arial"/>
          <w:sz w:val="24"/>
          <w:szCs w:val="24"/>
        </w:rPr>
        <w:t xml:space="preserve"> որի ժամանակ ըստ անհրաժեշտության կարգաբերվում են ժամանակացույցերը և բուջետային գործընթացները:</w:t>
      </w:r>
    </w:p>
    <w:p w14:paraId="097F979B" w14:textId="27DF5BD4" w:rsidR="00512D51" w:rsidRPr="00512D51" w:rsidRDefault="00D33D69" w:rsidP="00512D51">
      <w:pPr>
        <w:tabs>
          <w:tab w:val="left" w:pos="851"/>
          <w:tab w:val="left" w:pos="993"/>
        </w:tabs>
        <w:spacing w:line="276" w:lineRule="auto"/>
        <w:ind w:firstLine="567"/>
        <w:jc w:val="both"/>
        <w:rPr>
          <w:rFonts w:ascii="GHEA Grapalat" w:hAnsi="GHEA Grapalat" w:cs="Arial"/>
          <w:sz w:val="24"/>
          <w:szCs w:val="24"/>
        </w:rPr>
      </w:pPr>
      <w:r>
        <w:rPr>
          <w:rFonts w:ascii="GHEA Grapalat" w:hAnsi="GHEA Grapalat" w:cs="Arial"/>
          <w:sz w:val="24"/>
          <w:szCs w:val="24"/>
        </w:rPr>
        <w:t xml:space="preserve">Գիտական կազմակերպությունների և բուհերի ֆինանսավորման </w:t>
      </w:r>
      <w:r w:rsidR="001E0280">
        <w:rPr>
          <w:rFonts w:ascii="GHEA Grapalat" w:hAnsi="GHEA Grapalat" w:cs="Arial"/>
          <w:sz w:val="24"/>
          <w:szCs w:val="24"/>
        </w:rPr>
        <w:t>համակարգում ներդրվում են համապատասխան թիրախային ցուցիչները, որոնց ուղղությամբ ձևավորվում են պ</w:t>
      </w:r>
      <w:r w:rsidR="00D4555B">
        <w:rPr>
          <w:rFonts w:ascii="GHEA Grapalat" w:hAnsi="GHEA Grapalat" w:cs="Arial"/>
          <w:sz w:val="24"/>
          <w:szCs w:val="24"/>
        </w:rPr>
        <w:t>այմանագրային պարտավորություններ․</w:t>
      </w:r>
    </w:p>
    <w:p w14:paraId="3764761A" w14:textId="628D4B6D" w:rsidR="00512D51" w:rsidRPr="00512D51" w:rsidRDefault="001E0280" w:rsidP="0007422D">
      <w:pPr>
        <w:tabs>
          <w:tab w:val="left" w:pos="851"/>
          <w:tab w:val="left" w:pos="993"/>
        </w:tabs>
        <w:spacing w:line="276" w:lineRule="auto"/>
        <w:ind w:firstLine="567"/>
        <w:jc w:val="both"/>
        <w:rPr>
          <w:rFonts w:ascii="GHEA Grapalat" w:hAnsi="GHEA Grapalat" w:cs="Arial"/>
          <w:sz w:val="24"/>
          <w:szCs w:val="24"/>
        </w:rPr>
      </w:pPr>
      <w:r w:rsidRPr="003F34B8">
        <w:rPr>
          <w:rFonts w:ascii="GHEA Grapalat" w:hAnsi="GHEA Grapalat" w:cs="Arial"/>
          <w:sz w:val="24"/>
          <w:szCs w:val="24"/>
        </w:rPr>
        <w:t xml:space="preserve">2) </w:t>
      </w:r>
      <w:r w:rsidR="00D4555B">
        <w:rPr>
          <w:rFonts w:ascii="GHEA Grapalat" w:hAnsi="GHEA Grapalat" w:cs="Arial"/>
          <w:sz w:val="24"/>
          <w:szCs w:val="24"/>
        </w:rPr>
        <w:t>վ</w:t>
      </w:r>
      <w:r>
        <w:rPr>
          <w:rFonts w:ascii="GHEA Grapalat" w:hAnsi="GHEA Grapalat" w:cs="Arial"/>
          <w:sz w:val="24"/>
          <w:szCs w:val="24"/>
        </w:rPr>
        <w:t xml:space="preserve">արչարարական գերբեռնվածության և բյուրոկրատական արգելակման հաղթահարման </w:t>
      </w:r>
      <w:r w:rsidR="004629DA">
        <w:rPr>
          <w:rFonts w:ascii="GHEA Grapalat" w:hAnsi="GHEA Grapalat" w:cs="Arial"/>
          <w:sz w:val="24"/>
          <w:szCs w:val="24"/>
        </w:rPr>
        <w:t>գործիքները ներառում են ծրագրերի կոնսոլիդացումը և պրոցեսների ու հաշվետվությունների ձևաչափերի ստանդարտացումը</w:t>
      </w:r>
      <w:r w:rsidR="00A02F10">
        <w:rPr>
          <w:rFonts w:ascii="GHEA Grapalat" w:hAnsi="GHEA Grapalat" w:cs="Arial"/>
          <w:sz w:val="24"/>
          <w:szCs w:val="24"/>
        </w:rPr>
        <w:t>,</w:t>
      </w:r>
      <w:r w:rsidR="004629DA">
        <w:rPr>
          <w:rFonts w:ascii="GHEA Grapalat" w:hAnsi="GHEA Grapalat" w:cs="Arial"/>
          <w:sz w:val="24"/>
          <w:szCs w:val="24"/>
        </w:rPr>
        <w:t xml:space="preserve"> ինչպես նաև միասնական թվային պորտալի բարելավումը: Աշխատանքների արտապատվիրակումը գերծանրաբեռնված ժամանակահատվածների համար</w:t>
      </w:r>
      <w:r w:rsidR="008173DC">
        <w:rPr>
          <w:rFonts w:ascii="GHEA Grapalat" w:hAnsi="GHEA Grapalat" w:cs="Arial"/>
          <w:sz w:val="24"/>
          <w:szCs w:val="24"/>
        </w:rPr>
        <w:t>` նախապես ընտրված մասնագիտացված խմբերի ներգրավմամբ:</w:t>
      </w:r>
      <w:r w:rsidR="004629DA">
        <w:rPr>
          <w:rFonts w:ascii="GHEA Grapalat" w:hAnsi="GHEA Grapalat" w:cs="Arial"/>
          <w:sz w:val="24"/>
          <w:szCs w:val="24"/>
        </w:rPr>
        <w:t xml:space="preserve"> Գործընթացների օպտիմալաց</w:t>
      </w:r>
      <w:r w:rsidR="0007422D">
        <w:rPr>
          <w:rFonts w:ascii="GHEA Grapalat" w:hAnsi="GHEA Grapalat" w:cs="Arial"/>
          <w:sz w:val="24"/>
          <w:szCs w:val="24"/>
        </w:rPr>
        <w:t>ման աշխատաժողովներ</w:t>
      </w:r>
      <w:r w:rsidR="00D4555B">
        <w:rPr>
          <w:rFonts w:ascii="Cambria Math" w:hAnsi="Cambria Math" w:cs="Arial"/>
          <w:sz w:val="24"/>
          <w:szCs w:val="24"/>
        </w:rPr>
        <w:t>․</w:t>
      </w:r>
    </w:p>
    <w:p w14:paraId="67BC08FA" w14:textId="16065108" w:rsidR="00512D51" w:rsidRPr="00D4555B" w:rsidRDefault="0007422D" w:rsidP="00BF1572">
      <w:pPr>
        <w:tabs>
          <w:tab w:val="left" w:pos="851"/>
          <w:tab w:val="left" w:pos="993"/>
        </w:tabs>
        <w:spacing w:line="276" w:lineRule="auto"/>
        <w:ind w:firstLine="567"/>
        <w:jc w:val="both"/>
        <w:rPr>
          <w:rFonts w:ascii="Cambria Math" w:hAnsi="Cambria Math" w:cs="Arial"/>
          <w:sz w:val="24"/>
          <w:szCs w:val="24"/>
        </w:rPr>
      </w:pPr>
      <w:r w:rsidRPr="003F34B8">
        <w:rPr>
          <w:rFonts w:ascii="GHEA Grapalat" w:hAnsi="GHEA Grapalat" w:cs="Arial"/>
          <w:sz w:val="24"/>
          <w:szCs w:val="24"/>
        </w:rPr>
        <w:t xml:space="preserve">3) </w:t>
      </w:r>
      <w:r w:rsidR="00D4555B">
        <w:rPr>
          <w:rFonts w:ascii="GHEA Grapalat" w:hAnsi="GHEA Grapalat" w:cs="Arial"/>
          <w:sz w:val="24"/>
          <w:szCs w:val="24"/>
        </w:rPr>
        <w:t>կ</w:t>
      </w:r>
      <w:r>
        <w:rPr>
          <w:rFonts w:ascii="GHEA Grapalat" w:hAnsi="GHEA Grapalat" w:cs="Arial"/>
          <w:sz w:val="24"/>
          <w:szCs w:val="24"/>
        </w:rPr>
        <w:t>արողությունների սղության և հմտությունների բացերի ռիսկ</w:t>
      </w:r>
      <w:r w:rsidR="0016676D">
        <w:rPr>
          <w:rFonts w:ascii="GHEA Grapalat" w:hAnsi="GHEA Grapalat" w:cs="Arial"/>
          <w:sz w:val="24"/>
          <w:szCs w:val="24"/>
        </w:rPr>
        <w:t xml:space="preserve">ի կառավարման համար կազմվելու է հանգուցային պաշտոնների ցանկ </w:t>
      </w:r>
      <w:r w:rsidR="00512D51" w:rsidRPr="00512D51">
        <w:rPr>
          <w:rFonts w:ascii="GHEA Grapalat" w:hAnsi="GHEA Grapalat" w:cs="Arial"/>
          <w:sz w:val="24"/>
          <w:szCs w:val="24"/>
        </w:rPr>
        <w:t>(</w:t>
      </w:r>
      <w:r w:rsidR="0016676D">
        <w:rPr>
          <w:rFonts w:ascii="GHEA Grapalat" w:hAnsi="GHEA Grapalat" w:cs="Arial"/>
          <w:sz w:val="24"/>
          <w:szCs w:val="24"/>
        </w:rPr>
        <w:t>ծրագրերի ղեկավարներ, լաբորատորիաների վարիչներ, տեխնոլոգիաների փոխանցման մասնագետներ</w:t>
      </w:r>
      <w:r w:rsidR="00BA3E54">
        <w:rPr>
          <w:rFonts w:ascii="GHEA Grapalat" w:hAnsi="GHEA Grapalat" w:cs="Arial"/>
          <w:sz w:val="24"/>
          <w:szCs w:val="24"/>
        </w:rPr>
        <w:t xml:space="preserve">, </w:t>
      </w:r>
      <w:r w:rsidR="00BA3E54">
        <w:rPr>
          <w:rFonts w:ascii="GHEA Grapalat" w:hAnsi="GHEA Grapalat" w:cs="Arial"/>
          <w:sz w:val="24"/>
          <w:szCs w:val="24"/>
        </w:rPr>
        <w:lastRenderedPageBreak/>
        <w:t xml:space="preserve">ֆինանսական մասնագետներ) և դրանց համար ունենալ </w:t>
      </w:r>
      <w:r w:rsidR="00BA3E54" w:rsidRPr="003F34B8">
        <w:rPr>
          <w:rFonts w:ascii="GHEA Grapalat" w:hAnsi="GHEA Grapalat" w:cs="Arial"/>
          <w:sz w:val="24"/>
          <w:szCs w:val="24"/>
        </w:rPr>
        <w:t xml:space="preserve">6-12 </w:t>
      </w:r>
      <w:r w:rsidR="00BA3E54">
        <w:rPr>
          <w:rFonts w:ascii="GHEA Grapalat" w:hAnsi="GHEA Grapalat" w:cs="Arial"/>
          <w:sz w:val="24"/>
          <w:szCs w:val="24"/>
        </w:rPr>
        <w:t>ամսվա վերապատրաստումների պլան:</w:t>
      </w:r>
      <w:r w:rsidR="00711ADA">
        <w:rPr>
          <w:rFonts w:ascii="GHEA Grapalat" w:hAnsi="GHEA Grapalat" w:cs="Arial"/>
          <w:sz w:val="24"/>
          <w:szCs w:val="24"/>
        </w:rPr>
        <w:t xml:space="preserve"> Հմտությունների բացի լրացումը հնարավոր է նաև գործուղումների միջոցով</w:t>
      </w:r>
      <w:r w:rsidR="00A02F10">
        <w:rPr>
          <w:rFonts w:ascii="GHEA Grapalat" w:hAnsi="GHEA Grapalat" w:cs="Arial"/>
          <w:sz w:val="24"/>
          <w:szCs w:val="24"/>
        </w:rPr>
        <w:t>,</w:t>
      </w:r>
      <w:r w:rsidR="00711ADA">
        <w:rPr>
          <w:rFonts w:ascii="GHEA Grapalat" w:hAnsi="GHEA Grapalat" w:cs="Arial"/>
          <w:sz w:val="24"/>
          <w:szCs w:val="24"/>
        </w:rPr>
        <w:t xml:space="preserve"> երբ սփյուռքի կամ</w:t>
      </w:r>
      <w:r w:rsidR="00A02F10">
        <w:rPr>
          <w:rFonts w:ascii="GHEA Grapalat" w:hAnsi="GHEA Grapalat" w:cs="Arial"/>
          <w:sz w:val="24"/>
          <w:szCs w:val="24"/>
        </w:rPr>
        <w:t xml:space="preserve"> արտերկրի փորձառու մասնագետներն </w:t>
      </w:r>
      <w:r w:rsidR="00711ADA">
        <w:rPr>
          <w:rFonts w:ascii="GHEA Grapalat" w:hAnsi="GHEA Grapalat" w:cs="Arial"/>
          <w:sz w:val="24"/>
          <w:szCs w:val="24"/>
        </w:rPr>
        <w:t>աշխատում են տեղի գործընկերների հետ` փորձի փոխանակման նպատակով:</w:t>
      </w:r>
      <w:r w:rsidR="00BF1572">
        <w:rPr>
          <w:rFonts w:ascii="GHEA Grapalat" w:hAnsi="GHEA Grapalat" w:cs="Arial"/>
          <w:sz w:val="24"/>
          <w:szCs w:val="24"/>
        </w:rPr>
        <w:t xml:space="preserve"> Ստանդարտացված և փաստաթղթավորված ընթացակարգեր</w:t>
      </w:r>
      <w:r w:rsidR="00512D51" w:rsidRPr="00512D51">
        <w:rPr>
          <w:rFonts w:ascii="GHEA Grapalat" w:hAnsi="GHEA Grapalat" w:cs="Arial"/>
          <w:sz w:val="24"/>
          <w:szCs w:val="24"/>
        </w:rPr>
        <w:t xml:space="preserve"> (</w:t>
      </w:r>
      <w:r w:rsidR="00BF1572">
        <w:rPr>
          <w:rFonts w:ascii="GHEA Grapalat" w:hAnsi="GHEA Grapalat" w:cs="Arial"/>
          <w:sz w:val="24"/>
          <w:szCs w:val="24"/>
        </w:rPr>
        <w:t>դրամաշնորհների ձևակերպում</w:t>
      </w:r>
      <w:r w:rsidR="00512D51" w:rsidRPr="00512D51">
        <w:rPr>
          <w:rFonts w:ascii="GHEA Grapalat" w:hAnsi="GHEA Grapalat" w:cs="Arial"/>
          <w:sz w:val="24"/>
          <w:szCs w:val="24"/>
        </w:rPr>
        <w:t xml:space="preserve">, </w:t>
      </w:r>
      <w:r w:rsidR="00BF1572">
        <w:rPr>
          <w:rFonts w:ascii="GHEA Grapalat" w:hAnsi="GHEA Grapalat" w:cs="Arial"/>
          <w:sz w:val="24"/>
          <w:szCs w:val="24"/>
        </w:rPr>
        <w:t>գնահատման կազմակերպում</w:t>
      </w:r>
      <w:r w:rsidR="00512D51" w:rsidRPr="00512D51">
        <w:rPr>
          <w:rFonts w:ascii="GHEA Grapalat" w:hAnsi="GHEA Grapalat" w:cs="Arial"/>
          <w:sz w:val="24"/>
          <w:szCs w:val="24"/>
        </w:rPr>
        <w:t xml:space="preserve">, </w:t>
      </w:r>
      <w:r w:rsidR="00BF1572">
        <w:rPr>
          <w:rFonts w:ascii="GHEA Grapalat" w:hAnsi="GHEA Grapalat" w:cs="Arial"/>
          <w:sz w:val="24"/>
          <w:szCs w:val="24"/>
        </w:rPr>
        <w:t>երաշխավորումից հետո ուղեկցում, հաշվետվությունների ամփոփում, պատշաճ փաստաթղթավորում</w:t>
      </w:r>
      <w:r w:rsidR="00512D51" w:rsidRPr="00512D51">
        <w:rPr>
          <w:rFonts w:ascii="GHEA Grapalat" w:hAnsi="GHEA Grapalat" w:cs="Arial"/>
          <w:sz w:val="24"/>
          <w:szCs w:val="24"/>
        </w:rPr>
        <w:t>)</w:t>
      </w:r>
      <w:r w:rsidR="00BF1572">
        <w:rPr>
          <w:rFonts w:ascii="GHEA Grapalat" w:hAnsi="GHEA Grapalat" w:cs="Arial"/>
          <w:sz w:val="24"/>
          <w:szCs w:val="24"/>
        </w:rPr>
        <w:t>, ինչը կնվազեցնի «հերոսականություններից» կախվածությունը</w:t>
      </w:r>
      <w:r w:rsidR="00D4555B">
        <w:rPr>
          <w:rFonts w:ascii="Cambria Math" w:hAnsi="Cambria Math" w:cs="Arial"/>
          <w:sz w:val="24"/>
          <w:szCs w:val="24"/>
        </w:rPr>
        <w:t>․</w:t>
      </w:r>
    </w:p>
    <w:p w14:paraId="11D5BFE9" w14:textId="40DC40EE" w:rsidR="00512D51" w:rsidRPr="00D4555B" w:rsidRDefault="008173DC" w:rsidP="00512D51">
      <w:pPr>
        <w:tabs>
          <w:tab w:val="left" w:pos="851"/>
          <w:tab w:val="left" w:pos="993"/>
        </w:tabs>
        <w:spacing w:line="276" w:lineRule="auto"/>
        <w:ind w:firstLine="567"/>
        <w:jc w:val="both"/>
        <w:rPr>
          <w:rFonts w:ascii="Cambria Math" w:hAnsi="Cambria Math" w:cs="Arial"/>
          <w:sz w:val="24"/>
          <w:szCs w:val="24"/>
        </w:rPr>
      </w:pPr>
      <w:r w:rsidRPr="003F34B8">
        <w:rPr>
          <w:rFonts w:ascii="GHEA Grapalat" w:hAnsi="GHEA Grapalat" w:cs="Arial"/>
          <w:sz w:val="24"/>
          <w:szCs w:val="24"/>
        </w:rPr>
        <w:t xml:space="preserve">4) </w:t>
      </w:r>
      <w:r w:rsidR="00D4555B">
        <w:rPr>
          <w:rFonts w:ascii="GHEA Grapalat" w:hAnsi="GHEA Grapalat" w:cs="Arial"/>
          <w:sz w:val="24"/>
          <w:szCs w:val="24"/>
        </w:rPr>
        <w:t>ի</w:t>
      </w:r>
      <w:r>
        <w:rPr>
          <w:rFonts w:ascii="GHEA Grapalat" w:hAnsi="GHEA Grapalat" w:cs="Arial"/>
          <w:sz w:val="24"/>
          <w:szCs w:val="24"/>
        </w:rPr>
        <w:t>նստիտուցիոնալ վերափոխումների հանդեպ դիմադրության հաղթահարման համար իրականաացվելու են խոշորացման ճանապարհային քարտեզի հանրահռչակում և յուրաքանչյուր գիտական կազմակերպության վերաբերյալ տվյալների հրապարակում</w:t>
      </w:r>
      <w:r w:rsidR="00E1429D">
        <w:rPr>
          <w:rFonts w:ascii="GHEA Grapalat" w:hAnsi="GHEA Grapalat" w:cs="Arial"/>
          <w:sz w:val="24"/>
          <w:szCs w:val="24"/>
        </w:rPr>
        <w:t xml:space="preserve"> (առաքելություն, կատարողականի ցուցիչներ</w:t>
      </w:r>
      <w:r w:rsidR="00512D51" w:rsidRPr="00512D51">
        <w:rPr>
          <w:rFonts w:ascii="GHEA Grapalat" w:hAnsi="GHEA Grapalat" w:cs="Arial"/>
          <w:sz w:val="24"/>
          <w:szCs w:val="24"/>
        </w:rPr>
        <w:t>)</w:t>
      </w:r>
      <w:r w:rsidR="00E1429D">
        <w:rPr>
          <w:rFonts w:ascii="GHEA Grapalat" w:hAnsi="GHEA Grapalat" w:cs="Arial"/>
          <w:sz w:val="24"/>
          <w:szCs w:val="24"/>
        </w:rPr>
        <w:t xml:space="preserve">: Իրականցվելու է «երաշխիքների» տրամադրումներ` լաբորատորիաների շարունակականության </w:t>
      </w:r>
      <w:r w:rsidR="00B87ADD">
        <w:rPr>
          <w:rFonts w:ascii="GHEA Grapalat" w:hAnsi="GHEA Grapalat" w:cs="Arial"/>
          <w:sz w:val="24"/>
          <w:szCs w:val="24"/>
        </w:rPr>
        <w:t xml:space="preserve">միաձուլման դրամաշնորհային միջոցների տրամադրման և ներքին շարժունության հնարավորությունների ստեղծման միջոցով: Մասնակցային նախագծման նպատակով տեխնիկական աշխատանքային խմբերում ներգրավվելու են ոչ միայն ղեկավարներ, այլ նաև միջին </w:t>
      </w:r>
      <w:r w:rsidR="003333AA">
        <w:rPr>
          <w:rFonts w:ascii="GHEA Grapalat" w:hAnsi="GHEA Grapalat" w:cs="Arial"/>
          <w:sz w:val="24"/>
          <w:szCs w:val="24"/>
        </w:rPr>
        <w:t xml:space="preserve">և ցածր տարակարգերի հետազոտողներ և ուսանողներ: Կազմակերպվելու է առաջնորդողների </w:t>
      </w:r>
      <w:r w:rsidR="00C35085">
        <w:rPr>
          <w:rFonts w:ascii="GHEA Grapalat" w:hAnsi="GHEA Grapalat" w:cs="Arial"/>
          <w:sz w:val="24"/>
          <w:szCs w:val="24"/>
        </w:rPr>
        <w:t>խրախուսման ծրագիր, ինչը կընձեռի մրցակցային խթան այն կազմակերպությունների համար, որոնք առաջինը կորդեգրեն նոր կառավարման մոդելները, խոշորացման ընթացակարգերը և այլն</w:t>
      </w:r>
      <w:r w:rsidR="00D4555B">
        <w:rPr>
          <w:rFonts w:ascii="Cambria Math" w:hAnsi="Cambria Math" w:cs="Arial"/>
          <w:sz w:val="24"/>
          <w:szCs w:val="24"/>
        </w:rPr>
        <w:t>․</w:t>
      </w:r>
    </w:p>
    <w:p w14:paraId="3DF0B668" w14:textId="3A1885A1" w:rsidR="00512D51" w:rsidRPr="00512D51" w:rsidRDefault="008E46FA" w:rsidP="00512D51">
      <w:pPr>
        <w:tabs>
          <w:tab w:val="left" w:pos="851"/>
          <w:tab w:val="left" w:pos="993"/>
        </w:tabs>
        <w:spacing w:line="276" w:lineRule="auto"/>
        <w:ind w:firstLine="567"/>
        <w:jc w:val="both"/>
        <w:rPr>
          <w:rFonts w:ascii="GHEA Grapalat" w:hAnsi="GHEA Grapalat" w:cs="Arial"/>
          <w:sz w:val="24"/>
          <w:szCs w:val="24"/>
        </w:rPr>
      </w:pPr>
      <w:r w:rsidRPr="003F34B8">
        <w:rPr>
          <w:rFonts w:ascii="GHEA Grapalat" w:hAnsi="GHEA Grapalat" w:cs="Arial"/>
          <w:sz w:val="24"/>
          <w:szCs w:val="24"/>
        </w:rPr>
        <w:t xml:space="preserve">5) </w:t>
      </w:r>
      <w:r w:rsidR="00D4555B">
        <w:rPr>
          <w:rFonts w:ascii="GHEA Grapalat" w:hAnsi="GHEA Grapalat" w:cs="Arial"/>
          <w:sz w:val="24"/>
          <w:szCs w:val="24"/>
        </w:rPr>
        <w:t>բ</w:t>
      </w:r>
      <w:r>
        <w:rPr>
          <w:rFonts w:ascii="GHEA Grapalat" w:hAnsi="GHEA Grapalat" w:cs="Arial"/>
          <w:sz w:val="24"/>
          <w:szCs w:val="24"/>
        </w:rPr>
        <w:t xml:space="preserve">արեփոխումների տևականացման և հյուծման ռիսկերի հաղթահարման համար կազմակերպվելու է </w:t>
      </w:r>
      <w:r w:rsidR="00C05595">
        <w:rPr>
          <w:rFonts w:ascii="GHEA Grapalat" w:hAnsi="GHEA Grapalat" w:cs="Arial"/>
          <w:sz w:val="24"/>
          <w:szCs w:val="24"/>
        </w:rPr>
        <w:t>բարեփոխումների փուլավորում, ուրաքանչյուր շրջափուլի համար իրականացնելով որոշակի քանակով ծրագրեր, որից հետո ալիքի ավարտին որոշակի ժամանակով կանգնեցվելու են բարեփոխումները:</w:t>
      </w:r>
      <w:r w:rsidR="00C05595" w:rsidRPr="003F34B8">
        <w:rPr>
          <w:rFonts w:ascii="GHEA Grapalat" w:hAnsi="GHEA Grapalat" w:cs="Arial"/>
          <w:sz w:val="24"/>
          <w:szCs w:val="24"/>
        </w:rPr>
        <w:t xml:space="preserve"> </w:t>
      </w:r>
      <w:r w:rsidR="00962745">
        <w:rPr>
          <w:rFonts w:ascii="GHEA Grapalat" w:hAnsi="GHEA Grapalat" w:cs="Arial"/>
          <w:sz w:val="24"/>
          <w:szCs w:val="24"/>
        </w:rPr>
        <w:t xml:space="preserve">Ծրագրի իրականացման ընթացքում ոչ էական կամ ոչ մեծ անհրաժեշտություն ներկայացնող միջոցառումներից հրաժարում` բարեփոխումների ռեսուրսը չվատնելու նպատակով, </w:t>
      </w:r>
      <w:r w:rsidR="002831A5">
        <w:rPr>
          <w:rFonts w:ascii="GHEA Grapalat" w:hAnsi="GHEA Grapalat" w:cs="Arial"/>
          <w:sz w:val="24"/>
          <w:szCs w:val="24"/>
        </w:rPr>
        <w:t>առաջնա</w:t>
      </w:r>
      <w:r w:rsidR="00A02F10">
        <w:rPr>
          <w:rFonts w:ascii="GHEA Grapalat" w:hAnsi="GHEA Grapalat" w:cs="Arial"/>
          <w:sz w:val="24"/>
          <w:szCs w:val="24"/>
        </w:rPr>
        <w:t xml:space="preserve">հերթ կենտրոնացում կարևորագույն </w:t>
      </w:r>
      <w:r w:rsidR="002831A5">
        <w:rPr>
          <w:rFonts w:ascii="GHEA Grapalat" w:hAnsi="GHEA Grapalat" w:cs="Arial"/>
          <w:sz w:val="24"/>
          <w:szCs w:val="24"/>
        </w:rPr>
        <w:t>միջոցռումների վրա: Կազմակերպությունների մասով վարվելու է բարեփոխումներով ծանրաբեռնվածության հաշվառում (քանի բարեփոխման ծրագրերում է ներառված)` գերբեռնումից խուսափելու համար:</w:t>
      </w:r>
    </w:p>
    <w:p w14:paraId="56928F6B" w14:textId="0A58EABE" w:rsidR="00512D51" w:rsidRPr="00512D51" w:rsidRDefault="002831A5" w:rsidP="00512D51">
      <w:pPr>
        <w:tabs>
          <w:tab w:val="left" w:pos="851"/>
          <w:tab w:val="left" w:pos="993"/>
        </w:tabs>
        <w:spacing w:line="276" w:lineRule="auto"/>
        <w:ind w:firstLine="567"/>
        <w:jc w:val="both"/>
        <w:rPr>
          <w:rFonts w:ascii="GHEA Grapalat" w:hAnsi="GHEA Grapalat" w:cs="Arial"/>
          <w:sz w:val="24"/>
          <w:szCs w:val="24"/>
        </w:rPr>
      </w:pPr>
      <w:r w:rsidRPr="004A6626">
        <w:rPr>
          <w:rFonts w:ascii="GHEA Grapalat" w:hAnsi="GHEA Grapalat" w:cs="Arial"/>
          <w:sz w:val="24"/>
          <w:szCs w:val="24"/>
        </w:rPr>
        <w:t>6</w:t>
      </w:r>
      <w:r w:rsidR="00EF04F7" w:rsidRPr="003F34B8">
        <w:rPr>
          <w:rFonts w:ascii="GHEA Grapalat" w:hAnsi="GHEA Grapalat" w:cs="Arial"/>
          <w:sz w:val="24"/>
          <w:szCs w:val="24"/>
        </w:rPr>
        <w:t>5</w:t>
      </w:r>
      <w:r w:rsidRPr="004A6626">
        <w:rPr>
          <w:rFonts w:ascii="GHEA Grapalat" w:hAnsi="GHEA Grapalat" w:cs="Arial"/>
          <w:sz w:val="24"/>
          <w:szCs w:val="24"/>
        </w:rPr>
        <w:t xml:space="preserve">. </w:t>
      </w:r>
      <w:r w:rsidR="00E53CA1">
        <w:rPr>
          <w:rFonts w:ascii="GHEA Grapalat" w:hAnsi="GHEA Grapalat" w:cs="Arial"/>
          <w:sz w:val="24"/>
          <w:szCs w:val="24"/>
        </w:rPr>
        <w:t>Ք</w:t>
      </w:r>
      <w:r w:rsidR="00E53CA1" w:rsidRPr="006478E9">
        <w:rPr>
          <w:rFonts w:ascii="GHEA Grapalat" w:hAnsi="GHEA Grapalat" w:cs="Arial"/>
          <w:sz w:val="24"/>
          <w:szCs w:val="24"/>
        </w:rPr>
        <w:t>աղաքական-արտաքին</w:t>
      </w:r>
      <w:r w:rsidR="00E53CA1" w:rsidRPr="004037E3">
        <w:rPr>
          <w:rFonts w:ascii="GHEA Grapalat" w:hAnsi="GHEA Grapalat" w:cs="Arial"/>
          <w:sz w:val="24"/>
          <w:szCs w:val="24"/>
        </w:rPr>
        <w:t xml:space="preserve"> </w:t>
      </w:r>
      <w:r w:rsidR="00E53CA1">
        <w:rPr>
          <w:rFonts w:ascii="GHEA Grapalat" w:hAnsi="GHEA Grapalat" w:cs="Arial"/>
          <w:sz w:val="24"/>
          <w:szCs w:val="24"/>
        </w:rPr>
        <w:t>ռիսկերի կառավարման համար նախատեսվում են հետևյալ մեթոդները</w:t>
      </w:r>
      <w:r w:rsidR="00A02F10">
        <w:rPr>
          <w:rFonts w:ascii="GHEA Grapalat" w:hAnsi="GHEA Grapalat" w:cs="Arial"/>
          <w:sz w:val="24"/>
          <w:szCs w:val="24"/>
        </w:rPr>
        <w:t>.</w:t>
      </w:r>
    </w:p>
    <w:p w14:paraId="5ED01671" w14:textId="1C85D1CB" w:rsidR="00512D51" w:rsidRPr="00512D51" w:rsidRDefault="00E53CA1" w:rsidP="00512D51">
      <w:pPr>
        <w:tabs>
          <w:tab w:val="left" w:pos="851"/>
          <w:tab w:val="left" w:pos="993"/>
        </w:tabs>
        <w:spacing w:line="276" w:lineRule="auto"/>
        <w:ind w:firstLine="567"/>
        <w:jc w:val="both"/>
        <w:rPr>
          <w:rFonts w:ascii="GHEA Grapalat" w:hAnsi="GHEA Grapalat" w:cs="Arial"/>
          <w:sz w:val="24"/>
          <w:szCs w:val="24"/>
        </w:rPr>
      </w:pPr>
      <w:r w:rsidRPr="003F34B8">
        <w:rPr>
          <w:rFonts w:ascii="GHEA Grapalat" w:hAnsi="GHEA Grapalat" w:cs="Arial"/>
          <w:sz w:val="24"/>
          <w:szCs w:val="24"/>
        </w:rPr>
        <w:t>1</w:t>
      </w:r>
      <w:r w:rsidR="00512D51" w:rsidRPr="00512D51">
        <w:rPr>
          <w:rFonts w:ascii="GHEA Grapalat" w:hAnsi="GHEA Grapalat" w:cs="Arial"/>
          <w:sz w:val="24"/>
          <w:szCs w:val="24"/>
        </w:rPr>
        <w:t xml:space="preserve">) </w:t>
      </w:r>
      <w:r w:rsidR="00D4555B">
        <w:rPr>
          <w:rFonts w:ascii="GHEA Grapalat" w:hAnsi="GHEA Grapalat" w:cs="Arial"/>
          <w:sz w:val="24"/>
          <w:szCs w:val="24"/>
        </w:rPr>
        <w:t>ա</w:t>
      </w:r>
      <w:r>
        <w:rPr>
          <w:rFonts w:ascii="GHEA Grapalat" w:hAnsi="GHEA Grapalat" w:cs="Arial"/>
          <w:sz w:val="24"/>
          <w:szCs w:val="24"/>
        </w:rPr>
        <w:t>շխարհաքաղաքական անկայունության և անվտանգային իրավիճակի ռիսկի կառավարման նպատակով նախատեսվելու են հետազոտությունների շարունակականության եղանակների մշակում, հեռավար աշխատանքի ընթացակարգեր</w:t>
      </w:r>
      <w:r w:rsidR="00B25B96">
        <w:rPr>
          <w:rFonts w:ascii="GHEA Grapalat" w:hAnsi="GHEA Grapalat" w:cs="Arial"/>
          <w:sz w:val="24"/>
          <w:szCs w:val="24"/>
        </w:rPr>
        <w:t>, տվյալների հայելային պահպանման տարբերակներ և այլն: Միևնույն ժամանակ գնումների հետ կապված հնարավոր խնդիրների հաղթահարման համար դիտարկվելու է գնումների դիվերսիֆիկացման, մատակարարների և լոգիստիկայի տարբերակների մշակման աշխատանքներ` հատկապես կրիտիկական անհրաժեշտության սարքավորումների և սպառման նյութերի համար: Ճգնաժամային իրավիճակների համար պետք է ունենալ պահպան</w:t>
      </w:r>
      <w:r w:rsidR="00335F52">
        <w:rPr>
          <w:rFonts w:ascii="GHEA Grapalat" w:hAnsi="GHEA Grapalat" w:cs="Arial"/>
          <w:sz w:val="24"/>
          <w:szCs w:val="24"/>
        </w:rPr>
        <w:t xml:space="preserve">ման օղակ, որը երաշխավորում է </w:t>
      </w:r>
      <w:r w:rsidR="00335F52">
        <w:rPr>
          <w:rFonts w:ascii="GHEA Grapalat" w:hAnsi="GHEA Grapalat" w:cs="Arial"/>
          <w:sz w:val="24"/>
          <w:szCs w:val="24"/>
        </w:rPr>
        <w:lastRenderedPageBreak/>
        <w:t>կենտրոնական նշանակության հետազոտությունների ֆինանսականն կայունությունը և նախատեսում է ճգնաժամային միկրոդրամաշնորհներ` լաբորատորիաների օպ</w:t>
      </w:r>
      <w:r w:rsidR="00D4555B">
        <w:rPr>
          <w:rFonts w:ascii="GHEA Grapalat" w:hAnsi="GHEA Grapalat" w:cs="Arial"/>
          <w:sz w:val="24"/>
          <w:szCs w:val="24"/>
        </w:rPr>
        <w:t>երացիոնալության պահպանման համար․</w:t>
      </w:r>
    </w:p>
    <w:p w14:paraId="763E662F" w14:textId="3EFC09C3" w:rsidR="00512D51" w:rsidRPr="00512D51" w:rsidRDefault="001930D7" w:rsidP="00AE0283">
      <w:pPr>
        <w:tabs>
          <w:tab w:val="left" w:pos="851"/>
          <w:tab w:val="left" w:pos="993"/>
        </w:tabs>
        <w:spacing w:line="276" w:lineRule="auto"/>
        <w:ind w:firstLine="567"/>
        <w:jc w:val="both"/>
        <w:rPr>
          <w:rFonts w:ascii="GHEA Grapalat" w:hAnsi="GHEA Grapalat" w:cs="Arial"/>
          <w:sz w:val="24"/>
          <w:szCs w:val="24"/>
        </w:rPr>
      </w:pPr>
      <w:r w:rsidRPr="003F34B8">
        <w:rPr>
          <w:rFonts w:ascii="GHEA Grapalat" w:hAnsi="GHEA Grapalat" w:cs="Arial"/>
          <w:sz w:val="24"/>
          <w:szCs w:val="24"/>
        </w:rPr>
        <w:t>2)</w:t>
      </w:r>
      <w:r w:rsidR="00D4555B">
        <w:rPr>
          <w:rFonts w:ascii="GHEA Grapalat" w:hAnsi="GHEA Grapalat" w:cs="Arial"/>
          <w:sz w:val="24"/>
          <w:szCs w:val="24"/>
        </w:rPr>
        <w:t xml:space="preserve"> ո</w:t>
      </w:r>
      <w:r>
        <w:rPr>
          <w:rFonts w:ascii="GHEA Grapalat" w:hAnsi="GHEA Grapalat" w:cs="Arial"/>
          <w:sz w:val="24"/>
          <w:szCs w:val="24"/>
        </w:rPr>
        <w:t>ւղեղների արտահոսք</w:t>
      </w:r>
      <w:r w:rsidR="00203828">
        <w:rPr>
          <w:rFonts w:ascii="GHEA Grapalat" w:hAnsi="GHEA Grapalat" w:cs="Arial"/>
          <w:sz w:val="24"/>
          <w:szCs w:val="24"/>
        </w:rPr>
        <w:t>ի</w:t>
      </w:r>
      <w:r>
        <w:rPr>
          <w:rFonts w:ascii="GHEA Grapalat" w:hAnsi="GHEA Grapalat" w:cs="Arial"/>
          <w:sz w:val="24"/>
          <w:szCs w:val="24"/>
        </w:rPr>
        <w:t xml:space="preserve"> և տաղանդի արտագաղթ</w:t>
      </w:r>
      <w:r w:rsidR="00203828">
        <w:rPr>
          <w:rFonts w:ascii="GHEA Grapalat" w:hAnsi="GHEA Grapalat" w:cs="Arial"/>
          <w:sz w:val="24"/>
          <w:szCs w:val="24"/>
        </w:rPr>
        <w:t>ի կառավարման համար ըստ հնարավորության նախատեսվելու են ծրագրերի ղեկավարների համար աջակցության միջոցներ</w:t>
      </w:r>
      <w:r w:rsidR="00A01F37">
        <w:rPr>
          <w:rFonts w:ascii="GHEA Grapalat" w:hAnsi="GHEA Grapalat" w:cs="Arial"/>
          <w:sz w:val="24"/>
          <w:szCs w:val="24"/>
        </w:rPr>
        <w:t xml:space="preserve"> (հավելավճարներ, կեցության/երեխայի խնամքի կրթաթոշակներ, վերաբնակեցման դրամաշնորհներ)</w:t>
      </w:r>
      <w:r w:rsidR="00A02F10">
        <w:rPr>
          <w:rFonts w:ascii="GHEA Grapalat" w:hAnsi="GHEA Grapalat" w:cs="Arial"/>
          <w:sz w:val="24"/>
          <w:szCs w:val="24"/>
        </w:rPr>
        <w:t>,</w:t>
      </w:r>
      <w:r w:rsidR="00A01F37">
        <w:rPr>
          <w:rFonts w:ascii="GHEA Grapalat" w:hAnsi="GHEA Grapalat" w:cs="Arial"/>
          <w:sz w:val="24"/>
          <w:szCs w:val="24"/>
        </w:rPr>
        <w:t xml:space="preserve"> ինչպես նաև երկարատև պայմանագրային պաշտոններ, փաստաթղթավորման արագացված ընթացակարգեր կամ աջակցություն միջազգային աշխատակիցների համար, ընտանիքի անդմաների աշխատանքի տեղավորման աջակցության ծրագրեր: Առավել մրցակցային </w:t>
      </w:r>
      <w:r w:rsidR="00AE0283">
        <w:rPr>
          <w:rFonts w:ascii="GHEA Grapalat" w:hAnsi="GHEA Grapalat" w:cs="Arial"/>
          <w:sz w:val="24"/>
          <w:szCs w:val="24"/>
        </w:rPr>
        <w:t>ուղղություններով կդիտարկվեն աշխատանքի համատեղ ձևակերպումները</w:t>
      </w:r>
      <w:r w:rsidR="00A01F37">
        <w:rPr>
          <w:rFonts w:ascii="GHEA Grapalat" w:hAnsi="GHEA Grapalat" w:cs="Arial"/>
          <w:sz w:val="24"/>
          <w:szCs w:val="24"/>
        </w:rPr>
        <w:t xml:space="preserve"> </w:t>
      </w:r>
      <w:r w:rsidR="00512D51" w:rsidRPr="00512D51">
        <w:rPr>
          <w:rFonts w:ascii="GHEA Grapalat" w:hAnsi="GHEA Grapalat" w:cs="Arial"/>
          <w:sz w:val="24"/>
          <w:szCs w:val="24"/>
        </w:rPr>
        <w:t>(</w:t>
      </w:r>
      <w:r w:rsidR="00AE0283">
        <w:rPr>
          <w:rFonts w:ascii="GHEA Grapalat" w:hAnsi="GHEA Grapalat" w:cs="Arial"/>
          <w:sz w:val="24"/>
          <w:szCs w:val="24"/>
        </w:rPr>
        <w:t>արտադրություն-բուհ</w:t>
      </w:r>
      <w:r w:rsidR="00512D51" w:rsidRPr="00512D51">
        <w:rPr>
          <w:rFonts w:ascii="GHEA Grapalat" w:hAnsi="GHEA Grapalat" w:cs="Arial"/>
          <w:sz w:val="24"/>
          <w:szCs w:val="24"/>
        </w:rPr>
        <w:t xml:space="preserve">; </w:t>
      </w:r>
      <w:r w:rsidR="00AE0283">
        <w:rPr>
          <w:rFonts w:ascii="GHEA Grapalat" w:hAnsi="GHEA Grapalat" w:cs="Arial"/>
          <w:sz w:val="24"/>
          <w:szCs w:val="24"/>
        </w:rPr>
        <w:t>արտադրություն-ինստիտուտ</w:t>
      </w:r>
      <w:r w:rsidR="00512D51" w:rsidRPr="00512D51">
        <w:rPr>
          <w:rFonts w:ascii="GHEA Grapalat" w:hAnsi="GHEA Grapalat" w:cs="Arial"/>
          <w:sz w:val="24"/>
          <w:szCs w:val="24"/>
        </w:rPr>
        <w:t xml:space="preserve">) </w:t>
      </w:r>
      <w:r w:rsidR="00AE0283">
        <w:rPr>
          <w:rFonts w:ascii="GHEA Grapalat" w:hAnsi="GHEA Grapalat" w:cs="Arial"/>
          <w:sz w:val="24"/>
          <w:szCs w:val="24"/>
        </w:rPr>
        <w:t>ինչը կընդլայնի ա</w:t>
      </w:r>
      <w:r w:rsidR="00D4555B">
        <w:rPr>
          <w:rFonts w:ascii="GHEA Grapalat" w:hAnsi="GHEA Grapalat" w:cs="Arial"/>
          <w:sz w:val="24"/>
          <w:szCs w:val="24"/>
        </w:rPr>
        <w:t>շխատանքային հնարավորությունները․</w:t>
      </w:r>
      <w:r w:rsidR="00AE0283">
        <w:rPr>
          <w:rFonts w:ascii="GHEA Grapalat" w:hAnsi="GHEA Grapalat" w:cs="Arial"/>
          <w:sz w:val="24"/>
          <w:szCs w:val="24"/>
        </w:rPr>
        <w:t xml:space="preserve"> </w:t>
      </w:r>
    </w:p>
    <w:p w14:paraId="204AA8B7" w14:textId="7576DE80" w:rsidR="00512D51" w:rsidRPr="00512D51" w:rsidRDefault="00DC3580" w:rsidP="003A0C1D">
      <w:pPr>
        <w:tabs>
          <w:tab w:val="left" w:pos="851"/>
          <w:tab w:val="left" w:pos="993"/>
        </w:tabs>
        <w:spacing w:line="276" w:lineRule="auto"/>
        <w:ind w:firstLine="567"/>
        <w:jc w:val="both"/>
        <w:rPr>
          <w:rFonts w:ascii="GHEA Grapalat" w:hAnsi="GHEA Grapalat" w:cs="Arial"/>
          <w:sz w:val="24"/>
          <w:szCs w:val="24"/>
        </w:rPr>
      </w:pPr>
      <w:r w:rsidRPr="003F34B8">
        <w:rPr>
          <w:rFonts w:ascii="GHEA Grapalat" w:hAnsi="GHEA Grapalat" w:cs="Arial"/>
          <w:sz w:val="24"/>
          <w:szCs w:val="24"/>
        </w:rPr>
        <w:t>3)</w:t>
      </w:r>
      <w:r w:rsidR="00D4555B">
        <w:rPr>
          <w:rFonts w:ascii="GHEA Grapalat" w:hAnsi="GHEA Grapalat" w:cs="Arial"/>
          <w:sz w:val="24"/>
          <w:szCs w:val="24"/>
        </w:rPr>
        <w:t xml:space="preserve"> ք</w:t>
      </w:r>
      <w:r>
        <w:rPr>
          <w:rFonts w:ascii="GHEA Grapalat" w:hAnsi="GHEA Grapalat" w:cs="Arial"/>
          <w:sz w:val="24"/>
          <w:szCs w:val="24"/>
        </w:rPr>
        <w:t>աղաքական օրակարգի փոփոխությ</w:t>
      </w:r>
      <w:r w:rsidR="001E03F5">
        <w:rPr>
          <w:rFonts w:ascii="GHEA Grapalat" w:hAnsi="GHEA Grapalat" w:cs="Arial"/>
          <w:sz w:val="24"/>
          <w:szCs w:val="24"/>
        </w:rPr>
        <w:t>ա</w:t>
      </w:r>
      <w:r>
        <w:rPr>
          <w:rFonts w:ascii="GHEA Grapalat" w:hAnsi="GHEA Grapalat" w:cs="Arial"/>
          <w:sz w:val="24"/>
          <w:szCs w:val="24"/>
        </w:rPr>
        <w:t>ն և քաղաքականությունների ցածր հետևողականությ</w:t>
      </w:r>
      <w:r w:rsidR="001E03F5">
        <w:rPr>
          <w:rFonts w:ascii="GHEA Grapalat" w:hAnsi="GHEA Grapalat" w:cs="Arial"/>
          <w:sz w:val="24"/>
          <w:szCs w:val="24"/>
        </w:rPr>
        <w:t>ա</w:t>
      </w:r>
      <w:r>
        <w:rPr>
          <w:rFonts w:ascii="GHEA Grapalat" w:hAnsi="GHEA Grapalat" w:cs="Arial"/>
          <w:sz w:val="24"/>
          <w:szCs w:val="24"/>
        </w:rPr>
        <w:t>ն</w:t>
      </w:r>
      <w:r w:rsidR="001E03F5">
        <w:rPr>
          <w:rFonts w:ascii="GHEA Grapalat" w:hAnsi="GHEA Grapalat" w:cs="Arial"/>
          <w:sz w:val="24"/>
          <w:szCs w:val="24"/>
        </w:rPr>
        <w:t xml:space="preserve"> ռիսկերի կառավարման նպատակով անհրաժեշտ է բոլոր հիմնաքարային ընթացակարգերը ներդնել իրավական փաստաթղթերում` ապահովելու դրանց պ</w:t>
      </w:r>
      <w:r w:rsidR="00E612A8">
        <w:rPr>
          <w:rFonts w:ascii="GHEA Grapalat" w:hAnsi="GHEA Grapalat" w:cs="Arial"/>
          <w:sz w:val="24"/>
          <w:szCs w:val="24"/>
        </w:rPr>
        <w:t>ե</w:t>
      </w:r>
      <w:r w:rsidR="001E03F5">
        <w:rPr>
          <w:rFonts w:ascii="GHEA Grapalat" w:hAnsi="GHEA Grapalat" w:cs="Arial"/>
          <w:sz w:val="24"/>
          <w:szCs w:val="24"/>
        </w:rPr>
        <w:t xml:space="preserve">տական/ինստիտուցիոնալ </w:t>
      </w:r>
      <w:r w:rsidR="00E612A8">
        <w:rPr>
          <w:rFonts w:ascii="GHEA Grapalat" w:hAnsi="GHEA Grapalat" w:cs="Arial"/>
          <w:sz w:val="24"/>
          <w:szCs w:val="24"/>
        </w:rPr>
        <w:t>տեսակը և երկարակյացությունը: Կատարողականի թափանցիկ ու հանրային զեկույցներ` ինչը կապահովի ոլորտ</w:t>
      </w:r>
      <w:r w:rsidR="00D4555B">
        <w:rPr>
          <w:rFonts w:ascii="GHEA Grapalat" w:hAnsi="GHEA Grapalat" w:cs="Arial"/>
          <w:sz w:val="24"/>
          <w:szCs w:val="24"/>
        </w:rPr>
        <w:t>ի հանդեպ հանրային վստահությունը․</w:t>
      </w:r>
    </w:p>
    <w:p w14:paraId="77DF3F13" w14:textId="54861540" w:rsidR="00512D51" w:rsidRPr="00512D51" w:rsidRDefault="00603510" w:rsidP="00512D51">
      <w:pPr>
        <w:tabs>
          <w:tab w:val="left" w:pos="851"/>
          <w:tab w:val="left" w:pos="993"/>
        </w:tabs>
        <w:spacing w:line="276" w:lineRule="auto"/>
        <w:ind w:firstLine="567"/>
        <w:jc w:val="both"/>
        <w:rPr>
          <w:rFonts w:ascii="GHEA Grapalat" w:hAnsi="GHEA Grapalat" w:cs="Arial"/>
          <w:sz w:val="24"/>
          <w:szCs w:val="24"/>
        </w:rPr>
      </w:pPr>
      <w:r w:rsidRPr="003F34B8">
        <w:rPr>
          <w:rFonts w:ascii="GHEA Grapalat" w:hAnsi="GHEA Grapalat" w:cs="Arial"/>
          <w:sz w:val="24"/>
          <w:szCs w:val="24"/>
        </w:rPr>
        <w:t xml:space="preserve">4) </w:t>
      </w:r>
      <w:r w:rsidR="00D4555B">
        <w:rPr>
          <w:rFonts w:ascii="GHEA Grapalat" w:hAnsi="GHEA Grapalat" w:cs="Arial"/>
          <w:sz w:val="24"/>
          <w:szCs w:val="24"/>
        </w:rPr>
        <w:t>գ</w:t>
      </w:r>
      <w:r>
        <w:rPr>
          <w:rFonts w:ascii="GHEA Grapalat" w:hAnsi="GHEA Grapalat" w:cs="Arial"/>
          <w:sz w:val="24"/>
          <w:szCs w:val="24"/>
        </w:rPr>
        <w:t>լոբալ տնտեսական և առողջապահական ցնցումներին առնչվող հնարավոր ռիսկերի կառավարման նպատակով</w:t>
      </w:r>
      <w:r w:rsidR="00FD727C">
        <w:rPr>
          <w:rFonts w:ascii="GHEA Grapalat" w:hAnsi="GHEA Grapalat" w:cs="Arial"/>
          <w:sz w:val="24"/>
          <w:szCs w:val="24"/>
        </w:rPr>
        <w:t xml:space="preserve"> անհրաժեշտ է ունենալ իրականացվող ծրագրերի գերակա խմբեր</w:t>
      </w:r>
      <w:r w:rsidR="00512D51" w:rsidRPr="00512D51">
        <w:rPr>
          <w:rFonts w:ascii="GHEA Grapalat" w:hAnsi="GHEA Grapalat" w:cs="Arial"/>
          <w:sz w:val="24"/>
          <w:szCs w:val="24"/>
        </w:rPr>
        <w:t xml:space="preserve"> (1</w:t>
      </w:r>
      <w:r w:rsidR="00FD727C">
        <w:rPr>
          <w:rFonts w:ascii="GHEA Grapalat" w:hAnsi="GHEA Grapalat" w:cs="Arial"/>
          <w:sz w:val="24"/>
          <w:szCs w:val="24"/>
        </w:rPr>
        <w:t xml:space="preserve">-ին խումբ` պետք է շարունակվեն, </w:t>
      </w:r>
      <w:r w:rsidR="00512D51" w:rsidRPr="00512D51">
        <w:rPr>
          <w:rFonts w:ascii="GHEA Grapalat" w:hAnsi="GHEA Grapalat" w:cs="Arial"/>
          <w:sz w:val="24"/>
          <w:szCs w:val="24"/>
        </w:rPr>
        <w:t>2</w:t>
      </w:r>
      <w:r w:rsidR="00FD727C">
        <w:rPr>
          <w:rFonts w:ascii="GHEA Grapalat" w:hAnsi="GHEA Grapalat" w:cs="Arial"/>
          <w:sz w:val="24"/>
          <w:szCs w:val="24"/>
        </w:rPr>
        <w:t xml:space="preserve">-րդ խումբ` կարող են դանդաղել և </w:t>
      </w:r>
      <w:r w:rsidR="00512D51" w:rsidRPr="00512D51">
        <w:rPr>
          <w:rFonts w:ascii="GHEA Grapalat" w:hAnsi="GHEA Grapalat" w:cs="Arial"/>
          <w:sz w:val="24"/>
          <w:szCs w:val="24"/>
        </w:rPr>
        <w:t>3</w:t>
      </w:r>
      <w:r w:rsidR="00FD727C">
        <w:rPr>
          <w:rFonts w:ascii="GHEA Grapalat" w:hAnsi="GHEA Grapalat" w:cs="Arial"/>
          <w:sz w:val="24"/>
          <w:szCs w:val="24"/>
        </w:rPr>
        <w:t>-րդ խումբ` կանգնեցվեն</w:t>
      </w:r>
      <w:r w:rsidR="00512D51" w:rsidRPr="00512D51">
        <w:rPr>
          <w:rFonts w:ascii="GHEA Grapalat" w:hAnsi="GHEA Grapalat" w:cs="Arial"/>
          <w:sz w:val="24"/>
          <w:szCs w:val="24"/>
        </w:rPr>
        <w:t>)</w:t>
      </w:r>
      <w:r w:rsidR="00A02F10">
        <w:rPr>
          <w:rFonts w:ascii="GHEA Grapalat" w:hAnsi="GHEA Grapalat" w:cs="Arial"/>
          <w:sz w:val="24"/>
          <w:szCs w:val="24"/>
        </w:rPr>
        <w:t>,</w:t>
      </w:r>
      <w:r w:rsidR="00512D51" w:rsidRPr="00512D51">
        <w:rPr>
          <w:rFonts w:ascii="GHEA Grapalat" w:hAnsi="GHEA Grapalat" w:cs="Arial"/>
          <w:sz w:val="24"/>
          <w:szCs w:val="24"/>
        </w:rPr>
        <w:t xml:space="preserve"> </w:t>
      </w:r>
      <w:r w:rsidR="00FD727C">
        <w:rPr>
          <w:rFonts w:ascii="GHEA Grapalat" w:hAnsi="GHEA Grapalat" w:cs="Arial"/>
          <w:sz w:val="24"/>
          <w:szCs w:val="24"/>
        </w:rPr>
        <w:t xml:space="preserve">որոնք կանխորոշված կլինեն ի սկզբանե: Հարկ է նաև նախատեսել դրամաշնորհների </w:t>
      </w:r>
      <w:r w:rsidR="00E41D71">
        <w:rPr>
          <w:rFonts w:ascii="GHEA Grapalat" w:hAnsi="GHEA Grapalat" w:cs="Arial"/>
          <w:sz w:val="24"/>
          <w:szCs w:val="24"/>
        </w:rPr>
        <w:t>պայմանների ճկունություններ`</w:t>
      </w:r>
      <w:r w:rsidR="00512D51" w:rsidRPr="00512D51">
        <w:rPr>
          <w:rFonts w:ascii="GHEA Grapalat" w:hAnsi="GHEA Grapalat" w:cs="Arial"/>
          <w:sz w:val="24"/>
          <w:szCs w:val="24"/>
        </w:rPr>
        <w:t xml:space="preserve"> </w:t>
      </w:r>
      <w:r w:rsidR="00E41D71">
        <w:rPr>
          <w:rFonts w:ascii="GHEA Grapalat" w:hAnsi="GHEA Grapalat" w:cs="Arial"/>
          <w:sz w:val="24"/>
          <w:szCs w:val="24"/>
        </w:rPr>
        <w:t>չվճարվող երկարացումներ, արդյունքների տեղաշարժեր ճգնաժամերի ժամանակ, և պահպանել որոշակի շարունակական նվազագույն ընթացք դրամաշնորհների համար: Համավարակի պատրաստ ընթացակարգեր` ըստ հնարավորության գնահատման հեռավար խորհուրդներ, հեռավար աշխատանքի պրոտոկոլներ ըստ հնարավորության</w:t>
      </w:r>
      <w:r w:rsidR="002E5A73">
        <w:rPr>
          <w:rFonts w:ascii="GHEA Grapalat" w:hAnsi="GHEA Grapalat" w:cs="Arial"/>
          <w:sz w:val="24"/>
          <w:szCs w:val="24"/>
        </w:rPr>
        <w:t>:</w:t>
      </w:r>
    </w:p>
    <w:p w14:paraId="5EB1BA0B" w14:textId="71DDFDA0" w:rsidR="003D4AA0" w:rsidRDefault="001D67DC" w:rsidP="00512D51">
      <w:pPr>
        <w:tabs>
          <w:tab w:val="left" w:pos="851"/>
          <w:tab w:val="left" w:pos="993"/>
        </w:tabs>
        <w:spacing w:line="276" w:lineRule="auto"/>
        <w:ind w:firstLine="567"/>
        <w:jc w:val="both"/>
        <w:rPr>
          <w:rFonts w:ascii="GHEA Grapalat" w:hAnsi="GHEA Grapalat" w:cs="Arial"/>
          <w:sz w:val="24"/>
          <w:szCs w:val="24"/>
        </w:rPr>
      </w:pPr>
      <w:r w:rsidRPr="003F34B8">
        <w:rPr>
          <w:rFonts w:ascii="GHEA Grapalat" w:hAnsi="GHEA Grapalat" w:cs="Arial"/>
          <w:sz w:val="24"/>
          <w:szCs w:val="24"/>
        </w:rPr>
        <w:t xml:space="preserve">66. </w:t>
      </w:r>
      <w:r>
        <w:rPr>
          <w:rFonts w:ascii="GHEA Grapalat" w:hAnsi="GHEA Grapalat" w:cs="Arial"/>
          <w:sz w:val="24"/>
          <w:szCs w:val="24"/>
        </w:rPr>
        <w:t xml:space="preserve">Մի շարք միջոցառուներ հանդիսանում են նաև ընդհանրական բնույթի, որոնց նկատի ունենալը և իրականացնելը կարող է </w:t>
      </w:r>
      <w:r w:rsidR="009D5907">
        <w:rPr>
          <w:rFonts w:ascii="GHEA Grapalat" w:hAnsi="GHEA Grapalat" w:cs="Arial"/>
          <w:sz w:val="24"/>
          <w:szCs w:val="24"/>
        </w:rPr>
        <w:t>ընդհանուր առմամբ նվազեցնել Ծրագրին առնչվող ռիսկերը:</w:t>
      </w:r>
      <w:r w:rsidR="00320415">
        <w:rPr>
          <w:rFonts w:ascii="GHEA Grapalat" w:hAnsi="GHEA Grapalat" w:cs="Arial"/>
          <w:sz w:val="24"/>
          <w:szCs w:val="24"/>
        </w:rPr>
        <w:t xml:space="preserve"> Կատարողականի կառավարումը` պատասխանատու ստորաբաժանումների պարբերական զեկուցումների կամ եռամսյակային հանրային զեկուցումների իրականացմամբ:</w:t>
      </w:r>
      <w:r w:rsidR="007D2EB9">
        <w:rPr>
          <w:rFonts w:ascii="GHEA Grapalat" w:hAnsi="GHEA Grapalat" w:cs="Arial"/>
          <w:sz w:val="24"/>
          <w:szCs w:val="24"/>
        </w:rPr>
        <w:t xml:space="preserve"> Խրախուսման մեխանիզմների սահմանում Ծրագրի իրականացման ժամանակ առաջընթաց գրանցած կազմակերպությունների կամ թիմերի համար: Թվային ենթակառուցվածքների ստեղծում որոնք հնարավորություն կտան մեկ տիրույթ բերել ծրագրերի իրականացումն ու փաստաթղթավորումը: Առցանց հաշվետվողականության համակարգ: Ռիսկերի գրանցում ու </w:t>
      </w:r>
      <w:r w:rsidR="009D0A2C">
        <w:rPr>
          <w:rFonts w:ascii="GHEA Grapalat" w:hAnsi="GHEA Grapalat" w:cs="Arial"/>
          <w:sz w:val="24"/>
          <w:szCs w:val="24"/>
        </w:rPr>
        <w:t xml:space="preserve">զեկուցում` ձախողման գնացող ծրագրերի հայտնաբերում ու կառավարում: Փոփոխությունների կառավարման ընթացակարգերի ներդրում` ներառյալ շահառուների քարտեզագրումը, </w:t>
      </w:r>
      <w:r w:rsidR="00D6240C">
        <w:rPr>
          <w:rFonts w:ascii="GHEA Grapalat" w:hAnsi="GHEA Grapalat" w:cs="Arial"/>
          <w:sz w:val="24"/>
          <w:szCs w:val="24"/>
        </w:rPr>
        <w:t>հանրային քննարկումները, հաջողությունների հանրայնացումը, հաճախ հետաքրքրող հարցերի ցանկի ձևավորումը:</w:t>
      </w:r>
    </w:p>
    <w:p w14:paraId="62ECF4A5" w14:textId="77777777" w:rsidR="00796BE6" w:rsidRPr="00C72AB5" w:rsidRDefault="00796BE6" w:rsidP="00EB79C5">
      <w:pPr>
        <w:tabs>
          <w:tab w:val="left" w:pos="851"/>
          <w:tab w:val="left" w:pos="993"/>
        </w:tabs>
        <w:spacing w:line="276" w:lineRule="auto"/>
        <w:ind w:firstLine="567"/>
        <w:jc w:val="both"/>
        <w:rPr>
          <w:rFonts w:ascii="GHEA Grapalat" w:hAnsi="GHEA Grapalat" w:cs="Arial"/>
          <w:sz w:val="24"/>
          <w:szCs w:val="24"/>
        </w:rPr>
      </w:pPr>
    </w:p>
    <w:p w14:paraId="2A301964" w14:textId="22A6C343" w:rsidR="00556B07" w:rsidRPr="00C72AB5" w:rsidRDefault="004A311E" w:rsidP="003B5B80">
      <w:pPr>
        <w:pStyle w:val="Heading1"/>
      </w:pPr>
      <w:bookmarkStart w:id="29" w:name="_Toc215422106"/>
      <w:r w:rsidRPr="003F34B8">
        <w:t>9</w:t>
      </w:r>
      <w:r w:rsidR="003B5B80" w:rsidRPr="00C72AB5">
        <w:t xml:space="preserve">. </w:t>
      </w:r>
      <w:r w:rsidR="00556B07" w:rsidRPr="00C72AB5">
        <w:t xml:space="preserve">ԾՐԱԳՐԻ </w:t>
      </w:r>
      <w:r w:rsidR="002F3688" w:rsidRPr="00C72AB5">
        <w:t>ՄՇՏԱԴԻՏԱՐԿՈՒՄԸ</w:t>
      </w:r>
      <w:bookmarkEnd w:id="29"/>
      <w:r w:rsidR="00556B07" w:rsidRPr="00C72AB5">
        <w:t xml:space="preserve"> </w:t>
      </w:r>
    </w:p>
    <w:p w14:paraId="64FCCACA" w14:textId="77777777" w:rsidR="0073444C" w:rsidRDefault="0073444C" w:rsidP="00DD534A">
      <w:pPr>
        <w:tabs>
          <w:tab w:val="left" w:pos="851"/>
          <w:tab w:val="left" w:pos="993"/>
        </w:tabs>
        <w:spacing w:line="276" w:lineRule="auto"/>
        <w:ind w:firstLine="567"/>
        <w:jc w:val="both"/>
        <w:rPr>
          <w:rFonts w:ascii="GHEA Grapalat" w:hAnsi="GHEA Grapalat" w:cs="Sylfaen"/>
          <w:sz w:val="24"/>
          <w:szCs w:val="24"/>
        </w:rPr>
      </w:pPr>
    </w:p>
    <w:p w14:paraId="124AD238" w14:textId="56786D0F" w:rsidR="00556B07" w:rsidRPr="00C72AB5" w:rsidRDefault="00E4522F" w:rsidP="00DD534A">
      <w:pPr>
        <w:tabs>
          <w:tab w:val="left" w:pos="851"/>
          <w:tab w:val="left" w:pos="993"/>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t>6</w:t>
      </w:r>
      <w:r w:rsidR="00B9585B" w:rsidRPr="003F34B8">
        <w:rPr>
          <w:rFonts w:ascii="GHEA Grapalat" w:hAnsi="GHEA Grapalat" w:cs="Sylfaen"/>
          <w:sz w:val="24"/>
          <w:szCs w:val="24"/>
        </w:rPr>
        <w:t>7</w:t>
      </w:r>
      <w:r w:rsidR="0069521F" w:rsidRPr="00C72AB5">
        <w:rPr>
          <w:rFonts w:ascii="GHEA Grapalat" w:hAnsi="GHEA Grapalat" w:cs="Sylfaen"/>
          <w:sz w:val="24"/>
          <w:szCs w:val="24"/>
        </w:rPr>
        <w:t xml:space="preserve">. </w:t>
      </w:r>
      <w:r w:rsidR="00556B07" w:rsidRPr="00C72AB5">
        <w:rPr>
          <w:rFonts w:ascii="GHEA Grapalat" w:hAnsi="GHEA Grapalat" w:cs="Sylfaen"/>
          <w:sz w:val="24"/>
          <w:szCs w:val="24"/>
        </w:rPr>
        <w:t xml:space="preserve">Ծրագրի </w:t>
      </w:r>
      <w:r w:rsidR="002F3688" w:rsidRPr="00C72AB5">
        <w:rPr>
          <w:rFonts w:ascii="GHEA Grapalat" w:hAnsi="GHEA Grapalat" w:cs="Sylfaen"/>
          <w:sz w:val="24"/>
          <w:szCs w:val="24"/>
        </w:rPr>
        <w:t>մշտադիտարկմ</w:t>
      </w:r>
      <w:r w:rsidR="00DD534A" w:rsidRPr="00C72AB5">
        <w:rPr>
          <w:rFonts w:ascii="GHEA Grapalat" w:hAnsi="GHEA Grapalat" w:cs="Sylfaen"/>
          <w:sz w:val="24"/>
          <w:szCs w:val="24"/>
        </w:rPr>
        <w:t>ան նպատակը</w:t>
      </w:r>
      <w:r w:rsidR="00556B07" w:rsidRPr="00C72AB5">
        <w:rPr>
          <w:rFonts w:ascii="GHEA Grapalat" w:hAnsi="GHEA Grapalat" w:cs="Sylfaen"/>
          <w:sz w:val="24"/>
          <w:szCs w:val="24"/>
        </w:rPr>
        <w:t xml:space="preserve"> ծրագրի ընդհանրական ներդրման, նպատակների ձեռքբերման և արդյունավետության գնահատման առանցքային ցուցանիշների քանակական արժեքների </w:t>
      </w:r>
      <w:r w:rsidR="00DD534A" w:rsidRPr="00C72AB5">
        <w:rPr>
          <w:rFonts w:ascii="GHEA Grapalat" w:hAnsi="GHEA Grapalat" w:cs="Sylfaen"/>
          <w:sz w:val="24"/>
          <w:szCs w:val="24"/>
        </w:rPr>
        <w:t>ձեռքբերման</w:t>
      </w:r>
      <w:r w:rsidR="00556B07" w:rsidRPr="00C72AB5">
        <w:rPr>
          <w:rFonts w:ascii="GHEA Grapalat" w:hAnsi="GHEA Grapalat" w:cs="Sylfaen"/>
          <w:sz w:val="24"/>
          <w:szCs w:val="24"/>
        </w:rPr>
        <w:t xml:space="preserve"> ամենամյա գնահատումն է:</w:t>
      </w:r>
    </w:p>
    <w:p w14:paraId="5B6F6D5B" w14:textId="04CB2978" w:rsidR="00556B07" w:rsidRPr="00C72AB5" w:rsidRDefault="00D7609F" w:rsidP="00DD534A">
      <w:pPr>
        <w:tabs>
          <w:tab w:val="left" w:pos="851"/>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t>6</w:t>
      </w:r>
      <w:r w:rsidR="00B9585B" w:rsidRPr="003F34B8">
        <w:rPr>
          <w:rFonts w:ascii="GHEA Grapalat" w:hAnsi="GHEA Grapalat" w:cs="Sylfaen"/>
          <w:sz w:val="24"/>
          <w:szCs w:val="24"/>
        </w:rPr>
        <w:t>8</w:t>
      </w:r>
      <w:r w:rsidR="0069521F" w:rsidRPr="00C72AB5">
        <w:rPr>
          <w:rFonts w:ascii="GHEA Grapalat" w:hAnsi="GHEA Grapalat" w:cs="Sylfaen"/>
          <w:sz w:val="24"/>
          <w:szCs w:val="24"/>
        </w:rPr>
        <w:t xml:space="preserve">. </w:t>
      </w:r>
      <w:r w:rsidR="00556B07" w:rsidRPr="00C72AB5">
        <w:rPr>
          <w:rFonts w:ascii="GHEA Grapalat" w:hAnsi="GHEA Grapalat" w:cs="Sylfaen"/>
          <w:sz w:val="24"/>
          <w:szCs w:val="24"/>
        </w:rPr>
        <w:t xml:space="preserve">Ծրագրի </w:t>
      </w:r>
      <w:r w:rsidR="00DD534A" w:rsidRPr="00C72AB5">
        <w:rPr>
          <w:rFonts w:ascii="GHEA Grapalat" w:hAnsi="GHEA Grapalat" w:cs="Sylfaen"/>
          <w:sz w:val="24"/>
          <w:szCs w:val="24"/>
        </w:rPr>
        <w:t xml:space="preserve">իրականացման և արդյունքների ձեռքբերման վերաբերյալ զեկուցումն իրականացվում է </w:t>
      </w:r>
      <w:r w:rsidR="0018339A">
        <w:rPr>
          <w:rFonts w:ascii="GHEA Grapalat" w:hAnsi="GHEA Grapalat" w:cs="Sylfaen"/>
          <w:sz w:val="24"/>
          <w:szCs w:val="24"/>
        </w:rPr>
        <w:t>Կ</w:t>
      </w:r>
      <w:r w:rsidR="00556B07" w:rsidRPr="00C72AB5">
        <w:rPr>
          <w:rFonts w:ascii="GHEA Grapalat" w:hAnsi="GHEA Grapalat" w:cs="Sylfaen"/>
          <w:sz w:val="24"/>
          <w:szCs w:val="24"/>
        </w:rPr>
        <w:t xml:space="preserve">ոմիտեի կողմից` </w:t>
      </w:r>
      <w:r w:rsidR="00DD534A" w:rsidRPr="00C72AB5">
        <w:rPr>
          <w:rFonts w:ascii="GHEA Grapalat" w:hAnsi="GHEA Grapalat" w:cs="Sylfaen"/>
          <w:sz w:val="24"/>
          <w:szCs w:val="24"/>
        </w:rPr>
        <w:t xml:space="preserve">առնվազն </w:t>
      </w:r>
      <w:r w:rsidR="00556B07" w:rsidRPr="00C72AB5">
        <w:rPr>
          <w:rFonts w:ascii="GHEA Grapalat" w:hAnsi="GHEA Grapalat" w:cs="Sylfaen"/>
          <w:sz w:val="24"/>
          <w:szCs w:val="24"/>
        </w:rPr>
        <w:t>ամենամյա պարբերականությամբ: Մ</w:t>
      </w:r>
      <w:r w:rsidR="002F3688" w:rsidRPr="00C72AB5">
        <w:rPr>
          <w:rFonts w:ascii="GHEA Grapalat" w:hAnsi="GHEA Grapalat" w:cs="Sylfaen"/>
          <w:sz w:val="24"/>
          <w:szCs w:val="24"/>
        </w:rPr>
        <w:t>շտադիտարկման</w:t>
      </w:r>
      <w:r w:rsidR="00556B07" w:rsidRPr="00C72AB5">
        <w:rPr>
          <w:rFonts w:ascii="GHEA Grapalat" w:hAnsi="GHEA Grapalat" w:cs="Sylfaen"/>
          <w:sz w:val="24"/>
          <w:szCs w:val="24"/>
        </w:rPr>
        <w:t xml:space="preserve"> արդյունքում կազմվում է համապատասխան հաշվետվություն, որն ընդգրկում է ծրագրի վերաբերյալ հետևյալ տեղեկատվությունը`</w:t>
      </w:r>
    </w:p>
    <w:p w14:paraId="5CC3330B" w14:textId="70117D03" w:rsidR="00556B07" w:rsidRPr="00C72AB5" w:rsidRDefault="00DD534A" w:rsidP="00FD3981">
      <w:pPr>
        <w:pStyle w:val="ListParagraph"/>
        <w:tabs>
          <w:tab w:val="left" w:pos="851"/>
        </w:tabs>
        <w:spacing w:after="0" w:line="276" w:lineRule="auto"/>
        <w:ind w:left="0" w:firstLine="567"/>
        <w:jc w:val="both"/>
        <w:rPr>
          <w:rFonts w:ascii="GHEA Grapalat" w:hAnsi="GHEA Grapalat" w:cs="Sylfaen"/>
          <w:sz w:val="24"/>
          <w:szCs w:val="24"/>
        </w:rPr>
      </w:pPr>
      <w:r w:rsidRPr="00C72AB5">
        <w:rPr>
          <w:rFonts w:ascii="GHEA Grapalat" w:hAnsi="GHEA Grapalat" w:cs="Sylfaen"/>
          <w:sz w:val="24"/>
          <w:szCs w:val="24"/>
        </w:rPr>
        <w:t xml:space="preserve">1) </w:t>
      </w:r>
      <w:r w:rsidR="00556B07" w:rsidRPr="00C72AB5">
        <w:rPr>
          <w:rFonts w:ascii="GHEA Grapalat" w:hAnsi="GHEA Grapalat" w:cs="Sylfaen"/>
          <w:sz w:val="24"/>
          <w:szCs w:val="24"/>
        </w:rPr>
        <w:t xml:space="preserve">նպատակների ձեռքբերման արդյունքները, </w:t>
      </w:r>
    </w:p>
    <w:p w14:paraId="17C473EE" w14:textId="27C569AE" w:rsidR="00556B07" w:rsidRPr="00C72AB5" w:rsidRDefault="00DD534A" w:rsidP="00FD3981">
      <w:pPr>
        <w:pStyle w:val="ListParagraph"/>
        <w:tabs>
          <w:tab w:val="left" w:pos="851"/>
        </w:tabs>
        <w:spacing w:after="0" w:line="276" w:lineRule="auto"/>
        <w:ind w:left="0" w:firstLine="567"/>
        <w:jc w:val="both"/>
        <w:rPr>
          <w:rFonts w:ascii="GHEA Grapalat" w:hAnsi="GHEA Grapalat" w:cs="Sylfaen"/>
          <w:sz w:val="24"/>
          <w:szCs w:val="24"/>
        </w:rPr>
      </w:pPr>
      <w:r w:rsidRPr="00C72AB5">
        <w:rPr>
          <w:rFonts w:ascii="GHEA Grapalat" w:hAnsi="GHEA Grapalat" w:cs="Sylfaen"/>
          <w:sz w:val="24"/>
          <w:szCs w:val="24"/>
        </w:rPr>
        <w:t xml:space="preserve">2) </w:t>
      </w:r>
      <w:r w:rsidR="00556B07" w:rsidRPr="00C72AB5">
        <w:rPr>
          <w:rFonts w:ascii="GHEA Grapalat" w:hAnsi="GHEA Grapalat" w:cs="Sylfaen"/>
          <w:sz w:val="24"/>
          <w:szCs w:val="24"/>
        </w:rPr>
        <w:t>արդյունավետության գնահատման առանցքային ցուցանիշների քանակական արժեքների կանխատեսումը` հաջորդող երեք տարիների համար,</w:t>
      </w:r>
    </w:p>
    <w:p w14:paraId="66A037F7" w14:textId="686E20AA" w:rsidR="00556B07" w:rsidRPr="00C72AB5" w:rsidRDefault="008F5CBA" w:rsidP="00FD3981">
      <w:pPr>
        <w:pStyle w:val="ListParagraph"/>
        <w:tabs>
          <w:tab w:val="left" w:pos="851"/>
        </w:tabs>
        <w:spacing w:after="0" w:line="276" w:lineRule="auto"/>
        <w:ind w:left="0" w:firstLine="567"/>
        <w:jc w:val="both"/>
        <w:rPr>
          <w:rFonts w:ascii="GHEA Grapalat" w:hAnsi="GHEA Grapalat" w:cs="Sylfaen"/>
          <w:sz w:val="24"/>
          <w:szCs w:val="24"/>
        </w:rPr>
      </w:pPr>
      <w:r w:rsidRPr="00C72AB5">
        <w:rPr>
          <w:rFonts w:ascii="GHEA Grapalat" w:hAnsi="GHEA Grapalat" w:cs="Sylfaen"/>
          <w:sz w:val="24"/>
          <w:szCs w:val="24"/>
        </w:rPr>
        <w:t xml:space="preserve">3) </w:t>
      </w:r>
      <w:r w:rsidR="00556B07" w:rsidRPr="00C72AB5">
        <w:rPr>
          <w:rFonts w:ascii="GHEA Grapalat" w:hAnsi="GHEA Grapalat" w:cs="Sylfaen"/>
          <w:sz w:val="24"/>
          <w:szCs w:val="24"/>
        </w:rPr>
        <w:t xml:space="preserve">անհրաժեշտություն դեպքում առաջարկություններ` ծրագրի միջոցառումների ժամանակացույցի մեջ փոփոխություններ և լրացումներ կատարելու մասին: </w:t>
      </w:r>
    </w:p>
    <w:p w14:paraId="5AEC135A" w14:textId="728E0DD4" w:rsidR="00456907" w:rsidRPr="00C72AB5" w:rsidRDefault="00DD534A" w:rsidP="00DD534A">
      <w:pPr>
        <w:tabs>
          <w:tab w:val="left" w:pos="851"/>
        </w:tabs>
        <w:spacing w:line="276" w:lineRule="auto"/>
        <w:ind w:firstLine="567"/>
        <w:jc w:val="both"/>
        <w:rPr>
          <w:rFonts w:ascii="GHEA Grapalat" w:hAnsi="GHEA Grapalat" w:cs="Sylfaen"/>
          <w:sz w:val="24"/>
          <w:szCs w:val="24"/>
        </w:rPr>
      </w:pPr>
      <w:r w:rsidRPr="00C72AB5">
        <w:rPr>
          <w:rFonts w:ascii="GHEA Grapalat" w:hAnsi="GHEA Grapalat" w:cs="Sylfaen"/>
          <w:sz w:val="24"/>
          <w:szCs w:val="24"/>
        </w:rPr>
        <w:t>6</w:t>
      </w:r>
      <w:r w:rsidR="00B9585B" w:rsidRPr="003F34B8">
        <w:rPr>
          <w:rFonts w:ascii="GHEA Grapalat" w:hAnsi="GHEA Grapalat" w:cs="Sylfaen"/>
          <w:sz w:val="24"/>
          <w:szCs w:val="24"/>
        </w:rPr>
        <w:t>9</w:t>
      </w:r>
      <w:r w:rsidRPr="00C72AB5">
        <w:rPr>
          <w:rFonts w:ascii="GHEA Grapalat" w:hAnsi="GHEA Grapalat" w:cs="Sylfaen"/>
          <w:sz w:val="24"/>
          <w:szCs w:val="24"/>
        </w:rPr>
        <w:t xml:space="preserve">. </w:t>
      </w:r>
      <w:r w:rsidR="00456907" w:rsidRPr="00C72AB5">
        <w:rPr>
          <w:rFonts w:ascii="GHEA Grapalat" w:hAnsi="GHEA Grapalat" w:cs="Sylfaen"/>
          <w:sz w:val="24"/>
          <w:szCs w:val="24"/>
        </w:rPr>
        <w:t xml:space="preserve">Ծրագրի մշտադիտարկման հանրային հաշվետվողականությունն ապահովելու համար </w:t>
      </w:r>
      <w:r w:rsidR="0018339A">
        <w:rPr>
          <w:rFonts w:ascii="GHEA Grapalat" w:hAnsi="GHEA Grapalat" w:cs="Sylfaen"/>
          <w:sz w:val="24"/>
          <w:szCs w:val="24"/>
        </w:rPr>
        <w:t>Կ</w:t>
      </w:r>
      <w:r w:rsidR="00456907" w:rsidRPr="00C72AB5">
        <w:rPr>
          <w:rFonts w:ascii="GHEA Grapalat" w:hAnsi="GHEA Grapalat" w:cs="Sylfaen"/>
          <w:sz w:val="24"/>
          <w:szCs w:val="24"/>
        </w:rPr>
        <w:t>ոմիտեի կայքի</w:t>
      </w:r>
      <w:r w:rsidR="008F5CBA" w:rsidRPr="00C72AB5">
        <w:rPr>
          <w:rFonts w:ascii="GHEA Grapalat" w:hAnsi="GHEA Grapalat" w:cs="Sylfaen"/>
          <w:sz w:val="24"/>
          <w:szCs w:val="24"/>
        </w:rPr>
        <w:t xml:space="preserve"> (hesc.am)</w:t>
      </w:r>
      <w:r w:rsidR="00456907" w:rsidRPr="00C72AB5">
        <w:rPr>
          <w:rFonts w:ascii="GHEA Grapalat" w:hAnsi="GHEA Grapalat" w:cs="Sylfaen"/>
          <w:sz w:val="24"/>
          <w:szCs w:val="24"/>
        </w:rPr>
        <w:t xml:space="preserve"> տիրույթում ստեղծվու</w:t>
      </w:r>
      <w:r w:rsidR="00656B3A" w:rsidRPr="00C72AB5">
        <w:rPr>
          <w:rFonts w:ascii="GHEA Grapalat" w:hAnsi="GHEA Grapalat" w:cs="Sylfaen"/>
          <w:sz w:val="24"/>
          <w:szCs w:val="24"/>
        </w:rPr>
        <w:t>մ</w:t>
      </w:r>
      <w:r w:rsidR="00456907" w:rsidRPr="00C72AB5">
        <w:rPr>
          <w:rFonts w:ascii="GHEA Grapalat" w:hAnsi="GHEA Grapalat" w:cs="Sylfaen"/>
          <w:sz w:val="24"/>
          <w:szCs w:val="24"/>
        </w:rPr>
        <w:t xml:space="preserve"> է ծրագրին վերաբերող առցանց միջավայր, որտեղ յուրաքանչյուր միջոցառման մասով տրամադրվելու է համապատասխան հաշվետվություն:</w:t>
      </w:r>
    </w:p>
    <w:p w14:paraId="2B8FFC03" w14:textId="0A79787B" w:rsidR="00556B07" w:rsidRPr="00C72AB5" w:rsidRDefault="00B9585B" w:rsidP="00DD534A">
      <w:pPr>
        <w:tabs>
          <w:tab w:val="left" w:pos="851"/>
        </w:tabs>
        <w:spacing w:line="276" w:lineRule="auto"/>
        <w:ind w:firstLine="567"/>
        <w:jc w:val="both"/>
        <w:rPr>
          <w:rFonts w:ascii="GHEA Grapalat" w:hAnsi="GHEA Grapalat" w:cs="Sylfaen"/>
          <w:sz w:val="24"/>
          <w:szCs w:val="24"/>
        </w:rPr>
      </w:pPr>
      <w:r w:rsidRPr="003F34B8">
        <w:rPr>
          <w:rFonts w:ascii="GHEA Grapalat" w:hAnsi="GHEA Grapalat" w:cs="Sylfaen"/>
          <w:sz w:val="24"/>
          <w:szCs w:val="24"/>
        </w:rPr>
        <w:t>70</w:t>
      </w:r>
      <w:r w:rsidR="0069521F" w:rsidRPr="00C72AB5">
        <w:rPr>
          <w:rFonts w:ascii="GHEA Grapalat" w:hAnsi="GHEA Grapalat" w:cs="Sylfaen"/>
          <w:sz w:val="24"/>
          <w:szCs w:val="24"/>
        </w:rPr>
        <w:t xml:space="preserve">. </w:t>
      </w:r>
      <w:r w:rsidR="00556B07" w:rsidRPr="00C72AB5">
        <w:rPr>
          <w:rFonts w:ascii="GHEA Grapalat" w:hAnsi="GHEA Grapalat" w:cs="Sylfaen"/>
          <w:sz w:val="24"/>
          <w:szCs w:val="24"/>
        </w:rPr>
        <w:t xml:space="preserve">Ծրագրի </w:t>
      </w:r>
      <w:r w:rsidR="002F3688" w:rsidRPr="00C72AB5">
        <w:rPr>
          <w:rFonts w:ascii="GHEA Grapalat" w:hAnsi="GHEA Grapalat" w:cs="Sylfaen"/>
          <w:sz w:val="24"/>
          <w:szCs w:val="24"/>
        </w:rPr>
        <w:t>մշտադիտարկման</w:t>
      </w:r>
      <w:r w:rsidR="00556B07" w:rsidRPr="00C72AB5">
        <w:rPr>
          <w:rFonts w:ascii="GHEA Grapalat" w:hAnsi="GHEA Grapalat" w:cs="Sylfaen"/>
          <w:sz w:val="24"/>
          <w:szCs w:val="24"/>
        </w:rPr>
        <w:t xml:space="preserve"> վերաբերյալ հաշվետվությունը Հայաստանի Հանրապետության կառավարություն է ներկայացվում կոմիտեի կողմից</w:t>
      </w:r>
      <w:r w:rsidR="00AA0B0E" w:rsidRPr="00C72AB5">
        <w:rPr>
          <w:rFonts w:ascii="GHEA Grapalat" w:hAnsi="GHEA Grapalat" w:cs="Sylfaen"/>
          <w:sz w:val="24"/>
          <w:szCs w:val="24"/>
        </w:rPr>
        <w:t>` լիազոր մարմնի միջոցով</w:t>
      </w:r>
      <w:r w:rsidR="00556B07" w:rsidRPr="00C72AB5">
        <w:rPr>
          <w:rFonts w:ascii="GHEA Grapalat" w:hAnsi="GHEA Grapalat" w:cs="Sylfaen"/>
          <w:sz w:val="24"/>
          <w:szCs w:val="24"/>
        </w:rPr>
        <w:t>:</w:t>
      </w:r>
    </w:p>
    <w:p w14:paraId="4DC3CD8A" w14:textId="38C05ADD" w:rsidR="00895817" w:rsidRPr="00C72AB5" w:rsidRDefault="00B9585B" w:rsidP="00DD534A">
      <w:pPr>
        <w:tabs>
          <w:tab w:val="left" w:pos="851"/>
        </w:tabs>
        <w:spacing w:line="276" w:lineRule="auto"/>
        <w:ind w:firstLine="567"/>
        <w:jc w:val="both"/>
        <w:rPr>
          <w:rFonts w:ascii="GHEA Grapalat" w:hAnsi="GHEA Grapalat" w:cs="Sylfaen"/>
          <w:sz w:val="24"/>
          <w:szCs w:val="24"/>
        </w:rPr>
      </w:pPr>
      <w:r w:rsidRPr="003F34B8">
        <w:rPr>
          <w:rFonts w:ascii="GHEA Grapalat" w:hAnsi="GHEA Grapalat" w:cs="Sylfaen"/>
          <w:sz w:val="24"/>
          <w:szCs w:val="24"/>
        </w:rPr>
        <w:t>71</w:t>
      </w:r>
      <w:r w:rsidR="0069521F" w:rsidRPr="00C72AB5">
        <w:rPr>
          <w:rFonts w:ascii="GHEA Grapalat" w:hAnsi="GHEA Grapalat" w:cs="Sylfaen"/>
          <w:sz w:val="24"/>
          <w:szCs w:val="24"/>
        </w:rPr>
        <w:t xml:space="preserve">. </w:t>
      </w:r>
      <w:r w:rsidR="00895817" w:rsidRPr="00C72AB5">
        <w:rPr>
          <w:rFonts w:ascii="GHEA Grapalat" w:hAnsi="GHEA Grapalat" w:cs="Sylfaen"/>
          <w:sz w:val="24"/>
          <w:szCs w:val="24"/>
        </w:rPr>
        <w:t>Ծրագրի մոնիթորինգի վերաբերյալ հաշվետվության</w:t>
      </w:r>
      <w:r w:rsidR="00C638C8" w:rsidRPr="00C72AB5">
        <w:rPr>
          <w:rFonts w:ascii="GHEA Grapalat" w:hAnsi="GHEA Grapalat" w:cs="Sylfaen"/>
          <w:sz w:val="24"/>
          <w:szCs w:val="24"/>
        </w:rPr>
        <w:t xml:space="preserve"> գնահատու</w:t>
      </w:r>
      <w:r w:rsidR="00AC6F0D" w:rsidRPr="00C72AB5">
        <w:rPr>
          <w:rFonts w:ascii="GHEA Grapalat" w:hAnsi="GHEA Grapalat" w:cs="Sylfaen"/>
          <w:sz w:val="24"/>
          <w:szCs w:val="24"/>
        </w:rPr>
        <w:t>մն</w:t>
      </w:r>
      <w:r w:rsidR="00A50200" w:rsidRPr="00C72AB5">
        <w:rPr>
          <w:rFonts w:ascii="GHEA Grapalat" w:hAnsi="GHEA Grapalat" w:cs="Sylfaen"/>
          <w:sz w:val="24"/>
          <w:szCs w:val="24"/>
        </w:rPr>
        <w:t xml:space="preserve"> իրականացվում է Հայաստանի Հանրապետության վարչապետի կողմից ձևավորվող հանձաժողովի կողմից` ամենամյա պարբերականությամբ:</w:t>
      </w:r>
      <w:r w:rsidR="00C946A4" w:rsidRPr="00C72AB5">
        <w:rPr>
          <w:rFonts w:ascii="GHEA Grapalat" w:hAnsi="GHEA Grapalat" w:cs="Sylfaen"/>
          <w:sz w:val="24"/>
          <w:szCs w:val="24"/>
        </w:rPr>
        <w:t xml:space="preserve"> </w:t>
      </w:r>
      <w:r w:rsidR="001E0519" w:rsidRPr="00C72AB5">
        <w:rPr>
          <w:rFonts w:ascii="GHEA Grapalat" w:hAnsi="GHEA Grapalat" w:cs="Sylfaen"/>
          <w:sz w:val="24"/>
          <w:szCs w:val="24"/>
        </w:rPr>
        <w:t xml:space="preserve">Հանձնաժողովի կազմում ընդգրկվում են Հայաստանի Հանրապետության </w:t>
      </w:r>
      <w:r w:rsidR="00F87A11">
        <w:rPr>
          <w:rFonts w:ascii="GHEA Grapalat" w:hAnsi="GHEA Grapalat" w:cs="Sylfaen"/>
          <w:sz w:val="24"/>
          <w:szCs w:val="24"/>
        </w:rPr>
        <w:t>վարչապետի</w:t>
      </w:r>
      <w:r w:rsidR="001E0519" w:rsidRPr="00C72AB5">
        <w:rPr>
          <w:rFonts w:ascii="GHEA Grapalat" w:hAnsi="GHEA Grapalat" w:cs="Sylfaen"/>
          <w:sz w:val="24"/>
          <w:szCs w:val="24"/>
        </w:rPr>
        <w:t xml:space="preserve"> աշխատակազմի, շահագրգիռ նախարարությունների, կոմիտեի, ՀՀ ԳԱԱ-ի, </w:t>
      </w:r>
      <w:r w:rsidR="00D210E2" w:rsidRPr="00C72AB5">
        <w:rPr>
          <w:rFonts w:ascii="GHEA Grapalat" w:hAnsi="GHEA Grapalat" w:cs="Sylfaen"/>
          <w:sz w:val="24"/>
          <w:szCs w:val="24"/>
        </w:rPr>
        <w:t xml:space="preserve">գործարար շրջանակների, </w:t>
      </w:r>
      <w:r w:rsidR="001E0519" w:rsidRPr="00C72AB5">
        <w:rPr>
          <w:rFonts w:ascii="GHEA Grapalat" w:hAnsi="GHEA Grapalat" w:cs="Sylfaen"/>
          <w:sz w:val="24"/>
          <w:szCs w:val="24"/>
        </w:rPr>
        <w:t xml:space="preserve">ինչպես նաև գիտական կազմակերպությունների և բուհերի ներկայացուցիչներ: </w:t>
      </w:r>
    </w:p>
    <w:p w14:paraId="3FE636DF" w14:textId="44569B01" w:rsidR="005D0337" w:rsidRPr="00C72AB5" w:rsidRDefault="005D0337" w:rsidP="005D0337">
      <w:pPr>
        <w:pStyle w:val="ListParagraph"/>
        <w:tabs>
          <w:tab w:val="left" w:pos="851"/>
        </w:tabs>
        <w:spacing w:after="0" w:line="276" w:lineRule="auto"/>
        <w:ind w:left="567"/>
        <w:jc w:val="both"/>
        <w:rPr>
          <w:rFonts w:ascii="GHEA Grapalat" w:hAnsi="GHEA Grapalat" w:cs="Sylfaen"/>
          <w:sz w:val="24"/>
          <w:szCs w:val="24"/>
        </w:rPr>
      </w:pPr>
    </w:p>
    <w:p w14:paraId="6BB107CA" w14:textId="2D4BDD0B" w:rsidR="00556B07" w:rsidRPr="00C72AB5" w:rsidRDefault="004A311E" w:rsidP="00581F5D">
      <w:pPr>
        <w:pStyle w:val="Heading1"/>
      </w:pPr>
      <w:bookmarkStart w:id="30" w:name="_Toc215422107"/>
      <w:r w:rsidRPr="003F34B8">
        <w:t>10</w:t>
      </w:r>
      <w:r w:rsidR="003B5B80" w:rsidRPr="00C72AB5">
        <w:t xml:space="preserve">. </w:t>
      </w:r>
      <w:r w:rsidR="00556B07" w:rsidRPr="00C72AB5">
        <w:t>ԾՐԱԳՐԻ ՖԻՆԱՆՍԱՎՈՐՄԱՆ ԱՂԲՅՈՒՐՆԵՐԸ</w:t>
      </w:r>
      <w:bookmarkEnd w:id="30"/>
    </w:p>
    <w:p w14:paraId="2BB1939B" w14:textId="77777777" w:rsidR="0073444C" w:rsidRDefault="0073444C" w:rsidP="00D7609F">
      <w:pPr>
        <w:tabs>
          <w:tab w:val="left" w:pos="851"/>
        </w:tabs>
        <w:spacing w:line="276" w:lineRule="auto"/>
        <w:ind w:firstLine="567"/>
        <w:jc w:val="both"/>
        <w:rPr>
          <w:rFonts w:ascii="GHEA Grapalat" w:hAnsi="GHEA Grapalat"/>
          <w:sz w:val="24"/>
          <w:szCs w:val="24"/>
        </w:rPr>
      </w:pPr>
    </w:p>
    <w:p w14:paraId="34013474" w14:textId="403A97AF" w:rsidR="00357150" w:rsidRPr="00C72AB5" w:rsidRDefault="00357150" w:rsidP="00357150">
      <w:pPr>
        <w:tabs>
          <w:tab w:val="left" w:pos="851"/>
        </w:tabs>
        <w:spacing w:line="276" w:lineRule="auto"/>
        <w:ind w:firstLine="567"/>
        <w:jc w:val="both"/>
        <w:rPr>
          <w:rFonts w:ascii="GHEA Grapalat" w:hAnsi="GHEA Grapalat"/>
          <w:sz w:val="24"/>
          <w:szCs w:val="24"/>
        </w:rPr>
      </w:pPr>
      <w:r w:rsidRPr="003F34B8">
        <w:rPr>
          <w:rFonts w:ascii="GHEA Grapalat" w:hAnsi="GHEA Grapalat"/>
          <w:sz w:val="24"/>
          <w:szCs w:val="24"/>
        </w:rPr>
        <w:t>72</w:t>
      </w:r>
      <w:r w:rsidRPr="00C72AB5">
        <w:rPr>
          <w:rFonts w:ascii="GHEA Grapalat" w:hAnsi="GHEA Grapalat"/>
          <w:sz w:val="24"/>
          <w:szCs w:val="24"/>
        </w:rPr>
        <w:t>. Ծրագրի ֆինանսավորման աղբյուրներն են Հայաստանի Հանրապետության պետական բյուջե</w:t>
      </w:r>
      <w:r w:rsidRPr="00C72AB5">
        <w:rPr>
          <w:rFonts w:ascii="GHEA Grapalat" w:hAnsi="GHEA Grapalat" w:cs="Sylfaen"/>
          <w:sz w:val="24"/>
          <w:szCs w:val="24"/>
        </w:rPr>
        <w:t>ն</w:t>
      </w:r>
      <w:r>
        <w:rPr>
          <w:rFonts w:ascii="GHEA Grapalat" w:hAnsi="GHEA Grapalat"/>
          <w:sz w:val="24"/>
          <w:szCs w:val="24"/>
        </w:rPr>
        <w:t xml:space="preserve"> և օրենսդրությամբ չարգելված այլ աղբյուրները:</w:t>
      </w:r>
    </w:p>
    <w:p w14:paraId="45125AE7" w14:textId="78831766" w:rsidR="005E49AE" w:rsidRPr="00C72AB5" w:rsidRDefault="00B9585B" w:rsidP="009B7DA1">
      <w:pPr>
        <w:tabs>
          <w:tab w:val="left" w:pos="851"/>
        </w:tabs>
        <w:spacing w:line="276" w:lineRule="auto"/>
        <w:ind w:firstLine="567"/>
        <w:jc w:val="both"/>
        <w:rPr>
          <w:rFonts w:ascii="GHEA Grapalat" w:hAnsi="GHEA Grapalat"/>
          <w:sz w:val="24"/>
          <w:szCs w:val="24"/>
        </w:rPr>
      </w:pPr>
      <w:r w:rsidRPr="003F34B8">
        <w:rPr>
          <w:rFonts w:ascii="GHEA Grapalat" w:eastAsia="Arial Unicode MS" w:hAnsi="GHEA Grapalat"/>
          <w:sz w:val="24"/>
          <w:szCs w:val="24"/>
        </w:rPr>
        <w:t>73</w:t>
      </w:r>
      <w:r w:rsidR="005E49AE" w:rsidRPr="00C72AB5">
        <w:rPr>
          <w:rFonts w:ascii="GHEA Grapalat" w:eastAsia="Arial Unicode MS" w:hAnsi="GHEA Grapalat"/>
          <w:sz w:val="24"/>
          <w:szCs w:val="24"/>
        </w:rPr>
        <w:t>. Ծրագր</w:t>
      </w:r>
      <w:r w:rsidR="00E4522F" w:rsidRPr="00C72AB5">
        <w:rPr>
          <w:rFonts w:ascii="GHEA Grapalat" w:eastAsia="Arial Unicode MS" w:hAnsi="GHEA Grapalat"/>
          <w:sz w:val="24"/>
          <w:szCs w:val="24"/>
        </w:rPr>
        <w:t xml:space="preserve">ով նախատեսված ռազմավարական թիրախներին և միջոցառումների ծրագրով նախատեսված արդյունքային ցուցանիշների </w:t>
      </w:r>
      <w:r w:rsidR="008202FC" w:rsidRPr="00C72AB5">
        <w:rPr>
          <w:rFonts w:ascii="GHEA Grapalat" w:eastAsia="Arial Unicode MS" w:hAnsi="GHEA Grapalat"/>
          <w:sz w:val="24"/>
          <w:szCs w:val="24"/>
        </w:rPr>
        <w:t xml:space="preserve">ապահովման կարևորագույն գործոններից է հանդիսանում ծրագրի պատշաճ </w:t>
      </w:r>
      <w:r w:rsidR="005E49AE" w:rsidRPr="00C72AB5">
        <w:rPr>
          <w:rFonts w:ascii="GHEA Grapalat" w:eastAsia="Arial Unicode MS" w:hAnsi="GHEA Grapalat"/>
          <w:sz w:val="24"/>
          <w:szCs w:val="24"/>
        </w:rPr>
        <w:t>ֆինանսավորումը:</w:t>
      </w:r>
    </w:p>
    <w:sectPr w:rsidR="005E49AE" w:rsidRPr="00C72AB5" w:rsidSect="00FC4265">
      <w:footerReference w:type="default" r:id="rId55"/>
      <w:type w:val="continuous"/>
      <w:pgSz w:w="11906" w:h="16838" w:code="9"/>
      <w:pgMar w:top="568" w:right="851" w:bottom="1134" w:left="1418" w:header="720" w:footer="794"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2ED3E3" w14:textId="77777777" w:rsidR="009700CA" w:rsidRPr="00C72AB5" w:rsidRDefault="009700CA" w:rsidP="00F53DFA">
      <w:r w:rsidRPr="00C72AB5">
        <w:separator/>
      </w:r>
    </w:p>
  </w:endnote>
  <w:endnote w:type="continuationSeparator" w:id="0">
    <w:p w14:paraId="4FFFE5A1" w14:textId="77777777" w:rsidR="009700CA" w:rsidRPr="00C72AB5" w:rsidRDefault="009700CA" w:rsidP="00F53DFA">
      <w:r w:rsidRPr="00C72AB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Russian Baltica">
    <w:panose1 w:val="02027200000000000000"/>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Armenian">
    <w:altName w:val="Times New Roman"/>
    <w:panose1 w:val="02020603050405020304"/>
    <w:charset w:val="00"/>
    <w:family w:val="roman"/>
    <w:pitch w:val="variable"/>
    <w:sig w:usb0="00000003" w:usb1="00000000" w:usb2="00000000" w:usb3="00000000" w:csb0="00000001" w:csb1="00000000"/>
  </w:font>
  <w:font w:name="Arial-Armenian">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DejaVuSans-Bold">
    <w:altName w:val="Times New Roman"/>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Arial Unicode MS">
    <w:panose1 w:val="020B0604020202020204"/>
    <w:charset w:val="80"/>
    <w:family w:val="swiss"/>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180B20" w14:textId="1C497AAF" w:rsidR="00D4555B" w:rsidRPr="00C72AB5" w:rsidRDefault="00D4555B" w:rsidP="0030149E">
    <w:pPr>
      <w:pStyle w:val="Footer"/>
      <w:jc w:val="center"/>
      <w:rPr>
        <w:sz w:val="18"/>
        <w:lang w:val="hy-AM"/>
      </w:rPr>
    </w:pPr>
    <w:r w:rsidRPr="00C72AB5">
      <w:rPr>
        <w:sz w:val="18"/>
        <w:lang w:val="hy-AM"/>
      </w:rPr>
      <w:fldChar w:fldCharType="begin"/>
    </w:r>
    <w:r w:rsidRPr="00C72AB5">
      <w:rPr>
        <w:sz w:val="18"/>
        <w:lang w:val="hy-AM"/>
      </w:rPr>
      <w:instrText xml:space="preserve"> PAGE   \* MERGEFORMAT </w:instrText>
    </w:r>
    <w:r w:rsidRPr="00C72AB5">
      <w:rPr>
        <w:sz w:val="18"/>
        <w:lang w:val="hy-AM"/>
      </w:rPr>
      <w:fldChar w:fldCharType="separate"/>
    </w:r>
    <w:r w:rsidR="000570F2">
      <w:rPr>
        <w:noProof/>
        <w:sz w:val="18"/>
        <w:lang w:val="hy-AM"/>
      </w:rPr>
      <w:t>2</w:t>
    </w:r>
    <w:r w:rsidRPr="00C72AB5">
      <w:rPr>
        <w:sz w:val="18"/>
        <w:lang w:val="hy-AM"/>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6100C4" w14:textId="77777777" w:rsidR="009700CA" w:rsidRPr="00C72AB5" w:rsidRDefault="009700CA" w:rsidP="00F53DFA">
      <w:r w:rsidRPr="00C72AB5">
        <w:separator/>
      </w:r>
    </w:p>
  </w:footnote>
  <w:footnote w:type="continuationSeparator" w:id="0">
    <w:p w14:paraId="1B53DB0A" w14:textId="77777777" w:rsidR="009700CA" w:rsidRPr="00C72AB5" w:rsidRDefault="009700CA" w:rsidP="00F53DFA">
      <w:r w:rsidRPr="00C72AB5">
        <w:continuationSeparator/>
      </w:r>
    </w:p>
  </w:footnote>
  <w:footnote w:id="1">
    <w:p w14:paraId="3A0FF929" w14:textId="33B8DAFA" w:rsidR="00D4555B" w:rsidRPr="00181F43" w:rsidRDefault="00D4555B" w:rsidP="00AF4203">
      <w:pPr>
        <w:pStyle w:val="FootnoteText"/>
        <w:rPr>
          <w:rStyle w:val="Hyperlink"/>
          <w:rFonts w:asciiTheme="minorHAnsi" w:hAnsiTheme="minorHAnsi" w:cstheme="minorHAnsi"/>
          <w:color w:val="000000" w:themeColor="text1"/>
          <w:sz w:val="16"/>
          <w:szCs w:val="16"/>
          <w:u w:val="none"/>
          <w:lang w:val="hy-AM"/>
        </w:rPr>
      </w:pPr>
      <w:r w:rsidRPr="00181F43">
        <w:rPr>
          <w:rStyle w:val="FootnoteReference"/>
          <w:rFonts w:asciiTheme="minorHAnsi" w:hAnsiTheme="minorHAnsi" w:cstheme="minorHAnsi"/>
          <w:color w:val="000000" w:themeColor="text1"/>
          <w:sz w:val="16"/>
          <w:szCs w:val="16"/>
          <w:lang w:val="hy-AM"/>
        </w:rPr>
        <w:footnoteRef/>
      </w:r>
      <w:r w:rsidRPr="00181F43">
        <w:rPr>
          <w:rFonts w:asciiTheme="minorHAnsi" w:hAnsiTheme="minorHAnsi" w:cstheme="minorHAnsi"/>
          <w:color w:val="000000" w:themeColor="text1"/>
          <w:sz w:val="16"/>
          <w:szCs w:val="16"/>
          <w:lang w:val="hy-AM"/>
        </w:rPr>
        <w:t xml:space="preserve"> </w:t>
      </w:r>
      <w:r w:rsidRPr="00181F43">
        <w:rPr>
          <w:rStyle w:val="Hyperlink"/>
          <w:rFonts w:asciiTheme="minorHAnsi" w:hAnsiTheme="minorHAnsi" w:cstheme="minorHAnsi"/>
          <w:color w:val="000000" w:themeColor="text1"/>
          <w:sz w:val="16"/>
          <w:szCs w:val="16"/>
          <w:u w:val="none"/>
          <w:lang w:val="hy-AM"/>
        </w:rPr>
        <w:t>World Bank. 2020. Realizing Armenia's High-Tech Potential. World Bank, Washington, DC. © World Bank. https://openknowledge.worldbank.org/handle/10986/33027 License: CC BY 3.0 IGO.</w:t>
      </w:r>
    </w:p>
  </w:footnote>
  <w:footnote w:id="2">
    <w:p w14:paraId="11D67383" w14:textId="52B72166" w:rsidR="00D4555B" w:rsidRPr="00181F43" w:rsidRDefault="00D4555B" w:rsidP="00AF4203">
      <w:pPr>
        <w:pStyle w:val="FootnoteText"/>
        <w:jc w:val="both"/>
        <w:rPr>
          <w:rFonts w:asciiTheme="minorHAnsi" w:hAnsiTheme="minorHAnsi" w:cstheme="minorHAnsi"/>
          <w:color w:val="000000" w:themeColor="text1"/>
          <w:sz w:val="16"/>
          <w:szCs w:val="16"/>
          <w:lang w:val="hy-AM"/>
        </w:rPr>
      </w:pPr>
      <w:r w:rsidRPr="00181F43">
        <w:rPr>
          <w:rStyle w:val="FootnoteReference"/>
          <w:rFonts w:asciiTheme="minorHAnsi" w:hAnsiTheme="minorHAnsi" w:cstheme="minorHAnsi"/>
          <w:color w:val="000000" w:themeColor="text1"/>
          <w:sz w:val="16"/>
          <w:szCs w:val="16"/>
          <w:lang w:val="hy-AM"/>
        </w:rPr>
        <w:footnoteRef/>
      </w:r>
      <w:r w:rsidRPr="00181F43">
        <w:rPr>
          <w:rFonts w:asciiTheme="minorHAnsi" w:hAnsiTheme="minorHAnsi" w:cstheme="minorHAnsi"/>
          <w:color w:val="000000" w:themeColor="text1"/>
          <w:sz w:val="16"/>
          <w:szCs w:val="16"/>
          <w:lang w:val="hy-AM"/>
        </w:rPr>
        <w:t xml:space="preserve"> </w:t>
      </w:r>
      <w:r w:rsidRPr="00181F43">
        <w:rPr>
          <w:rStyle w:val="Hyperlink"/>
          <w:rFonts w:asciiTheme="minorHAnsi" w:hAnsiTheme="minorHAnsi" w:cstheme="minorHAnsi"/>
          <w:color w:val="000000" w:themeColor="text1"/>
          <w:sz w:val="16"/>
          <w:szCs w:val="16"/>
          <w:u w:val="none"/>
          <w:lang w:val="hy-AM"/>
        </w:rPr>
        <w:t xml:space="preserve">Specific Support to Armenia Raising the bar: a new mission for science in Armenia's development / DOI: 10.2777/84398 </w:t>
      </w:r>
      <w:r w:rsidRPr="00181F43">
        <w:rPr>
          <w:rFonts w:asciiTheme="minorHAnsi" w:hAnsiTheme="minorHAnsi" w:cstheme="minorHAnsi"/>
          <w:color w:val="000000" w:themeColor="text1"/>
          <w:sz w:val="16"/>
          <w:szCs w:val="16"/>
          <w:lang w:val="hy-AM"/>
        </w:rPr>
        <w:t xml:space="preserve">/ </w:t>
      </w:r>
      <w:hyperlink r:id="rId1" w:history="1">
        <w:r w:rsidRPr="00181F43">
          <w:rPr>
            <w:rStyle w:val="Hyperlink"/>
            <w:rFonts w:asciiTheme="minorHAnsi" w:hAnsiTheme="minorHAnsi" w:cstheme="minorHAnsi"/>
            <w:color w:val="000000" w:themeColor="text1"/>
            <w:sz w:val="16"/>
            <w:szCs w:val="16"/>
            <w:u w:val="none"/>
            <w:lang w:val="hy-AM"/>
          </w:rPr>
          <w:t>https://ec.europa.eu/research-and-innovation/en/statistics/policy-support-facility/specific-support-armenia</w:t>
        </w:r>
      </w:hyperlink>
    </w:p>
  </w:footnote>
  <w:footnote w:id="3">
    <w:p w14:paraId="145826CF" w14:textId="647C645B" w:rsidR="00D4555B" w:rsidRPr="00181F43" w:rsidRDefault="00D4555B" w:rsidP="00AF4203">
      <w:pPr>
        <w:pStyle w:val="FootnoteText"/>
        <w:jc w:val="both"/>
        <w:rPr>
          <w:rFonts w:asciiTheme="minorHAnsi" w:hAnsiTheme="minorHAnsi" w:cstheme="minorHAnsi"/>
          <w:color w:val="000000" w:themeColor="text1"/>
          <w:sz w:val="16"/>
          <w:szCs w:val="16"/>
          <w:lang w:val="hy-AM"/>
        </w:rPr>
      </w:pPr>
      <w:r w:rsidRPr="00181F43">
        <w:rPr>
          <w:rFonts w:asciiTheme="minorHAnsi" w:hAnsiTheme="minorHAnsi" w:cstheme="minorHAnsi"/>
          <w:color w:val="000000" w:themeColor="text1"/>
          <w:sz w:val="16"/>
          <w:szCs w:val="16"/>
          <w:vertAlign w:val="superscript"/>
          <w:lang w:val="hy-AM"/>
        </w:rPr>
        <w:footnoteRef/>
      </w:r>
      <w:r w:rsidRPr="00181F43">
        <w:rPr>
          <w:rFonts w:asciiTheme="minorHAnsi" w:hAnsiTheme="minorHAnsi" w:cstheme="minorHAnsi"/>
          <w:color w:val="000000" w:themeColor="text1"/>
          <w:sz w:val="16"/>
          <w:szCs w:val="16"/>
          <w:lang w:val="hy-AM"/>
        </w:rPr>
        <w:t xml:space="preserve"> Di Anselmo, A., Shuba, A. and Taylor, S., Technology Transfer in Armenia 2019 - 2020, Baltar Salgado, E., Rodriguez Martinez, M., Mosca, J. and Basso, A. editor(s), Publications Office of the European Union, Luxembourg, 2021, ISBN 978-92-76-39438-9, doi:10.2760/94386, JRC125677 / </w:t>
      </w:r>
      <w:hyperlink r:id="rId2" w:history="1">
        <w:r w:rsidRPr="00181F43">
          <w:rPr>
            <w:rStyle w:val="Hyperlink"/>
            <w:rFonts w:asciiTheme="minorHAnsi" w:hAnsiTheme="minorHAnsi" w:cstheme="minorHAnsi"/>
            <w:color w:val="000000" w:themeColor="text1"/>
            <w:sz w:val="16"/>
            <w:szCs w:val="16"/>
            <w:u w:val="none"/>
            <w:lang w:val="hy-AM"/>
          </w:rPr>
          <w:t>https://publications.jrc.ec.europa.eu/repository/handle/JRC125677</w:t>
        </w:r>
      </w:hyperlink>
      <w:r w:rsidRPr="00181F43">
        <w:rPr>
          <w:rFonts w:asciiTheme="minorHAnsi" w:hAnsiTheme="minorHAnsi" w:cstheme="minorHAnsi"/>
          <w:color w:val="000000" w:themeColor="text1"/>
          <w:sz w:val="16"/>
          <w:szCs w:val="16"/>
          <w:lang w:val="hy-AM"/>
        </w:rPr>
        <w:t xml:space="preserve"> ; </w:t>
      </w:r>
    </w:p>
  </w:footnote>
  <w:footnote w:id="4">
    <w:p w14:paraId="5DCB6549" w14:textId="158E9B00" w:rsidR="00D4555B" w:rsidRPr="00181F43" w:rsidRDefault="00D4555B" w:rsidP="00AF4203">
      <w:pPr>
        <w:pStyle w:val="FootnoteText"/>
        <w:jc w:val="both"/>
        <w:rPr>
          <w:rFonts w:asciiTheme="minorHAnsi" w:hAnsiTheme="minorHAnsi" w:cstheme="minorHAnsi"/>
          <w:color w:val="000000" w:themeColor="text1"/>
          <w:sz w:val="16"/>
          <w:szCs w:val="16"/>
          <w:lang w:val="hy-AM"/>
        </w:rPr>
      </w:pPr>
      <w:r w:rsidRPr="00181F43">
        <w:rPr>
          <w:rFonts w:asciiTheme="minorHAnsi" w:hAnsiTheme="minorHAnsi" w:cstheme="minorHAnsi"/>
          <w:color w:val="000000" w:themeColor="text1"/>
          <w:sz w:val="16"/>
          <w:szCs w:val="16"/>
          <w:vertAlign w:val="superscript"/>
          <w:lang w:val="hy-AM"/>
        </w:rPr>
        <w:footnoteRef/>
      </w:r>
      <w:r w:rsidRPr="00181F43">
        <w:rPr>
          <w:rFonts w:asciiTheme="minorHAnsi" w:hAnsiTheme="minorHAnsi" w:cstheme="minorHAnsi"/>
          <w:color w:val="000000" w:themeColor="text1"/>
          <w:sz w:val="16"/>
          <w:szCs w:val="16"/>
          <w:lang w:val="hy-AM"/>
        </w:rPr>
        <w:t xml:space="preserve"> Sub-regional Innovation Policy Outlook 2020: Eastern Europe and the South Caucasus / https://unece.org/economic-cooperation-and-integration/publications/sub-regional-innovation-policy-outlook-2020</w:t>
      </w:r>
    </w:p>
  </w:footnote>
  <w:footnote w:id="5">
    <w:p w14:paraId="293340C8" w14:textId="41C64E34" w:rsidR="00D4555B" w:rsidRPr="00181F43" w:rsidRDefault="00D4555B" w:rsidP="00AF4203">
      <w:pPr>
        <w:pStyle w:val="FootnoteText"/>
        <w:jc w:val="both"/>
        <w:rPr>
          <w:rStyle w:val="FootnoteReference"/>
          <w:rFonts w:asciiTheme="minorHAnsi" w:hAnsiTheme="minorHAnsi" w:cstheme="minorHAnsi"/>
          <w:color w:val="000000" w:themeColor="text1"/>
          <w:sz w:val="16"/>
          <w:szCs w:val="16"/>
          <w:vertAlign w:val="baseline"/>
          <w:lang w:val="hy-AM"/>
        </w:rPr>
      </w:pPr>
      <w:r w:rsidRPr="00181F43">
        <w:rPr>
          <w:rStyle w:val="FootnoteReference"/>
          <w:rFonts w:asciiTheme="minorHAnsi" w:hAnsiTheme="minorHAnsi" w:cstheme="minorHAnsi"/>
          <w:color w:val="000000" w:themeColor="text1"/>
          <w:sz w:val="16"/>
          <w:szCs w:val="16"/>
          <w:lang w:val="hy-AM"/>
        </w:rPr>
        <w:footnoteRef/>
      </w:r>
      <w:r w:rsidRPr="00181F43">
        <w:rPr>
          <w:rStyle w:val="FootnoteReference"/>
          <w:rFonts w:asciiTheme="minorHAnsi" w:hAnsiTheme="minorHAnsi" w:cstheme="minorHAnsi"/>
          <w:color w:val="000000" w:themeColor="text1"/>
          <w:sz w:val="16"/>
          <w:szCs w:val="16"/>
          <w:vertAlign w:val="baseline"/>
          <w:lang w:val="hy-AM"/>
        </w:rPr>
        <w:t xml:space="preserve"> European Research Area Policy Agenda – Overview of actions for the period 2022-2024 /  ISBN 978-92-76-43733-8 doi:10.2777/52110 KI-01-21-450-EN-N</w:t>
      </w:r>
      <w:r w:rsidRPr="00181F43">
        <w:rPr>
          <w:rFonts w:asciiTheme="minorHAnsi" w:hAnsiTheme="minorHAnsi" w:cstheme="minorHAnsi"/>
          <w:color w:val="000000" w:themeColor="text1"/>
          <w:sz w:val="16"/>
          <w:szCs w:val="16"/>
          <w:lang w:val="hy-AM"/>
        </w:rPr>
        <w:t xml:space="preserve"> / </w:t>
      </w:r>
      <w:r w:rsidRPr="00181F43">
        <w:rPr>
          <w:rStyle w:val="FootnoteReference"/>
          <w:rFonts w:asciiTheme="minorHAnsi" w:hAnsiTheme="minorHAnsi" w:cstheme="minorHAnsi"/>
          <w:color w:val="000000" w:themeColor="text1"/>
          <w:sz w:val="16"/>
          <w:szCs w:val="16"/>
          <w:vertAlign w:val="baseline"/>
          <w:lang w:val="hy-AM"/>
        </w:rPr>
        <w:t>https://ec.europa.eu/info/sites/default/files/research_and_innovation/ strategy_on_research_and_innovation/documents/ ec_rtd_era-policy-agenda-2021.pdf</w:t>
      </w:r>
    </w:p>
  </w:footnote>
  <w:footnote w:id="6">
    <w:p w14:paraId="656BCEEC" w14:textId="2BF8468D" w:rsidR="00D4555B" w:rsidRPr="00181F43" w:rsidRDefault="00D4555B" w:rsidP="00AF4203">
      <w:pPr>
        <w:pStyle w:val="FootnoteText"/>
        <w:jc w:val="both"/>
        <w:rPr>
          <w:rFonts w:asciiTheme="minorHAnsi" w:hAnsiTheme="minorHAnsi" w:cstheme="minorHAnsi"/>
          <w:color w:val="000000" w:themeColor="text1"/>
          <w:sz w:val="16"/>
          <w:szCs w:val="16"/>
          <w:lang w:val="hy-AM"/>
        </w:rPr>
      </w:pPr>
      <w:r w:rsidRPr="00181F43">
        <w:rPr>
          <w:rStyle w:val="FootnoteReference"/>
          <w:rFonts w:asciiTheme="minorHAnsi" w:hAnsiTheme="minorHAnsi" w:cstheme="minorHAnsi"/>
          <w:color w:val="000000" w:themeColor="text1"/>
          <w:sz w:val="16"/>
          <w:szCs w:val="16"/>
          <w:lang w:val="hy-AM"/>
        </w:rPr>
        <w:footnoteRef/>
      </w:r>
      <w:r w:rsidRPr="00181F43">
        <w:rPr>
          <w:rStyle w:val="FootnoteReference"/>
          <w:rFonts w:asciiTheme="minorHAnsi" w:hAnsiTheme="minorHAnsi" w:cstheme="minorHAnsi"/>
          <w:color w:val="000000" w:themeColor="text1"/>
          <w:sz w:val="16"/>
          <w:szCs w:val="16"/>
          <w:vertAlign w:val="baseline"/>
          <w:lang w:val="hy-AM"/>
        </w:rPr>
        <w:t xml:space="preserve"> European Strategy Forum on Research Infrastructures </w:t>
      </w:r>
      <w:r w:rsidRPr="00181F43">
        <w:rPr>
          <w:rFonts w:asciiTheme="minorHAnsi" w:hAnsiTheme="minorHAnsi" w:cstheme="minorHAnsi"/>
          <w:color w:val="000000" w:themeColor="text1"/>
          <w:sz w:val="16"/>
          <w:szCs w:val="16"/>
          <w:lang w:val="hy-AM"/>
        </w:rPr>
        <w:t>(ESFRI)</w:t>
      </w:r>
      <w:r w:rsidRPr="00181F43">
        <w:rPr>
          <w:rStyle w:val="FootnoteReference"/>
          <w:rFonts w:asciiTheme="minorHAnsi" w:hAnsiTheme="minorHAnsi" w:cstheme="minorHAnsi"/>
          <w:color w:val="000000" w:themeColor="text1"/>
          <w:sz w:val="16"/>
          <w:szCs w:val="16"/>
          <w:vertAlign w:val="baseline"/>
          <w:lang w:val="hy-AM"/>
        </w:rPr>
        <w:t xml:space="preserve">. Roadmap 2021: strategy report on research infrastructures </w:t>
      </w:r>
      <w:r w:rsidRPr="00181F43">
        <w:rPr>
          <w:rFonts w:asciiTheme="minorHAnsi" w:hAnsiTheme="minorHAnsi" w:cstheme="minorHAnsi"/>
          <w:color w:val="000000" w:themeColor="text1"/>
          <w:sz w:val="16"/>
          <w:szCs w:val="16"/>
          <w:lang w:val="hy-AM"/>
        </w:rPr>
        <w:t xml:space="preserve">/ </w:t>
      </w:r>
      <w:r w:rsidRPr="00181F43">
        <w:rPr>
          <w:rStyle w:val="FootnoteReference"/>
          <w:rFonts w:asciiTheme="minorHAnsi" w:hAnsiTheme="minorHAnsi" w:cstheme="minorHAnsi"/>
          <w:color w:val="000000" w:themeColor="text1"/>
          <w:sz w:val="16"/>
          <w:szCs w:val="16"/>
          <w:vertAlign w:val="baseline"/>
          <w:lang w:val="hy-AM"/>
        </w:rPr>
        <w:t>ISBN Print: 978-88-943243-4-1</w:t>
      </w:r>
      <w:r w:rsidRPr="00181F43">
        <w:rPr>
          <w:rFonts w:asciiTheme="minorHAnsi" w:hAnsiTheme="minorHAnsi" w:cstheme="minorHAnsi"/>
          <w:color w:val="000000" w:themeColor="text1"/>
          <w:sz w:val="16"/>
          <w:szCs w:val="16"/>
          <w:lang w:val="hy-AM"/>
        </w:rPr>
        <w:t xml:space="preserve"> </w:t>
      </w:r>
      <w:r w:rsidRPr="00181F43">
        <w:rPr>
          <w:rStyle w:val="FootnoteReference"/>
          <w:rFonts w:asciiTheme="minorHAnsi" w:hAnsiTheme="minorHAnsi" w:cstheme="minorHAnsi"/>
          <w:color w:val="000000" w:themeColor="text1"/>
          <w:sz w:val="16"/>
          <w:szCs w:val="16"/>
          <w:vertAlign w:val="baseline"/>
          <w:lang w:val="hy-AM"/>
        </w:rPr>
        <w:t>ISBN PDF: 978-88-943243-6-5 / https://roadmap2021.esfri.eu/</w:t>
      </w:r>
    </w:p>
  </w:footnote>
  <w:footnote w:id="7">
    <w:p w14:paraId="6A46C21F" w14:textId="22CE69F8" w:rsidR="00D4555B" w:rsidRPr="00181F43" w:rsidRDefault="00D4555B" w:rsidP="00AF4203">
      <w:pPr>
        <w:pStyle w:val="FootnoteText"/>
        <w:jc w:val="both"/>
        <w:rPr>
          <w:rFonts w:asciiTheme="minorHAnsi" w:hAnsiTheme="minorHAnsi" w:cstheme="minorHAnsi"/>
          <w:color w:val="000000" w:themeColor="text1"/>
          <w:sz w:val="16"/>
          <w:szCs w:val="16"/>
          <w:lang w:val="hy-AM"/>
        </w:rPr>
      </w:pPr>
      <w:r w:rsidRPr="00181F43">
        <w:rPr>
          <w:rFonts w:asciiTheme="minorHAnsi" w:hAnsiTheme="minorHAnsi" w:cstheme="minorHAnsi"/>
          <w:color w:val="000000" w:themeColor="text1"/>
          <w:sz w:val="16"/>
          <w:szCs w:val="16"/>
          <w:vertAlign w:val="superscript"/>
          <w:lang w:val="hy-AM"/>
        </w:rPr>
        <w:footnoteRef/>
      </w:r>
      <w:r w:rsidRPr="00181F43">
        <w:rPr>
          <w:rFonts w:asciiTheme="minorHAnsi" w:hAnsiTheme="minorHAnsi" w:cstheme="minorHAnsi"/>
          <w:color w:val="000000" w:themeColor="text1"/>
          <w:sz w:val="16"/>
          <w:szCs w:val="16"/>
          <w:lang w:val="hy-AM"/>
        </w:rPr>
        <w:t xml:space="preserve"> UNESCO science report: towards 2030 /ISBN:978-92-3-100129-1 / https://unesdoc.unesco.org/ark:/48223/pf0000235406</w:t>
      </w:r>
    </w:p>
  </w:footnote>
  <w:footnote w:id="8">
    <w:p w14:paraId="42FA7650" w14:textId="6EFE1034" w:rsidR="00D4555B" w:rsidRPr="00181F43" w:rsidRDefault="00D4555B" w:rsidP="00AF4203">
      <w:pPr>
        <w:pStyle w:val="FootnoteText"/>
        <w:jc w:val="both"/>
        <w:rPr>
          <w:rFonts w:asciiTheme="minorHAnsi" w:hAnsiTheme="minorHAnsi" w:cstheme="minorHAnsi"/>
          <w:color w:val="000000" w:themeColor="text1"/>
          <w:sz w:val="16"/>
          <w:szCs w:val="16"/>
          <w:lang w:val="hy-AM"/>
        </w:rPr>
      </w:pPr>
      <w:r w:rsidRPr="00181F43">
        <w:rPr>
          <w:rFonts w:asciiTheme="minorHAnsi" w:hAnsiTheme="minorHAnsi" w:cstheme="minorHAnsi"/>
          <w:color w:val="000000" w:themeColor="text1"/>
          <w:sz w:val="16"/>
          <w:szCs w:val="16"/>
          <w:vertAlign w:val="superscript"/>
          <w:lang w:val="hy-AM"/>
        </w:rPr>
        <w:footnoteRef/>
      </w:r>
      <w:r w:rsidRPr="00181F43">
        <w:rPr>
          <w:rFonts w:asciiTheme="minorHAnsi" w:hAnsiTheme="minorHAnsi" w:cstheme="minorHAnsi"/>
          <w:color w:val="000000" w:themeColor="text1"/>
          <w:sz w:val="16"/>
          <w:szCs w:val="16"/>
          <w:lang w:val="hy-AM"/>
        </w:rPr>
        <w:t xml:space="preserve"> UNECE Innovation for Sustainable Development Review of Armenia 2023 / ISBN: 978-92-1-117331-4, eISBN: 978-92-1-002490-7 / https://unece.org/economic-cooperation-and-integration/publications/unece-innovation-sustainable-development-review-0</w:t>
      </w:r>
    </w:p>
  </w:footnote>
  <w:footnote w:id="9">
    <w:p w14:paraId="6B1A255B" w14:textId="2E651D66" w:rsidR="00D4555B" w:rsidRPr="00181F43" w:rsidRDefault="00D4555B" w:rsidP="00AF4203">
      <w:pPr>
        <w:pStyle w:val="FootnoteText"/>
        <w:rPr>
          <w:rFonts w:asciiTheme="minorHAnsi" w:hAnsiTheme="minorHAnsi" w:cstheme="minorHAnsi"/>
          <w:color w:val="000000" w:themeColor="text1"/>
          <w:sz w:val="16"/>
          <w:szCs w:val="16"/>
          <w:lang w:val="hy-AM"/>
        </w:rPr>
      </w:pPr>
      <w:r w:rsidRPr="00181F43">
        <w:rPr>
          <w:rStyle w:val="FootnoteReference"/>
          <w:rFonts w:asciiTheme="minorHAnsi" w:hAnsiTheme="minorHAnsi" w:cstheme="minorHAnsi"/>
          <w:color w:val="000000" w:themeColor="text1"/>
          <w:sz w:val="16"/>
          <w:szCs w:val="16"/>
          <w:lang w:val="hy-AM"/>
        </w:rPr>
        <w:footnoteRef/>
      </w:r>
      <w:r w:rsidRPr="00181F43">
        <w:rPr>
          <w:rFonts w:asciiTheme="minorHAnsi" w:hAnsiTheme="minorHAnsi" w:cstheme="minorHAnsi"/>
          <w:color w:val="000000" w:themeColor="text1"/>
          <w:sz w:val="16"/>
          <w:szCs w:val="16"/>
          <w:lang w:val="hy-AM"/>
        </w:rPr>
        <w:t xml:space="preserve"> ՀՆԱ արժեքները վերցված են ՀՀ ԱՎԾ զեկույցներից ( </w:t>
      </w:r>
      <w:hyperlink r:id="rId3" w:history="1">
        <w:r w:rsidRPr="00181F43">
          <w:rPr>
            <w:rStyle w:val="Hyperlink"/>
            <w:rFonts w:asciiTheme="minorHAnsi" w:hAnsiTheme="minorHAnsi" w:cstheme="minorHAnsi"/>
            <w:color w:val="000000" w:themeColor="text1"/>
            <w:sz w:val="16"/>
            <w:szCs w:val="16"/>
            <w:u w:val="none"/>
            <w:lang w:val="hy-AM"/>
          </w:rPr>
          <w:t>https://www.armstat.am/am/?nid=12&amp;id=01001</w:t>
        </w:r>
      </w:hyperlink>
      <w:r w:rsidRPr="00181F43">
        <w:rPr>
          <w:rFonts w:asciiTheme="minorHAnsi" w:hAnsiTheme="minorHAnsi" w:cstheme="minorHAnsi"/>
          <w:color w:val="000000" w:themeColor="text1"/>
          <w:sz w:val="16"/>
          <w:szCs w:val="16"/>
          <w:lang w:val="hy-AM"/>
        </w:rPr>
        <w:t xml:space="preserve"> ), իսկ 2024 և 2025 թվականների համար օգտագործվել են  2025-2027 ՄԺԾ ծրագրի 2024 սպասվող և 2025 ծրագրված ՀՆԱ արժեքները:</w:t>
      </w:r>
    </w:p>
  </w:footnote>
  <w:footnote w:id="10">
    <w:p w14:paraId="20B6DE54" w14:textId="398A381C" w:rsidR="00203640" w:rsidRPr="00203640" w:rsidRDefault="00203640">
      <w:pPr>
        <w:pStyle w:val="FootnoteText"/>
        <w:rPr>
          <w:rFonts w:asciiTheme="minorHAnsi" w:hAnsiTheme="minorHAnsi" w:cstheme="minorHAnsi"/>
          <w:color w:val="000000" w:themeColor="text1"/>
          <w:sz w:val="16"/>
          <w:szCs w:val="16"/>
          <w:lang w:val="hy-AM"/>
        </w:rPr>
      </w:pPr>
      <w:r w:rsidRPr="00203640">
        <w:rPr>
          <w:rFonts w:asciiTheme="minorHAnsi" w:hAnsiTheme="minorHAnsi" w:cstheme="minorHAnsi"/>
          <w:color w:val="000000" w:themeColor="text1"/>
          <w:sz w:val="16"/>
          <w:szCs w:val="16"/>
          <w:vertAlign w:val="superscript"/>
          <w:lang w:val="hy-AM"/>
        </w:rPr>
        <w:footnoteRef/>
      </w:r>
      <w:r w:rsidRPr="00203640">
        <w:rPr>
          <w:rFonts w:asciiTheme="minorHAnsi" w:hAnsiTheme="minorHAnsi" w:cstheme="minorHAnsi"/>
          <w:color w:val="000000" w:themeColor="text1"/>
          <w:sz w:val="16"/>
          <w:szCs w:val="16"/>
          <w:lang w:val="hy-AM"/>
        </w:rPr>
        <w:t xml:space="preserve"> </w:t>
      </w:r>
      <w:hyperlink r:id="rId4" w:history="1">
        <w:r w:rsidRPr="00203640">
          <w:rPr>
            <w:rStyle w:val="Hyperlink"/>
            <w:rFonts w:asciiTheme="minorHAnsi" w:hAnsiTheme="minorHAnsi" w:cstheme="minorHAnsi"/>
            <w:sz w:val="16"/>
            <w:szCs w:val="16"/>
            <w:u w:val="none"/>
            <w:lang w:val="hy-AM"/>
          </w:rPr>
          <w:t>https://www.arlis.am/hy/acts/217676/latest</w:t>
        </w:r>
      </w:hyperlink>
      <w:r>
        <w:rPr>
          <w:rFonts w:asciiTheme="minorHAnsi" w:hAnsiTheme="minorHAnsi" w:cstheme="minorHAnsi"/>
          <w:color w:val="000000" w:themeColor="text1"/>
          <w:sz w:val="16"/>
          <w:szCs w:val="16"/>
          <w:lang w:val="hy-AM"/>
        </w:rPr>
        <w:t>, հավելված 6:</w:t>
      </w:r>
    </w:p>
  </w:footnote>
  <w:footnote w:id="11">
    <w:p w14:paraId="7F939569" w14:textId="77777777" w:rsidR="00D4555B" w:rsidRPr="00181F43" w:rsidRDefault="00D4555B" w:rsidP="00AF4203">
      <w:pPr>
        <w:pStyle w:val="FootnoteText"/>
        <w:rPr>
          <w:rFonts w:asciiTheme="minorHAnsi" w:hAnsiTheme="minorHAnsi" w:cstheme="minorHAnsi"/>
          <w:color w:val="000000" w:themeColor="text1"/>
          <w:sz w:val="16"/>
          <w:szCs w:val="16"/>
          <w:vertAlign w:val="superscript"/>
          <w:lang w:val="hy-AM"/>
        </w:rPr>
      </w:pPr>
      <w:r w:rsidRPr="00181F43">
        <w:rPr>
          <w:rFonts w:asciiTheme="minorHAnsi" w:hAnsiTheme="minorHAnsi" w:cstheme="minorHAnsi"/>
          <w:color w:val="000000" w:themeColor="text1"/>
          <w:sz w:val="16"/>
          <w:szCs w:val="16"/>
          <w:vertAlign w:val="superscript"/>
          <w:lang w:val="hy-AM"/>
        </w:rPr>
        <w:footnoteRef/>
      </w:r>
      <w:r w:rsidRPr="00181F43">
        <w:rPr>
          <w:rFonts w:asciiTheme="minorHAnsi" w:hAnsiTheme="minorHAnsi" w:cstheme="minorHAnsi"/>
          <w:color w:val="000000" w:themeColor="text1"/>
          <w:sz w:val="16"/>
          <w:szCs w:val="16"/>
          <w:vertAlign w:val="superscript"/>
          <w:lang w:val="hy-AM"/>
        </w:rPr>
        <w:t xml:space="preserve"> </w:t>
      </w:r>
      <w:r w:rsidRPr="00181F43">
        <w:rPr>
          <w:rFonts w:asciiTheme="minorHAnsi" w:hAnsiTheme="minorHAnsi" w:cstheme="minorHAnsi"/>
          <w:color w:val="000000" w:themeColor="text1"/>
          <w:sz w:val="16"/>
          <w:szCs w:val="16"/>
          <w:lang w:val="hy-AM"/>
        </w:rPr>
        <w:t>Indicator 9.5.1: Research and development expenditure as a proportion of GDP, %: https://w3.unece.org/SDG/en/Indicator?id=123</w:t>
      </w:r>
    </w:p>
  </w:footnote>
  <w:footnote w:id="12">
    <w:p w14:paraId="5BD7E224" w14:textId="77777777" w:rsidR="00D4555B" w:rsidRPr="00181F43" w:rsidRDefault="00D4555B" w:rsidP="00AF4203">
      <w:pPr>
        <w:pStyle w:val="FootnoteText"/>
        <w:rPr>
          <w:rFonts w:asciiTheme="minorHAnsi" w:hAnsiTheme="minorHAnsi" w:cstheme="minorHAnsi"/>
          <w:color w:val="000000" w:themeColor="text1"/>
          <w:sz w:val="16"/>
          <w:szCs w:val="16"/>
          <w:lang w:val="hy-AM"/>
        </w:rPr>
      </w:pPr>
      <w:r w:rsidRPr="00181F43">
        <w:rPr>
          <w:rFonts w:asciiTheme="minorHAnsi" w:hAnsiTheme="minorHAnsi" w:cstheme="minorHAnsi"/>
          <w:color w:val="000000" w:themeColor="text1"/>
          <w:sz w:val="16"/>
          <w:szCs w:val="16"/>
          <w:vertAlign w:val="superscript"/>
          <w:lang w:val="hy-AM"/>
        </w:rPr>
        <w:footnoteRef/>
      </w:r>
      <w:r w:rsidRPr="00181F43">
        <w:rPr>
          <w:rFonts w:asciiTheme="minorHAnsi" w:hAnsiTheme="minorHAnsi" w:cstheme="minorHAnsi"/>
          <w:color w:val="000000" w:themeColor="text1"/>
          <w:sz w:val="16"/>
          <w:szCs w:val="16"/>
          <w:lang w:val="hy-AM"/>
        </w:rPr>
        <w:t xml:space="preserve"> Վրաստան – 0.2, Լատվիա – 0.7, Լիտվա – 1.1, Էստոնիա – 1.8, Սլովենիա – 2.1 (2021 թվականի տվյալներով)</w:t>
      </w:r>
    </w:p>
  </w:footnote>
  <w:footnote w:id="13">
    <w:p w14:paraId="6517F9CF" w14:textId="59EE68D4" w:rsidR="00D4555B" w:rsidRPr="00181F43" w:rsidRDefault="00D4555B" w:rsidP="00AF4203">
      <w:pPr>
        <w:pStyle w:val="FootnoteText"/>
        <w:rPr>
          <w:rFonts w:asciiTheme="minorHAnsi" w:hAnsiTheme="minorHAnsi" w:cstheme="minorHAnsi"/>
          <w:color w:val="000000" w:themeColor="text1"/>
          <w:sz w:val="16"/>
          <w:szCs w:val="16"/>
          <w:lang w:val="hy-AM"/>
        </w:rPr>
      </w:pPr>
      <w:r w:rsidRPr="00181F43">
        <w:rPr>
          <w:rFonts w:asciiTheme="minorHAnsi" w:hAnsiTheme="minorHAnsi" w:cstheme="minorHAnsi"/>
          <w:color w:val="000000" w:themeColor="text1"/>
          <w:sz w:val="16"/>
          <w:szCs w:val="16"/>
          <w:vertAlign w:val="superscript"/>
          <w:lang w:val="hy-AM"/>
        </w:rPr>
        <w:footnoteRef/>
      </w:r>
      <w:r w:rsidRPr="00181F43">
        <w:rPr>
          <w:rFonts w:asciiTheme="minorHAnsi" w:hAnsiTheme="minorHAnsi" w:cstheme="minorHAnsi"/>
          <w:color w:val="000000" w:themeColor="text1"/>
          <w:sz w:val="16"/>
          <w:szCs w:val="16"/>
          <w:lang w:val="hy-AM"/>
        </w:rPr>
        <w:t xml:space="preserve"> https://www.arlis.am/hy/acts/214346</w:t>
      </w:r>
    </w:p>
  </w:footnote>
  <w:footnote w:id="14">
    <w:p w14:paraId="63D76DD0" w14:textId="2DC3325A" w:rsidR="00D4555B" w:rsidRPr="00181F43" w:rsidRDefault="00D4555B" w:rsidP="00AF4203">
      <w:pPr>
        <w:pStyle w:val="FootnoteText"/>
        <w:rPr>
          <w:rFonts w:asciiTheme="minorHAnsi" w:hAnsiTheme="minorHAnsi" w:cstheme="minorHAnsi"/>
          <w:color w:val="000000" w:themeColor="text1"/>
          <w:sz w:val="16"/>
          <w:szCs w:val="16"/>
          <w:lang w:val="hy-AM"/>
        </w:rPr>
      </w:pPr>
      <w:r w:rsidRPr="00181F43">
        <w:rPr>
          <w:rStyle w:val="FootnoteReference"/>
          <w:rFonts w:asciiTheme="minorHAnsi" w:hAnsiTheme="minorHAnsi" w:cstheme="minorHAnsi"/>
          <w:color w:val="000000" w:themeColor="text1"/>
          <w:sz w:val="16"/>
          <w:szCs w:val="16"/>
          <w:lang w:val="hy-AM"/>
        </w:rPr>
        <w:footnoteRef/>
      </w:r>
      <w:r w:rsidRPr="00181F43">
        <w:rPr>
          <w:rFonts w:asciiTheme="minorHAnsi" w:hAnsiTheme="minorHAnsi" w:cstheme="minorHAnsi"/>
          <w:color w:val="000000" w:themeColor="text1"/>
          <w:sz w:val="16"/>
          <w:szCs w:val="16"/>
          <w:lang w:val="hy-AM"/>
        </w:rPr>
        <w:t xml:space="preserve"> Ի հավելումն, ՀՀ կառավարության 2021թ. մարտի 18-ի N 371-Ն որոշմամբ, ոլորտի ֆինանսավորումը կրճատվել է 784565.5 հազ. դրամով, որից </w:t>
      </w:r>
      <w:bdo w:val="ltr">
        <w:r w:rsidRPr="00181F43">
          <w:rPr>
            <w:rFonts w:asciiTheme="minorHAnsi" w:hAnsiTheme="minorHAnsi" w:cstheme="minorHAnsi"/>
            <w:color w:val="000000" w:themeColor="text1"/>
            <w:sz w:val="16"/>
            <w:szCs w:val="16"/>
            <w:lang w:val="hy-AM"/>
          </w:rPr>
          <w:t>370,165.5</w:t>
        </w:r>
        <w:r w:rsidRPr="00181F43">
          <w:rPr>
            <w:rFonts w:asciiTheme="minorHAnsi" w:hAnsiTheme="minorHAnsi" w:cstheme="minorHAnsi"/>
            <w:color w:val="000000" w:themeColor="text1"/>
            <w:sz w:val="16"/>
            <w:szCs w:val="16"/>
            <w:lang w:val="hy-AM"/>
          </w:rPr>
          <w:t xml:space="preserve">‬ հազ. դրամ` բազային ֆինանսավորման, ոչ մրցութային սկզբունքով հատկացվող ծրագրերից: </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color w:val="000000" w:themeColor="text1"/>
            <w:sz w:val="16"/>
            <w:szCs w:val="16"/>
            <w:lang w:val="hy-AM"/>
          </w:rPr>
          <w:t>‬</w:t>
        </w:r>
        <w:r w:rsidRPr="00181F43">
          <w:rPr>
            <w:rFonts w:asciiTheme="minorHAnsi" w:hAnsiTheme="minorHAnsi" w:cstheme="minorHAnsi"/>
            <w:sz w:val="16"/>
            <w:szCs w:val="16"/>
            <w:lang w:val="hy-AM"/>
          </w:rPr>
          <w:t>‬</w:t>
        </w:r>
        <w:r w:rsidRPr="00181F43">
          <w:rPr>
            <w:rFonts w:asciiTheme="minorHAnsi" w:hAnsiTheme="minorHAnsi" w:cstheme="minorHAnsi"/>
            <w:sz w:val="16"/>
            <w:szCs w:val="16"/>
            <w:lang w:val="hy-AM"/>
          </w:rPr>
          <w:t>‬</w:t>
        </w:r>
        <w:r w:rsidRPr="00181F43">
          <w:rPr>
            <w:rFonts w:asciiTheme="minorHAnsi" w:hAnsiTheme="minorHAnsi" w:cstheme="minorHAnsi"/>
            <w:sz w:val="16"/>
            <w:szCs w:val="16"/>
            <w:lang w:val="hy-AM"/>
          </w:rPr>
          <w:t>‬</w:t>
        </w:r>
        <w:r w:rsidRPr="00181F43">
          <w:rPr>
            <w:rFonts w:asciiTheme="minorHAnsi" w:hAnsiTheme="minorHAnsi" w:cstheme="minorHAnsi"/>
            <w:sz w:val="16"/>
            <w:szCs w:val="16"/>
            <w:lang w:val="hy-AM"/>
          </w:rPr>
          <w:t>‬</w:t>
        </w:r>
        <w:r w:rsidRPr="00181F43">
          <w:rPr>
            <w:rFonts w:asciiTheme="minorHAnsi" w:hAnsiTheme="minorHAnsi" w:cstheme="minorHAnsi"/>
            <w:sz w:val="16"/>
            <w:szCs w:val="16"/>
            <w:lang w:val="hy-AM"/>
          </w:rPr>
          <w:t>‬</w:t>
        </w:r>
        <w:r w:rsidRPr="00181F43">
          <w:rPr>
            <w:rFonts w:asciiTheme="minorHAnsi" w:hAnsiTheme="minorHAnsi" w:cstheme="minorHAnsi"/>
            <w:sz w:val="16"/>
            <w:szCs w:val="16"/>
            <w:lang w:val="hy-AM"/>
          </w:rPr>
          <w:t>‬</w:t>
        </w:r>
        <w:r w:rsidRPr="00181F43">
          <w:rPr>
            <w:rFonts w:asciiTheme="minorHAnsi" w:hAnsiTheme="minorHAnsi" w:cstheme="minorHAnsi"/>
            <w:sz w:val="16"/>
            <w:szCs w:val="16"/>
            <w:lang w:val="hy-AM"/>
          </w:rPr>
          <w:t>‬</w:t>
        </w:r>
        <w:r w:rsidRPr="00181F43">
          <w:rPr>
            <w:rFonts w:asciiTheme="minorHAnsi" w:hAnsiTheme="minorHAnsi" w:cstheme="minorHAnsi"/>
            <w:sz w:val="16"/>
            <w:szCs w:val="16"/>
            <w:lang w:val="hy-AM"/>
          </w:rPr>
          <w:t>‬</w:t>
        </w:r>
        <w:r w:rsidRPr="00181F43">
          <w:rPr>
            <w:rFonts w:asciiTheme="minorHAnsi" w:hAnsiTheme="minorHAnsi" w:cstheme="minorHAnsi"/>
            <w:sz w:val="16"/>
            <w:szCs w:val="16"/>
            <w:lang w:val="hy-AM"/>
          </w:rPr>
          <w:t>‬</w:t>
        </w:r>
        <w:r w:rsidRPr="00181F43">
          <w:rPr>
            <w:rFonts w:asciiTheme="minorHAnsi" w:hAnsiTheme="minorHAnsi" w:cstheme="minorHAnsi"/>
            <w:sz w:val="16"/>
            <w:szCs w:val="16"/>
            <w:lang w:val="hy-AM"/>
          </w:rPr>
          <w:t>‬</w:t>
        </w:r>
        <w:r w:rsidRPr="00181F43">
          <w:rPr>
            <w:rFonts w:asciiTheme="minorHAnsi" w:hAnsiTheme="minorHAnsi" w:cstheme="minorHAnsi"/>
            <w:sz w:val="16"/>
            <w:szCs w:val="16"/>
            <w:lang w:val="hy-AM"/>
          </w:rPr>
          <w:t>‬</w:t>
        </w:r>
        <w:r w:rsidRPr="00181F43">
          <w:rPr>
            <w:rFonts w:asciiTheme="minorHAnsi" w:hAnsiTheme="minorHAnsi" w:cstheme="minorHAnsi"/>
            <w:sz w:val="16"/>
            <w:szCs w:val="16"/>
            <w:lang w:val="hy-AM"/>
          </w:rPr>
          <w:t>‬</w:t>
        </w:r>
        <w:r w:rsidRPr="00181F43">
          <w:rPr>
            <w:rFonts w:asciiTheme="minorHAnsi" w:hAnsiTheme="minorHAnsi" w:cstheme="minorHAnsi"/>
            <w:sz w:val="16"/>
            <w:szCs w:val="16"/>
            <w:lang w:val="hy-AM"/>
          </w:rPr>
          <w:t>‬</w:t>
        </w:r>
        <w:r w:rsidRPr="00181F43">
          <w:rPr>
            <w:rFonts w:asciiTheme="minorHAnsi" w:hAnsiTheme="minorHAnsi" w:cstheme="minorHAnsi"/>
            <w:sz w:val="16"/>
            <w:szCs w:val="16"/>
            <w:lang w:val="hy-AM"/>
          </w:rPr>
          <w:t>‬</w:t>
        </w:r>
        <w:r w:rsidRPr="00181F43">
          <w:rPr>
            <w:rFonts w:asciiTheme="minorHAnsi" w:hAnsiTheme="minorHAnsi" w:cstheme="minorHAnsi"/>
            <w:sz w:val="16"/>
            <w:szCs w:val="16"/>
            <w:lang w:val="hy-AM"/>
          </w:rPr>
          <w:t>‬</w:t>
        </w:r>
        <w:r w:rsidRPr="00181F43">
          <w:rPr>
            <w:rFonts w:asciiTheme="minorHAnsi" w:hAnsiTheme="minorHAnsi" w:cstheme="minorHAnsi"/>
            <w:sz w:val="16"/>
            <w:szCs w:val="16"/>
            <w:lang w:val="hy-AM"/>
          </w:rPr>
          <w:t>‬</w:t>
        </w:r>
        <w:r w:rsidRPr="00181F43">
          <w:rPr>
            <w:rFonts w:asciiTheme="minorHAnsi" w:hAnsiTheme="minorHAnsi" w:cstheme="minorHAnsi"/>
            <w:sz w:val="16"/>
            <w:szCs w:val="16"/>
            <w:lang w:val="hy-AM"/>
          </w:rPr>
          <w:t>‬</w:t>
        </w:r>
        <w:r w:rsidRPr="00181F43">
          <w:rPr>
            <w:rFonts w:asciiTheme="minorHAnsi" w:hAnsiTheme="minorHAnsi" w:cstheme="minorHAnsi"/>
            <w:sz w:val="16"/>
            <w:szCs w:val="16"/>
            <w:lang w:val="hy-AM"/>
          </w:rPr>
          <w:t>‬</w:t>
        </w:r>
        <w:r w:rsidRPr="00181F43">
          <w:rPr>
            <w:rFonts w:asciiTheme="minorHAnsi" w:hAnsiTheme="minorHAnsi" w:cstheme="minorHAnsi"/>
            <w:sz w:val="16"/>
            <w:szCs w:val="16"/>
            <w:lang w:val="hy-AM"/>
          </w:rPr>
          <w:t>‬</w:t>
        </w:r>
        <w:r w:rsidRPr="00181F43">
          <w:rPr>
            <w:rFonts w:asciiTheme="minorHAnsi" w:hAnsiTheme="minorHAnsi" w:cstheme="minorHAnsi"/>
            <w:lang w:val="hy-AM"/>
          </w:rPr>
          <w:t>‬</w:t>
        </w:r>
        <w:r w:rsidRPr="00181F43">
          <w:rPr>
            <w:rFonts w:asciiTheme="minorHAnsi" w:hAnsiTheme="minorHAnsi" w:cstheme="minorHAnsi"/>
            <w:lang w:val="hy-AM"/>
          </w:rPr>
          <w:t>‬</w:t>
        </w:r>
        <w:r w:rsidRPr="00181F43">
          <w:rPr>
            <w:rFonts w:asciiTheme="minorHAnsi" w:hAnsiTheme="minorHAnsi" w:cstheme="minorHAnsi"/>
            <w:lang w:val="hy-AM"/>
          </w:rPr>
          <w:t>‬</w:t>
        </w:r>
        <w:r w:rsidRPr="00181F43">
          <w:rPr>
            <w:rFonts w:asciiTheme="minorHAnsi" w:hAnsiTheme="minorHAnsi" w:cstheme="minorHAnsi"/>
            <w:lang w:val="hy-AM"/>
          </w:rPr>
          <w:t>‬</w:t>
        </w:r>
        <w:r w:rsidRPr="00181F43">
          <w:rPr>
            <w:rFonts w:asciiTheme="minorHAnsi" w:hAnsiTheme="minorHAnsi" w:cstheme="minorHAnsi"/>
            <w:lang w:val="hy-AM"/>
          </w:rPr>
          <w:t>‬</w:t>
        </w:r>
        <w:r w:rsidRPr="00181F43">
          <w:rPr>
            <w:rFonts w:asciiTheme="minorHAnsi" w:hAnsiTheme="minorHAnsi" w:cstheme="minorHAnsi"/>
            <w:lang w:val="hy-AM"/>
          </w:rPr>
          <w:t>‬</w:t>
        </w:r>
        <w:r w:rsidRPr="00181F43">
          <w:rPr>
            <w:rFonts w:asciiTheme="minorHAnsi" w:hAnsiTheme="minorHAnsi" w:cstheme="minorHAnsi"/>
            <w:lang w:val="hy-AM"/>
          </w:rPr>
          <w:t>‬</w:t>
        </w:r>
        <w:r w:rsidR="00E0762B" w:rsidRPr="00181F43">
          <w:rPr>
            <w:rFonts w:asciiTheme="minorHAnsi" w:hAnsiTheme="minorHAnsi" w:cstheme="minorHAnsi"/>
            <w:lang w:val="hy-AM"/>
          </w:rPr>
          <w:t>‬</w:t>
        </w:r>
        <w:r w:rsidR="00B8481C" w:rsidRPr="000570F2">
          <w:rPr>
            <w:rFonts w:asciiTheme="minorHAnsi" w:hAnsiTheme="minorHAnsi" w:cstheme="minorHAnsi"/>
            <w:lang w:val="hy-AM"/>
          </w:rPr>
          <w:t>‬</w:t>
        </w:r>
        <w:r w:rsidRPr="000570F2">
          <w:rPr>
            <w:rFonts w:asciiTheme="minorHAnsi" w:hAnsiTheme="minorHAnsi" w:cstheme="minorHAnsi"/>
            <w:lang w:val="hy-AM"/>
          </w:rPr>
          <w:t>‬</w:t>
        </w:r>
        <w:r w:rsidRPr="000570F2">
          <w:rPr>
            <w:rFonts w:asciiTheme="minorHAnsi" w:hAnsiTheme="minorHAnsi" w:cstheme="minorHAnsi"/>
            <w:lang w:val="hy-AM"/>
          </w:rPr>
          <w:t>‬</w:t>
        </w:r>
        <w:r w:rsidR="001F022D" w:rsidRPr="000570F2">
          <w:rPr>
            <w:lang w:val="hy-AM"/>
          </w:rPr>
          <w:t>‬</w:t>
        </w:r>
        <w:r w:rsidRPr="000570F2">
          <w:rPr>
            <w:lang w:val="hy-AM"/>
          </w:rPr>
          <w:t>‬</w:t>
        </w:r>
        <w:r w:rsidRPr="000570F2">
          <w:rPr>
            <w:lang w:val="hy-AM"/>
          </w:rPr>
          <w:t>‬</w:t>
        </w:r>
        <w:r w:rsidR="00FD6AA3" w:rsidRPr="000570F2">
          <w:rPr>
            <w:lang w:val="hy-AM"/>
          </w:rPr>
          <w:t>‬</w:t>
        </w:r>
        <w:r w:rsidRPr="000570F2">
          <w:rPr>
            <w:lang w:val="hy-AM"/>
          </w:rPr>
          <w:t>‬</w:t>
        </w:r>
        <w:r w:rsidRPr="000570F2">
          <w:rPr>
            <w:lang w:val="hy-AM"/>
          </w:rPr>
          <w:t>‬</w:t>
        </w:r>
        <w:r w:rsidRPr="000570F2">
          <w:rPr>
            <w:lang w:val="hy-AM"/>
          </w:rPr>
          <w:t>‬</w:t>
        </w:r>
        <w:r w:rsidRPr="000570F2">
          <w:rPr>
            <w:lang w:val="hy-AM"/>
          </w:rPr>
          <w:t>‬</w:t>
        </w:r>
        <w:r w:rsidR="000547D8" w:rsidRPr="000570F2">
          <w:rPr>
            <w:lang w:val="hy-AM"/>
          </w:rPr>
          <w:t>‬</w:t>
        </w:r>
        <w:r w:rsidR="003516C3" w:rsidRPr="000570F2">
          <w:rPr>
            <w:lang w:val="hy-AM"/>
          </w:rPr>
          <w:t>‬</w:t>
        </w:r>
        <w:r w:rsidR="009C4E85" w:rsidRPr="000570F2">
          <w:rPr>
            <w:lang w:val="hy-AM"/>
          </w:rPr>
          <w:t>‬</w:t>
        </w:r>
        <w:r w:rsidRPr="000570F2">
          <w:rPr>
            <w:lang w:val="hy-AM"/>
          </w:rPr>
          <w:t>‬</w:t>
        </w:r>
        <w:r w:rsidR="009700CA" w:rsidRPr="000570F2">
          <w:rPr>
            <w:lang w:val="hy-AM"/>
          </w:rPr>
          <w:t>‬</w:t>
        </w:r>
      </w:bdo>
    </w:p>
  </w:footnote>
  <w:footnote w:id="15">
    <w:p w14:paraId="25130A50" w14:textId="77777777" w:rsidR="00D4555B" w:rsidRPr="00181F43" w:rsidRDefault="00D4555B" w:rsidP="00AF4203">
      <w:pPr>
        <w:pStyle w:val="FootnoteText"/>
        <w:rPr>
          <w:rFonts w:asciiTheme="minorHAnsi" w:hAnsiTheme="minorHAnsi" w:cstheme="minorHAnsi"/>
          <w:color w:val="000000" w:themeColor="text1"/>
          <w:sz w:val="16"/>
          <w:szCs w:val="16"/>
          <w:lang w:val="hy-AM"/>
        </w:rPr>
      </w:pPr>
      <w:r w:rsidRPr="00181F43">
        <w:rPr>
          <w:rFonts w:asciiTheme="minorHAnsi" w:hAnsiTheme="minorHAnsi" w:cstheme="minorHAnsi"/>
          <w:color w:val="000000" w:themeColor="text1"/>
          <w:sz w:val="16"/>
          <w:szCs w:val="16"/>
          <w:vertAlign w:val="superscript"/>
          <w:lang w:val="hy-AM"/>
        </w:rPr>
        <w:footnoteRef/>
      </w:r>
      <w:r w:rsidRPr="00181F43">
        <w:rPr>
          <w:rFonts w:asciiTheme="minorHAnsi" w:hAnsiTheme="minorHAnsi" w:cstheme="minorHAnsi"/>
          <w:color w:val="000000" w:themeColor="text1"/>
          <w:sz w:val="16"/>
          <w:szCs w:val="16"/>
          <w:vertAlign w:val="superscript"/>
          <w:lang w:val="hy-AM"/>
        </w:rPr>
        <w:t xml:space="preserve"> </w:t>
      </w:r>
      <w:r w:rsidRPr="00181F43">
        <w:rPr>
          <w:rFonts w:asciiTheme="minorHAnsi" w:hAnsiTheme="minorHAnsi" w:cstheme="minorHAnsi"/>
          <w:color w:val="000000" w:themeColor="text1"/>
          <w:sz w:val="16"/>
          <w:szCs w:val="16"/>
          <w:lang w:val="hy-AM"/>
        </w:rPr>
        <w:t>2025 թվականի դրությամբ նվազագույն պաշտոնային դրույքաչափերի տարբերությունը % 2021 թվականի միջին աշխատավարձի նկատմամբ</w:t>
      </w:r>
    </w:p>
  </w:footnote>
  <w:footnote w:id="16">
    <w:p w14:paraId="5A9CA8D1" w14:textId="77777777" w:rsidR="00D4555B" w:rsidRPr="00181F43" w:rsidRDefault="00D4555B" w:rsidP="00AF4203">
      <w:pPr>
        <w:pStyle w:val="FootnoteText"/>
        <w:rPr>
          <w:rFonts w:asciiTheme="minorHAnsi" w:hAnsiTheme="minorHAnsi" w:cstheme="minorHAnsi"/>
          <w:color w:val="000000" w:themeColor="text1"/>
          <w:sz w:val="16"/>
          <w:szCs w:val="16"/>
          <w:lang w:val="hy-AM"/>
        </w:rPr>
      </w:pPr>
      <w:r w:rsidRPr="00181F43">
        <w:rPr>
          <w:rStyle w:val="FootnoteReference"/>
          <w:rFonts w:asciiTheme="minorHAnsi" w:hAnsiTheme="minorHAnsi" w:cstheme="minorHAnsi"/>
          <w:color w:val="000000" w:themeColor="text1"/>
          <w:sz w:val="16"/>
          <w:szCs w:val="16"/>
          <w:lang w:val="hy-AM"/>
        </w:rPr>
        <w:footnoteRef/>
      </w:r>
      <w:r w:rsidRPr="00181F43">
        <w:rPr>
          <w:rFonts w:asciiTheme="minorHAnsi" w:hAnsiTheme="minorHAnsi" w:cstheme="minorHAnsi"/>
          <w:color w:val="000000" w:themeColor="text1"/>
          <w:sz w:val="16"/>
          <w:szCs w:val="16"/>
          <w:lang w:val="hy-AM"/>
        </w:rPr>
        <w:t xml:space="preserve"> https://armstat.am/am/?nid=586</w:t>
      </w:r>
    </w:p>
  </w:footnote>
  <w:footnote w:id="17">
    <w:p w14:paraId="3B652FF2" w14:textId="1C194D25" w:rsidR="00D4555B" w:rsidRPr="00181F43" w:rsidRDefault="00D4555B" w:rsidP="00AF4203">
      <w:pPr>
        <w:pStyle w:val="FootnoteText"/>
        <w:rPr>
          <w:rFonts w:asciiTheme="minorHAnsi" w:hAnsiTheme="minorHAnsi" w:cstheme="minorHAnsi"/>
          <w:color w:val="000000" w:themeColor="text1"/>
          <w:sz w:val="16"/>
          <w:szCs w:val="16"/>
          <w:lang w:val="hy-AM"/>
        </w:rPr>
      </w:pPr>
      <w:r w:rsidRPr="00181F43">
        <w:rPr>
          <w:rStyle w:val="FootnoteReference"/>
          <w:rFonts w:asciiTheme="minorHAnsi" w:hAnsiTheme="minorHAnsi" w:cstheme="minorHAnsi"/>
          <w:color w:val="000000" w:themeColor="text1"/>
          <w:sz w:val="16"/>
          <w:szCs w:val="16"/>
          <w:lang w:val="hy-AM"/>
        </w:rPr>
        <w:footnoteRef/>
      </w:r>
      <w:r w:rsidRPr="00181F43">
        <w:rPr>
          <w:rFonts w:asciiTheme="minorHAnsi" w:hAnsiTheme="minorHAnsi" w:cstheme="minorHAnsi"/>
          <w:color w:val="000000" w:themeColor="text1"/>
          <w:sz w:val="16"/>
          <w:szCs w:val="16"/>
          <w:lang w:val="hy-AM"/>
        </w:rPr>
        <w:t xml:space="preserve"> 2017 թվականից սկսված են տվյալներն առավել հուսալի</w:t>
      </w:r>
    </w:p>
  </w:footnote>
  <w:footnote w:id="18">
    <w:p w14:paraId="45E16963" w14:textId="218C8B15" w:rsidR="00D4555B" w:rsidRPr="00181F43" w:rsidRDefault="00D4555B" w:rsidP="00AF4203">
      <w:pPr>
        <w:pStyle w:val="FootnoteText"/>
        <w:rPr>
          <w:rFonts w:asciiTheme="minorHAnsi" w:hAnsiTheme="minorHAnsi" w:cstheme="minorHAnsi"/>
          <w:color w:val="000000" w:themeColor="text1"/>
          <w:sz w:val="16"/>
          <w:szCs w:val="16"/>
          <w:lang w:val="hy-AM"/>
        </w:rPr>
      </w:pPr>
      <w:r w:rsidRPr="00181F43">
        <w:rPr>
          <w:rStyle w:val="FootnoteReference"/>
          <w:rFonts w:asciiTheme="minorHAnsi" w:hAnsiTheme="minorHAnsi" w:cstheme="minorHAnsi"/>
          <w:color w:val="000000" w:themeColor="text1"/>
          <w:sz w:val="16"/>
          <w:szCs w:val="16"/>
          <w:lang w:val="hy-AM"/>
        </w:rPr>
        <w:footnoteRef/>
      </w:r>
      <w:r w:rsidRPr="00181F43">
        <w:rPr>
          <w:rFonts w:asciiTheme="minorHAnsi" w:hAnsiTheme="minorHAnsi" w:cstheme="minorHAnsi"/>
          <w:color w:val="000000" w:themeColor="text1"/>
          <w:sz w:val="16"/>
          <w:szCs w:val="16"/>
          <w:lang w:val="hy-AM"/>
        </w:rPr>
        <w:t xml:space="preserve"> առանձին կազմակերպություններով հաշվարկի պարագայում աշխատակիցների թվաքանակը որոշակիորեն ավել</w:t>
      </w:r>
      <w:r w:rsidR="00B1467F">
        <w:rPr>
          <w:rFonts w:asciiTheme="minorHAnsi" w:hAnsiTheme="minorHAnsi" w:cstheme="minorHAnsi"/>
          <w:color w:val="000000" w:themeColor="text1"/>
          <w:sz w:val="16"/>
          <w:szCs w:val="16"/>
          <w:lang w:val="hy-AM"/>
        </w:rPr>
        <w:t>ի</w:t>
      </w:r>
      <w:r w:rsidRPr="00181F43">
        <w:rPr>
          <w:rFonts w:asciiTheme="minorHAnsi" w:hAnsiTheme="minorHAnsi" w:cstheme="minorHAnsi"/>
          <w:color w:val="000000" w:themeColor="text1"/>
          <w:sz w:val="16"/>
          <w:szCs w:val="16"/>
          <w:lang w:val="hy-AM"/>
        </w:rPr>
        <w:t xml:space="preserve"> է ընդհանրական թվերից, քանի որ նույն անձը որոշ դեպքերում համատեղում է այլ կազմակերպությունում:</w:t>
      </w:r>
    </w:p>
  </w:footnote>
  <w:footnote w:id="19">
    <w:p w14:paraId="6A92D65A" w14:textId="77777777" w:rsidR="00D4555B" w:rsidRPr="00181F43" w:rsidRDefault="00D4555B" w:rsidP="00AF4203">
      <w:pPr>
        <w:pStyle w:val="FootnoteText"/>
        <w:rPr>
          <w:rFonts w:asciiTheme="minorHAnsi" w:hAnsiTheme="minorHAnsi" w:cstheme="minorHAnsi"/>
          <w:color w:val="000000" w:themeColor="text1"/>
          <w:sz w:val="16"/>
          <w:szCs w:val="16"/>
          <w:vertAlign w:val="superscript"/>
          <w:lang w:val="hy-AM"/>
        </w:rPr>
      </w:pPr>
      <w:r w:rsidRPr="00181F43">
        <w:rPr>
          <w:rFonts w:asciiTheme="minorHAnsi" w:hAnsiTheme="minorHAnsi" w:cstheme="minorHAnsi"/>
          <w:color w:val="000000" w:themeColor="text1"/>
          <w:sz w:val="16"/>
          <w:szCs w:val="16"/>
          <w:vertAlign w:val="superscript"/>
          <w:lang w:val="hy-AM"/>
        </w:rPr>
        <w:footnoteRef/>
      </w:r>
      <w:r w:rsidRPr="00181F43">
        <w:rPr>
          <w:rFonts w:asciiTheme="minorHAnsi" w:hAnsiTheme="minorHAnsi" w:cstheme="minorHAnsi"/>
          <w:color w:val="000000" w:themeColor="text1"/>
          <w:sz w:val="16"/>
          <w:szCs w:val="16"/>
          <w:vertAlign w:val="superscript"/>
          <w:lang w:val="hy-AM"/>
        </w:rPr>
        <w:t xml:space="preserve"> </w:t>
      </w:r>
      <w:r w:rsidRPr="00181F43">
        <w:rPr>
          <w:rFonts w:asciiTheme="minorHAnsi" w:hAnsiTheme="minorHAnsi" w:cstheme="minorHAnsi"/>
          <w:color w:val="000000" w:themeColor="text1"/>
          <w:sz w:val="16"/>
          <w:szCs w:val="16"/>
          <w:lang w:val="hy-AM"/>
        </w:rPr>
        <w:t>Indicator 9.5.2 Researchers (in full-time equivalent), per 1,000,000 population: https://w3.unece.org/SDG/en/Indicator?id=124</w:t>
      </w:r>
    </w:p>
  </w:footnote>
  <w:footnote w:id="20">
    <w:p w14:paraId="2D5A7FA5" w14:textId="77777777" w:rsidR="00D4555B" w:rsidRPr="00181F43" w:rsidRDefault="00D4555B" w:rsidP="00AF4203">
      <w:pPr>
        <w:pStyle w:val="FootnoteText"/>
        <w:rPr>
          <w:rFonts w:asciiTheme="minorHAnsi" w:hAnsiTheme="minorHAnsi" w:cstheme="minorHAnsi"/>
          <w:color w:val="000000" w:themeColor="text1"/>
          <w:sz w:val="16"/>
          <w:szCs w:val="16"/>
          <w:lang w:val="hy-AM"/>
        </w:rPr>
      </w:pPr>
      <w:r w:rsidRPr="00181F43">
        <w:rPr>
          <w:rFonts w:asciiTheme="minorHAnsi" w:hAnsiTheme="minorHAnsi" w:cstheme="minorHAnsi"/>
          <w:color w:val="000000" w:themeColor="text1"/>
          <w:sz w:val="16"/>
          <w:szCs w:val="16"/>
          <w:vertAlign w:val="superscript"/>
          <w:lang w:val="hy-AM"/>
        </w:rPr>
        <w:footnoteRef/>
      </w:r>
      <w:r w:rsidRPr="00181F43">
        <w:rPr>
          <w:rFonts w:asciiTheme="minorHAnsi" w:hAnsiTheme="minorHAnsi" w:cstheme="minorHAnsi"/>
          <w:color w:val="000000" w:themeColor="text1"/>
          <w:sz w:val="16"/>
          <w:szCs w:val="16"/>
          <w:lang w:val="hy-AM"/>
        </w:rPr>
        <w:t xml:space="preserve"> Վրաստան – 1463.8, Լատվիա – 1792.1, Լիտվա – 3190.7, Էստոնիա – 3855.3, Սլովենիա – 4854.6</w:t>
      </w:r>
    </w:p>
  </w:footnote>
  <w:footnote w:id="21">
    <w:p w14:paraId="1E363CD9" w14:textId="77777777" w:rsidR="00D4555B" w:rsidRPr="00181F43" w:rsidRDefault="00D4555B" w:rsidP="00AF4203">
      <w:pPr>
        <w:pStyle w:val="FootnoteText"/>
        <w:rPr>
          <w:rFonts w:asciiTheme="minorHAnsi" w:hAnsiTheme="minorHAnsi" w:cstheme="minorHAnsi"/>
          <w:color w:val="000000" w:themeColor="text1"/>
          <w:sz w:val="16"/>
          <w:szCs w:val="16"/>
          <w:lang w:val="hy-AM"/>
        </w:rPr>
      </w:pPr>
      <w:r w:rsidRPr="00181F43">
        <w:rPr>
          <w:rStyle w:val="FootnoteReference"/>
          <w:rFonts w:asciiTheme="minorHAnsi" w:hAnsiTheme="minorHAnsi" w:cstheme="minorHAnsi"/>
          <w:color w:val="000000" w:themeColor="text1"/>
          <w:sz w:val="16"/>
          <w:szCs w:val="16"/>
          <w:lang w:val="hy-AM"/>
        </w:rPr>
        <w:footnoteRef/>
      </w:r>
      <w:r w:rsidRPr="00181F43">
        <w:rPr>
          <w:rFonts w:asciiTheme="minorHAnsi" w:hAnsiTheme="minorHAnsi" w:cstheme="minorHAnsi"/>
          <w:color w:val="000000" w:themeColor="text1"/>
          <w:sz w:val="16"/>
          <w:szCs w:val="16"/>
          <w:lang w:val="hy-AM"/>
        </w:rPr>
        <w:t xml:space="preserve"> https://www.wipo.int/edocs/gii-ranking/2024/am.pdf</w:t>
      </w:r>
    </w:p>
  </w:footnote>
  <w:footnote w:id="22">
    <w:p w14:paraId="2DD3758C" w14:textId="0366C21C" w:rsidR="00D4555B" w:rsidRPr="00181F43" w:rsidRDefault="00D4555B" w:rsidP="00AF4203">
      <w:pPr>
        <w:pStyle w:val="FootnoteText"/>
        <w:rPr>
          <w:rFonts w:asciiTheme="minorHAnsi" w:hAnsiTheme="minorHAnsi" w:cstheme="minorHAnsi"/>
          <w:color w:val="000000" w:themeColor="text1"/>
          <w:sz w:val="16"/>
          <w:szCs w:val="16"/>
          <w:lang w:val="hy-AM"/>
        </w:rPr>
      </w:pPr>
      <w:r w:rsidRPr="00181F43">
        <w:rPr>
          <w:rStyle w:val="FootnoteReference"/>
          <w:rFonts w:asciiTheme="minorHAnsi" w:hAnsiTheme="minorHAnsi" w:cstheme="minorHAnsi"/>
          <w:color w:val="000000" w:themeColor="text1"/>
          <w:sz w:val="16"/>
          <w:szCs w:val="16"/>
          <w:lang w:val="hy-AM"/>
        </w:rPr>
        <w:footnoteRef/>
      </w:r>
      <w:r w:rsidRPr="00181F43">
        <w:rPr>
          <w:rFonts w:asciiTheme="minorHAnsi" w:hAnsiTheme="minorHAnsi" w:cstheme="minorHAnsi"/>
          <w:color w:val="000000" w:themeColor="text1"/>
          <w:sz w:val="16"/>
          <w:szCs w:val="16"/>
          <w:lang w:val="hy-AM"/>
        </w:rPr>
        <w:t xml:space="preserve"> ՀՀ Կառավարության որոշումներ` 2017 թվականի  ապրիլի 20-ի N 436-Ն, 24 մայիսի 2018 թվականի N 598-Ն, 28 նոյեմբերի 2019 թվականի N 1673-Ն, 21 մայիսի 2020 թվականի N 808-Ն, 26 նոյեմբերի 2020 թվականի N 1881-Ն, 20 մայիսի 2021 թվականի N 799-Ն:</w:t>
      </w:r>
    </w:p>
  </w:footnote>
  <w:footnote w:id="23">
    <w:p w14:paraId="4DA7768E" w14:textId="77777777" w:rsidR="00D4555B" w:rsidRPr="00181F43" w:rsidRDefault="00D4555B" w:rsidP="00AF4203">
      <w:pPr>
        <w:pStyle w:val="FootnoteText"/>
        <w:rPr>
          <w:rFonts w:asciiTheme="minorHAnsi" w:hAnsiTheme="minorHAnsi" w:cstheme="minorHAnsi"/>
          <w:sz w:val="16"/>
          <w:szCs w:val="16"/>
          <w:lang w:val="hy-AM"/>
        </w:rPr>
      </w:pPr>
      <w:r w:rsidRPr="00181F43">
        <w:rPr>
          <w:rStyle w:val="FootnoteReference"/>
          <w:rFonts w:asciiTheme="minorHAnsi" w:hAnsiTheme="minorHAnsi" w:cstheme="minorHAnsi"/>
          <w:sz w:val="16"/>
          <w:szCs w:val="16"/>
          <w:lang w:val="hy-AM"/>
        </w:rPr>
        <w:footnoteRef/>
      </w:r>
      <w:r w:rsidRPr="00181F43">
        <w:rPr>
          <w:rFonts w:asciiTheme="minorHAnsi" w:hAnsiTheme="minorHAnsi" w:cstheme="minorHAnsi"/>
          <w:sz w:val="16"/>
          <w:szCs w:val="16"/>
          <w:lang w:val="hy-AM"/>
        </w:rPr>
        <w:t xml:space="preserve"> https://research-and-innovation.ec.europa.eu/funding/funding-opportunities/funding-programmes-and-open-calls/horizon-europe_en</w:t>
      </w:r>
    </w:p>
  </w:footnote>
  <w:footnote w:id="24">
    <w:p w14:paraId="2C7C06D8" w14:textId="77777777" w:rsidR="00D4555B" w:rsidRPr="00181F43" w:rsidRDefault="00D4555B" w:rsidP="00AF4203">
      <w:pPr>
        <w:pStyle w:val="FootnoteText"/>
        <w:rPr>
          <w:rFonts w:asciiTheme="minorHAnsi" w:hAnsiTheme="minorHAnsi" w:cstheme="minorHAnsi"/>
          <w:sz w:val="16"/>
          <w:szCs w:val="16"/>
          <w:lang w:val="hy-AM"/>
        </w:rPr>
      </w:pPr>
      <w:r w:rsidRPr="00181F43">
        <w:rPr>
          <w:rStyle w:val="FootnoteReference"/>
          <w:rFonts w:asciiTheme="minorHAnsi" w:hAnsiTheme="minorHAnsi" w:cstheme="minorHAnsi"/>
          <w:sz w:val="16"/>
          <w:szCs w:val="16"/>
          <w:lang w:val="hy-AM"/>
        </w:rPr>
        <w:footnoteRef/>
      </w:r>
      <w:r w:rsidRPr="00181F43">
        <w:rPr>
          <w:rFonts w:asciiTheme="minorHAnsi" w:hAnsiTheme="minorHAnsi" w:cstheme="minorHAnsi"/>
          <w:sz w:val="16"/>
          <w:szCs w:val="16"/>
          <w:lang w:val="hy-AM"/>
        </w:rPr>
        <w:t xml:space="preserve"> http://www.jinr.ru</w:t>
      </w:r>
    </w:p>
  </w:footnote>
  <w:footnote w:id="25">
    <w:p w14:paraId="560DCE53" w14:textId="77777777" w:rsidR="00D4555B" w:rsidRPr="00181F43" w:rsidRDefault="00D4555B" w:rsidP="00AF4203">
      <w:pPr>
        <w:pStyle w:val="FootnoteText"/>
        <w:rPr>
          <w:rStyle w:val="Hyperlink"/>
          <w:rFonts w:asciiTheme="minorHAnsi" w:hAnsiTheme="minorHAnsi" w:cstheme="minorHAnsi"/>
          <w:color w:val="auto"/>
          <w:sz w:val="16"/>
          <w:szCs w:val="16"/>
          <w:u w:val="none"/>
          <w:lang w:val="hy-AM"/>
        </w:rPr>
      </w:pPr>
      <w:r w:rsidRPr="00181F43">
        <w:rPr>
          <w:rStyle w:val="FootnoteReference"/>
          <w:rFonts w:asciiTheme="minorHAnsi" w:hAnsiTheme="minorHAnsi" w:cstheme="minorHAnsi"/>
          <w:sz w:val="16"/>
          <w:szCs w:val="16"/>
          <w:lang w:val="hy-AM"/>
        </w:rPr>
        <w:footnoteRef/>
      </w:r>
      <w:r w:rsidRPr="00181F43">
        <w:rPr>
          <w:rFonts w:asciiTheme="minorHAnsi" w:hAnsiTheme="minorHAnsi" w:cstheme="minorHAnsi"/>
          <w:sz w:val="16"/>
          <w:szCs w:val="16"/>
          <w:lang w:val="hy-AM"/>
        </w:rPr>
        <w:t xml:space="preserve"> </w:t>
      </w:r>
      <w:r w:rsidRPr="00181F43">
        <w:rPr>
          <w:rStyle w:val="Hyperlink"/>
          <w:rFonts w:asciiTheme="minorHAnsi" w:hAnsiTheme="minorHAnsi" w:cstheme="minorHAnsi"/>
          <w:color w:val="auto"/>
          <w:sz w:val="16"/>
          <w:szCs w:val="16"/>
          <w:u w:val="none"/>
          <w:lang w:val="hy-AM"/>
        </w:rPr>
        <w:t>https://istc.int/</w:t>
      </w:r>
    </w:p>
  </w:footnote>
  <w:footnote w:id="26">
    <w:p w14:paraId="2D1F5D78" w14:textId="77777777" w:rsidR="00D4555B" w:rsidRPr="00181F43" w:rsidRDefault="00D4555B" w:rsidP="00AF4203">
      <w:pPr>
        <w:pStyle w:val="FootnoteText"/>
        <w:rPr>
          <w:rFonts w:asciiTheme="minorHAnsi" w:hAnsiTheme="minorHAnsi" w:cstheme="minorHAnsi"/>
          <w:sz w:val="16"/>
          <w:szCs w:val="16"/>
          <w:lang w:val="hy-AM"/>
        </w:rPr>
      </w:pPr>
      <w:r w:rsidRPr="00181F43">
        <w:rPr>
          <w:rStyle w:val="FootnoteReference"/>
          <w:rFonts w:asciiTheme="minorHAnsi" w:hAnsiTheme="minorHAnsi" w:cstheme="minorHAnsi"/>
          <w:sz w:val="16"/>
          <w:szCs w:val="16"/>
          <w:lang w:val="hy-AM"/>
        </w:rPr>
        <w:footnoteRef/>
      </w:r>
      <w:r w:rsidRPr="00181F43">
        <w:rPr>
          <w:rFonts w:asciiTheme="minorHAnsi" w:hAnsiTheme="minorHAnsi" w:cstheme="minorHAnsi"/>
          <w:sz w:val="16"/>
          <w:szCs w:val="16"/>
          <w:lang w:val="hy-AM"/>
        </w:rPr>
        <w:t xml:space="preserve"> https://www.mpi-hd.mpg.de/hfm/HESS/</w:t>
      </w:r>
    </w:p>
  </w:footnote>
  <w:footnote w:id="27">
    <w:p w14:paraId="275185A2" w14:textId="77777777" w:rsidR="00D4555B" w:rsidRPr="00181F43" w:rsidRDefault="00D4555B" w:rsidP="00AF4203">
      <w:pPr>
        <w:pStyle w:val="FootnoteText"/>
        <w:rPr>
          <w:rFonts w:asciiTheme="minorHAnsi" w:hAnsiTheme="minorHAnsi" w:cstheme="minorHAnsi"/>
          <w:sz w:val="16"/>
          <w:szCs w:val="16"/>
          <w:lang w:val="hy-AM"/>
        </w:rPr>
      </w:pPr>
      <w:r w:rsidRPr="00181F43">
        <w:rPr>
          <w:rStyle w:val="FootnoteReference"/>
          <w:rFonts w:asciiTheme="minorHAnsi" w:hAnsiTheme="minorHAnsi" w:cstheme="minorHAnsi"/>
          <w:sz w:val="16"/>
          <w:szCs w:val="16"/>
          <w:lang w:val="hy-AM"/>
        </w:rPr>
        <w:footnoteRef/>
      </w:r>
      <w:r w:rsidRPr="00181F43">
        <w:rPr>
          <w:rFonts w:asciiTheme="minorHAnsi" w:hAnsiTheme="minorHAnsi" w:cstheme="minorHAnsi"/>
          <w:sz w:val="16"/>
          <w:szCs w:val="16"/>
          <w:lang w:val="hy-AM"/>
        </w:rPr>
        <w:t xml:space="preserve"> https://ibol.org/</w:t>
      </w:r>
    </w:p>
  </w:footnote>
  <w:footnote w:id="28">
    <w:p w14:paraId="1578C9DA" w14:textId="77777777" w:rsidR="00D4555B" w:rsidRPr="00181F43" w:rsidRDefault="00D4555B" w:rsidP="00AF4203">
      <w:pPr>
        <w:pStyle w:val="FootnoteText"/>
        <w:rPr>
          <w:rFonts w:asciiTheme="minorHAnsi" w:hAnsiTheme="minorHAnsi" w:cstheme="minorHAnsi"/>
          <w:sz w:val="16"/>
          <w:szCs w:val="16"/>
          <w:lang w:val="hy-AM"/>
        </w:rPr>
      </w:pPr>
      <w:r w:rsidRPr="00181F43">
        <w:rPr>
          <w:rStyle w:val="FootnoteReference"/>
          <w:rFonts w:asciiTheme="minorHAnsi" w:hAnsiTheme="minorHAnsi" w:cstheme="minorHAnsi"/>
          <w:sz w:val="16"/>
          <w:szCs w:val="16"/>
          <w:lang w:val="hy-AM"/>
        </w:rPr>
        <w:footnoteRef/>
      </w:r>
      <w:r w:rsidRPr="00181F43">
        <w:rPr>
          <w:rFonts w:asciiTheme="minorHAnsi" w:hAnsiTheme="minorHAnsi" w:cstheme="minorHAnsi"/>
          <w:sz w:val="16"/>
          <w:szCs w:val="16"/>
          <w:lang w:val="hy-AM"/>
        </w:rPr>
        <w:t xml:space="preserve"> https://home.cern/</w:t>
      </w:r>
    </w:p>
  </w:footnote>
  <w:footnote w:id="29">
    <w:p w14:paraId="7F6ECBE5" w14:textId="202940B6" w:rsidR="00D4555B" w:rsidRPr="00181F43" w:rsidRDefault="00D4555B" w:rsidP="00AF4203">
      <w:pPr>
        <w:pStyle w:val="FootnoteText"/>
        <w:rPr>
          <w:rFonts w:asciiTheme="minorHAnsi" w:hAnsiTheme="minorHAnsi" w:cstheme="minorHAnsi"/>
          <w:sz w:val="16"/>
          <w:szCs w:val="16"/>
          <w:lang w:val="hy-AM"/>
        </w:rPr>
      </w:pPr>
      <w:r w:rsidRPr="00181F43">
        <w:rPr>
          <w:rFonts w:asciiTheme="minorHAnsi" w:hAnsiTheme="minorHAnsi" w:cstheme="minorHAnsi"/>
          <w:sz w:val="16"/>
          <w:szCs w:val="16"/>
          <w:vertAlign w:val="superscript"/>
          <w:lang w:val="hy-AM"/>
        </w:rPr>
        <w:footnoteRef/>
      </w:r>
      <w:r w:rsidRPr="00181F43">
        <w:rPr>
          <w:rFonts w:asciiTheme="minorHAnsi" w:hAnsiTheme="minorHAnsi" w:cstheme="minorHAnsi"/>
          <w:sz w:val="16"/>
          <w:szCs w:val="16"/>
          <w:lang w:val="hy-AM"/>
        </w:rPr>
        <w:t xml:space="preserve"> https://www.anso.org.cn</w:t>
      </w:r>
    </w:p>
  </w:footnote>
  <w:footnote w:id="30">
    <w:p w14:paraId="0F2520B0" w14:textId="62154FC1" w:rsidR="00D4555B" w:rsidRPr="00181F43" w:rsidRDefault="00D4555B" w:rsidP="00AF4203">
      <w:pPr>
        <w:pStyle w:val="FootnoteText"/>
        <w:rPr>
          <w:rStyle w:val="FootnoteReference"/>
          <w:rFonts w:asciiTheme="minorHAnsi" w:hAnsiTheme="minorHAnsi" w:cstheme="minorHAnsi"/>
          <w:sz w:val="16"/>
          <w:szCs w:val="16"/>
          <w:vertAlign w:val="baseline"/>
          <w:lang w:val="hy-AM"/>
        </w:rPr>
      </w:pPr>
      <w:r w:rsidRPr="00181F43">
        <w:rPr>
          <w:rStyle w:val="FootnoteReference"/>
          <w:rFonts w:asciiTheme="minorHAnsi" w:hAnsiTheme="minorHAnsi" w:cstheme="minorHAnsi"/>
          <w:sz w:val="16"/>
          <w:szCs w:val="16"/>
          <w:lang w:val="hy-AM"/>
        </w:rPr>
        <w:footnoteRef/>
      </w:r>
      <w:r w:rsidRPr="00181F43">
        <w:rPr>
          <w:rStyle w:val="FootnoteReference"/>
          <w:rFonts w:asciiTheme="minorHAnsi" w:hAnsiTheme="minorHAnsi" w:cstheme="minorHAnsi"/>
          <w:sz w:val="16"/>
          <w:szCs w:val="16"/>
          <w:lang w:val="hy-AM"/>
        </w:rPr>
        <w:t xml:space="preserve"> </w:t>
      </w:r>
      <w:r w:rsidRPr="00181F43">
        <w:rPr>
          <w:rStyle w:val="FootnoteReference"/>
          <w:rFonts w:asciiTheme="minorHAnsi" w:hAnsiTheme="minorHAnsi" w:cstheme="minorHAnsi"/>
          <w:sz w:val="16"/>
          <w:szCs w:val="16"/>
          <w:vertAlign w:val="baseline"/>
          <w:lang w:val="hy-AM"/>
        </w:rPr>
        <w:t>https://council.science</w:t>
      </w:r>
    </w:p>
  </w:footnote>
  <w:footnote w:id="31">
    <w:p w14:paraId="7D8064CD" w14:textId="1138ACEB" w:rsidR="00D4555B" w:rsidRPr="00181F43" w:rsidRDefault="00D4555B" w:rsidP="00AF4203">
      <w:pPr>
        <w:pStyle w:val="FootnoteText"/>
        <w:rPr>
          <w:rFonts w:asciiTheme="minorHAnsi" w:hAnsiTheme="minorHAnsi" w:cstheme="minorHAnsi"/>
          <w:color w:val="000000" w:themeColor="text1"/>
          <w:sz w:val="16"/>
          <w:szCs w:val="16"/>
          <w:lang w:val="hy-AM"/>
        </w:rPr>
      </w:pPr>
      <w:r w:rsidRPr="00181F43">
        <w:rPr>
          <w:rStyle w:val="FootnoteReference"/>
          <w:rFonts w:asciiTheme="minorHAnsi" w:hAnsiTheme="minorHAnsi" w:cstheme="minorHAnsi"/>
          <w:color w:val="000000" w:themeColor="text1"/>
          <w:sz w:val="16"/>
          <w:szCs w:val="16"/>
          <w:lang w:val="hy-AM"/>
        </w:rPr>
        <w:footnoteRef/>
      </w:r>
      <w:r w:rsidRPr="00181F43">
        <w:rPr>
          <w:rFonts w:asciiTheme="minorHAnsi" w:hAnsiTheme="minorHAnsi" w:cstheme="minorHAnsi"/>
          <w:color w:val="000000" w:themeColor="text1"/>
          <w:sz w:val="16"/>
          <w:szCs w:val="16"/>
          <w:lang w:val="hy-AM"/>
        </w:rPr>
        <w:t xml:space="preserve"> https://www.webofscience.com/wos/woscc/smart-search</w:t>
      </w:r>
    </w:p>
  </w:footnote>
  <w:footnote w:id="32">
    <w:p w14:paraId="3A6B7628" w14:textId="77777777" w:rsidR="00D4555B" w:rsidRPr="00181F43" w:rsidRDefault="00D4555B" w:rsidP="00AF4203">
      <w:pPr>
        <w:pStyle w:val="FootnoteText"/>
        <w:rPr>
          <w:rFonts w:asciiTheme="minorHAnsi" w:hAnsiTheme="minorHAnsi" w:cstheme="minorHAnsi"/>
          <w:color w:val="000000" w:themeColor="text1"/>
          <w:sz w:val="16"/>
          <w:szCs w:val="16"/>
          <w:lang w:val="hy-AM"/>
        </w:rPr>
      </w:pPr>
      <w:r w:rsidRPr="00181F43">
        <w:rPr>
          <w:rStyle w:val="FootnoteReference"/>
          <w:rFonts w:asciiTheme="minorHAnsi" w:hAnsiTheme="minorHAnsi" w:cstheme="minorHAnsi"/>
          <w:color w:val="000000" w:themeColor="text1"/>
          <w:sz w:val="16"/>
          <w:szCs w:val="16"/>
          <w:lang w:val="hy-AM"/>
        </w:rPr>
        <w:footnoteRef/>
      </w:r>
      <w:r w:rsidRPr="00181F43">
        <w:rPr>
          <w:rFonts w:asciiTheme="minorHAnsi" w:hAnsiTheme="minorHAnsi" w:cstheme="minorHAnsi"/>
          <w:color w:val="000000" w:themeColor="text1"/>
          <w:sz w:val="16"/>
          <w:szCs w:val="16"/>
          <w:lang w:val="hy-AM"/>
        </w:rPr>
        <w:t xml:space="preserve"> https://www.elsevier.com/</w:t>
      </w:r>
    </w:p>
  </w:footnote>
  <w:footnote w:id="33">
    <w:p w14:paraId="4BDC0AC1" w14:textId="77777777" w:rsidR="00D4555B" w:rsidRPr="00181F43" w:rsidRDefault="00D4555B" w:rsidP="00AF4203">
      <w:pPr>
        <w:pStyle w:val="FootnoteText"/>
        <w:rPr>
          <w:rFonts w:asciiTheme="minorHAnsi" w:hAnsiTheme="minorHAnsi" w:cstheme="minorHAnsi"/>
          <w:color w:val="000000" w:themeColor="text1"/>
          <w:sz w:val="16"/>
          <w:szCs w:val="16"/>
          <w:lang w:val="hy-AM"/>
        </w:rPr>
      </w:pPr>
      <w:r w:rsidRPr="00181F43">
        <w:rPr>
          <w:rStyle w:val="FootnoteReference"/>
          <w:rFonts w:asciiTheme="minorHAnsi" w:hAnsiTheme="minorHAnsi" w:cstheme="minorHAnsi"/>
          <w:color w:val="000000" w:themeColor="text1"/>
          <w:sz w:val="16"/>
          <w:szCs w:val="16"/>
          <w:lang w:val="hy-AM"/>
        </w:rPr>
        <w:footnoteRef/>
      </w:r>
      <w:r w:rsidRPr="00181F43">
        <w:rPr>
          <w:rFonts w:asciiTheme="minorHAnsi" w:hAnsiTheme="minorHAnsi" w:cstheme="minorHAnsi"/>
          <w:color w:val="000000" w:themeColor="text1"/>
          <w:sz w:val="16"/>
          <w:szCs w:val="16"/>
          <w:lang w:val="hy-AM"/>
        </w:rPr>
        <w:t xml:space="preserve"> https://www.elsevier.com/products/reaxys</w:t>
      </w:r>
    </w:p>
  </w:footnote>
  <w:footnote w:id="34">
    <w:p w14:paraId="530B7784" w14:textId="77777777" w:rsidR="00D4555B" w:rsidRPr="00181F43" w:rsidRDefault="00D4555B" w:rsidP="00AF4203">
      <w:pPr>
        <w:pStyle w:val="FootnoteText"/>
        <w:rPr>
          <w:rFonts w:asciiTheme="minorHAnsi" w:hAnsiTheme="minorHAnsi" w:cstheme="minorHAnsi"/>
          <w:color w:val="000000" w:themeColor="text1"/>
          <w:sz w:val="16"/>
          <w:szCs w:val="16"/>
          <w:lang w:val="hy-AM"/>
        </w:rPr>
      </w:pPr>
      <w:r w:rsidRPr="00181F43">
        <w:rPr>
          <w:rStyle w:val="FootnoteReference"/>
          <w:rFonts w:asciiTheme="minorHAnsi" w:hAnsiTheme="minorHAnsi" w:cstheme="minorHAnsi"/>
          <w:color w:val="000000" w:themeColor="text1"/>
          <w:sz w:val="16"/>
          <w:szCs w:val="16"/>
          <w:lang w:val="hy-AM"/>
        </w:rPr>
        <w:footnoteRef/>
      </w:r>
      <w:r w:rsidRPr="00181F43">
        <w:rPr>
          <w:rFonts w:asciiTheme="minorHAnsi" w:hAnsiTheme="minorHAnsi" w:cstheme="minorHAnsi"/>
          <w:color w:val="000000" w:themeColor="text1"/>
          <w:sz w:val="16"/>
          <w:szCs w:val="16"/>
          <w:lang w:val="hy-AM"/>
        </w:rPr>
        <w:t xml:space="preserve"> https://www.bmftr.bund.de/DE/Home/home_node.html</w:t>
      </w:r>
    </w:p>
  </w:footnote>
  <w:footnote w:id="35">
    <w:p w14:paraId="79F4DE70" w14:textId="77777777" w:rsidR="00D4555B" w:rsidRPr="00181F43" w:rsidRDefault="00D4555B" w:rsidP="00AF4203">
      <w:pPr>
        <w:pStyle w:val="FootnoteText"/>
        <w:rPr>
          <w:rFonts w:asciiTheme="minorHAnsi" w:hAnsiTheme="minorHAnsi" w:cstheme="minorHAnsi"/>
          <w:color w:val="000000" w:themeColor="text1"/>
          <w:sz w:val="16"/>
          <w:szCs w:val="16"/>
          <w:lang w:val="hy-AM"/>
        </w:rPr>
      </w:pPr>
      <w:r w:rsidRPr="00181F43">
        <w:rPr>
          <w:rStyle w:val="FootnoteReference"/>
          <w:rFonts w:asciiTheme="minorHAnsi" w:hAnsiTheme="minorHAnsi" w:cstheme="minorHAnsi"/>
          <w:color w:val="000000" w:themeColor="text1"/>
          <w:sz w:val="16"/>
          <w:szCs w:val="16"/>
          <w:lang w:val="hy-AM"/>
        </w:rPr>
        <w:footnoteRef/>
      </w:r>
      <w:r w:rsidRPr="00181F43">
        <w:rPr>
          <w:rFonts w:asciiTheme="minorHAnsi" w:hAnsiTheme="minorHAnsi" w:cstheme="minorHAnsi"/>
          <w:color w:val="000000" w:themeColor="text1"/>
          <w:sz w:val="16"/>
          <w:szCs w:val="16"/>
          <w:lang w:val="hy-AM"/>
        </w:rPr>
        <w:t xml:space="preserve"> https://www.cnr.it/en</w:t>
      </w:r>
    </w:p>
  </w:footnote>
  <w:footnote w:id="36">
    <w:p w14:paraId="42066693" w14:textId="77777777" w:rsidR="00D4555B" w:rsidRPr="00181F43" w:rsidRDefault="00D4555B" w:rsidP="00AF4203">
      <w:pPr>
        <w:pStyle w:val="FootnoteText"/>
        <w:rPr>
          <w:rFonts w:asciiTheme="minorHAnsi" w:hAnsiTheme="minorHAnsi" w:cstheme="minorHAnsi"/>
          <w:color w:val="000000" w:themeColor="text1"/>
          <w:sz w:val="16"/>
          <w:szCs w:val="16"/>
          <w:lang w:val="hy-AM"/>
        </w:rPr>
      </w:pPr>
      <w:r w:rsidRPr="00181F43">
        <w:rPr>
          <w:rStyle w:val="FootnoteReference"/>
          <w:rFonts w:asciiTheme="minorHAnsi" w:hAnsiTheme="minorHAnsi" w:cstheme="minorHAnsi"/>
          <w:color w:val="000000" w:themeColor="text1"/>
          <w:sz w:val="16"/>
          <w:szCs w:val="16"/>
          <w:lang w:val="hy-AM"/>
        </w:rPr>
        <w:footnoteRef/>
      </w:r>
      <w:r w:rsidRPr="00181F43">
        <w:rPr>
          <w:rFonts w:asciiTheme="minorHAnsi" w:hAnsiTheme="minorHAnsi" w:cstheme="minorHAnsi"/>
          <w:color w:val="000000" w:themeColor="text1"/>
          <w:sz w:val="16"/>
          <w:szCs w:val="16"/>
          <w:lang w:val="hy-AM"/>
        </w:rPr>
        <w:t xml:space="preserve"> http://www.cea-igp.ac.cn/en/</w:t>
      </w:r>
    </w:p>
  </w:footnote>
  <w:footnote w:id="37">
    <w:p w14:paraId="0A99E0DC" w14:textId="77777777" w:rsidR="00D4555B" w:rsidRPr="00181F43" w:rsidRDefault="00D4555B" w:rsidP="00AF4203">
      <w:pPr>
        <w:pStyle w:val="FootnoteText"/>
        <w:rPr>
          <w:rFonts w:asciiTheme="minorHAnsi" w:hAnsiTheme="minorHAnsi" w:cstheme="minorHAnsi"/>
          <w:color w:val="000000" w:themeColor="text1"/>
          <w:sz w:val="16"/>
          <w:szCs w:val="16"/>
          <w:lang w:val="hy-AM"/>
        </w:rPr>
      </w:pPr>
      <w:r w:rsidRPr="00181F43">
        <w:rPr>
          <w:rStyle w:val="FootnoteReference"/>
          <w:rFonts w:asciiTheme="minorHAnsi" w:hAnsiTheme="minorHAnsi" w:cstheme="minorHAnsi"/>
          <w:color w:val="000000" w:themeColor="text1"/>
          <w:sz w:val="16"/>
          <w:szCs w:val="16"/>
          <w:lang w:val="hy-AM"/>
        </w:rPr>
        <w:footnoteRef/>
      </w:r>
      <w:r w:rsidRPr="00181F43">
        <w:rPr>
          <w:rFonts w:asciiTheme="minorHAnsi" w:hAnsiTheme="minorHAnsi" w:cstheme="minorHAnsi"/>
          <w:color w:val="000000" w:themeColor="text1"/>
          <w:sz w:val="16"/>
          <w:szCs w:val="16"/>
          <w:lang w:val="hy-AM"/>
        </w:rPr>
        <w:t xml:space="preserve"> </w:t>
      </w:r>
      <w:r w:rsidRPr="00181F43">
        <w:rPr>
          <w:rFonts w:asciiTheme="minorHAnsi" w:hAnsiTheme="minorHAnsi" w:cstheme="minorHAnsi"/>
          <w:color w:val="000000" w:themeColor="text1"/>
          <w:sz w:val="16"/>
          <w:szCs w:val="16"/>
          <w:shd w:val="clear" w:color="auto" w:fill="FFFFFF"/>
          <w:lang w:val="hy-AM"/>
        </w:rPr>
        <w:t>https://rustaveli.org.ge/eng</w:t>
      </w:r>
    </w:p>
  </w:footnote>
  <w:footnote w:id="38">
    <w:p w14:paraId="4C540807" w14:textId="77777777" w:rsidR="00D4555B" w:rsidRPr="00181F43" w:rsidRDefault="00D4555B" w:rsidP="00AF4203">
      <w:pPr>
        <w:tabs>
          <w:tab w:val="left" w:pos="851"/>
        </w:tabs>
        <w:jc w:val="both"/>
        <w:rPr>
          <w:rFonts w:asciiTheme="minorHAnsi" w:hAnsiTheme="minorHAnsi" w:cstheme="minorHAnsi"/>
          <w:color w:val="000000" w:themeColor="text1"/>
          <w:sz w:val="16"/>
          <w:szCs w:val="16"/>
        </w:rPr>
      </w:pPr>
      <w:r w:rsidRPr="00181F43">
        <w:rPr>
          <w:rStyle w:val="FootnoteReference"/>
          <w:rFonts w:asciiTheme="minorHAnsi" w:hAnsiTheme="minorHAnsi" w:cstheme="minorHAnsi"/>
          <w:color w:val="000000" w:themeColor="text1"/>
          <w:sz w:val="16"/>
          <w:szCs w:val="16"/>
        </w:rPr>
        <w:footnoteRef/>
      </w:r>
      <w:r w:rsidRPr="00181F43">
        <w:rPr>
          <w:rFonts w:asciiTheme="minorHAnsi" w:hAnsiTheme="minorHAnsi" w:cstheme="minorHAnsi"/>
          <w:color w:val="000000" w:themeColor="text1"/>
          <w:sz w:val="16"/>
          <w:szCs w:val="16"/>
        </w:rPr>
        <w:t xml:space="preserve"> https://ancd.gov.md/en/content/nard</w:t>
      </w:r>
    </w:p>
  </w:footnote>
  <w:footnote w:id="39">
    <w:p w14:paraId="599BD92B" w14:textId="77777777" w:rsidR="00D4555B" w:rsidRPr="00181F43" w:rsidRDefault="00D4555B" w:rsidP="00AF4203">
      <w:pPr>
        <w:tabs>
          <w:tab w:val="left" w:pos="851"/>
        </w:tabs>
        <w:jc w:val="both"/>
        <w:rPr>
          <w:rFonts w:asciiTheme="minorHAnsi" w:hAnsiTheme="minorHAnsi" w:cstheme="minorHAnsi"/>
          <w:color w:val="000000" w:themeColor="text1"/>
          <w:sz w:val="16"/>
          <w:szCs w:val="16"/>
        </w:rPr>
      </w:pPr>
      <w:r w:rsidRPr="00181F43">
        <w:rPr>
          <w:rStyle w:val="FootnoteReference"/>
          <w:rFonts w:asciiTheme="minorHAnsi" w:hAnsiTheme="minorHAnsi" w:cstheme="minorHAnsi"/>
          <w:color w:val="000000" w:themeColor="text1"/>
          <w:sz w:val="16"/>
          <w:szCs w:val="16"/>
        </w:rPr>
        <w:footnoteRef/>
      </w:r>
      <w:r w:rsidRPr="00181F43">
        <w:rPr>
          <w:rFonts w:asciiTheme="minorHAnsi" w:hAnsiTheme="minorHAnsi" w:cstheme="minorHAnsi"/>
          <w:color w:val="000000" w:themeColor="text1"/>
          <w:sz w:val="16"/>
          <w:szCs w:val="16"/>
        </w:rPr>
        <w:t xml:space="preserve"> https://leibniz-gwzo.de/en/research/research-departments/jrg-global-armenia-ns</w:t>
      </w:r>
    </w:p>
  </w:footnote>
  <w:footnote w:id="40">
    <w:p w14:paraId="6CB6C91B" w14:textId="77777777" w:rsidR="00D4555B" w:rsidRPr="00181F43" w:rsidRDefault="00D4555B" w:rsidP="00AF4203">
      <w:pPr>
        <w:pStyle w:val="FootnoteText"/>
        <w:rPr>
          <w:rFonts w:asciiTheme="minorHAnsi" w:hAnsiTheme="minorHAnsi" w:cstheme="minorHAnsi"/>
          <w:color w:val="000000" w:themeColor="text1"/>
          <w:sz w:val="16"/>
          <w:szCs w:val="16"/>
          <w:lang w:val="hy-AM"/>
        </w:rPr>
      </w:pPr>
      <w:r w:rsidRPr="00181F43">
        <w:rPr>
          <w:rStyle w:val="FootnoteReference"/>
          <w:rFonts w:asciiTheme="minorHAnsi" w:hAnsiTheme="minorHAnsi" w:cstheme="minorHAnsi"/>
          <w:color w:val="000000" w:themeColor="text1"/>
          <w:sz w:val="16"/>
          <w:szCs w:val="16"/>
          <w:lang w:val="hy-AM"/>
        </w:rPr>
        <w:footnoteRef/>
      </w:r>
      <w:r w:rsidRPr="00181F43">
        <w:rPr>
          <w:rFonts w:asciiTheme="minorHAnsi" w:hAnsiTheme="minorHAnsi" w:cstheme="minorHAnsi"/>
          <w:color w:val="000000" w:themeColor="text1"/>
          <w:sz w:val="16"/>
          <w:szCs w:val="16"/>
          <w:lang w:val="hy-AM"/>
        </w:rPr>
        <w:t xml:space="preserve"> https://www.cost.eu/</w:t>
      </w:r>
    </w:p>
  </w:footnote>
  <w:footnote w:id="41">
    <w:p w14:paraId="3EEE1FF1" w14:textId="771FF4C2" w:rsidR="00D4555B" w:rsidRPr="00181F43" w:rsidRDefault="00D4555B" w:rsidP="00AF4203">
      <w:pPr>
        <w:pStyle w:val="FootnoteText"/>
        <w:rPr>
          <w:rFonts w:asciiTheme="minorHAnsi" w:hAnsiTheme="minorHAnsi" w:cstheme="minorHAnsi"/>
          <w:color w:val="000000" w:themeColor="text1"/>
          <w:sz w:val="16"/>
          <w:szCs w:val="16"/>
          <w:lang w:val="hy-AM"/>
        </w:rPr>
      </w:pPr>
      <w:r w:rsidRPr="00181F43">
        <w:rPr>
          <w:rStyle w:val="FootnoteReference"/>
          <w:rFonts w:asciiTheme="minorHAnsi" w:hAnsiTheme="minorHAnsi" w:cstheme="minorHAnsi"/>
          <w:color w:val="000000" w:themeColor="text1"/>
          <w:sz w:val="16"/>
          <w:szCs w:val="16"/>
          <w:lang w:val="hy-AM"/>
        </w:rPr>
        <w:footnoteRef/>
      </w:r>
      <w:r w:rsidRPr="00181F43">
        <w:rPr>
          <w:rFonts w:asciiTheme="minorHAnsi" w:hAnsiTheme="minorHAnsi" w:cstheme="minorHAnsi"/>
          <w:color w:val="000000" w:themeColor="text1"/>
          <w:sz w:val="16"/>
          <w:szCs w:val="16"/>
          <w:lang w:val="hy-AM"/>
        </w:rPr>
        <w:t xml:space="preserve"> Գիտական և գիտատեխնիկական գործունեության պայմանագրային (թեմատիկ) ֆինանսավորման շրջանակներում առաջատար հետազոտությունների աջակցության գիտական թեմաների հայտերի ընտրության մրցույթ | «Հայաստանի Հանրապետության գիտական համայնքին արտերկրի գիտնականների ինտեգրում» մրցույթ | «Հեռավար լաբորատորիաների հիմնադրման ծրագիր» մրցույթ | «Գիտական ստորաբաժանումների ամրապնդման ծրագիր» մրցույթ:</w:t>
      </w:r>
    </w:p>
  </w:footnote>
  <w:footnote w:id="42">
    <w:p w14:paraId="073FA406" w14:textId="372B34DC" w:rsidR="00D4555B" w:rsidRPr="00181F43" w:rsidRDefault="00D4555B" w:rsidP="00AF4203">
      <w:pPr>
        <w:pStyle w:val="FootnoteText"/>
        <w:rPr>
          <w:rFonts w:asciiTheme="minorHAnsi" w:hAnsiTheme="minorHAnsi" w:cstheme="minorHAnsi"/>
          <w:color w:val="000000" w:themeColor="text1"/>
          <w:sz w:val="16"/>
          <w:szCs w:val="16"/>
          <w:lang w:val="hy-AM"/>
        </w:rPr>
      </w:pPr>
      <w:r w:rsidRPr="00181F43">
        <w:rPr>
          <w:rStyle w:val="FootnoteReference"/>
          <w:rFonts w:asciiTheme="minorHAnsi" w:hAnsiTheme="minorHAnsi" w:cstheme="minorHAnsi"/>
          <w:color w:val="000000" w:themeColor="text1"/>
          <w:sz w:val="16"/>
          <w:szCs w:val="16"/>
          <w:lang w:val="hy-AM"/>
        </w:rPr>
        <w:footnoteRef/>
      </w:r>
      <w:r w:rsidRPr="00181F43">
        <w:rPr>
          <w:rFonts w:asciiTheme="minorHAnsi" w:hAnsiTheme="minorHAnsi" w:cstheme="minorHAnsi"/>
          <w:color w:val="000000" w:themeColor="text1"/>
          <w:sz w:val="16"/>
          <w:szCs w:val="16"/>
          <w:lang w:val="hy-AM"/>
        </w:rPr>
        <w:t xml:space="preserve">  Երկրների անվանումները` ISO 3166-1 alpha-2 հապավումներով:</w:t>
      </w:r>
    </w:p>
  </w:footnote>
  <w:footnote w:id="43">
    <w:p w14:paraId="52CE0084" w14:textId="30084AA0" w:rsidR="00D4555B" w:rsidRPr="00181F43" w:rsidRDefault="00D4555B" w:rsidP="00AF4203">
      <w:pPr>
        <w:pStyle w:val="FootnoteText"/>
        <w:rPr>
          <w:rFonts w:asciiTheme="minorHAnsi" w:hAnsiTheme="minorHAnsi" w:cstheme="minorHAnsi"/>
          <w:color w:val="000000" w:themeColor="text1"/>
          <w:sz w:val="16"/>
          <w:szCs w:val="16"/>
          <w:lang w:val="hy-AM"/>
        </w:rPr>
      </w:pPr>
      <w:r w:rsidRPr="00181F43">
        <w:rPr>
          <w:rStyle w:val="FootnoteReference"/>
          <w:rFonts w:asciiTheme="minorHAnsi" w:hAnsiTheme="minorHAnsi" w:cstheme="minorHAnsi"/>
          <w:color w:val="000000" w:themeColor="text1"/>
          <w:sz w:val="16"/>
          <w:szCs w:val="16"/>
          <w:lang w:val="hy-AM"/>
        </w:rPr>
        <w:footnoteRef/>
      </w:r>
      <w:r w:rsidRPr="00181F43">
        <w:rPr>
          <w:rFonts w:asciiTheme="minorHAnsi" w:hAnsiTheme="minorHAnsi" w:cstheme="minorHAnsi"/>
          <w:color w:val="000000" w:themeColor="text1"/>
          <w:sz w:val="16"/>
          <w:szCs w:val="16"/>
          <w:lang w:val="hy-AM"/>
        </w:rPr>
        <w:t xml:space="preserve"> Բարձրագույն կրթության և գիտության կոմիտեի և Հայաստանի գիտության և տեխնոլոգիաների հիմնադրամի (FAST) միջև համագործակցության պայմանագրի շրջանակներում 2025թ․ ADVANCE հետազոտական դրամաշնորհային ծրագրի շրջանակներում համապատասխան նախագծերին ֆինանսավորման տրամադրում, | «Գիտական արդյունավետության խթանման դրամաշնորհային ծրագիր»  մրցույթ | «Երիտասարդ գիտաշխատողների հետազոտությունների աջակցության ծրագիր» մրցույթ | «Կին ղեկավարների առաջխաղացմանն ուղղված ծրագիր» մրցույթ | «Հեռանկարային ուղղություններով հետազոտական նախագծեր» մրցույթ | «Հասարակական գիտությունների, հայագիտության և հումանիտար գիտությունների բնագավառներում հետազոտություններ» մրցույթ</w:t>
      </w:r>
    </w:p>
  </w:footnote>
  <w:footnote w:id="44">
    <w:p w14:paraId="0DEC7F66" w14:textId="0978B088" w:rsidR="00D4555B" w:rsidRPr="00181F43" w:rsidRDefault="00D4555B" w:rsidP="00AF4203">
      <w:pPr>
        <w:pStyle w:val="FootnoteText"/>
        <w:rPr>
          <w:rFonts w:asciiTheme="minorHAnsi" w:hAnsiTheme="minorHAnsi" w:cstheme="minorHAnsi"/>
          <w:color w:val="000000" w:themeColor="text1"/>
          <w:sz w:val="16"/>
          <w:szCs w:val="16"/>
          <w:lang w:val="hy-AM"/>
        </w:rPr>
      </w:pPr>
      <w:r w:rsidRPr="00181F43">
        <w:rPr>
          <w:rStyle w:val="FootnoteReference"/>
          <w:rFonts w:asciiTheme="minorHAnsi" w:hAnsiTheme="minorHAnsi" w:cstheme="minorHAnsi"/>
          <w:color w:val="000000" w:themeColor="text1"/>
          <w:sz w:val="16"/>
          <w:szCs w:val="16"/>
          <w:lang w:val="hy-AM"/>
        </w:rPr>
        <w:footnoteRef/>
      </w:r>
      <w:r w:rsidRPr="00181F43">
        <w:rPr>
          <w:rFonts w:asciiTheme="minorHAnsi" w:hAnsiTheme="minorHAnsi" w:cstheme="minorHAnsi"/>
          <w:color w:val="000000" w:themeColor="text1"/>
          <w:sz w:val="16"/>
          <w:szCs w:val="16"/>
          <w:lang w:val="hy-AM"/>
        </w:rPr>
        <w:t xml:space="preserve"> ISO 3166-1 alpha-2 հապավումներով</w:t>
      </w:r>
    </w:p>
  </w:footnote>
  <w:footnote w:id="45">
    <w:p w14:paraId="41054597" w14:textId="0751602B" w:rsidR="00D4555B" w:rsidRPr="00181F43" w:rsidRDefault="00D4555B" w:rsidP="00AF4203">
      <w:pPr>
        <w:pStyle w:val="FootnoteText"/>
        <w:rPr>
          <w:rFonts w:asciiTheme="minorHAnsi" w:hAnsiTheme="minorHAnsi" w:cstheme="minorHAnsi"/>
          <w:color w:val="000000" w:themeColor="text1"/>
          <w:sz w:val="16"/>
          <w:szCs w:val="16"/>
          <w:lang w:val="hy-AM"/>
        </w:rPr>
      </w:pPr>
      <w:r w:rsidRPr="00181F43">
        <w:rPr>
          <w:rStyle w:val="FootnoteReference"/>
          <w:rFonts w:asciiTheme="minorHAnsi" w:hAnsiTheme="minorHAnsi" w:cstheme="minorHAnsi"/>
          <w:color w:val="000000" w:themeColor="text1"/>
          <w:sz w:val="16"/>
          <w:szCs w:val="16"/>
          <w:lang w:val="hy-AM"/>
        </w:rPr>
        <w:footnoteRef/>
      </w:r>
      <w:r w:rsidRPr="00181F43">
        <w:rPr>
          <w:rFonts w:asciiTheme="minorHAnsi" w:hAnsiTheme="minorHAnsi" w:cstheme="minorHAnsi"/>
          <w:color w:val="000000" w:themeColor="text1"/>
          <w:sz w:val="16"/>
          <w:szCs w:val="16"/>
          <w:lang w:val="hy-AM"/>
        </w:rPr>
        <w:t xml:space="preserve"> ըստ Վեբ օֆ Սայնս (Web of Science)-ի ԻնՍայտես (InCites) շտեմարանի տվյալների (2025 թվականի օգոստոսի 17-ի դրությամբ)</w:t>
      </w:r>
    </w:p>
  </w:footnote>
  <w:footnote w:id="46">
    <w:p w14:paraId="1355D880" w14:textId="77777777" w:rsidR="00D4555B" w:rsidRPr="00181F43" w:rsidRDefault="00D4555B" w:rsidP="00AF4203">
      <w:pPr>
        <w:pStyle w:val="FootnoteText"/>
        <w:rPr>
          <w:rFonts w:asciiTheme="minorHAnsi" w:hAnsiTheme="minorHAnsi" w:cstheme="minorHAnsi"/>
          <w:color w:val="000000" w:themeColor="text1"/>
          <w:sz w:val="16"/>
          <w:szCs w:val="16"/>
          <w:lang w:val="hy-AM"/>
        </w:rPr>
      </w:pPr>
      <w:r w:rsidRPr="00181F43">
        <w:rPr>
          <w:rStyle w:val="FootnoteReference"/>
          <w:rFonts w:asciiTheme="minorHAnsi" w:hAnsiTheme="minorHAnsi" w:cstheme="minorHAnsi"/>
          <w:color w:val="000000" w:themeColor="text1"/>
          <w:sz w:val="16"/>
          <w:szCs w:val="16"/>
          <w:lang w:val="hy-AM"/>
        </w:rPr>
        <w:footnoteRef/>
      </w:r>
      <w:r w:rsidRPr="00181F43">
        <w:rPr>
          <w:rFonts w:asciiTheme="minorHAnsi" w:hAnsiTheme="minorHAnsi" w:cstheme="minorHAnsi"/>
          <w:color w:val="000000" w:themeColor="text1"/>
          <w:sz w:val="16"/>
          <w:szCs w:val="16"/>
          <w:lang w:val="hy-AM"/>
        </w:rPr>
        <w:t xml:space="preserve"> Համահեղինակների քանակը ≤50-ից</w:t>
      </w:r>
    </w:p>
  </w:footnote>
  <w:footnote w:id="47">
    <w:p w14:paraId="1C622C04" w14:textId="77777777" w:rsidR="00D4555B" w:rsidRPr="00181F43" w:rsidRDefault="00D4555B" w:rsidP="00AF4203">
      <w:pPr>
        <w:pStyle w:val="FootnoteText"/>
        <w:rPr>
          <w:rFonts w:asciiTheme="minorHAnsi" w:hAnsiTheme="minorHAnsi" w:cstheme="minorHAnsi"/>
          <w:color w:val="000000" w:themeColor="text1"/>
          <w:sz w:val="16"/>
          <w:szCs w:val="16"/>
          <w:lang w:val="hy-AM"/>
        </w:rPr>
      </w:pPr>
      <w:r w:rsidRPr="00181F43">
        <w:rPr>
          <w:rStyle w:val="FootnoteReference"/>
          <w:rFonts w:asciiTheme="minorHAnsi" w:hAnsiTheme="minorHAnsi" w:cstheme="minorHAnsi"/>
          <w:color w:val="000000" w:themeColor="text1"/>
          <w:sz w:val="16"/>
          <w:szCs w:val="16"/>
          <w:lang w:val="hy-AM"/>
        </w:rPr>
        <w:footnoteRef/>
      </w:r>
      <w:r w:rsidRPr="00181F43">
        <w:rPr>
          <w:rFonts w:asciiTheme="minorHAnsi" w:hAnsiTheme="minorHAnsi" w:cstheme="minorHAnsi"/>
          <w:color w:val="000000" w:themeColor="text1"/>
          <w:sz w:val="16"/>
          <w:szCs w:val="16"/>
          <w:lang w:val="hy-AM"/>
        </w:rPr>
        <w:t xml:space="preserve"> CCG-AM = CAUCASUS CONSULTING GROUP-AM; ԻՀՏԿ ՀԿ = </w:t>
      </w:r>
      <w:r w:rsidRPr="00181F43">
        <w:rPr>
          <w:rFonts w:asciiTheme="minorHAnsi" w:hAnsiTheme="minorHAnsi" w:cstheme="minorHAnsi"/>
          <w:bCs/>
          <w:color w:val="000000" w:themeColor="text1"/>
          <w:sz w:val="16"/>
          <w:szCs w:val="16"/>
          <w:lang w:val="hy-AM"/>
        </w:rPr>
        <w:t>«Ինֆորմացիոն հասարակության տեխնոլոգիաների կենտրոն» ՀԿ; ԿՄԿ ՀԿ = "Educational and Cultural Bridges" ՀԿ; ՆԱԿ = Ներդումների աջակցման կենտրոն հիմնադրամ; ԲԳԱԱՊԿ ՍՊԸ = Բժշկական գենետիկայի և առողջության առաջնային պահպանման կենտրոն:</w:t>
      </w:r>
    </w:p>
  </w:footnote>
  <w:footnote w:id="48">
    <w:p w14:paraId="7D3F4CAC" w14:textId="557D8FD9" w:rsidR="00D4555B" w:rsidRPr="00181F43" w:rsidRDefault="00D4555B" w:rsidP="00AF4203">
      <w:pPr>
        <w:pStyle w:val="FootnoteText"/>
        <w:rPr>
          <w:rStyle w:val="Hyperlink"/>
          <w:rFonts w:asciiTheme="minorHAnsi" w:hAnsiTheme="minorHAnsi" w:cstheme="minorHAnsi"/>
          <w:color w:val="000000" w:themeColor="text1"/>
          <w:sz w:val="16"/>
          <w:szCs w:val="16"/>
          <w:u w:val="none"/>
          <w:lang w:val="hy-AM"/>
        </w:rPr>
      </w:pPr>
      <w:r w:rsidRPr="00181F43">
        <w:rPr>
          <w:rStyle w:val="Hyperlink"/>
          <w:rFonts w:asciiTheme="minorHAnsi" w:hAnsiTheme="minorHAnsi" w:cstheme="minorHAnsi"/>
          <w:color w:val="000000" w:themeColor="text1"/>
          <w:sz w:val="16"/>
          <w:szCs w:val="16"/>
          <w:u w:val="none"/>
          <w:vertAlign w:val="superscript"/>
          <w:lang w:val="hy-AM"/>
        </w:rPr>
        <w:footnoteRef/>
      </w:r>
      <w:r w:rsidRPr="00181F43">
        <w:rPr>
          <w:rStyle w:val="Hyperlink"/>
          <w:rFonts w:asciiTheme="minorHAnsi" w:hAnsiTheme="minorHAnsi" w:cstheme="minorHAnsi"/>
          <w:color w:val="000000" w:themeColor="text1"/>
          <w:sz w:val="16"/>
          <w:szCs w:val="16"/>
          <w:u w:val="none"/>
          <w:vertAlign w:val="superscript"/>
          <w:lang w:val="hy-AM"/>
        </w:rPr>
        <w:t xml:space="preserve"> </w:t>
      </w:r>
      <w:hyperlink r:id="rId5" w:history="1">
        <w:r w:rsidRPr="00181F43">
          <w:rPr>
            <w:rStyle w:val="Hyperlink"/>
            <w:rFonts w:asciiTheme="minorHAnsi" w:hAnsiTheme="minorHAnsi" w:cstheme="minorHAnsi"/>
            <w:color w:val="000000" w:themeColor="text1"/>
            <w:sz w:val="16"/>
            <w:szCs w:val="16"/>
            <w:u w:val="none"/>
            <w:lang w:val="hy-AM"/>
          </w:rPr>
          <w:t>Ծրագրի ամփոփման դրությամբ</w:t>
        </w:r>
      </w:hyperlink>
      <w:r w:rsidRPr="00181F43">
        <w:rPr>
          <w:rStyle w:val="Hyperlink"/>
          <w:rFonts w:asciiTheme="minorHAnsi" w:hAnsiTheme="minorHAnsi" w:cstheme="minorHAnsi"/>
          <w:color w:val="000000" w:themeColor="text1"/>
          <w:sz w:val="16"/>
          <w:szCs w:val="16"/>
          <w:u w:val="none"/>
          <w:lang w:val="hy-AM"/>
        </w:rPr>
        <w:t>: EU Funding &amp; Tenders Portal Horizon Dashboard - https://ec.europa.eu/info/funding-tenders/opportunities/portal/screen/opportunities/horizon-dashboard</w:t>
      </w:r>
    </w:p>
  </w:footnote>
  <w:footnote w:id="49">
    <w:p w14:paraId="12116598" w14:textId="77E20DEF" w:rsidR="00D4555B" w:rsidRPr="00181F43" w:rsidRDefault="00D4555B" w:rsidP="00AF4203">
      <w:pPr>
        <w:pStyle w:val="FootnoteText"/>
        <w:rPr>
          <w:rFonts w:asciiTheme="minorHAnsi" w:hAnsiTheme="minorHAnsi" w:cstheme="minorHAnsi"/>
          <w:color w:val="000000" w:themeColor="text1"/>
          <w:sz w:val="16"/>
          <w:szCs w:val="16"/>
          <w:lang w:val="hy-AM"/>
        </w:rPr>
      </w:pPr>
      <w:r w:rsidRPr="00181F43">
        <w:rPr>
          <w:rStyle w:val="FootnoteReference"/>
          <w:rFonts w:asciiTheme="minorHAnsi" w:hAnsiTheme="minorHAnsi" w:cstheme="minorHAnsi"/>
          <w:color w:val="000000" w:themeColor="text1"/>
          <w:sz w:val="16"/>
          <w:szCs w:val="16"/>
          <w:lang w:val="hy-AM"/>
        </w:rPr>
        <w:footnoteRef/>
      </w:r>
      <w:r w:rsidRPr="00181F43">
        <w:rPr>
          <w:rFonts w:asciiTheme="minorHAnsi" w:hAnsiTheme="minorHAnsi" w:cstheme="minorHAnsi"/>
          <w:color w:val="000000" w:themeColor="text1"/>
          <w:sz w:val="16"/>
          <w:szCs w:val="16"/>
          <w:lang w:val="hy-AM"/>
        </w:rPr>
        <w:t xml:space="preserve"> Որոշ կազմակերպություններ մասնակցում են միևնույն ծրագրին:</w:t>
      </w:r>
    </w:p>
  </w:footnote>
  <w:footnote w:id="50">
    <w:p w14:paraId="31757898" w14:textId="5E68D134" w:rsidR="00D4555B" w:rsidRPr="00181F43" w:rsidRDefault="00D4555B" w:rsidP="00AF4203">
      <w:pPr>
        <w:pStyle w:val="FootnoteText"/>
        <w:rPr>
          <w:rFonts w:asciiTheme="minorHAnsi" w:hAnsiTheme="minorHAnsi" w:cstheme="minorHAnsi"/>
          <w:color w:val="000000" w:themeColor="text1"/>
          <w:sz w:val="16"/>
          <w:szCs w:val="16"/>
          <w:lang w:val="hy-AM"/>
        </w:rPr>
      </w:pPr>
      <w:r w:rsidRPr="00181F43">
        <w:rPr>
          <w:rStyle w:val="FootnoteReference"/>
          <w:rFonts w:asciiTheme="minorHAnsi" w:hAnsiTheme="minorHAnsi" w:cstheme="minorHAnsi"/>
          <w:color w:val="000000" w:themeColor="text1"/>
          <w:sz w:val="16"/>
          <w:szCs w:val="16"/>
          <w:lang w:val="hy-AM"/>
        </w:rPr>
        <w:footnoteRef/>
      </w:r>
      <w:r w:rsidRPr="00181F43">
        <w:rPr>
          <w:rFonts w:asciiTheme="minorHAnsi" w:hAnsiTheme="minorHAnsi" w:cstheme="minorHAnsi"/>
          <w:color w:val="000000" w:themeColor="text1"/>
          <w:sz w:val="16"/>
          <w:szCs w:val="16"/>
          <w:lang w:val="hy-AM"/>
        </w:rPr>
        <w:t xml:space="preserve"> https://data.europa.eu/data/datasets/cordis-eu-research-projects-under-horizon-europe-2021-2027?locale=en</w:t>
      </w:r>
    </w:p>
  </w:footnote>
  <w:footnote w:id="51">
    <w:p w14:paraId="072D8576" w14:textId="77777777" w:rsidR="00D4555B" w:rsidRPr="00181F43" w:rsidRDefault="00D4555B" w:rsidP="00AF4203">
      <w:pPr>
        <w:pStyle w:val="FootnoteText"/>
        <w:rPr>
          <w:rStyle w:val="Hyperlink"/>
          <w:rFonts w:asciiTheme="minorHAnsi" w:hAnsiTheme="minorHAnsi" w:cstheme="minorHAnsi"/>
          <w:color w:val="000000" w:themeColor="text1"/>
          <w:sz w:val="16"/>
          <w:szCs w:val="16"/>
          <w:u w:val="none"/>
          <w:lang w:val="hy-AM"/>
        </w:rPr>
      </w:pPr>
      <w:r w:rsidRPr="00181F43">
        <w:rPr>
          <w:rStyle w:val="FootnoteReference"/>
          <w:rFonts w:asciiTheme="minorHAnsi" w:hAnsiTheme="minorHAnsi" w:cstheme="minorHAnsi"/>
          <w:color w:val="000000" w:themeColor="text1"/>
          <w:sz w:val="16"/>
          <w:szCs w:val="16"/>
          <w:lang w:val="hy-AM"/>
        </w:rPr>
        <w:footnoteRef/>
      </w:r>
      <w:r w:rsidRPr="00181F43">
        <w:rPr>
          <w:rFonts w:asciiTheme="minorHAnsi" w:hAnsiTheme="minorHAnsi" w:cstheme="minorHAnsi"/>
          <w:color w:val="000000" w:themeColor="text1"/>
          <w:sz w:val="16"/>
          <w:szCs w:val="16"/>
          <w:lang w:val="hy-AM"/>
        </w:rPr>
        <w:t xml:space="preserve"> </w:t>
      </w:r>
      <w:r w:rsidRPr="00181F43">
        <w:rPr>
          <w:rStyle w:val="Hyperlink"/>
          <w:rFonts w:asciiTheme="minorHAnsi" w:hAnsiTheme="minorHAnsi" w:cstheme="minorHAnsi"/>
          <w:color w:val="000000" w:themeColor="text1"/>
          <w:sz w:val="16"/>
          <w:szCs w:val="16"/>
          <w:u w:val="none"/>
          <w:lang w:val="hy-AM"/>
        </w:rPr>
        <w:t>https://istc.int/</w:t>
      </w:r>
    </w:p>
  </w:footnote>
  <w:footnote w:id="52">
    <w:p w14:paraId="0A0BA926" w14:textId="1467453E" w:rsidR="00D4555B" w:rsidRPr="00181F43" w:rsidRDefault="00D4555B" w:rsidP="00AF4203">
      <w:pPr>
        <w:pStyle w:val="FootnoteText"/>
        <w:rPr>
          <w:rFonts w:asciiTheme="minorHAnsi" w:hAnsiTheme="minorHAnsi" w:cstheme="minorHAnsi"/>
          <w:color w:val="000000" w:themeColor="text1"/>
          <w:sz w:val="16"/>
          <w:szCs w:val="16"/>
          <w:lang w:val="hy-AM"/>
        </w:rPr>
      </w:pPr>
      <w:r w:rsidRPr="00181F43">
        <w:rPr>
          <w:rStyle w:val="FootnoteReference"/>
          <w:rFonts w:asciiTheme="minorHAnsi" w:hAnsiTheme="minorHAnsi" w:cstheme="minorHAnsi"/>
          <w:color w:val="000000" w:themeColor="text1"/>
          <w:sz w:val="16"/>
          <w:szCs w:val="16"/>
          <w:lang w:val="hy-AM"/>
        </w:rPr>
        <w:footnoteRef/>
      </w:r>
      <w:r w:rsidRPr="00181F43">
        <w:rPr>
          <w:rFonts w:asciiTheme="minorHAnsi" w:hAnsiTheme="minorHAnsi" w:cstheme="minorHAnsi"/>
          <w:color w:val="000000" w:themeColor="text1"/>
          <w:sz w:val="16"/>
          <w:szCs w:val="16"/>
          <w:lang w:val="hy-AM"/>
        </w:rPr>
        <w:t xml:space="preserve"> ըստ Վեբ օֆ Սայնս (Web of Science)-ի ԻնՍայտես (InCites) շտեմարանի տվյալների (2025 թվականի նոյեմբերի 3-ի դրությամբ)</w:t>
      </w:r>
    </w:p>
  </w:footnote>
  <w:footnote w:id="53">
    <w:p w14:paraId="4A4EA95E" w14:textId="61D6098C" w:rsidR="00D4555B" w:rsidRPr="00181F43" w:rsidRDefault="00D4555B" w:rsidP="00AF4203">
      <w:pPr>
        <w:pStyle w:val="FootnoteText"/>
        <w:rPr>
          <w:rFonts w:asciiTheme="minorHAnsi" w:hAnsiTheme="minorHAnsi" w:cstheme="minorHAnsi"/>
          <w:color w:val="000000" w:themeColor="text1"/>
          <w:sz w:val="16"/>
          <w:szCs w:val="16"/>
          <w:lang w:val="hy-AM"/>
        </w:rPr>
      </w:pPr>
      <w:r w:rsidRPr="00181F43">
        <w:rPr>
          <w:rStyle w:val="FootnoteReference"/>
          <w:rFonts w:asciiTheme="minorHAnsi" w:hAnsiTheme="minorHAnsi" w:cstheme="minorHAnsi"/>
          <w:color w:val="000000" w:themeColor="text1"/>
          <w:sz w:val="16"/>
          <w:szCs w:val="16"/>
          <w:lang w:val="hy-AM"/>
        </w:rPr>
        <w:footnoteRef/>
      </w:r>
      <w:r w:rsidRPr="00181F43">
        <w:rPr>
          <w:rFonts w:asciiTheme="minorHAnsi" w:hAnsiTheme="minorHAnsi" w:cstheme="minorHAnsi"/>
          <w:color w:val="000000" w:themeColor="text1"/>
          <w:sz w:val="16"/>
          <w:szCs w:val="16"/>
          <w:lang w:val="hy-AM"/>
        </w:rPr>
        <w:t xml:space="preserve"> ըստ Վեբ օֆ Սայնս (Web of Science)-ի ԻնՍայտես (InCites) շտեմարանի տվյալների` (2025 թվականի օգոստոսի 17-ի դրությամբ)</w:t>
      </w:r>
    </w:p>
  </w:footnote>
  <w:footnote w:id="54">
    <w:p w14:paraId="75DC291F" w14:textId="77777777" w:rsidR="00D4555B" w:rsidRPr="00181F43" w:rsidRDefault="00D4555B" w:rsidP="00AF4203">
      <w:pPr>
        <w:pStyle w:val="FootnoteText"/>
        <w:rPr>
          <w:rFonts w:asciiTheme="minorHAnsi" w:hAnsiTheme="minorHAnsi" w:cstheme="minorHAnsi"/>
          <w:color w:val="000000" w:themeColor="text1"/>
          <w:sz w:val="16"/>
          <w:szCs w:val="16"/>
          <w:lang w:val="hy-AM"/>
        </w:rPr>
      </w:pPr>
      <w:r w:rsidRPr="00181F43">
        <w:rPr>
          <w:rStyle w:val="FootnoteReference"/>
          <w:rFonts w:asciiTheme="minorHAnsi" w:hAnsiTheme="minorHAnsi" w:cstheme="minorHAnsi"/>
          <w:color w:val="000000" w:themeColor="text1"/>
          <w:sz w:val="16"/>
          <w:szCs w:val="16"/>
          <w:lang w:val="hy-AM"/>
        </w:rPr>
        <w:footnoteRef/>
      </w:r>
      <w:r w:rsidRPr="00181F43">
        <w:rPr>
          <w:rFonts w:asciiTheme="minorHAnsi" w:hAnsiTheme="minorHAnsi" w:cstheme="minorHAnsi"/>
          <w:color w:val="000000" w:themeColor="text1"/>
          <w:sz w:val="16"/>
          <w:szCs w:val="16"/>
          <w:lang w:val="hy-AM"/>
        </w:rPr>
        <w:t xml:space="preserve"> հաշվառվում են միայն մինչև 50 համահեղինակ ունեցող հրապարակումները</w:t>
      </w:r>
    </w:p>
  </w:footnote>
  <w:footnote w:id="55">
    <w:p w14:paraId="22754264" w14:textId="01C43BAF" w:rsidR="00D4555B" w:rsidRPr="00181F43" w:rsidRDefault="00D4555B" w:rsidP="00AF4203">
      <w:pPr>
        <w:pStyle w:val="FootnoteText"/>
        <w:rPr>
          <w:rFonts w:asciiTheme="minorHAnsi" w:hAnsiTheme="minorHAnsi" w:cstheme="minorHAnsi"/>
          <w:color w:val="000000" w:themeColor="text1"/>
          <w:sz w:val="16"/>
          <w:szCs w:val="16"/>
          <w:lang w:val="hy-AM"/>
        </w:rPr>
      </w:pPr>
      <w:r w:rsidRPr="00181F43">
        <w:rPr>
          <w:rFonts w:asciiTheme="minorHAnsi" w:hAnsiTheme="minorHAnsi" w:cstheme="minorHAnsi"/>
          <w:color w:val="000000" w:themeColor="text1"/>
          <w:sz w:val="16"/>
          <w:szCs w:val="16"/>
          <w:vertAlign w:val="superscript"/>
          <w:lang w:val="hy-AM"/>
        </w:rPr>
        <w:footnoteRef/>
      </w:r>
      <w:r w:rsidRPr="00181F43">
        <w:rPr>
          <w:rFonts w:asciiTheme="minorHAnsi" w:hAnsiTheme="minorHAnsi" w:cstheme="minorHAnsi"/>
          <w:color w:val="000000" w:themeColor="text1"/>
          <w:sz w:val="16"/>
          <w:szCs w:val="16"/>
          <w:lang w:val="hy-AM"/>
        </w:rPr>
        <w:t xml:space="preserve"> Frascati Manual 2015: Guidelines for Collecting and Reporting Data on Research and Experimental Development, The Measurement of Scientific, Technological and Innovation Activities, OECD Publishing, 2015, Paris, </w:t>
      </w:r>
      <w:hyperlink r:id="rId6" w:history="1">
        <w:r w:rsidRPr="00181F43">
          <w:rPr>
            <w:rStyle w:val="Hyperlink"/>
            <w:rFonts w:asciiTheme="minorHAnsi" w:hAnsiTheme="minorHAnsi" w:cstheme="minorHAnsi"/>
            <w:color w:val="000000" w:themeColor="text1"/>
            <w:sz w:val="16"/>
            <w:szCs w:val="16"/>
            <w:u w:val="none"/>
            <w:lang w:val="hy-AM"/>
          </w:rPr>
          <w:t>https://doi.org/10.1787/9789264239012-en</w:t>
        </w:r>
      </w:hyperlink>
      <w:r w:rsidRPr="00181F43">
        <w:rPr>
          <w:rFonts w:asciiTheme="minorHAnsi" w:hAnsiTheme="minorHAnsi" w:cstheme="minorHAnsi"/>
          <w:color w:val="000000" w:themeColor="text1"/>
          <w:sz w:val="16"/>
          <w:szCs w:val="16"/>
          <w:lang w:val="hy-AM"/>
        </w:rPr>
        <w:t xml:space="preserve"> </w:t>
      </w:r>
    </w:p>
  </w:footnote>
  <w:footnote w:id="56">
    <w:p w14:paraId="0780B6FF" w14:textId="27C0660B" w:rsidR="00D4555B" w:rsidRPr="00181F43" w:rsidRDefault="00D4555B" w:rsidP="00AF4203">
      <w:pPr>
        <w:pStyle w:val="FootnoteText"/>
        <w:rPr>
          <w:rFonts w:asciiTheme="minorHAnsi" w:hAnsiTheme="minorHAnsi" w:cstheme="minorHAnsi"/>
          <w:color w:val="000000" w:themeColor="text1"/>
          <w:sz w:val="16"/>
          <w:szCs w:val="16"/>
          <w:lang w:val="hy-AM"/>
        </w:rPr>
      </w:pPr>
      <w:r w:rsidRPr="00181F43">
        <w:rPr>
          <w:rStyle w:val="FootnoteReference"/>
          <w:rFonts w:asciiTheme="minorHAnsi" w:hAnsiTheme="minorHAnsi" w:cstheme="minorHAnsi"/>
          <w:color w:val="000000" w:themeColor="text1"/>
          <w:sz w:val="16"/>
          <w:szCs w:val="16"/>
          <w:lang w:val="hy-AM"/>
        </w:rPr>
        <w:footnoteRef/>
      </w:r>
      <w:r w:rsidRPr="00181F43">
        <w:rPr>
          <w:rFonts w:asciiTheme="minorHAnsi" w:hAnsiTheme="minorHAnsi" w:cstheme="minorHAnsi"/>
          <w:color w:val="000000" w:themeColor="text1"/>
          <w:sz w:val="16"/>
          <w:szCs w:val="16"/>
          <w:lang w:val="hy-AM"/>
        </w:rPr>
        <w:t xml:space="preserve"> Ըստ բնագավառների և/կամ մասնագիտությունների բաշխման պարագայում գումարային քանակությունը ստացվոմ է ավելի մեծ ընդհանուր թվից, քանի-որ հոդվածների մի մասը հանդիսանում է միջգիտակարգային և հաշվառվում է մեկից ավել</w:t>
      </w:r>
      <w:r w:rsidR="00B1467F">
        <w:rPr>
          <w:rFonts w:asciiTheme="minorHAnsi" w:hAnsiTheme="minorHAnsi" w:cstheme="minorHAnsi"/>
          <w:color w:val="000000" w:themeColor="text1"/>
          <w:sz w:val="16"/>
          <w:szCs w:val="16"/>
          <w:lang w:val="hy-AM"/>
        </w:rPr>
        <w:t>ի</w:t>
      </w:r>
      <w:r w:rsidRPr="00181F43">
        <w:rPr>
          <w:rFonts w:asciiTheme="minorHAnsi" w:hAnsiTheme="minorHAnsi" w:cstheme="minorHAnsi"/>
          <w:color w:val="000000" w:themeColor="text1"/>
          <w:sz w:val="16"/>
          <w:szCs w:val="16"/>
          <w:lang w:val="hy-AM"/>
        </w:rPr>
        <w:t xml:space="preserve"> բնագավառներում կամ մասնագիտություններում:</w:t>
      </w:r>
    </w:p>
  </w:footnote>
  <w:footnote w:id="57">
    <w:p w14:paraId="330DCE9F" w14:textId="4C8CB0E0" w:rsidR="00D4555B" w:rsidRPr="00181F43" w:rsidRDefault="00D4555B" w:rsidP="00AF4203">
      <w:pPr>
        <w:pStyle w:val="FootnoteText"/>
        <w:rPr>
          <w:rFonts w:asciiTheme="minorHAnsi" w:hAnsiTheme="minorHAnsi" w:cstheme="minorHAnsi"/>
          <w:color w:val="000000" w:themeColor="text1"/>
          <w:sz w:val="16"/>
          <w:szCs w:val="16"/>
          <w:lang w:val="hy-AM"/>
        </w:rPr>
      </w:pPr>
      <w:r w:rsidRPr="00181F43">
        <w:rPr>
          <w:rStyle w:val="FootnoteReference"/>
          <w:rFonts w:asciiTheme="minorHAnsi" w:hAnsiTheme="minorHAnsi" w:cstheme="minorHAnsi"/>
          <w:color w:val="000000" w:themeColor="text1"/>
          <w:sz w:val="16"/>
          <w:szCs w:val="16"/>
          <w:lang w:val="hy-AM"/>
        </w:rPr>
        <w:footnoteRef/>
      </w:r>
      <w:r w:rsidRPr="00181F43">
        <w:rPr>
          <w:rFonts w:asciiTheme="minorHAnsi" w:hAnsiTheme="minorHAnsi" w:cstheme="minorHAnsi"/>
          <w:color w:val="000000" w:themeColor="text1"/>
          <w:sz w:val="16"/>
          <w:szCs w:val="16"/>
          <w:lang w:val="hy-AM"/>
        </w:rPr>
        <w:t xml:space="preserve"> ըստ Վեբ օֆ Սայնս (Web of Science)-ի ԻնՍայտես (InCites) շտեմարանի տվյալների (2025 թվականի օգոստոսի 17-ի դրությամբ): 1 Բնական գիտություններ; 2 Ճարտարագիտություն և տեխնոլոգիա; 3 Բժշկական գիտություններ; 5 Հասարակական գիտություններ; 6 Հայագիտություն եվ հումանիտար գիտություններ; 4 Գյուղատնտեսական գիտություններ</w:t>
      </w:r>
    </w:p>
  </w:footnote>
  <w:footnote w:id="58">
    <w:p w14:paraId="3613CA7E" w14:textId="1694AB7B" w:rsidR="00D4555B" w:rsidRPr="00181F43" w:rsidRDefault="00D4555B" w:rsidP="00AF4203">
      <w:pPr>
        <w:pStyle w:val="FootnoteText"/>
        <w:rPr>
          <w:rFonts w:asciiTheme="minorHAnsi" w:hAnsiTheme="minorHAnsi" w:cstheme="minorHAnsi"/>
          <w:color w:val="000000" w:themeColor="text1"/>
          <w:sz w:val="16"/>
          <w:szCs w:val="16"/>
          <w:lang w:val="hy-AM"/>
        </w:rPr>
      </w:pPr>
      <w:r w:rsidRPr="00181F43">
        <w:rPr>
          <w:rStyle w:val="FootnoteReference"/>
          <w:rFonts w:asciiTheme="minorHAnsi" w:hAnsiTheme="minorHAnsi" w:cstheme="minorHAnsi"/>
          <w:color w:val="000000" w:themeColor="text1"/>
          <w:sz w:val="16"/>
          <w:szCs w:val="16"/>
          <w:lang w:val="hy-AM"/>
        </w:rPr>
        <w:footnoteRef/>
      </w:r>
      <w:r w:rsidRPr="00181F43">
        <w:rPr>
          <w:rFonts w:asciiTheme="minorHAnsi" w:hAnsiTheme="minorHAnsi" w:cstheme="minorHAnsi"/>
          <w:color w:val="000000" w:themeColor="text1"/>
          <w:sz w:val="16"/>
          <w:szCs w:val="16"/>
          <w:lang w:val="hy-AM"/>
        </w:rPr>
        <w:t xml:space="preserve"> 1.03 Ֆիզիկա և աստղագիտություն, 3.02 Կլինիկական բժշկություն, 1.06 Կենսաբանական գիտություններ, 1.04 Քիմիա, 1.01 Մաթեմատիկա, 3.01 Ընդհանուր բժշկություն, 3.03 Առողջապահություն, 1.05 Երկրի մասին և դրան հարակից բնապահպանական գիտություններ, 2.11 Այլ տեսակի ճարտարագիտություն ու տեխնոլոգիաներ, 2.05 Նյութագիտություն:</w:t>
      </w:r>
    </w:p>
  </w:footnote>
  <w:footnote w:id="59">
    <w:p w14:paraId="635FC330" w14:textId="1BECC9C0" w:rsidR="00D4555B" w:rsidRPr="00181F43" w:rsidRDefault="00D4555B" w:rsidP="00AF4203">
      <w:pPr>
        <w:pStyle w:val="FootnoteText"/>
        <w:rPr>
          <w:rFonts w:asciiTheme="minorHAnsi" w:hAnsiTheme="minorHAnsi" w:cstheme="minorHAnsi"/>
          <w:color w:val="000000" w:themeColor="text1"/>
          <w:sz w:val="16"/>
          <w:szCs w:val="16"/>
          <w:lang w:val="hy-AM"/>
        </w:rPr>
      </w:pPr>
      <w:r w:rsidRPr="00181F43">
        <w:rPr>
          <w:rStyle w:val="FootnoteReference"/>
          <w:rFonts w:asciiTheme="minorHAnsi" w:hAnsiTheme="minorHAnsi" w:cstheme="minorHAnsi"/>
          <w:color w:val="000000" w:themeColor="text1"/>
          <w:sz w:val="16"/>
          <w:szCs w:val="16"/>
          <w:lang w:val="hy-AM"/>
        </w:rPr>
        <w:footnoteRef/>
      </w:r>
      <w:r w:rsidRPr="00181F43">
        <w:rPr>
          <w:rFonts w:asciiTheme="minorHAnsi" w:hAnsiTheme="minorHAnsi" w:cstheme="minorHAnsi"/>
          <w:color w:val="000000" w:themeColor="text1"/>
          <w:sz w:val="16"/>
          <w:szCs w:val="16"/>
          <w:lang w:val="hy-AM"/>
        </w:rPr>
        <w:t xml:space="preserve"> ըստ Վեբ օֆ Սայնս (Web of Science)-ի ԻնՍայտես (InCites) շտեմարանի տվյալների (2025 թվականի օգոստոսի 17-ի դրությամբ)</w:t>
      </w:r>
    </w:p>
  </w:footnote>
  <w:footnote w:id="60">
    <w:p w14:paraId="4B795A65" w14:textId="1A97C8FF" w:rsidR="00D4555B" w:rsidRPr="00181F43" w:rsidRDefault="00D4555B" w:rsidP="00AF4203">
      <w:pPr>
        <w:pStyle w:val="FootnoteText"/>
        <w:rPr>
          <w:rFonts w:asciiTheme="minorHAnsi" w:hAnsiTheme="minorHAnsi" w:cstheme="minorHAnsi"/>
          <w:color w:val="000000" w:themeColor="text1"/>
          <w:sz w:val="16"/>
          <w:szCs w:val="16"/>
          <w:lang w:val="hy-AM"/>
        </w:rPr>
      </w:pPr>
      <w:r w:rsidRPr="00181F43">
        <w:rPr>
          <w:rStyle w:val="FootnoteReference"/>
          <w:rFonts w:asciiTheme="minorHAnsi" w:hAnsiTheme="minorHAnsi" w:cstheme="minorHAnsi"/>
          <w:color w:val="000000" w:themeColor="text1"/>
          <w:sz w:val="16"/>
          <w:szCs w:val="16"/>
          <w:lang w:val="hy-AM"/>
        </w:rPr>
        <w:footnoteRef/>
      </w:r>
      <w:r w:rsidRPr="00181F43">
        <w:rPr>
          <w:rFonts w:asciiTheme="minorHAnsi" w:hAnsiTheme="minorHAnsi" w:cstheme="minorHAnsi"/>
          <w:color w:val="000000" w:themeColor="text1"/>
          <w:sz w:val="16"/>
          <w:szCs w:val="16"/>
          <w:lang w:val="hy-AM"/>
        </w:rPr>
        <w:t xml:space="preserve"> Article, Review, Letter</w:t>
      </w:r>
    </w:p>
  </w:footnote>
  <w:footnote w:id="61">
    <w:p w14:paraId="37409349" w14:textId="5DC58F22" w:rsidR="00D4555B" w:rsidRPr="00181F43" w:rsidRDefault="00D4555B" w:rsidP="00AF4203">
      <w:pPr>
        <w:pStyle w:val="FootnoteText"/>
        <w:rPr>
          <w:rFonts w:asciiTheme="minorHAnsi" w:hAnsiTheme="minorHAnsi" w:cstheme="minorHAnsi"/>
          <w:color w:val="000000" w:themeColor="text1"/>
          <w:sz w:val="16"/>
          <w:szCs w:val="16"/>
          <w:lang w:val="hy-AM"/>
        </w:rPr>
      </w:pPr>
      <w:r w:rsidRPr="00181F43">
        <w:rPr>
          <w:rStyle w:val="FootnoteReference"/>
          <w:rFonts w:asciiTheme="minorHAnsi" w:hAnsiTheme="minorHAnsi" w:cstheme="minorHAnsi"/>
          <w:color w:val="000000" w:themeColor="text1"/>
          <w:sz w:val="16"/>
          <w:szCs w:val="16"/>
          <w:lang w:val="hy-AM"/>
        </w:rPr>
        <w:footnoteRef/>
      </w:r>
      <w:r w:rsidRPr="00181F43">
        <w:rPr>
          <w:rFonts w:asciiTheme="minorHAnsi" w:hAnsiTheme="minorHAnsi" w:cstheme="minorHAnsi"/>
          <w:color w:val="000000" w:themeColor="text1"/>
          <w:sz w:val="16"/>
          <w:szCs w:val="16"/>
          <w:lang w:val="hy-AM"/>
        </w:rPr>
        <w:t xml:space="preserve"> 1.03 Ֆիզիկա և աստղագիտություն, 1.04 Քիմիա, 1.06 Կենսաբանական գիտություններ, 3.02 Կլինիկական բժշկություն, 1.01 Մաթեմատիկա, 3.01 Ընդհանուր բժշկություն, 2.05 Նյութագիտություն, 1.05 Երկրի մասին և դրան հարակից բնապահպանական գիտություններ, 3.03 Առողջապահություն, 2.11 Այլ տեսակի ճարտարագիտություն ու տեխնոլոգիաներ:</w:t>
      </w:r>
    </w:p>
  </w:footnote>
  <w:footnote w:id="62">
    <w:p w14:paraId="28B881DB" w14:textId="5FD355EF" w:rsidR="00D4555B" w:rsidRPr="00181F43" w:rsidRDefault="00D4555B" w:rsidP="00AF4203">
      <w:pPr>
        <w:pStyle w:val="FootnoteText"/>
        <w:rPr>
          <w:rFonts w:asciiTheme="minorHAnsi" w:hAnsiTheme="minorHAnsi" w:cstheme="minorHAnsi"/>
          <w:color w:val="000000" w:themeColor="text1"/>
          <w:sz w:val="16"/>
          <w:szCs w:val="16"/>
          <w:lang w:val="hy-AM"/>
        </w:rPr>
      </w:pPr>
      <w:r w:rsidRPr="00181F43">
        <w:rPr>
          <w:rStyle w:val="FootnoteReference"/>
          <w:rFonts w:asciiTheme="minorHAnsi" w:hAnsiTheme="minorHAnsi" w:cstheme="minorHAnsi"/>
          <w:color w:val="000000" w:themeColor="text1"/>
          <w:sz w:val="16"/>
          <w:szCs w:val="16"/>
          <w:lang w:val="hy-AM"/>
        </w:rPr>
        <w:footnoteRef/>
      </w:r>
      <w:r w:rsidRPr="00181F43">
        <w:rPr>
          <w:rFonts w:asciiTheme="minorHAnsi" w:hAnsiTheme="minorHAnsi" w:cstheme="minorHAnsi"/>
          <w:color w:val="000000" w:themeColor="text1"/>
          <w:sz w:val="16"/>
          <w:szCs w:val="16"/>
          <w:lang w:val="hy-AM"/>
        </w:rPr>
        <w:t xml:space="preserve"> ըստ Վեբ օֆ Սայնս (Web of Science)-ի ԻնՍայտես (InCites) շտեմարանի տվյալների (2025 թվականի օգոստոսի 17-ի դրությամբ)</w:t>
      </w:r>
    </w:p>
  </w:footnote>
  <w:footnote w:id="63">
    <w:p w14:paraId="0E548474" w14:textId="7EABAD4D" w:rsidR="00D4555B" w:rsidRPr="00181F43" w:rsidRDefault="00D4555B" w:rsidP="00AF4203">
      <w:pPr>
        <w:pStyle w:val="FootnoteText"/>
        <w:rPr>
          <w:rFonts w:asciiTheme="minorHAnsi" w:hAnsiTheme="minorHAnsi" w:cstheme="minorHAnsi"/>
          <w:color w:val="000000" w:themeColor="text1"/>
          <w:sz w:val="16"/>
          <w:szCs w:val="16"/>
          <w:lang w:val="hy-AM"/>
        </w:rPr>
      </w:pPr>
      <w:r w:rsidRPr="00181F43">
        <w:rPr>
          <w:rStyle w:val="FootnoteReference"/>
          <w:rFonts w:asciiTheme="minorHAnsi" w:hAnsiTheme="minorHAnsi" w:cstheme="minorHAnsi"/>
          <w:color w:val="000000" w:themeColor="text1"/>
          <w:sz w:val="16"/>
          <w:szCs w:val="16"/>
          <w:lang w:val="hy-AM"/>
        </w:rPr>
        <w:footnoteRef/>
      </w:r>
      <w:r w:rsidRPr="00181F43">
        <w:rPr>
          <w:rFonts w:asciiTheme="minorHAnsi" w:hAnsiTheme="minorHAnsi" w:cstheme="minorHAnsi"/>
          <w:color w:val="000000" w:themeColor="text1"/>
          <w:sz w:val="16"/>
          <w:szCs w:val="16"/>
          <w:lang w:val="hy-AM"/>
        </w:rPr>
        <w:t xml:space="preserve"> ըստ Վեբ օֆ Սայնս (Web of Science)-ի ԻնՍայտես (InCites) շտեմարանի տվյալների (2025 թվականի օգոստոսի 17-ի դրությամբ):</w:t>
      </w:r>
    </w:p>
  </w:footnote>
  <w:footnote w:id="64">
    <w:p w14:paraId="20C15BE2" w14:textId="6F3398BC" w:rsidR="00D4555B" w:rsidRPr="00181F43" w:rsidRDefault="00D4555B" w:rsidP="00AF4203">
      <w:pPr>
        <w:pStyle w:val="FootnoteText"/>
        <w:jc w:val="both"/>
        <w:rPr>
          <w:rFonts w:asciiTheme="minorHAnsi" w:hAnsiTheme="minorHAnsi" w:cstheme="minorHAnsi"/>
          <w:color w:val="000000" w:themeColor="text1"/>
          <w:sz w:val="16"/>
          <w:szCs w:val="16"/>
          <w:lang w:val="hy-AM"/>
        </w:rPr>
      </w:pPr>
      <w:r w:rsidRPr="00181F43">
        <w:rPr>
          <w:rStyle w:val="FootnoteReference"/>
          <w:rFonts w:asciiTheme="minorHAnsi" w:hAnsiTheme="minorHAnsi" w:cstheme="minorHAnsi"/>
          <w:color w:val="000000" w:themeColor="text1"/>
          <w:sz w:val="16"/>
          <w:szCs w:val="16"/>
          <w:lang w:val="hy-AM"/>
        </w:rPr>
        <w:footnoteRef/>
      </w:r>
      <w:r w:rsidRPr="00181F43">
        <w:rPr>
          <w:rFonts w:asciiTheme="minorHAnsi" w:hAnsiTheme="minorHAnsi" w:cstheme="minorHAnsi"/>
          <w:color w:val="000000" w:themeColor="text1"/>
          <w:sz w:val="16"/>
          <w:szCs w:val="16"/>
          <w:lang w:val="hy-AM"/>
        </w:rPr>
        <w:t xml:space="preserve"> ըստ Վեբ օֆ Սայնս (Web of Science)-ի ԻնՍայտես (InCites) շտեմարանի տվյալների (2025 թվականի օգոստոս 17-ի դրությամբ): 6.01 Պատմություն, հնագիտություն; 6.03 Փիլիսոփայություն, էթիկա, կրոնագիտություն; 5.02 Տնտեսագիտություն և գործարարություն; 5.06 Քաղաքական գիտություններ; 5.07 Սոցիալական և տնտեսական աշխարհագրություն; 5.09 Այլ հասարակական գիտություններ; 5.01 Հոգեբանություն; 6.02 Լեզվագիտություն, գրականագիտություն; 5.04 Սոցիոլոգիա; 5.03 Մանկավարժական գիտություններ; 6.05 Այլ հումանիտար գիտություններ; 5.05 Իրավունք; 5.08 Զանգվածային լրատվություն և հաղորդակցություն; 6.04 Արվեստագիտություն (քանակների հանրագումարն ըստ մասնագիտությունների ավել</w:t>
      </w:r>
      <w:r w:rsidR="00B1467F">
        <w:rPr>
          <w:rFonts w:asciiTheme="minorHAnsi" w:hAnsiTheme="minorHAnsi" w:cstheme="minorHAnsi"/>
          <w:color w:val="000000" w:themeColor="text1"/>
          <w:sz w:val="16"/>
          <w:szCs w:val="16"/>
          <w:lang w:val="hy-AM"/>
        </w:rPr>
        <w:t>ի</w:t>
      </w:r>
      <w:r w:rsidRPr="00181F43">
        <w:rPr>
          <w:rFonts w:asciiTheme="minorHAnsi" w:hAnsiTheme="minorHAnsi" w:cstheme="minorHAnsi"/>
          <w:color w:val="000000" w:themeColor="text1"/>
          <w:sz w:val="16"/>
          <w:szCs w:val="16"/>
          <w:lang w:val="hy-AM"/>
        </w:rPr>
        <w:t xml:space="preserve"> է բնագավառի ցուցանիշից, քանի որ միևնույն հոդվածը կարող է ունենալ վերագրված մեկից ավել</w:t>
      </w:r>
      <w:r w:rsidR="00B1467F">
        <w:rPr>
          <w:rFonts w:asciiTheme="minorHAnsi" w:hAnsiTheme="minorHAnsi" w:cstheme="minorHAnsi"/>
          <w:color w:val="000000" w:themeColor="text1"/>
          <w:sz w:val="16"/>
          <w:szCs w:val="16"/>
          <w:lang w:val="hy-AM"/>
        </w:rPr>
        <w:t>ի</w:t>
      </w:r>
      <w:r w:rsidRPr="00181F43">
        <w:rPr>
          <w:rFonts w:asciiTheme="minorHAnsi" w:hAnsiTheme="minorHAnsi" w:cstheme="minorHAnsi"/>
          <w:color w:val="000000" w:themeColor="text1"/>
          <w:sz w:val="16"/>
          <w:szCs w:val="16"/>
          <w:lang w:val="hy-AM"/>
        </w:rPr>
        <w:t xml:space="preserve"> մասնագիտական դասակարգիչ և ներկայացվել մի քանի մասնագիտական դասակարգիչների ներքո)</w:t>
      </w:r>
    </w:p>
  </w:footnote>
  <w:footnote w:id="65">
    <w:p w14:paraId="6FF8FEBE" w14:textId="39E80AC2" w:rsidR="00D4555B" w:rsidRPr="00181F43" w:rsidRDefault="00D4555B" w:rsidP="00AF4203">
      <w:pPr>
        <w:pStyle w:val="FootnoteText"/>
        <w:jc w:val="both"/>
        <w:rPr>
          <w:rFonts w:asciiTheme="minorHAnsi" w:hAnsiTheme="minorHAnsi" w:cstheme="minorHAnsi"/>
          <w:color w:val="000000" w:themeColor="text1"/>
          <w:sz w:val="16"/>
          <w:szCs w:val="16"/>
          <w:lang w:val="hy-AM"/>
        </w:rPr>
      </w:pPr>
      <w:r w:rsidRPr="00181F43">
        <w:rPr>
          <w:rStyle w:val="FootnoteReference"/>
          <w:rFonts w:asciiTheme="minorHAnsi" w:hAnsiTheme="minorHAnsi" w:cstheme="minorHAnsi"/>
          <w:color w:val="000000" w:themeColor="text1"/>
          <w:sz w:val="16"/>
          <w:szCs w:val="16"/>
          <w:lang w:val="hy-AM"/>
        </w:rPr>
        <w:footnoteRef/>
      </w:r>
      <w:r w:rsidRPr="00181F43">
        <w:rPr>
          <w:rFonts w:asciiTheme="minorHAnsi" w:hAnsiTheme="minorHAnsi" w:cstheme="minorHAnsi"/>
          <w:color w:val="000000" w:themeColor="text1"/>
          <w:sz w:val="16"/>
          <w:szCs w:val="16"/>
          <w:lang w:val="hy-AM"/>
        </w:rPr>
        <w:t xml:space="preserve"> ցուցանիշն օգտագործվում է «ՏՀԶԿ գիտության, տեխնոլոգիաների և արդյունաբերության հեռանկար» զեկույցներում (OECD Science, Technology and Industry Outlook), ինչպես նաև Եվրոպական Ինովացիոն Ցուցակ (European Innovation Scoreboard 2021) –ի կազմման մեթոդաբանությունում ( https://ec.europa.eu/docsroom/documents/45971 ):</w:t>
      </w:r>
    </w:p>
  </w:footnote>
  <w:footnote w:id="66">
    <w:p w14:paraId="16981D3A" w14:textId="31C8921C" w:rsidR="00D4555B" w:rsidRPr="00181F43" w:rsidRDefault="00D4555B" w:rsidP="00AF4203">
      <w:pPr>
        <w:pStyle w:val="FootnoteText"/>
        <w:rPr>
          <w:rFonts w:asciiTheme="minorHAnsi" w:hAnsiTheme="minorHAnsi" w:cstheme="minorHAnsi"/>
          <w:color w:val="000000" w:themeColor="text1"/>
          <w:sz w:val="16"/>
          <w:szCs w:val="16"/>
          <w:lang w:val="hy-AM"/>
        </w:rPr>
      </w:pPr>
      <w:r w:rsidRPr="00181F43">
        <w:rPr>
          <w:rStyle w:val="FootnoteReference"/>
          <w:rFonts w:asciiTheme="minorHAnsi" w:hAnsiTheme="minorHAnsi" w:cstheme="minorHAnsi"/>
          <w:color w:val="000000" w:themeColor="text1"/>
          <w:sz w:val="16"/>
          <w:szCs w:val="16"/>
          <w:lang w:val="hy-AM"/>
        </w:rPr>
        <w:footnoteRef/>
      </w:r>
      <w:r w:rsidRPr="00181F43">
        <w:rPr>
          <w:rFonts w:asciiTheme="minorHAnsi" w:hAnsiTheme="minorHAnsi" w:cstheme="minorHAnsi"/>
          <w:color w:val="000000" w:themeColor="text1"/>
          <w:sz w:val="16"/>
          <w:szCs w:val="16"/>
          <w:lang w:val="hy-AM"/>
        </w:rPr>
        <w:t xml:space="preserve"> ըստ Վեբ օֆ Սայնս (Web of Science)-ի ԻնՍայտես (InCites) շտեմարանի տվյալների (2025 թվականի Օգոստոսի 20-ի դրությամբ):</w:t>
      </w:r>
    </w:p>
  </w:footnote>
  <w:footnote w:id="67">
    <w:p w14:paraId="34ED5A99" w14:textId="3696A310" w:rsidR="00D4555B" w:rsidRPr="00181F43" w:rsidRDefault="00D4555B" w:rsidP="00AF4203">
      <w:pPr>
        <w:pStyle w:val="FootnoteText"/>
        <w:rPr>
          <w:rFonts w:asciiTheme="minorHAnsi" w:hAnsiTheme="minorHAnsi" w:cstheme="minorHAnsi"/>
          <w:color w:val="000000" w:themeColor="text1"/>
          <w:sz w:val="16"/>
          <w:szCs w:val="16"/>
          <w:lang w:val="hy-AM"/>
        </w:rPr>
      </w:pPr>
      <w:r w:rsidRPr="00181F43">
        <w:rPr>
          <w:rStyle w:val="FootnoteReference"/>
          <w:rFonts w:asciiTheme="minorHAnsi" w:hAnsiTheme="minorHAnsi" w:cstheme="minorHAnsi"/>
          <w:color w:val="000000" w:themeColor="text1"/>
          <w:sz w:val="16"/>
          <w:szCs w:val="16"/>
          <w:lang w:val="hy-AM"/>
        </w:rPr>
        <w:footnoteRef/>
      </w:r>
      <w:r w:rsidRPr="00181F43">
        <w:rPr>
          <w:rFonts w:asciiTheme="minorHAnsi" w:hAnsiTheme="minorHAnsi" w:cstheme="minorHAnsi"/>
          <w:color w:val="000000" w:themeColor="text1"/>
          <w:sz w:val="16"/>
          <w:szCs w:val="16"/>
          <w:lang w:val="hy-AM"/>
        </w:rPr>
        <w:t xml:space="preserve"> ըստ Վեբ օֆ Սայնս (Web of Science)-ի ԻնՍայտես (InCites) շտեմարանի տվյալների (2025 թվականի Օգոստոսի 20-ի դրությամբ) և Հայաստանի վերափոխման ռազմավարության մեջ դրված թիրախները:</w:t>
      </w:r>
    </w:p>
  </w:footnote>
  <w:footnote w:id="68">
    <w:p w14:paraId="179AA8B7" w14:textId="77777777" w:rsidR="00D4555B" w:rsidRPr="00181F43" w:rsidRDefault="00D4555B" w:rsidP="00AF4203">
      <w:pPr>
        <w:pStyle w:val="FootnoteText"/>
        <w:rPr>
          <w:rFonts w:asciiTheme="minorHAnsi" w:hAnsiTheme="minorHAnsi" w:cstheme="minorHAnsi"/>
          <w:color w:val="000000" w:themeColor="text1"/>
          <w:sz w:val="16"/>
          <w:szCs w:val="16"/>
          <w:lang w:val="hy-AM"/>
        </w:rPr>
      </w:pPr>
      <w:r w:rsidRPr="00181F43">
        <w:rPr>
          <w:rStyle w:val="FootnoteReference"/>
          <w:rFonts w:asciiTheme="minorHAnsi" w:hAnsiTheme="minorHAnsi" w:cstheme="minorHAnsi"/>
          <w:color w:val="000000" w:themeColor="text1"/>
          <w:sz w:val="16"/>
          <w:szCs w:val="16"/>
          <w:lang w:val="hy-AM"/>
        </w:rPr>
        <w:footnoteRef/>
      </w:r>
      <w:r w:rsidRPr="00181F43">
        <w:rPr>
          <w:rFonts w:asciiTheme="minorHAnsi" w:hAnsiTheme="minorHAnsi" w:cstheme="minorHAnsi"/>
          <w:color w:val="000000" w:themeColor="text1"/>
          <w:sz w:val="16"/>
          <w:szCs w:val="16"/>
          <w:lang w:val="hy-AM"/>
        </w:rPr>
        <w:t xml:space="preserve"> </w:t>
      </w:r>
      <w:hyperlink r:id="rId7" w:history="1">
        <w:r w:rsidRPr="00181F43">
          <w:rPr>
            <w:rStyle w:val="Hyperlink"/>
            <w:rFonts w:asciiTheme="minorHAnsi" w:hAnsiTheme="minorHAnsi" w:cstheme="minorHAnsi"/>
            <w:color w:val="000000" w:themeColor="text1"/>
            <w:sz w:val="16"/>
            <w:szCs w:val="16"/>
            <w:u w:val="none"/>
            <w:lang w:val="hy-AM"/>
          </w:rPr>
          <w:t>https://www.wipo.int/web-publications/global-innovation-index-2024/en/appendix-iv-global-innovation-index-science-and-technology-cluster-methodology.html</w:t>
        </w:r>
      </w:hyperlink>
      <w:r w:rsidRPr="00181F43">
        <w:rPr>
          <w:rFonts w:asciiTheme="minorHAnsi" w:hAnsiTheme="minorHAnsi" w:cstheme="minorHAnsi"/>
          <w:color w:val="000000" w:themeColor="text1"/>
          <w:sz w:val="16"/>
          <w:szCs w:val="16"/>
          <w:lang w:val="hy-AM"/>
        </w:rPr>
        <w:t xml:space="preserve">  /   </w:t>
      </w:r>
      <w:hyperlink r:id="rId8" w:history="1">
        <w:r w:rsidRPr="00181F43">
          <w:rPr>
            <w:rStyle w:val="Hyperlink"/>
            <w:rFonts w:asciiTheme="minorHAnsi" w:hAnsiTheme="minorHAnsi" w:cstheme="minorHAnsi"/>
            <w:color w:val="000000" w:themeColor="text1"/>
            <w:sz w:val="16"/>
            <w:szCs w:val="16"/>
            <w:u w:val="none"/>
            <w:lang w:val="hy-AM"/>
          </w:rPr>
          <w:t>https://www.wipo.int/documents/d/global-innovation-index/docs-en-2024-gii-2024-clusters-top100-ranking.pdf</w:t>
        </w:r>
      </w:hyperlink>
      <w:r w:rsidRPr="00181F43">
        <w:rPr>
          <w:rFonts w:asciiTheme="minorHAnsi" w:hAnsiTheme="minorHAnsi" w:cstheme="minorHAnsi"/>
          <w:color w:val="000000" w:themeColor="text1"/>
          <w:sz w:val="16"/>
          <w:szCs w:val="16"/>
          <w:lang w:val="hy-AM"/>
        </w:rPr>
        <w:t xml:space="preserve"> </w:t>
      </w:r>
    </w:p>
  </w:footnote>
  <w:footnote w:id="69">
    <w:p w14:paraId="234734B2" w14:textId="77777777" w:rsidR="00D4555B" w:rsidRPr="00181F43" w:rsidRDefault="00D4555B" w:rsidP="00AF4203">
      <w:pPr>
        <w:pStyle w:val="FootnoteText"/>
        <w:rPr>
          <w:rFonts w:asciiTheme="minorHAnsi" w:hAnsiTheme="minorHAnsi" w:cstheme="minorHAnsi"/>
          <w:color w:val="000000" w:themeColor="text1"/>
          <w:sz w:val="16"/>
          <w:szCs w:val="16"/>
          <w:lang w:val="hy-AM"/>
        </w:rPr>
      </w:pPr>
      <w:r w:rsidRPr="00181F43">
        <w:rPr>
          <w:rStyle w:val="FootnoteReference"/>
          <w:rFonts w:asciiTheme="minorHAnsi" w:hAnsiTheme="minorHAnsi" w:cstheme="minorHAnsi"/>
          <w:color w:val="000000" w:themeColor="text1"/>
          <w:sz w:val="16"/>
          <w:szCs w:val="16"/>
          <w:lang w:val="hy-AM"/>
        </w:rPr>
        <w:footnoteRef/>
      </w:r>
      <w:r w:rsidRPr="00181F43">
        <w:rPr>
          <w:rFonts w:asciiTheme="minorHAnsi" w:hAnsiTheme="minorHAnsi" w:cstheme="minorHAnsi"/>
          <w:color w:val="000000" w:themeColor="text1"/>
          <w:sz w:val="16"/>
          <w:szCs w:val="16"/>
          <w:lang w:val="hy-AM"/>
        </w:rPr>
        <w:t xml:space="preserve"> https://www.wipo.int/documents/d/global-innovation-index/docs-en-2024-gii-2024-cluster-methodology.pdf</w:t>
      </w:r>
    </w:p>
  </w:footnote>
  <w:footnote w:id="70">
    <w:p w14:paraId="5258DEA7" w14:textId="77777777" w:rsidR="00D4555B" w:rsidRPr="00181F43" w:rsidRDefault="00D4555B" w:rsidP="00AF4203">
      <w:pPr>
        <w:pStyle w:val="FootnoteText"/>
        <w:rPr>
          <w:rFonts w:asciiTheme="minorHAnsi" w:hAnsiTheme="minorHAnsi" w:cstheme="minorHAnsi"/>
          <w:color w:val="000000" w:themeColor="text1"/>
          <w:sz w:val="16"/>
          <w:szCs w:val="16"/>
          <w:lang w:val="hy-AM"/>
        </w:rPr>
      </w:pPr>
      <w:r w:rsidRPr="00181F43">
        <w:rPr>
          <w:rStyle w:val="FootnoteReference"/>
          <w:rFonts w:asciiTheme="minorHAnsi" w:hAnsiTheme="minorHAnsi" w:cstheme="minorHAnsi"/>
          <w:color w:val="000000" w:themeColor="text1"/>
          <w:sz w:val="16"/>
          <w:szCs w:val="16"/>
          <w:lang w:val="hy-AM"/>
        </w:rPr>
        <w:footnoteRef/>
      </w:r>
      <w:r w:rsidRPr="00181F43">
        <w:rPr>
          <w:rFonts w:asciiTheme="minorHAnsi" w:hAnsiTheme="minorHAnsi" w:cstheme="minorHAnsi"/>
          <w:color w:val="000000" w:themeColor="text1"/>
          <w:sz w:val="16"/>
          <w:szCs w:val="16"/>
          <w:lang w:val="hy-AM"/>
        </w:rPr>
        <w:t xml:space="preserve"> https://private.hesc.am/</w:t>
      </w:r>
    </w:p>
  </w:footnote>
  <w:footnote w:id="71">
    <w:p w14:paraId="7F2FA377" w14:textId="77777777" w:rsidR="00D4555B" w:rsidRPr="00181F43" w:rsidRDefault="00D4555B" w:rsidP="00AF4203">
      <w:pPr>
        <w:pStyle w:val="FootnoteText"/>
        <w:rPr>
          <w:rFonts w:asciiTheme="minorHAnsi" w:hAnsiTheme="minorHAnsi" w:cstheme="minorHAnsi"/>
          <w:color w:val="000000" w:themeColor="text1"/>
          <w:sz w:val="16"/>
          <w:szCs w:val="16"/>
          <w:lang w:val="hy-AM"/>
        </w:rPr>
      </w:pPr>
      <w:r w:rsidRPr="00181F43">
        <w:rPr>
          <w:rStyle w:val="FootnoteReference"/>
          <w:rFonts w:asciiTheme="minorHAnsi" w:hAnsiTheme="minorHAnsi" w:cstheme="minorHAnsi"/>
          <w:color w:val="000000" w:themeColor="text1"/>
          <w:sz w:val="16"/>
          <w:szCs w:val="16"/>
          <w:lang w:val="hy-AM"/>
        </w:rPr>
        <w:footnoteRef/>
      </w:r>
      <w:r w:rsidRPr="00181F43">
        <w:rPr>
          <w:rFonts w:asciiTheme="minorHAnsi" w:hAnsiTheme="minorHAnsi" w:cstheme="minorHAnsi"/>
          <w:color w:val="000000" w:themeColor="text1"/>
          <w:sz w:val="16"/>
          <w:szCs w:val="16"/>
          <w:lang w:val="hy-AM"/>
        </w:rPr>
        <w:t xml:space="preserve"> https://www.wipo.int/treaties/en/registration/pct/</w:t>
      </w:r>
    </w:p>
  </w:footnote>
  <w:footnote w:id="72">
    <w:p w14:paraId="3A534749" w14:textId="31E27729" w:rsidR="00D4555B" w:rsidRPr="00181F43" w:rsidRDefault="00D4555B" w:rsidP="00AF4203">
      <w:pPr>
        <w:pStyle w:val="FootnoteText"/>
        <w:rPr>
          <w:rFonts w:asciiTheme="minorHAnsi" w:hAnsiTheme="minorHAnsi" w:cstheme="minorHAnsi"/>
          <w:color w:val="000000" w:themeColor="text1"/>
          <w:sz w:val="16"/>
          <w:szCs w:val="16"/>
          <w:lang w:val="hy-AM"/>
        </w:rPr>
      </w:pPr>
      <w:r w:rsidRPr="00181F43">
        <w:rPr>
          <w:rStyle w:val="FootnoteReference"/>
          <w:rFonts w:asciiTheme="minorHAnsi" w:hAnsiTheme="minorHAnsi" w:cstheme="minorHAnsi"/>
          <w:color w:val="000000" w:themeColor="text1"/>
          <w:sz w:val="16"/>
          <w:szCs w:val="16"/>
          <w:lang w:val="hy-AM"/>
        </w:rPr>
        <w:footnoteRef/>
      </w:r>
      <w:r w:rsidRPr="00181F43">
        <w:rPr>
          <w:rFonts w:asciiTheme="minorHAnsi" w:hAnsiTheme="minorHAnsi" w:cstheme="minorHAnsi"/>
          <w:color w:val="000000" w:themeColor="text1"/>
          <w:sz w:val="16"/>
          <w:szCs w:val="16"/>
          <w:lang w:val="hy-AM"/>
        </w:rPr>
        <w:t xml:space="preserve"> https://www.wipo.int/treaties/en/registration/pct/</w:t>
      </w:r>
    </w:p>
  </w:footnote>
  <w:footnote w:id="73">
    <w:p w14:paraId="12BD171B" w14:textId="5122D1FB" w:rsidR="00D4555B" w:rsidRPr="00181F43" w:rsidRDefault="00D4555B" w:rsidP="00AF4203">
      <w:pPr>
        <w:pStyle w:val="FootnoteText"/>
        <w:rPr>
          <w:rFonts w:asciiTheme="minorHAnsi" w:hAnsiTheme="minorHAnsi" w:cstheme="minorHAnsi"/>
          <w:color w:val="000000" w:themeColor="text1"/>
          <w:sz w:val="16"/>
          <w:szCs w:val="16"/>
          <w:lang w:val="hy-AM"/>
        </w:rPr>
      </w:pPr>
      <w:r w:rsidRPr="00181F43">
        <w:rPr>
          <w:rStyle w:val="FootnoteReference"/>
          <w:rFonts w:asciiTheme="minorHAnsi" w:hAnsiTheme="minorHAnsi" w:cstheme="minorHAnsi"/>
          <w:color w:val="000000" w:themeColor="text1"/>
          <w:sz w:val="16"/>
          <w:szCs w:val="16"/>
          <w:lang w:val="hy-AM"/>
        </w:rPr>
        <w:footnoteRef/>
      </w:r>
      <w:r w:rsidRPr="00181F43">
        <w:rPr>
          <w:rFonts w:asciiTheme="minorHAnsi" w:hAnsiTheme="minorHAnsi" w:cstheme="minorHAnsi"/>
          <w:color w:val="000000" w:themeColor="text1"/>
          <w:sz w:val="16"/>
          <w:szCs w:val="16"/>
          <w:lang w:val="hy-AM"/>
        </w:rPr>
        <w:t xml:space="preserve"> ՀՀ կառավարության 2023 թվականի  հոկտեմբերի 19-ի «Ակադեմիական քաղաք» ծրագրի հայեցակարգը հաստատելու մասին» N 1802-Լ որոշումը</w:t>
      </w:r>
    </w:p>
  </w:footnote>
  <w:footnote w:id="74">
    <w:p w14:paraId="7B2C2DEA" w14:textId="2F8F1F68" w:rsidR="00D4555B" w:rsidRPr="00181F43" w:rsidRDefault="00D4555B" w:rsidP="00AF4203">
      <w:pPr>
        <w:pStyle w:val="FootnoteText"/>
        <w:rPr>
          <w:rFonts w:asciiTheme="minorHAnsi" w:hAnsiTheme="minorHAnsi" w:cstheme="minorHAnsi"/>
          <w:color w:val="000000" w:themeColor="text1"/>
          <w:sz w:val="16"/>
          <w:szCs w:val="16"/>
          <w:lang w:val="hy-AM"/>
        </w:rPr>
      </w:pPr>
      <w:r w:rsidRPr="00181F43">
        <w:rPr>
          <w:rStyle w:val="FootnoteReference"/>
          <w:rFonts w:asciiTheme="minorHAnsi" w:hAnsiTheme="minorHAnsi" w:cstheme="minorHAnsi"/>
          <w:color w:val="000000" w:themeColor="text1"/>
          <w:sz w:val="16"/>
          <w:szCs w:val="16"/>
          <w:lang w:val="hy-AM"/>
        </w:rPr>
        <w:footnoteRef/>
      </w:r>
      <w:r w:rsidRPr="00181F43">
        <w:rPr>
          <w:rFonts w:asciiTheme="minorHAnsi" w:hAnsiTheme="minorHAnsi" w:cstheme="minorHAnsi"/>
          <w:color w:val="000000" w:themeColor="text1"/>
          <w:sz w:val="16"/>
          <w:szCs w:val="16"/>
          <w:lang w:val="hy-AM"/>
        </w:rPr>
        <w:t xml:space="preserve"> «ՀՀ կրթության մինչեվ 2030 թվականի զարգացման պետական ծրագիրը» հաստատելու մասին » ՀՀ օրենքը , ՀՀ կառավարության 2023 թվականի  մարտի 16-ի  «ՀՀ կրթության մինչեվ 2030 թվականի զարգացման պետական ծրագիրը» հաստատելու մասին» օրենքից բխող գործողությունների ծրագիրը հաստատելու մասին» N 351-Լ  որոշումը</w:t>
      </w:r>
    </w:p>
  </w:footnote>
  <w:footnote w:id="75">
    <w:p w14:paraId="68EA524E" w14:textId="77777777" w:rsidR="00D4555B" w:rsidRPr="00181F43" w:rsidRDefault="00D4555B" w:rsidP="00AF4203">
      <w:pPr>
        <w:pStyle w:val="FootnoteText"/>
        <w:rPr>
          <w:rFonts w:asciiTheme="minorHAnsi" w:hAnsiTheme="minorHAnsi" w:cstheme="minorHAnsi"/>
          <w:color w:val="000000" w:themeColor="text1"/>
          <w:sz w:val="16"/>
          <w:szCs w:val="16"/>
          <w:lang w:val="hy-AM"/>
        </w:rPr>
      </w:pPr>
      <w:r w:rsidRPr="00181F43">
        <w:rPr>
          <w:rStyle w:val="FootnoteReference"/>
          <w:rFonts w:asciiTheme="minorHAnsi" w:hAnsiTheme="minorHAnsi" w:cstheme="minorHAnsi"/>
          <w:color w:val="000000" w:themeColor="text1"/>
          <w:sz w:val="16"/>
          <w:szCs w:val="16"/>
          <w:lang w:val="hy-AM"/>
        </w:rPr>
        <w:footnoteRef/>
      </w:r>
      <w:r w:rsidRPr="00181F43">
        <w:rPr>
          <w:rFonts w:asciiTheme="minorHAnsi" w:hAnsiTheme="minorHAnsi" w:cstheme="minorHAnsi"/>
          <w:color w:val="000000" w:themeColor="text1"/>
          <w:sz w:val="16"/>
          <w:szCs w:val="16"/>
          <w:lang w:val="hy-AM"/>
        </w:rPr>
        <w:t xml:space="preserve"> «contributes to building research and innovation capacity for countries lagging behind» | https://rea.ec.europa.eu/funding-and-grants/horizon-europe-widening-participation-and-spreading-excellence_en</w:t>
      </w:r>
    </w:p>
  </w:footnote>
  <w:footnote w:id="76">
    <w:p w14:paraId="0064748C" w14:textId="77777777" w:rsidR="00D4555B" w:rsidRPr="00181F43" w:rsidRDefault="00D4555B" w:rsidP="00AF4203">
      <w:pPr>
        <w:pStyle w:val="FootnoteText"/>
        <w:rPr>
          <w:rFonts w:asciiTheme="minorHAnsi" w:hAnsiTheme="minorHAnsi" w:cstheme="minorHAnsi"/>
          <w:color w:val="000000" w:themeColor="text1"/>
          <w:sz w:val="16"/>
          <w:szCs w:val="16"/>
          <w:lang w:val="hy-AM"/>
        </w:rPr>
      </w:pPr>
      <w:r w:rsidRPr="00181F43">
        <w:rPr>
          <w:rStyle w:val="FootnoteReference"/>
          <w:rFonts w:asciiTheme="minorHAnsi" w:hAnsiTheme="minorHAnsi" w:cstheme="minorHAnsi"/>
          <w:color w:val="000000" w:themeColor="text1"/>
          <w:sz w:val="16"/>
          <w:szCs w:val="16"/>
          <w:lang w:val="hy-AM"/>
        </w:rPr>
        <w:footnoteRef/>
      </w:r>
      <w:r w:rsidRPr="00181F43">
        <w:rPr>
          <w:rFonts w:asciiTheme="minorHAnsi" w:hAnsiTheme="minorHAnsi" w:cstheme="minorHAnsi"/>
          <w:color w:val="000000" w:themeColor="text1"/>
          <w:sz w:val="16"/>
          <w:szCs w:val="16"/>
          <w:lang w:val="hy-AM"/>
        </w:rPr>
        <w:t xml:space="preserve"> https://www.weforum.org/publications/the-future-of-jobs-report-2025/</w:t>
      </w:r>
    </w:p>
  </w:footnote>
  <w:footnote w:id="77">
    <w:p w14:paraId="28D7DC27" w14:textId="77777777" w:rsidR="00D4555B" w:rsidRPr="00181F43" w:rsidRDefault="00D4555B" w:rsidP="00AF4203">
      <w:pPr>
        <w:pStyle w:val="FootnoteText"/>
        <w:rPr>
          <w:rFonts w:asciiTheme="minorHAnsi" w:hAnsiTheme="minorHAnsi" w:cstheme="minorHAnsi"/>
          <w:color w:val="000000" w:themeColor="text1"/>
          <w:sz w:val="16"/>
          <w:szCs w:val="16"/>
          <w:lang w:val="hy-AM"/>
        </w:rPr>
      </w:pPr>
      <w:r w:rsidRPr="00181F43">
        <w:rPr>
          <w:rStyle w:val="FootnoteReference"/>
          <w:rFonts w:asciiTheme="minorHAnsi" w:hAnsiTheme="minorHAnsi" w:cstheme="minorHAnsi"/>
          <w:color w:val="000000" w:themeColor="text1"/>
          <w:sz w:val="16"/>
          <w:szCs w:val="16"/>
          <w:lang w:val="hy-AM"/>
        </w:rPr>
        <w:footnoteRef/>
      </w:r>
      <w:r w:rsidRPr="00181F43">
        <w:rPr>
          <w:rFonts w:asciiTheme="minorHAnsi" w:hAnsiTheme="minorHAnsi" w:cstheme="minorHAnsi"/>
          <w:color w:val="000000" w:themeColor="text1"/>
          <w:sz w:val="16"/>
          <w:szCs w:val="16"/>
          <w:lang w:val="hy-AM"/>
        </w:rPr>
        <w:t xml:space="preserve"> https://ehea.info/cid102053/doctoral-degree-salzburg-2005.html | https://eua-cde.org/reports-publications/43:salzburg-ii-recommendations-european-universities-achievements-since-2005-in-implementing-the-salzburg-principles.html</w:t>
      </w:r>
    </w:p>
  </w:footnote>
  <w:footnote w:id="78">
    <w:p w14:paraId="7C258DF8" w14:textId="77777777" w:rsidR="00D4555B" w:rsidRPr="00181F43" w:rsidRDefault="00D4555B" w:rsidP="00AF4203">
      <w:pPr>
        <w:pStyle w:val="FootnoteText"/>
        <w:rPr>
          <w:rFonts w:asciiTheme="minorHAnsi" w:hAnsiTheme="minorHAnsi" w:cstheme="minorHAnsi"/>
          <w:color w:val="000000" w:themeColor="text1"/>
          <w:sz w:val="16"/>
          <w:szCs w:val="16"/>
          <w:lang w:val="hy-AM"/>
        </w:rPr>
      </w:pPr>
      <w:r w:rsidRPr="00181F43">
        <w:rPr>
          <w:rStyle w:val="FootnoteReference"/>
          <w:rFonts w:asciiTheme="minorHAnsi" w:hAnsiTheme="minorHAnsi" w:cstheme="minorHAnsi"/>
          <w:color w:val="000000" w:themeColor="text1"/>
          <w:sz w:val="16"/>
          <w:szCs w:val="16"/>
          <w:lang w:val="hy-AM"/>
        </w:rPr>
        <w:footnoteRef/>
      </w:r>
      <w:r w:rsidRPr="00181F43">
        <w:rPr>
          <w:rFonts w:asciiTheme="minorHAnsi" w:hAnsiTheme="minorHAnsi" w:cstheme="minorHAnsi"/>
          <w:color w:val="000000" w:themeColor="text1"/>
          <w:sz w:val="16"/>
          <w:szCs w:val="16"/>
          <w:lang w:val="hy-AM"/>
        </w:rPr>
        <w:t xml:space="preserve"> R&amp;D expenditure by source of funds  | https://ec.europa.eu/eurostat/statistics-explained/index.php?title=R%26D_expenditure</w:t>
      </w:r>
    </w:p>
  </w:footnote>
  <w:footnote w:id="79">
    <w:p w14:paraId="47C46E76" w14:textId="77777777" w:rsidR="00D4555B" w:rsidRPr="00181F43" w:rsidRDefault="00D4555B" w:rsidP="00AF4203">
      <w:pPr>
        <w:pStyle w:val="FootnoteText"/>
        <w:rPr>
          <w:rFonts w:asciiTheme="minorHAnsi" w:hAnsiTheme="minorHAnsi" w:cstheme="minorHAnsi"/>
          <w:color w:val="000000" w:themeColor="text1"/>
          <w:sz w:val="16"/>
          <w:szCs w:val="16"/>
          <w:lang w:val="hy-AM"/>
        </w:rPr>
      </w:pPr>
      <w:r w:rsidRPr="00181F43">
        <w:rPr>
          <w:rStyle w:val="FootnoteReference"/>
          <w:rFonts w:asciiTheme="minorHAnsi" w:hAnsiTheme="minorHAnsi" w:cstheme="minorHAnsi"/>
          <w:color w:val="000000" w:themeColor="text1"/>
          <w:sz w:val="16"/>
          <w:szCs w:val="16"/>
          <w:lang w:val="hy-AM"/>
        </w:rPr>
        <w:footnoteRef/>
      </w:r>
      <w:r w:rsidRPr="00181F43">
        <w:rPr>
          <w:rFonts w:asciiTheme="minorHAnsi" w:hAnsiTheme="minorHAnsi" w:cstheme="minorHAnsi"/>
          <w:color w:val="000000" w:themeColor="text1"/>
          <w:sz w:val="16"/>
          <w:szCs w:val="16"/>
          <w:lang w:val="hy-AM"/>
        </w:rPr>
        <w:t xml:space="preserve"> Science, research and innovation performance of the EU 2024 | https://ec.europa.eu/assets/rtd/srip/2024/ec_rtd_srip-report-2024-chap-02.pdf</w:t>
      </w:r>
    </w:p>
  </w:footnote>
  <w:footnote w:id="80">
    <w:p w14:paraId="55CE7903" w14:textId="77777777" w:rsidR="00D4555B" w:rsidRPr="00181F43" w:rsidRDefault="00D4555B" w:rsidP="00AF4203">
      <w:pPr>
        <w:pStyle w:val="FootnoteText"/>
        <w:rPr>
          <w:rFonts w:asciiTheme="minorHAnsi" w:hAnsiTheme="minorHAnsi" w:cstheme="minorHAnsi"/>
          <w:color w:val="000000" w:themeColor="text1"/>
          <w:sz w:val="16"/>
          <w:szCs w:val="16"/>
          <w:lang w:val="hy-AM"/>
        </w:rPr>
      </w:pPr>
      <w:r w:rsidRPr="00181F43">
        <w:rPr>
          <w:rStyle w:val="FootnoteReference"/>
          <w:rFonts w:asciiTheme="minorHAnsi" w:hAnsiTheme="minorHAnsi" w:cstheme="minorHAnsi"/>
          <w:color w:val="000000" w:themeColor="text1"/>
          <w:sz w:val="16"/>
          <w:szCs w:val="16"/>
          <w:lang w:val="hy-AM"/>
        </w:rPr>
        <w:footnoteRef/>
      </w:r>
      <w:r w:rsidRPr="00181F43">
        <w:rPr>
          <w:rFonts w:asciiTheme="minorHAnsi" w:hAnsiTheme="minorHAnsi" w:cstheme="minorHAnsi"/>
          <w:color w:val="000000" w:themeColor="text1"/>
          <w:sz w:val="16"/>
          <w:szCs w:val="16"/>
          <w:lang w:val="hy-AM"/>
        </w:rPr>
        <w:t xml:space="preserve"> https://www.globe.gov/</w:t>
      </w:r>
    </w:p>
  </w:footnote>
  <w:footnote w:id="81">
    <w:p w14:paraId="6D054141" w14:textId="77777777" w:rsidR="00D4555B" w:rsidRPr="00181F43" w:rsidRDefault="00D4555B" w:rsidP="00AF4203">
      <w:pPr>
        <w:pStyle w:val="FootnoteText"/>
        <w:rPr>
          <w:rFonts w:asciiTheme="minorHAnsi" w:hAnsiTheme="minorHAnsi" w:cstheme="minorHAnsi"/>
          <w:color w:val="000000" w:themeColor="text1"/>
          <w:sz w:val="16"/>
          <w:szCs w:val="16"/>
          <w:lang w:val="hy-AM"/>
        </w:rPr>
      </w:pPr>
      <w:r w:rsidRPr="00181F43">
        <w:rPr>
          <w:rStyle w:val="FootnoteReference"/>
          <w:rFonts w:asciiTheme="minorHAnsi" w:hAnsiTheme="minorHAnsi" w:cstheme="minorHAnsi"/>
          <w:color w:val="000000" w:themeColor="text1"/>
          <w:sz w:val="16"/>
          <w:szCs w:val="16"/>
          <w:lang w:val="hy-AM"/>
        </w:rPr>
        <w:footnoteRef/>
      </w:r>
      <w:r w:rsidRPr="00181F43">
        <w:rPr>
          <w:rFonts w:asciiTheme="minorHAnsi" w:hAnsiTheme="minorHAnsi" w:cstheme="minorHAnsi"/>
          <w:color w:val="000000" w:themeColor="text1"/>
          <w:sz w:val="16"/>
          <w:szCs w:val="16"/>
          <w:lang w:val="hy-AM"/>
        </w:rPr>
        <w:t xml:space="preserve"> «Գիտություն» թերթ և «Գիտության աշխարհում» պարբերական</w:t>
      </w:r>
    </w:p>
  </w:footnote>
  <w:footnote w:id="82">
    <w:p w14:paraId="730AE212" w14:textId="77777777" w:rsidR="00D4555B" w:rsidRPr="00181F43" w:rsidRDefault="00D4555B" w:rsidP="00AF4203">
      <w:pPr>
        <w:pStyle w:val="FootnoteText"/>
        <w:rPr>
          <w:rFonts w:asciiTheme="minorHAnsi" w:hAnsiTheme="minorHAnsi" w:cstheme="minorHAnsi"/>
          <w:color w:val="000000" w:themeColor="text1"/>
          <w:sz w:val="16"/>
          <w:szCs w:val="16"/>
          <w:lang w:val="hy-AM"/>
        </w:rPr>
      </w:pPr>
      <w:r w:rsidRPr="00181F43">
        <w:rPr>
          <w:rStyle w:val="FootnoteReference"/>
          <w:rFonts w:asciiTheme="minorHAnsi" w:hAnsiTheme="minorHAnsi" w:cstheme="minorHAnsi"/>
          <w:color w:val="000000" w:themeColor="text1"/>
          <w:sz w:val="16"/>
          <w:szCs w:val="16"/>
          <w:lang w:val="hy-AM"/>
        </w:rPr>
        <w:footnoteRef/>
      </w:r>
      <w:r w:rsidRPr="00181F43">
        <w:rPr>
          <w:rFonts w:asciiTheme="minorHAnsi" w:hAnsiTheme="minorHAnsi" w:cstheme="minorHAnsi"/>
          <w:color w:val="000000" w:themeColor="text1"/>
          <w:sz w:val="16"/>
          <w:szCs w:val="16"/>
          <w:lang w:val="hy-AM"/>
        </w:rPr>
        <w:t xml:space="preserve"> grants.hesc.am | orgs.hesc.am | private.hesc.am</w:t>
      </w:r>
    </w:p>
  </w:footnote>
  <w:footnote w:id="83">
    <w:p w14:paraId="7BE8040C" w14:textId="77777777" w:rsidR="00D4555B" w:rsidRPr="00181F43" w:rsidRDefault="00D4555B" w:rsidP="00AF4203">
      <w:pPr>
        <w:pStyle w:val="FootnoteText"/>
        <w:rPr>
          <w:rFonts w:asciiTheme="minorHAnsi" w:hAnsiTheme="minorHAnsi" w:cstheme="minorHAnsi"/>
          <w:color w:val="000000" w:themeColor="text1"/>
          <w:sz w:val="16"/>
          <w:szCs w:val="16"/>
          <w:lang w:val="hy-AM"/>
        </w:rPr>
      </w:pPr>
      <w:r w:rsidRPr="00181F43">
        <w:rPr>
          <w:rStyle w:val="FootnoteReference"/>
          <w:rFonts w:asciiTheme="minorHAnsi" w:hAnsiTheme="minorHAnsi" w:cstheme="minorHAnsi"/>
          <w:color w:val="000000" w:themeColor="text1"/>
          <w:sz w:val="16"/>
          <w:szCs w:val="16"/>
          <w:lang w:val="hy-AM"/>
        </w:rPr>
        <w:footnoteRef/>
      </w:r>
      <w:r w:rsidRPr="00181F43">
        <w:rPr>
          <w:rFonts w:asciiTheme="minorHAnsi" w:hAnsiTheme="minorHAnsi" w:cstheme="minorHAnsi"/>
          <w:color w:val="000000" w:themeColor="text1"/>
          <w:sz w:val="16"/>
          <w:szCs w:val="16"/>
          <w:lang w:val="hy-AM"/>
        </w:rPr>
        <w:t xml:space="preserve"> https://equipment.hesc.am/</w:t>
      </w:r>
    </w:p>
  </w:footnote>
  <w:footnote w:id="84">
    <w:p w14:paraId="2CA66424" w14:textId="60E9B328" w:rsidR="00D4555B" w:rsidRPr="00181F43" w:rsidRDefault="00D4555B" w:rsidP="00AF4203">
      <w:pPr>
        <w:pStyle w:val="FootnoteText"/>
        <w:rPr>
          <w:rFonts w:asciiTheme="minorHAnsi" w:hAnsiTheme="minorHAnsi" w:cstheme="minorHAnsi"/>
          <w:color w:val="000000" w:themeColor="text1"/>
          <w:sz w:val="16"/>
          <w:szCs w:val="16"/>
          <w:lang w:val="hy-AM"/>
        </w:rPr>
      </w:pPr>
      <w:r w:rsidRPr="00181F43">
        <w:rPr>
          <w:rStyle w:val="FootnoteReference"/>
          <w:rFonts w:asciiTheme="minorHAnsi" w:hAnsiTheme="minorHAnsi" w:cstheme="minorHAnsi"/>
          <w:color w:val="000000" w:themeColor="text1"/>
          <w:sz w:val="16"/>
          <w:szCs w:val="16"/>
          <w:lang w:val="hy-AM"/>
        </w:rPr>
        <w:footnoteRef/>
      </w:r>
      <w:r w:rsidRPr="00181F43">
        <w:rPr>
          <w:rFonts w:asciiTheme="minorHAnsi" w:hAnsiTheme="minorHAnsi" w:cstheme="minorHAnsi"/>
          <w:color w:val="000000" w:themeColor="text1"/>
          <w:sz w:val="16"/>
          <w:szCs w:val="16"/>
          <w:lang w:val="hy-AM"/>
        </w:rPr>
        <w:t xml:space="preserve"> https://research-and-innovation.ec.europa.eu/strategy/strategy-research-and-innovation/our-digital-future/european-research-infrastructures/eric_en</w:t>
      </w:r>
    </w:p>
  </w:footnote>
  <w:footnote w:id="85">
    <w:p w14:paraId="2AFF4EFD" w14:textId="65D1315D" w:rsidR="00D4555B" w:rsidRPr="00181F43" w:rsidRDefault="00D4555B" w:rsidP="00AF4203">
      <w:pPr>
        <w:autoSpaceDE w:val="0"/>
        <w:autoSpaceDN w:val="0"/>
        <w:adjustRightInd w:val="0"/>
        <w:rPr>
          <w:rFonts w:asciiTheme="minorHAnsi" w:hAnsiTheme="minorHAnsi" w:cstheme="minorHAnsi"/>
          <w:lang w:val="en-US"/>
        </w:rPr>
      </w:pPr>
      <w:r w:rsidRPr="00181F43">
        <w:rPr>
          <w:rStyle w:val="FootnoteReference"/>
          <w:rFonts w:asciiTheme="minorHAnsi" w:hAnsiTheme="minorHAnsi" w:cstheme="minorHAnsi"/>
        </w:rPr>
        <w:footnoteRef/>
      </w:r>
      <w:r w:rsidRPr="00181F43">
        <w:rPr>
          <w:rFonts w:asciiTheme="minorHAnsi" w:hAnsiTheme="minorHAnsi" w:cstheme="minorHAnsi"/>
        </w:rPr>
        <w:t xml:space="preserve"> </w:t>
      </w:r>
      <w:r w:rsidRPr="00AF4203">
        <w:rPr>
          <w:rFonts w:asciiTheme="minorHAnsi" w:hAnsiTheme="minorHAnsi" w:cstheme="minorHAnsi"/>
        </w:rPr>
        <w:t>https://fragilestatesindex.org/</w:t>
      </w:r>
      <w:r w:rsidRPr="00181F43">
        <w:rPr>
          <w:rFonts w:asciiTheme="minorHAnsi" w:hAnsiTheme="minorHAnsi" w:cstheme="minorHAnsi"/>
          <w:lang w:val="en-US"/>
        </w:rPr>
        <w:t xml:space="preserve">, </w:t>
      </w:r>
      <w:r w:rsidRPr="00181F43">
        <w:rPr>
          <w:rFonts w:asciiTheme="minorHAnsi" w:eastAsia="Calibri" w:hAnsiTheme="minorHAnsi" w:cstheme="minorHAnsi"/>
          <w:sz w:val="18"/>
          <w:szCs w:val="18"/>
          <w:lang w:val="en-US" w:eastAsia="en-US"/>
        </w:rPr>
        <w:t>The Human Flight and Brain Drain Indicator</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D85BDF"/>
    <w:multiLevelType w:val="multilevel"/>
    <w:tmpl w:val="716A4C60"/>
    <w:lvl w:ilvl="0">
      <w:start w:val="27"/>
      <w:numFmt w:val="decimal"/>
      <w:lvlText w:val="%1"/>
      <w:lvlJc w:val="left"/>
      <w:pPr>
        <w:ind w:left="405" w:hanging="405"/>
      </w:pPr>
      <w:rPr>
        <w:rFonts w:hint="default"/>
      </w:rPr>
    </w:lvl>
    <w:lvl w:ilvl="1">
      <w:start w:val="1"/>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 w15:restartNumberingAfterBreak="0">
    <w:nsid w:val="0E9E72BF"/>
    <w:multiLevelType w:val="hybridMultilevel"/>
    <w:tmpl w:val="B8CACF1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704817"/>
    <w:multiLevelType w:val="hybridMultilevel"/>
    <w:tmpl w:val="9252F54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8C05E6"/>
    <w:multiLevelType w:val="hybridMultilevel"/>
    <w:tmpl w:val="A94AE704"/>
    <w:lvl w:ilvl="0" w:tplc="C518A294">
      <w:start w:val="2025"/>
      <w:numFmt w:val="bullet"/>
      <w:lvlText w:val="-"/>
      <w:lvlJc w:val="left"/>
      <w:pPr>
        <w:ind w:left="927" w:hanging="360"/>
      </w:pPr>
      <w:rPr>
        <w:rFonts w:ascii="GHEA Grapalat" w:eastAsia="Times New Roman" w:hAnsi="GHEA Grapalat" w:cs="Sylfaen" w:hint="default"/>
        <w:i/>
        <w:sz w:val="20"/>
      </w:rPr>
    </w:lvl>
    <w:lvl w:ilvl="1" w:tplc="08090003">
      <w:start w:val="1"/>
      <w:numFmt w:val="bullet"/>
      <w:lvlText w:val="o"/>
      <w:lvlJc w:val="left"/>
      <w:pPr>
        <w:ind w:left="1647" w:hanging="360"/>
      </w:pPr>
      <w:rPr>
        <w:rFonts w:ascii="Courier New" w:hAnsi="Courier New" w:cs="Courier New" w:hint="default"/>
      </w:rPr>
    </w:lvl>
    <w:lvl w:ilvl="2" w:tplc="08090005">
      <w:start w:val="1"/>
      <w:numFmt w:val="bullet"/>
      <w:lvlText w:val=""/>
      <w:lvlJc w:val="left"/>
      <w:pPr>
        <w:ind w:left="2367" w:hanging="360"/>
      </w:pPr>
      <w:rPr>
        <w:rFonts w:ascii="Wingdings" w:hAnsi="Wingdings" w:hint="default"/>
      </w:rPr>
    </w:lvl>
    <w:lvl w:ilvl="3" w:tplc="08090001">
      <w:start w:val="1"/>
      <w:numFmt w:val="bullet"/>
      <w:lvlText w:val=""/>
      <w:lvlJc w:val="left"/>
      <w:pPr>
        <w:ind w:left="3087" w:hanging="360"/>
      </w:pPr>
      <w:rPr>
        <w:rFonts w:ascii="Symbol" w:hAnsi="Symbol" w:hint="default"/>
      </w:rPr>
    </w:lvl>
    <w:lvl w:ilvl="4" w:tplc="08090003">
      <w:start w:val="1"/>
      <w:numFmt w:val="bullet"/>
      <w:lvlText w:val="o"/>
      <w:lvlJc w:val="left"/>
      <w:pPr>
        <w:ind w:left="3807" w:hanging="360"/>
      </w:pPr>
      <w:rPr>
        <w:rFonts w:ascii="Courier New" w:hAnsi="Courier New" w:cs="Courier New" w:hint="default"/>
      </w:rPr>
    </w:lvl>
    <w:lvl w:ilvl="5" w:tplc="08090005">
      <w:start w:val="1"/>
      <w:numFmt w:val="bullet"/>
      <w:lvlText w:val=""/>
      <w:lvlJc w:val="left"/>
      <w:pPr>
        <w:ind w:left="4527" w:hanging="360"/>
      </w:pPr>
      <w:rPr>
        <w:rFonts w:ascii="Wingdings" w:hAnsi="Wingdings" w:hint="default"/>
      </w:rPr>
    </w:lvl>
    <w:lvl w:ilvl="6" w:tplc="08090001">
      <w:start w:val="1"/>
      <w:numFmt w:val="bullet"/>
      <w:lvlText w:val=""/>
      <w:lvlJc w:val="left"/>
      <w:pPr>
        <w:ind w:left="5247" w:hanging="360"/>
      </w:pPr>
      <w:rPr>
        <w:rFonts w:ascii="Symbol" w:hAnsi="Symbol" w:hint="default"/>
      </w:rPr>
    </w:lvl>
    <w:lvl w:ilvl="7" w:tplc="08090003">
      <w:start w:val="1"/>
      <w:numFmt w:val="bullet"/>
      <w:lvlText w:val="o"/>
      <w:lvlJc w:val="left"/>
      <w:pPr>
        <w:ind w:left="5967" w:hanging="360"/>
      </w:pPr>
      <w:rPr>
        <w:rFonts w:ascii="Courier New" w:hAnsi="Courier New" w:cs="Courier New" w:hint="default"/>
      </w:rPr>
    </w:lvl>
    <w:lvl w:ilvl="8" w:tplc="08090005">
      <w:start w:val="1"/>
      <w:numFmt w:val="bullet"/>
      <w:lvlText w:val=""/>
      <w:lvlJc w:val="left"/>
      <w:pPr>
        <w:ind w:left="6687" w:hanging="360"/>
      </w:pPr>
      <w:rPr>
        <w:rFonts w:ascii="Wingdings" w:hAnsi="Wingdings" w:hint="default"/>
      </w:rPr>
    </w:lvl>
  </w:abstractNum>
  <w:abstractNum w:abstractNumId="4" w15:restartNumberingAfterBreak="0">
    <w:nsid w:val="27580CE1"/>
    <w:multiLevelType w:val="multilevel"/>
    <w:tmpl w:val="67EAD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AB64E3"/>
    <w:multiLevelType w:val="multilevel"/>
    <w:tmpl w:val="4628C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682EF7"/>
    <w:multiLevelType w:val="multilevel"/>
    <w:tmpl w:val="A538D98C"/>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8430D8"/>
    <w:multiLevelType w:val="hybridMultilevel"/>
    <w:tmpl w:val="7972766E"/>
    <w:lvl w:ilvl="0" w:tplc="FEF0D518">
      <w:start w:val="1"/>
      <w:numFmt w:val="decimal"/>
      <w:lvlText w:val="%1."/>
      <w:lvlJc w:val="left"/>
      <w:pPr>
        <w:ind w:left="2771" w:hanging="360"/>
      </w:pPr>
      <w:rPr>
        <w:rFonts w:cs="Times New Roman" w:hint="default"/>
        <w:i w:val="0"/>
        <w:color w:val="auto"/>
        <w:sz w:val="24"/>
        <w:szCs w:val="24"/>
      </w:rPr>
    </w:lvl>
    <w:lvl w:ilvl="1" w:tplc="AB2E763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83B7611"/>
    <w:multiLevelType w:val="hybridMultilevel"/>
    <w:tmpl w:val="5F7806CA"/>
    <w:lvl w:ilvl="0" w:tplc="832816F0">
      <w:start w:val="2025"/>
      <w:numFmt w:val="bullet"/>
      <w:lvlText w:val="-"/>
      <w:lvlJc w:val="left"/>
      <w:pPr>
        <w:ind w:left="927" w:hanging="360"/>
      </w:pPr>
      <w:rPr>
        <w:rFonts w:ascii="GHEA Grapalat" w:eastAsia="Times New Roman" w:hAnsi="GHEA Grapalat" w:cs="Sylfaen" w:hint="default"/>
      </w:rPr>
    </w:lvl>
    <w:lvl w:ilvl="1" w:tplc="08090003">
      <w:start w:val="1"/>
      <w:numFmt w:val="bullet"/>
      <w:lvlText w:val="o"/>
      <w:lvlJc w:val="left"/>
      <w:pPr>
        <w:ind w:left="1647" w:hanging="360"/>
      </w:pPr>
      <w:rPr>
        <w:rFonts w:ascii="Courier New" w:hAnsi="Courier New" w:cs="Courier New" w:hint="default"/>
      </w:rPr>
    </w:lvl>
    <w:lvl w:ilvl="2" w:tplc="08090005">
      <w:start w:val="1"/>
      <w:numFmt w:val="bullet"/>
      <w:lvlText w:val=""/>
      <w:lvlJc w:val="left"/>
      <w:pPr>
        <w:ind w:left="2367" w:hanging="360"/>
      </w:pPr>
      <w:rPr>
        <w:rFonts w:ascii="Wingdings" w:hAnsi="Wingdings" w:hint="default"/>
      </w:rPr>
    </w:lvl>
    <w:lvl w:ilvl="3" w:tplc="08090001">
      <w:start w:val="1"/>
      <w:numFmt w:val="bullet"/>
      <w:lvlText w:val=""/>
      <w:lvlJc w:val="left"/>
      <w:pPr>
        <w:ind w:left="3087" w:hanging="360"/>
      </w:pPr>
      <w:rPr>
        <w:rFonts w:ascii="Symbol" w:hAnsi="Symbol" w:hint="default"/>
      </w:rPr>
    </w:lvl>
    <w:lvl w:ilvl="4" w:tplc="08090003">
      <w:start w:val="1"/>
      <w:numFmt w:val="bullet"/>
      <w:lvlText w:val="o"/>
      <w:lvlJc w:val="left"/>
      <w:pPr>
        <w:ind w:left="3807" w:hanging="360"/>
      </w:pPr>
      <w:rPr>
        <w:rFonts w:ascii="Courier New" w:hAnsi="Courier New" w:cs="Courier New" w:hint="default"/>
      </w:rPr>
    </w:lvl>
    <w:lvl w:ilvl="5" w:tplc="08090005">
      <w:start w:val="1"/>
      <w:numFmt w:val="bullet"/>
      <w:lvlText w:val=""/>
      <w:lvlJc w:val="left"/>
      <w:pPr>
        <w:ind w:left="4527" w:hanging="360"/>
      </w:pPr>
      <w:rPr>
        <w:rFonts w:ascii="Wingdings" w:hAnsi="Wingdings" w:hint="default"/>
      </w:rPr>
    </w:lvl>
    <w:lvl w:ilvl="6" w:tplc="08090001">
      <w:start w:val="1"/>
      <w:numFmt w:val="bullet"/>
      <w:lvlText w:val=""/>
      <w:lvlJc w:val="left"/>
      <w:pPr>
        <w:ind w:left="5247" w:hanging="360"/>
      </w:pPr>
      <w:rPr>
        <w:rFonts w:ascii="Symbol" w:hAnsi="Symbol" w:hint="default"/>
      </w:rPr>
    </w:lvl>
    <w:lvl w:ilvl="7" w:tplc="08090003">
      <w:start w:val="1"/>
      <w:numFmt w:val="bullet"/>
      <w:lvlText w:val="o"/>
      <w:lvlJc w:val="left"/>
      <w:pPr>
        <w:ind w:left="5967" w:hanging="360"/>
      </w:pPr>
      <w:rPr>
        <w:rFonts w:ascii="Courier New" w:hAnsi="Courier New" w:cs="Courier New" w:hint="default"/>
      </w:rPr>
    </w:lvl>
    <w:lvl w:ilvl="8" w:tplc="08090005">
      <w:start w:val="1"/>
      <w:numFmt w:val="bullet"/>
      <w:lvlText w:val=""/>
      <w:lvlJc w:val="left"/>
      <w:pPr>
        <w:ind w:left="6687" w:hanging="360"/>
      </w:pPr>
      <w:rPr>
        <w:rFonts w:ascii="Wingdings" w:hAnsi="Wingdings" w:hint="default"/>
      </w:rPr>
    </w:lvl>
  </w:abstractNum>
  <w:abstractNum w:abstractNumId="9" w15:restartNumberingAfterBreak="0">
    <w:nsid w:val="38B70647"/>
    <w:multiLevelType w:val="hybridMultilevel"/>
    <w:tmpl w:val="F044F36C"/>
    <w:lvl w:ilvl="0" w:tplc="79D8E8D2">
      <w:start w:val="1"/>
      <w:numFmt w:val="decimal"/>
      <w:pStyle w:val="StyleGHEAGrapalatJustifiedBefore12p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CD4602"/>
    <w:multiLevelType w:val="hybridMultilevel"/>
    <w:tmpl w:val="E1EEFE8A"/>
    <w:lvl w:ilvl="0" w:tplc="206C264E">
      <w:numFmt w:val="bullet"/>
      <w:lvlText w:val="-"/>
      <w:lvlJc w:val="left"/>
      <w:pPr>
        <w:ind w:left="927" w:hanging="360"/>
      </w:pPr>
      <w:rPr>
        <w:rFonts w:ascii="GHEA Grapalat" w:eastAsia="Times New Roman" w:hAnsi="GHEA Grapalat" w:cs="Sylfaen" w:hint="default"/>
      </w:rPr>
    </w:lvl>
    <w:lvl w:ilvl="1" w:tplc="08090003">
      <w:start w:val="1"/>
      <w:numFmt w:val="bullet"/>
      <w:lvlText w:val="o"/>
      <w:lvlJc w:val="left"/>
      <w:pPr>
        <w:ind w:left="1647" w:hanging="360"/>
      </w:pPr>
      <w:rPr>
        <w:rFonts w:ascii="Courier New" w:hAnsi="Courier New" w:cs="Courier New" w:hint="default"/>
      </w:rPr>
    </w:lvl>
    <w:lvl w:ilvl="2" w:tplc="08090005">
      <w:start w:val="1"/>
      <w:numFmt w:val="bullet"/>
      <w:lvlText w:val=""/>
      <w:lvlJc w:val="left"/>
      <w:pPr>
        <w:ind w:left="2367" w:hanging="360"/>
      </w:pPr>
      <w:rPr>
        <w:rFonts w:ascii="Wingdings" w:hAnsi="Wingdings" w:hint="default"/>
      </w:rPr>
    </w:lvl>
    <w:lvl w:ilvl="3" w:tplc="08090001">
      <w:start w:val="1"/>
      <w:numFmt w:val="bullet"/>
      <w:lvlText w:val=""/>
      <w:lvlJc w:val="left"/>
      <w:pPr>
        <w:ind w:left="3087" w:hanging="360"/>
      </w:pPr>
      <w:rPr>
        <w:rFonts w:ascii="Symbol" w:hAnsi="Symbol" w:hint="default"/>
      </w:rPr>
    </w:lvl>
    <w:lvl w:ilvl="4" w:tplc="08090003">
      <w:start w:val="1"/>
      <w:numFmt w:val="bullet"/>
      <w:lvlText w:val="o"/>
      <w:lvlJc w:val="left"/>
      <w:pPr>
        <w:ind w:left="3807" w:hanging="360"/>
      </w:pPr>
      <w:rPr>
        <w:rFonts w:ascii="Courier New" w:hAnsi="Courier New" w:cs="Courier New" w:hint="default"/>
      </w:rPr>
    </w:lvl>
    <w:lvl w:ilvl="5" w:tplc="08090005">
      <w:start w:val="1"/>
      <w:numFmt w:val="bullet"/>
      <w:lvlText w:val=""/>
      <w:lvlJc w:val="left"/>
      <w:pPr>
        <w:ind w:left="4527" w:hanging="360"/>
      </w:pPr>
      <w:rPr>
        <w:rFonts w:ascii="Wingdings" w:hAnsi="Wingdings" w:hint="default"/>
      </w:rPr>
    </w:lvl>
    <w:lvl w:ilvl="6" w:tplc="08090001">
      <w:start w:val="1"/>
      <w:numFmt w:val="bullet"/>
      <w:lvlText w:val=""/>
      <w:lvlJc w:val="left"/>
      <w:pPr>
        <w:ind w:left="5247" w:hanging="360"/>
      </w:pPr>
      <w:rPr>
        <w:rFonts w:ascii="Symbol" w:hAnsi="Symbol" w:hint="default"/>
      </w:rPr>
    </w:lvl>
    <w:lvl w:ilvl="7" w:tplc="08090003">
      <w:start w:val="1"/>
      <w:numFmt w:val="bullet"/>
      <w:lvlText w:val="o"/>
      <w:lvlJc w:val="left"/>
      <w:pPr>
        <w:ind w:left="5967" w:hanging="360"/>
      </w:pPr>
      <w:rPr>
        <w:rFonts w:ascii="Courier New" w:hAnsi="Courier New" w:cs="Courier New" w:hint="default"/>
      </w:rPr>
    </w:lvl>
    <w:lvl w:ilvl="8" w:tplc="08090005">
      <w:start w:val="1"/>
      <w:numFmt w:val="bullet"/>
      <w:lvlText w:val=""/>
      <w:lvlJc w:val="left"/>
      <w:pPr>
        <w:ind w:left="6687" w:hanging="360"/>
      </w:pPr>
      <w:rPr>
        <w:rFonts w:ascii="Wingdings" w:hAnsi="Wingdings" w:hint="default"/>
      </w:rPr>
    </w:lvl>
  </w:abstractNum>
  <w:abstractNum w:abstractNumId="11" w15:restartNumberingAfterBreak="0">
    <w:nsid w:val="45C54F63"/>
    <w:multiLevelType w:val="hybridMultilevel"/>
    <w:tmpl w:val="42C8536A"/>
    <w:lvl w:ilvl="0" w:tplc="8A88F4E2">
      <w:start w:val="1"/>
      <w:numFmt w:val="upperRoman"/>
      <w:lvlText w:val="%1."/>
      <w:lvlJc w:val="left"/>
      <w:pPr>
        <w:ind w:left="4973" w:hanging="72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2" w15:restartNumberingAfterBreak="0">
    <w:nsid w:val="639F2203"/>
    <w:multiLevelType w:val="multilevel"/>
    <w:tmpl w:val="12743A0E"/>
    <w:lvl w:ilvl="0">
      <w:start w:val="2025"/>
      <w:numFmt w:val="decimal"/>
      <w:lvlText w:val="%1"/>
      <w:lvlJc w:val="left"/>
      <w:pPr>
        <w:ind w:left="1230" w:hanging="1230"/>
      </w:pPr>
      <w:rPr>
        <w:rFonts w:hint="default"/>
      </w:rPr>
    </w:lvl>
    <w:lvl w:ilvl="1">
      <w:start w:val="2030"/>
      <w:numFmt w:val="decimal"/>
      <w:lvlText w:val="%1-%2"/>
      <w:lvlJc w:val="left"/>
      <w:pPr>
        <w:ind w:left="1797" w:hanging="1230"/>
      </w:pPr>
      <w:rPr>
        <w:rFonts w:hint="default"/>
      </w:rPr>
    </w:lvl>
    <w:lvl w:ilvl="2">
      <w:start w:val="1"/>
      <w:numFmt w:val="decimal"/>
      <w:lvlText w:val="%1-%2.%3"/>
      <w:lvlJc w:val="left"/>
      <w:pPr>
        <w:ind w:left="2364" w:hanging="1230"/>
      </w:pPr>
      <w:rPr>
        <w:rFonts w:hint="default"/>
      </w:rPr>
    </w:lvl>
    <w:lvl w:ilvl="3">
      <w:start w:val="1"/>
      <w:numFmt w:val="decimal"/>
      <w:lvlText w:val="%1-%2.%3.%4"/>
      <w:lvlJc w:val="left"/>
      <w:pPr>
        <w:ind w:left="2931" w:hanging="1230"/>
      </w:pPr>
      <w:rPr>
        <w:rFonts w:hint="default"/>
      </w:rPr>
    </w:lvl>
    <w:lvl w:ilvl="4">
      <w:start w:val="1"/>
      <w:numFmt w:val="decimal"/>
      <w:lvlText w:val="%1-%2.%3.%4.%5"/>
      <w:lvlJc w:val="left"/>
      <w:pPr>
        <w:ind w:left="3498" w:hanging="123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3" w15:restartNumberingAfterBreak="0">
    <w:nsid w:val="69414205"/>
    <w:multiLevelType w:val="hybridMultilevel"/>
    <w:tmpl w:val="C29684DA"/>
    <w:lvl w:ilvl="0" w:tplc="4A68DDB8">
      <w:start w:val="1"/>
      <w:numFmt w:val="decimal"/>
      <w:lvlText w:val="%1)"/>
      <w:lvlJc w:val="left"/>
      <w:pPr>
        <w:tabs>
          <w:tab w:val="num" w:pos="900"/>
        </w:tabs>
        <w:ind w:left="900" w:hanging="54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6BBD6DA6"/>
    <w:multiLevelType w:val="multilevel"/>
    <w:tmpl w:val="381617F4"/>
    <w:lvl w:ilvl="0">
      <w:start w:val="1"/>
      <w:numFmt w:val="decimal"/>
      <w:pStyle w:val="StyleHeading2GHEAGrapalatJustified"/>
      <w:lvlText w:val="%1."/>
      <w:lvlJc w:val="left"/>
      <w:pPr>
        <w:ind w:left="1152" w:hanging="360"/>
      </w:pPr>
    </w:lvl>
    <w:lvl w:ilvl="1">
      <w:start w:val="1"/>
      <w:numFmt w:val="decimal"/>
      <w:isLgl/>
      <w:lvlText w:val="%1.%2."/>
      <w:lvlJc w:val="left"/>
      <w:pPr>
        <w:ind w:left="1512" w:hanging="720"/>
      </w:pPr>
      <w:rPr>
        <w:rFonts w:hint="default"/>
      </w:rPr>
    </w:lvl>
    <w:lvl w:ilvl="2">
      <w:start w:val="1"/>
      <w:numFmt w:val="decimal"/>
      <w:pStyle w:val="StyleHeading1GHEAGrapalatJustified"/>
      <w:isLgl/>
      <w:lvlText w:val="%1.%2.%3."/>
      <w:lvlJc w:val="left"/>
      <w:pPr>
        <w:ind w:left="1512" w:hanging="720"/>
      </w:pPr>
      <w:rPr>
        <w:rFonts w:hint="default"/>
      </w:rPr>
    </w:lvl>
    <w:lvl w:ilvl="3">
      <w:start w:val="1"/>
      <w:numFmt w:val="decimal"/>
      <w:isLgl/>
      <w:lvlText w:val="%1.%2.%3.%4."/>
      <w:lvlJc w:val="left"/>
      <w:pPr>
        <w:ind w:left="1872" w:hanging="1080"/>
      </w:pPr>
      <w:rPr>
        <w:rFonts w:hint="default"/>
      </w:rPr>
    </w:lvl>
    <w:lvl w:ilvl="4">
      <w:start w:val="1"/>
      <w:numFmt w:val="decimal"/>
      <w:isLgl/>
      <w:lvlText w:val="%1.%2.%3.%4.%5."/>
      <w:lvlJc w:val="left"/>
      <w:pPr>
        <w:ind w:left="1872" w:hanging="1080"/>
      </w:pPr>
      <w:rPr>
        <w:rFonts w:hint="default"/>
      </w:rPr>
    </w:lvl>
    <w:lvl w:ilvl="5">
      <w:start w:val="1"/>
      <w:numFmt w:val="decimal"/>
      <w:isLgl/>
      <w:lvlText w:val="%1.%2.%3.%4.%5.%6."/>
      <w:lvlJc w:val="left"/>
      <w:pPr>
        <w:ind w:left="2232" w:hanging="1440"/>
      </w:pPr>
      <w:rPr>
        <w:rFonts w:hint="default"/>
      </w:rPr>
    </w:lvl>
    <w:lvl w:ilvl="6">
      <w:start w:val="1"/>
      <w:numFmt w:val="decimal"/>
      <w:isLgl/>
      <w:lvlText w:val="%1.%2.%3.%4.%5.%6.%7."/>
      <w:lvlJc w:val="left"/>
      <w:pPr>
        <w:ind w:left="2592" w:hanging="1800"/>
      </w:pPr>
      <w:rPr>
        <w:rFonts w:hint="default"/>
      </w:rPr>
    </w:lvl>
    <w:lvl w:ilvl="7">
      <w:start w:val="1"/>
      <w:numFmt w:val="decimal"/>
      <w:isLgl/>
      <w:lvlText w:val="%1.%2.%3.%4.%5.%6.%7.%8."/>
      <w:lvlJc w:val="left"/>
      <w:pPr>
        <w:ind w:left="2592" w:hanging="1800"/>
      </w:pPr>
      <w:rPr>
        <w:rFonts w:hint="default"/>
      </w:rPr>
    </w:lvl>
    <w:lvl w:ilvl="8">
      <w:start w:val="1"/>
      <w:numFmt w:val="decimal"/>
      <w:isLgl/>
      <w:lvlText w:val="%1.%2.%3.%4.%5.%6.%7.%8.%9."/>
      <w:lvlJc w:val="left"/>
      <w:pPr>
        <w:ind w:left="2952" w:hanging="2160"/>
      </w:pPr>
      <w:rPr>
        <w:rFonts w:hint="default"/>
      </w:rPr>
    </w:lvl>
  </w:abstractNum>
  <w:abstractNum w:abstractNumId="15" w15:restartNumberingAfterBreak="0">
    <w:nsid w:val="6ECC5E81"/>
    <w:multiLevelType w:val="hybridMultilevel"/>
    <w:tmpl w:val="7972766E"/>
    <w:lvl w:ilvl="0" w:tplc="FEF0D518">
      <w:start w:val="1"/>
      <w:numFmt w:val="decimal"/>
      <w:lvlText w:val="%1."/>
      <w:lvlJc w:val="left"/>
      <w:pPr>
        <w:ind w:left="2771" w:hanging="360"/>
      </w:pPr>
      <w:rPr>
        <w:rFonts w:cs="Times New Roman" w:hint="default"/>
        <w:i w:val="0"/>
        <w:color w:val="auto"/>
        <w:sz w:val="24"/>
        <w:szCs w:val="24"/>
      </w:rPr>
    </w:lvl>
    <w:lvl w:ilvl="1" w:tplc="AB2E763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D550588"/>
    <w:multiLevelType w:val="hybridMultilevel"/>
    <w:tmpl w:val="49025022"/>
    <w:lvl w:ilvl="0" w:tplc="AD145210">
      <w:start w:val="1"/>
      <w:numFmt w:val="bullet"/>
      <w:lvlText w:val=""/>
      <w:lvlJc w:val="left"/>
      <w:pPr>
        <w:ind w:left="703" w:hanging="360"/>
      </w:pPr>
      <w:rPr>
        <w:rFonts w:ascii="Symbol" w:hAnsi="Symbol" w:hint="default"/>
        <w:sz w:val="18"/>
        <w:szCs w:val="18"/>
      </w:rPr>
    </w:lvl>
    <w:lvl w:ilvl="1" w:tplc="04190003" w:tentative="1">
      <w:start w:val="1"/>
      <w:numFmt w:val="bullet"/>
      <w:lvlText w:val="o"/>
      <w:lvlJc w:val="left"/>
      <w:pPr>
        <w:ind w:left="1423" w:hanging="360"/>
      </w:pPr>
      <w:rPr>
        <w:rFonts w:ascii="Courier New" w:hAnsi="Courier New" w:cs="Courier New" w:hint="default"/>
      </w:rPr>
    </w:lvl>
    <w:lvl w:ilvl="2" w:tplc="04190005" w:tentative="1">
      <w:start w:val="1"/>
      <w:numFmt w:val="bullet"/>
      <w:lvlText w:val=""/>
      <w:lvlJc w:val="left"/>
      <w:pPr>
        <w:ind w:left="2143" w:hanging="360"/>
      </w:pPr>
      <w:rPr>
        <w:rFonts w:ascii="Wingdings" w:hAnsi="Wingdings" w:hint="default"/>
      </w:rPr>
    </w:lvl>
    <w:lvl w:ilvl="3" w:tplc="04190001" w:tentative="1">
      <w:start w:val="1"/>
      <w:numFmt w:val="bullet"/>
      <w:lvlText w:val=""/>
      <w:lvlJc w:val="left"/>
      <w:pPr>
        <w:ind w:left="2863" w:hanging="360"/>
      </w:pPr>
      <w:rPr>
        <w:rFonts w:ascii="Symbol" w:hAnsi="Symbol" w:hint="default"/>
      </w:rPr>
    </w:lvl>
    <w:lvl w:ilvl="4" w:tplc="04190003" w:tentative="1">
      <w:start w:val="1"/>
      <w:numFmt w:val="bullet"/>
      <w:lvlText w:val="o"/>
      <w:lvlJc w:val="left"/>
      <w:pPr>
        <w:ind w:left="3583" w:hanging="360"/>
      </w:pPr>
      <w:rPr>
        <w:rFonts w:ascii="Courier New" w:hAnsi="Courier New" w:cs="Courier New" w:hint="default"/>
      </w:rPr>
    </w:lvl>
    <w:lvl w:ilvl="5" w:tplc="04190005" w:tentative="1">
      <w:start w:val="1"/>
      <w:numFmt w:val="bullet"/>
      <w:lvlText w:val=""/>
      <w:lvlJc w:val="left"/>
      <w:pPr>
        <w:ind w:left="4303" w:hanging="360"/>
      </w:pPr>
      <w:rPr>
        <w:rFonts w:ascii="Wingdings" w:hAnsi="Wingdings" w:hint="default"/>
      </w:rPr>
    </w:lvl>
    <w:lvl w:ilvl="6" w:tplc="04190001" w:tentative="1">
      <w:start w:val="1"/>
      <w:numFmt w:val="bullet"/>
      <w:lvlText w:val=""/>
      <w:lvlJc w:val="left"/>
      <w:pPr>
        <w:ind w:left="5023" w:hanging="360"/>
      </w:pPr>
      <w:rPr>
        <w:rFonts w:ascii="Symbol" w:hAnsi="Symbol" w:hint="default"/>
      </w:rPr>
    </w:lvl>
    <w:lvl w:ilvl="7" w:tplc="04190003" w:tentative="1">
      <w:start w:val="1"/>
      <w:numFmt w:val="bullet"/>
      <w:lvlText w:val="o"/>
      <w:lvlJc w:val="left"/>
      <w:pPr>
        <w:ind w:left="5743" w:hanging="360"/>
      </w:pPr>
      <w:rPr>
        <w:rFonts w:ascii="Courier New" w:hAnsi="Courier New" w:cs="Courier New" w:hint="default"/>
      </w:rPr>
    </w:lvl>
    <w:lvl w:ilvl="8" w:tplc="04190005" w:tentative="1">
      <w:start w:val="1"/>
      <w:numFmt w:val="bullet"/>
      <w:lvlText w:val=""/>
      <w:lvlJc w:val="left"/>
      <w:pPr>
        <w:ind w:left="6463" w:hanging="360"/>
      </w:pPr>
      <w:rPr>
        <w:rFonts w:ascii="Wingdings" w:hAnsi="Wingdings" w:hint="default"/>
      </w:rPr>
    </w:lvl>
  </w:abstractNum>
  <w:num w:numId="1">
    <w:abstractNumId w:val="15"/>
  </w:num>
  <w:num w:numId="2">
    <w:abstractNumId w:val="13"/>
  </w:num>
  <w:num w:numId="3">
    <w:abstractNumId w:val="14"/>
  </w:num>
  <w:num w:numId="4">
    <w:abstractNumId w:val="9"/>
  </w:num>
  <w:num w:numId="5">
    <w:abstractNumId w:val="11"/>
  </w:num>
  <w:num w:numId="6">
    <w:abstractNumId w:val="16"/>
  </w:num>
  <w:num w:numId="7">
    <w:abstractNumId w:val="7"/>
  </w:num>
  <w:num w:numId="8">
    <w:abstractNumId w:val="0"/>
  </w:num>
  <w:num w:numId="9">
    <w:abstractNumId w:val="1"/>
  </w:num>
  <w:num w:numId="10">
    <w:abstractNumId w:val="12"/>
  </w:num>
  <w:num w:numId="11">
    <w:abstractNumId w:val="6"/>
  </w:num>
  <w:num w:numId="12">
    <w:abstractNumId w:val="3"/>
  </w:num>
  <w:num w:numId="13">
    <w:abstractNumId w:val="8"/>
  </w:num>
  <w:num w:numId="14">
    <w:abstractNumId w:val="10"/>
  </w:num>
  <w:num w:numId="15">
    <w:abstractNumId w:val="2"/>
  </w:num>
  <w:num w:numId="16">
    <w:abstractNumId w:val="5"/>
  </w:num>
  <w:num w:numId="17">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32A0"/>
    <w:rsid w:val="00000328"/>
    <w:rsid w:val="00000372"/>
    <w:rsid w:val="00000829"/>
    <w:rsid w:val="00001257"/>
    <w:rsid w:val="000015BE"/>
    <w:rsid w:val="00001CEE"/>
    <w:rsid w:val="00002695"/>
    <w:rsid w:val="00002C2A"/>
    <w:rsid w:val="00003A73"/>
    <w:rsid w:val="00005CB4"/>
    <w:rsid w:val="00006B42"/>
    <w:rsid w:val="00006D15"/>
    <w:rsid w:val="00006F8D"/>
    <w:rsid w:val="000070B6"/>
    <w:rsid w:val="000073A8"/>
    <w:rsid w:val="00007857"/>
    <w:rsid w:val="00010FED"/>
    <w:rsid w:val="0001136E"/>
    <w:rsid w:val="00011D1A"/>
    <w:rsid w:val="000123B2"/>
    <w:rsid w:val="00013BA8"/>
    <w:rsid w:val="00014B85"/>
    <w:rsid w:val="00014CC2"/>
    <w:rsid w:val="00014CF9"/>
    <w:rsid w:val="0001524E"/>
    <w:rsid w:val="000159FB"/>
    <w:rsid w:val="00015FA6"/>
    <w:rsid w:val="00016242"/>
    <w:rsid w:val="00016B34"/>
    <w:rsid w:val="00021B9B"/>
    <w:rsid w:val="00022C62"/>
    <w:rsid w:val="00023CFA"/>
    <w:rsid w:val="00024224"/>
    <w:rsid w:val="0002524B"/>
    <w:rsid w:val="00025450"/>
    <w:rsid w:val="00025A47"/>
    <w:rsid w:val="00025B43"/>
    <w:rsid w:val="00025D8B"/>
    <w:rsid w:val="00026054"/>
    <w:rsid w:val="00026D51"/>
    <w:rsid w:val="00027141"/>
    <w:rsid w:val="00027527"/>
    <w:rsid w:val="000325D9"/>
    <w:rsid w:val="000333D0"/>
    <w:rsid w:val="0003362C"/>
    <w:rsid w:val="000337CD"/>
    <w:rsid w:val="0003394C"/>
    <w:rsid w:val="0003421A"/>
    <w:rsid w:val="000342D2"/>
    <w:rsid w:val="00035865"/>
    <w:rsid w:val="00035D5C"/>
    <w:rsid w:val="00035ECA"/>
    <w:rsid w:val="00035F34"/>
    <w:rsid w:val="00036F5D"/>
    <w:rsid w:val="00037270"/>
    <w:rsid w:val="0003738B"/>
    <w:rsid w:val="00037419"/>
    <w:rsid w:val="00037850"/>
    <w:rsid w:val="00037E8A"/>
    <w:rsid w:val="0004058B"/>
    <w:rsid w:val="000415BF"/>
    <w:rsid w:val="0004241E"/>
    <w:rsid w:val="000424DC"/>
    <w:rsid w:val="00042557"/>
    <w:rsid w:val="00042CD5"/>
    <w:rsid w:val="00042F19"/>
    <w:rsid w:val="00043EC1"/>
    <w:rsid w:val="00043F3E"/>
    <w:rsid w:val="0004480C"/>
    <w:rsid w:val="00044EFF"/>
    <w:rsid w:val="00045CA4"/>
    <w:rsid w:val="00046041"/>
    <w:rsid w:val="00046667"/>
    <w:rsid w:val="000505FD"/>
    <w:rsid w:val="00050698"/>
    <w:rsid w:val="00050E71"/>
    <w:rsid w:val="000513F6"/>
    <w:rsid w:val="00051BE5"/>
    <w:rsid w:val="00051D38"/>
    <w:rsid w:val="000526D5"/>
    <w:rsid w:val="00052D98"/>
    <w:rsid w:val="00053279"/>
    <w:rsid w:val="00053726"/>
    <w:rsid w:val="00053893"/>
    <w:rsid w:val="00053E93"/>
    <w:rsid w:val="000547D8"/>
    <w:rsid w:val="00055394"/>
    <w:rsid w:val="000560DF"/>
    <w:rsid w:val="00056308"/>
    <w:rsid w:val="000570F2"/>
    <w:rsid w:val="00057251"/>
    <w:rsid w:val="00057AA9"/>
    <w:rsid w:val="00060321"/>
    <w:rsid w:val="00060A35"/>
    <w:rsid w:val="00060B85"/>
    <w:rsid w:val="00062B19"/>
    <w:rsid w:val="00062D4A"/>
    <w:rsid w:val="0006335B"/>
    <w:rsid w:val="00063603"/>
    <w:rsid w:val="00063D9B"/>
    <w:rsid w:val="00064263"/>
    <w:rsid w:val="000642EE"/>
    <w:rsid w:val="000648D7"/>
    <w:rsid w:val="00065370"/>
    <w:rsid w:val="00065D7A"/>
    <w:rsid w:val="0006731B"/>
    <w:rsid w:val="00067868"/>
    <w:rsid w:val="00067DA0"/>
    <w:rsid w:val="00070052"/>
    <w:rsid w:val="000703A3"/>
    <w:rsid w:val="0007189C"/>
    <w:rsid w:val="00072843"/>
    <w:rsid w:val="000729BE"/>
    <w:rsid w:val="00073566"/>
    <w:rsid w:val="000735F6"/>
    <w:rsid w:val="000735FB"/>
    <w:rsid w:val="00073D76"/>
    <w:rsid w:val="00073DCB"/>
    <w:rsid w:val="0007422D"/>
    <w:rsid w:val="00074331"/>
    <w:rsid w:val="000745D4"/>
    <w:rsid w:val="0007560C"/>
    <w:rsid w:val="00075D3F"/>
    <w:rsid w:val="00075DBF"/>
    <w:rsid w:val="00076268"/>
    <w:rsid w:val="000765D7"/>
    <w:rsid w:val="00076F6B"/>
    <w:rsid w:val="000776D5"/>
    <w:rsid w:val="00080798"/>
    <w:rsid w:val="00081DD8"/>
    <w:rsid w:val="000824BA"/>
    <w:rsid w:val="00083ADA"/>
    <w:rsid w:val="00084472"/>
    <w:rsid w:val="0008475C"/>
    <w:rsid w:val="000849CF"/>
    <w:rsid w:val="00085F92"/>
    <w:rsid w:val="00086212"/>
    <w:rsid w:val="00086238"/>
    <w:rsid w:val="000862C4"/>
    <w:rsid w:val="0008665B"/>
    <w:rsid w:val="00086EC8"/>
    <w:rsid w:val="00087734"/>
    <w:rsid w:val="00090DDB"/>
    <w:rsid w:val="00090F3D"/>
    <w:rsid w:val="000920C9"/>
    <w:rsid w:val="00093AC0"/>
    <w:rsid w:val="00094011"/>
    <w:rsid w:val="000940C1"/>
    <w:rsid w:val="00094802"/>
    <w:rsid w:val="00094F14"/>
    <w:rsid w:val="0009583F"/>
    <w:rsid w:val="00095D9A"/>
    <w:rsid w:val="00096211"/>
    <w:rsid w:val="00096548"/>
    <w:rsid w:val="000967AB"/>
    <w:rsid w:val="00097D53"/>
    <w:rsid w:val="00097E82"/>
    <w:rsid w:val="000A01FB"/>
    <w:rsid w:val="000A020E"/>
    <w:rsid w:val="000A10D6"/>
    <w:rsid w:val="000A2B5E"/>
    <w:rsid w:val="000A342C"/>
    <w:rsid w:val="000A3887"/>
    <w:rsid w:val="000A3CC6"/>
    <w:rsid w:val="000A40EF"/>
    <w:rsid w:val="000A480B"/>
    <w:rsid w:val="000A65F2"/>
    <w:rsid w:val="000A67C4"/>
    <w:rsid w:val="000A6B74"/>
    <w:rsid w:val="000A6DC9"/>
    <w:rsid w:val="000B0516"/>
    <w:rsid w:val="000B14F4"/>
    <w:rsid w:val="000B218E"/>
    <w:rsid w:val="000B2B2A"/>
    <w:rsid w:val="000B3461"/>
    <w:rsid w:val="000B53DD"/>
    <w:rsid w:val="000B78BC"/>
    <w:rsid w:val="000B7D55"/>
    <w:rsid w:val="000C02EC"/>
    <w:rsid w:val="000C0FB1"/>
    <w:rsid w:val="000C186C"/>
    <w:rsid w:val="000C1C45"/>
    <w:rsid w:val="000C2E47"/>
    <w:rsid w:val="000C39C3"/>
    <w:rsid w:val="000C42F5"/>
    <w:rsid w:val="000C5622"/>
    <w:rsid w:val="000C5A25"/>
    <w:rsid w:val="000C652A"/>
    <w:rsid w:val="000C7D17"/>
    <w:rsid w:val="000D05AD"/>
    <w:rsid w:val="000D05B2"/>
    <w:rsid w:val="000D062E"/>
    <w:rsid w:val="000D0BDC"/>
    <w:rsid w:val="000D1A2E"/>
    <w:rsid w:val="000D256D"/>
    <w:rsid w:val="000D3A7F"/>
    <w:rsid w:val="000D3F83"/>
    <w:rsid w:val="000D47E0"/>
    <w:rsid w:val="000D493B"/>
    <w:rsid w:val="000D4995"/>
    <w:rsid w:val="000D5326"/>
    <w:rsid w:val="000D5797"/>
    <w:rsid w:val="000D62D5"/>
    <w:rsid w:val="000D67F7"/>
    <w:rsid w:val="000D7029"/>
    <w:rsid w:val="000D7E4C"/>
    <w:rsid w:val="000E0DCA"/>
    <w:rsid w:val="000E0FAA"/>
    <w:rsid w:val="000E1422"/>
    <w:rsid w:val="000E1664"/>
    <w:rsid w:val="000E24D0"/>
    <w:rsid w:val="000E34B1"/>
    <w:rsid w:val="000E3D04"/>
    <w:rsid w:val="000E450F"/>
    <w:rsid w:val="000E4624"/>
    <w:rsid w:val="000E49A4"/>
    <w:rsid w:val="000E56FC"/>
    <w:rsid w:val="000E5737"/>
    <w:rsid w:val="000E5805"/>
    <w:rsid w:val="000E5871"/>
    <w:rsid w:val="000E5967"/>
    <w:rsid w:val="000E59A0"/>
    <w:rsid w:val="000E5DCE"/>
    <w:rsid w:val="000E5EBE"/>
    <w:rsid w:val="000E6810"/>
    <w:rsid w:val="000F0165"/>
    <w:rsid w:val="000F03BE"/>
    <w:rsid w:val="000F06BB"/>
    <w:rsid w:val="000F0A12"/>
    <w:rsid w:val="000F131B"/>
    <w:rsid w:val="000F151E"/>
    <w:rsid w:val="000F1695"/>
    <w:rsid w:val="000F1CC0"/>
    <w:rsid w:val="000F21CB"/>
    <w:rsid w:val="000F4034"/>
    <w:rsid w:val="000F41A1"/>
    <w:rsid w:val="000F43AA"/>
    <w:rsid w:val="000F5206"/>
    <w:rsid w:val="000F533B"/>
    <w:rsid w:val="000F611F"/>
    <w:rsid w:val="000F6AE9"/>
    <w:rsid w:val="000F6D29"/>
    <w:rsid w:val="000F7021"/>
    <w:rsid w:val="000F7915"/>
    <w:rsid w:val="000F7C34"/>
    <w:rsid w:val="000F7E9C"/>
    <w:rsid w:val="000F7FA7"/>
    <w:rsid w:val="001001D9"/>
    <w:rsid w:val="001019C6"/>
    <w:rsid w:val="00102258"/>
    <w:rsid w:val="001022FD"/>
    <w:rsid w:val="00102C61"/>
    <w:rsid w:val="00102F84"/>
    <w:rsid w:val="001066B5"/>
    <w:rsid w:val="00106F92"/>
    <w:rsid w:val="001070C6"/>
    <w:rsid w:val="001103E0"/>
    <w:rsid w:val="00110423"/>
    <w:rsid w:val="0011081D"/>
    <w:rsid w:val="00110CA3"/>
    <w:rsid w:val="0011142C"/>
    <w:rsid w:val="001115C1"/>
    <w:rsid w:val="00111649"/>
    <w:rsid w:val="00111ECF"/>
    <w:rsid w:val="0011413D"/>
    <w:rsid w:val="00114286"/>
    <w:rsid w:val="001144E0"/>
    <w:rsid w:val="0011483E"/>
    <w:rsid w:val="00116ED5"/>
    <w:rsid w:val="0011772E"/>
    <w:rsid w:val="00120E11"/>
    <w:rsid w:val="00121A91"/>
    <w:rsid w:val="00122B0A"/>
    <w:rsid w:val="001230D5"/>
    <w:rsid w:val="0012372F"/>
    <w:rsid w:val="00123D45"/>
    <w:rsid w:val="0012500D"/>
    <w:rsid w:val="00125150"/>
    <w:rsid w:val="0012522C"/>
    <w:rsid w:val="00125244"/>
    <w:rsid w:val="0012625E"/>
    <w:rsid w:val="001275D9"/>
    <w:rsid w:val="00131219"/>
    <w:rsid w:val="001312BB"/>
    <w:rsid w:val="001315A5"/>
    <w:rsid w:val="00132C1B"/>
    <w:rsid w:val="00132F79"/>
    <w:rsid w:val="00133BAB"/>
    <w:rsid w:val="00134345"/>
    <w:rsid w:val="00135284"/>
    <w:rsid w:val="001362BE"/>
    <w:rsid w:val="00136865"/>
    <w:rsid w:val="00137AF9"/>
    <w:rsid w:val="00137D73"/>
    <w:rsid w:val="00140343"/>
    <w:rsid w:val="00140344"/>
    <w:rsid w:val="00140F29"/>
    <w:rsid w:val="001411BC"/>
    <w:rsid w:val="001413DB"/>
    <w:rsid w:val="00141652"/>
    <w:rsid w:val="00141692"/>
    <w:rsid w:val="0014183F"/>
    <w:rsid w:val="00142A93"/>
    <w:rsid w:val="00144B20"/>
    <w:rsid w:val="00144C65"/>
    <w:rsid w:val="00144EAC"/>
    <w:rsid w:val="00144F45"/>
    <w:rsid w:val="0014500A"/>
    <w:rsid w:val="00145D01"/>
    <w:rsid w:val="001461BF"/>
    <w:rsid w:val="00146441"/>
    <w:rsid w:val="00150350"/>
    <w:rsid w:val="0015035F"/>
    <w:rsid w:val="001509D4"/>
    <w:rsid w:val="00151D84"/>
    <w:rsid w:val="00151E34"/>
    <w:rsid w:val="00151FD0"/>
    <w:rsid w:val="00152B59"/>
    <w:rsid w:val="00153102"/>
    <w:rsid w:val="00153333"/>
    <w:rsid w:val="0015427F"/>
    <w:rsid w:val="00154C47"/>
    <w:rsid w:val="00154E5F"/>
    <w:rsid w:val="00155190"/>
    <w:rsid w:val="001554B5"/>
    <w:rsid w:val="001555C9"/>
    <w:rsid w:val="00155F6D"/>
    <w:rsid w:val="00156127"/>
    <w:rsid w:val="0015616D"/>
    <w:rsid w:val="00156516"/>
    <w:rsid w:val="00156E19"/>
    <w:rsid w:val="00156E7C"/>
    <w:rsid w:val="0015797A"/>
    <w:rsid w:val="001609D2"/>
    <w:rsid w:val="00160B2B"/>
    <w:rsid w:val="00160E92"/>
    <w:rsid w:val="00161549"/>
    <w:rsid w:val="00161700"/>
    <w:rsid w:val="00161744"/>
    <w:rsid w:val="00162AA4"/>
    <w:rsid w:val="00162C1B"/>
    <w:rsid w:val="00162C35"/>
    <w:rsid w:val="00162D46"/>
    <w:rsid w:val="00163BDC"/>
    <w:rsid w:val="00164473"/>
    <w:rsid w:val="00164F17"/>
    <w:rsid w:val="0016676D"/>
    <w:rsid w:val="00166C08"/>
    <w:rsid w:val="001676D7"/>
    <w:rsid w:val="00167F74"/>
    <w:rsid w:val="00170214"/>
    <w:rsid w:val="00172367"/>
    <w:rsid w:val="001726F9"/>
    <w:rsid w:val="00173C43"/>
    <w:rsid w:val="00173CF1"/>
    <w:rsid w:val="00173FB1"/>
    <w:rsid w:val="00175101"/>
    <w:rsid w:val="00175A01"/>
    <w:rsid w:val="00175A43"/>
    <w:rsid w:val="00176310"/>
    <w:rsid w:val="00176D14"/>
    <w:rsid w:val="00177516"/>
    <w:rsid w:val="001778D1"/>
    <w:rsid w:val="0018042B"/>
    <w:rsid w:val="001808B4"/>
    <w:rsid w:val="00180B94"/>
    <w:rsid w:val="001819D6"/>
    <w:rsid w:val="00181F43"/>
    <w:rsid w:val="001820AF"/>
    <w:rsid w:val="00182278"/>
    <w:rsid w:val="00182DCD"/>
    <w:rsid w:val="0018339A"/>
    <w:rsid w:val="00183736"/>
    <w:rsid w:val="00183A3F"/>
    <w:rsid w:val="00184B7C"/>
    <w:rsid w:val="00184D2E"/>
    <w:rsid w:val="00184DD2"/>
    <w:rsid w:val="00184DF0"/>
    <w:rsid w:val="00185FD9"/>
    <w:rsid w:val="0018687D"/>
    <w:rsid w:val="001869BD"/>
    <w:rsid w:val="00187710"/>
    <w:rsid w:val="00187F19"/>
    <w:rsid w:val="00190419"/>
    <w:rsid w:val="001907ED"/>
    <w:rsid w:val="00190830"/>
    <w:rsid w:val="00191328"/>
    <w:rsid w:val="001922BF"/>
    <w:rsid w:val="0019248E"/>
    <w:rsid w:val="001930D7"/>
    <w:rsid w:val="00194BFA"/>
    <w:rsid w:val="001956CB"/>
    <w:rsid w:val="001957EF"/>
    <w:rsid w:val="0019597F"/>
    <w:rsid w:val="00196905"/>
    <w:rsid w:val="001969E9"/>
    <w:rsid w:val="00196BEE"/>
    <w:rsid w:val="00196C6D"/>
    <w:rsid w:val="001979ED"/>
    <w:rsid w:val="00197F65"/>
    <w:rsid w:val="001A0C05"/>
    <w:rsid w:val="001A0C18"/>
    <w:rsid w:val="001A0E0A"/>
    <w:rsid w:val="001A28C2"/>
    <w:rsid w:val="001A3424"/>
    <w:rsid w:val="001A556F"/>
    <w:rsid w:val="001A6319"/>
    <w:rsid w:val="001A63F6"/>
    <w:rsid w:val="001A660E"/>
    <w:rsid w:val="001B0A3E"/>
    <w:rsid w:val="001B0D8F"/>
    <w:rsid w:val="001B1A43"/>
    <w:rsid w:val="001B2113"/>
    <w:rsid w:val="001B2430"/>
    <w:rsid w:val="001B2507"/>
    <w:rsid w:val="001B2A74"/>
    <w:rsid w:val="001B2F51"/>
    <w:rsid w:val="001B354A"/>
    <w:rsid w:val="001B394D"/>
    <w:rsid w:val="001B4219"/>
    <w:rsid w:val="001B50F3"/>
    <w:rsid w:val="001B5AD8"/>
    <w:rsid w:val="001B5C08"/>
    <w:rsid w:val="001C0EDD"/>
    <w:rsid w:val="001C1815"/>
    <w:rsid w:val="001C19DE"/>
    <w:rsid w:val="001C1F95"/>
    <w:rsid w:val="001C2CEC"/>
    <w:rsid w:val="001C3E43"/>
    <w:rsid w:val="001C5F69"/>
    <w:rsid w:val="001C6BC3"/>
    <w:rsid w:val="001C6C9C"/>
    <w:rsid w:val="001C74C2"/>
    <w:rsid w:val="001C7A31"/>
    <w:rsid w:val="001C7DFA"/>
    <w:rsid w:val="001D03B8"/>
    <w:rsid w:val="001D0786"/>
    <w:rsid w:val="001D13F2"/>
    <w:rsid w:val="001D1682"/>
    <w:rsid w:val="001D189C"/>
    <w:rsid w:val="001D2305"/>
    <w:rsid w:val="001D2509"/>
    <w:rsid w:val="001D25AA"/>
    <w:rsid w:val="001D2739"/>
    <w:rsid w:val="001D2F74"/>
    <w:rsid w:val="001D31A8"/>
    <w:rsid w:val="001D4073"/>
    <w:rsid w:val="001D4801"/>
    <w:rsid w:val="001D4A32"/>
    <w:rsid w:val="001D5B93"/>
    <w:rsid w:val="001D5DC9"/>
    <w:rsid w:val="001D67DC"/>
    <w:rsid w:val="001D6F7A"/>
    <w:rsid w:val="001D7ADB"/>
    <w:rsid w:val="001E0280"/>
    <w:rsid w:val="001E03F5"/>
    <w:rsid w:val="001E0519"/>
    <w:rsid w:val="001E0F23"/>
    <w:rsid w:val="001E1F02"/>
    <w:rsid w:val="001E1F41"/>
    <w:rsid w:val="001E369F"/>
    <w:rsid w:val="001E3EE5"/>
    <w:rsid w:val="001E4A38"/>
    <w:rsid w:val="001E5573"/>
    <w:rsid w:val="001E7008"/>
    <w:rsid w:val="001F022D"/>
    <w:rsid w:val="001F0845"/>
    <w:rsid w:val="001F1746"/>
    <w:rsid w:val="001F19F7"/>
    <w:rsid w:val="001F355D"/>
    <w:rsid w:val="001F490D"/>
    <w:rsid w:val="001F4983"/>
    <w:rsid w:val="001F4B23"/>
    <w:rsid w:val="001F501B"/>
    <w:rsid w:val="001F5381"/>
    <w:rsid w:val="001F53AC"/>
    <w:rsid w:val="001F6024"/>
    <w:rsid w:val="001F62B6"/>
    <w:rsid w:val="001F693C"/>
    <w:rsid w:val="001F6B7C"/>
    <w:rsid w:val="001F6EB1"/>
    <w:rsid w:val="0020054A"/>
    <w:rsid w:val="002016BA"/>
    <w:rsid w:val="00201AF7"/>
    <w:rsid w:val="00201B5C"/>
    <w:rsid w:val="00201C9C"/>
    <w:rsid w:val="00201EEA"/>
    <w:rsid w:val="002020F7"/>
    <w:rsid w:val="00202761"/>
    <w:rsid w:val="00203471"/>
    <w:rsid w:val="00203640"/>
    <w:rsid w:val="00203828"/>
    <w:rsid w:val="00203D98"/>
    <w:rsid w:val="002046A6"/>
    <w:rsid w:val="0020473D"/>
    <w:rsid w:val="00204B4E"/>
    <w:rsid w:val="00204BB2"/>
    <w:rsid w:val="00205F53"/>
    <w:rsid w:val="0020627E"/>
    <w:rsid w:val="00206A47"/>
    <w:rsid w:val="00206D37"/>
    <w:rsid w:val="00207885"/>
    <w:rsid w:val="00210F73"/>
    <w:rsid w:val="0021269B"/>
    <w:rsid w:val="002154E1"/>
    <w:rsid w:val="002157D0"/>
    <w:rsid w:val="00215A77"/>
    <w:rsid w:val="00215D7B"/>
    <w:rsid w:val="002200CC"/>
    <w:rsid w:val="00220ACB"/>
    <w:rsid w:val="00221137"/>
    <w:rsid w:val="002216DF"/>
    <w:rsid w:val="00221FC0"/>
    <w:rsid w:val="0022224C"/>
    <w:rsid w:val="0022356B"/>
    <w:rsid w:val="00223C8D"/>
    <w:rsid w:val="00223ECB"/>
    <w:rsid w:val="00223ECD"/>
    <w:rsid w:val="00224B1C"/>
    <w:rsid w:val="0022528C"/>
    <w:rsid w:val="00225C64"/>
    <w:rsid w:val="002266BE"/>
    <w:rsid w:val="00227DDF"/>
    <w:rsid w:val="002308B1"/>
    <w:rsid w:val="00232A95"/>
    <w:rsid w:val="00233192"/>
    <w:rsid w:val="00233407"/>
    <w:rsid w:val="00233DAE"/>
    <w:rsid w:val="002348C6"/>
    <w:rsid w:val="00234998"/>
    <w:rsid w:val="002349CF"/>
    <w:rsid w:val="00235225"/>
    <w:rsid w:val="002358E8"/>
    <w:rsid w:val="002360BF"/>
    <w:rsid w:val="002369CA"/>
    <w:rsid w:val="002371F2"/>
    <w:rsid w:val="002410F8"/>
    <w:rsid w:val="0024115D"/>
    <w:rsid w:val="0024141F"/>
    <w:rsid w:val="00241ADF"/>
    <w:rsid w:val="00241B26"/>
    <w:rsid w:val="00241E5E"/>
    <w:rsid w:val="00242041"/>
    <w:rsid w:val="00243120"/>
    <w:rsid w:val="00243273"/>
    <w:rsid w:val="00243912"/>
    <w:rsid w:val="0024442E"/>
    <w:rsid w:val="00244B3E"/>
    <w:rsid w:val="00244E2C"/>
    <w:rsid w:val="0024508E"/>
    <w:rsid w:val="0024532B"/>
    <w:rsid w:val="0024542F"/>
    <w:rsid w:val="002456F5"/>
    <w:rsid w:val="00245912"/>
    <w:rsid w:val="00246263"/>
    <w:rsid w:val="00247BB1"/>
    <w:rsid w:val="00250759"/>
    <w:rsid w:val="00250925"/>
    <w:rsid w:val="00250C95"/>
    <w:rsid w:val="002515EE"/>
    <w:rsid w:val="00251988"/>
    <w:rsid w:val="0025259A"/>
    <w:rsid w:val="002527F1"/>
    <w:rsid w:val="002528B4"/>
    <w:rsid w:val="002530DD"/>
    <w:rsid w:val="0025337F"/>
    <w:rsid w:val="0025376B"/>
    <w:rsid w:val="00256DD3"/>
    <w:rsid w:val="002570F2"/>
    <w:rsid w:val="0026033D"/>
    <w:rsid w:val="00260A27"/>
    <w:rsid w:val="00261B37"/>
    <w:rsid w:val="0026205C"/>
    <w:rsid w:val="00262113"/>
    <w:rsid w:val="0026341B"/>
    <w:rsid w:val="0026492C"/>
    <w:rsid w:val="00264A3B"/>
    <w:rsid w:val="0026570C"/>
    <w:rsid w:val="0026577A"/>
    <w:rsid w:val="00266E3B"/>
    <w:rsid w:val="00267062"/>
    <w:rsid w:val="00270606"/>
    <w:rsid w:val="00271591"/>
    <w:rsid w:val="00272379"/>
    <w:rsid w:val="00272AC0"/>
    <w:rsid w:val="0027336B"/>
    <w:rsid w:val="00274B8C"/>
    <w:rsid w:val="00275AB5"/>
    <w:rsid w:val="00276253"/>
    <w:rsid w:val="00276338"/>
    <w:rsid w:val="00276B61"/>
    <w:rsid w:val="00276BBA"/>
    <w:rsid w:val="00277199"/>
    <w:rsid w:val="00280D35"/>
    <w:rsid w:val="0028105E"/>
    <w:rsid w:val="00281308"/>
    <w:rsid w:val="002827BE"/>
    <w:rsid w:val="00282918"/>
    <w:rsid w:val="00283083"/>
    <w:rsid w:val="002831A5"/>
    <w:rsid w:val="00283314"/>
    <w:rsid w:val="0028359A"/>
    <w:rsid w:val="00284021"/>
    <w:rsid w:val="0028553C"/>
    <w:rsid w:val="00285B2F"/>
    <w:rsid w:val="0028632D"/>
    <w:rsid w:val="00286A03"/>
    <w:rsid w:val="00286B4E"/>
    <w:rsid w:val="00286C56"/>
    <w:rsid w:val="00286D67"/>
    <w:rsid w:val="0028741D"/>
    <w:rsid w:val="0029014A"/>
    <w:rsid w:val="002903AC"/>
    <w:rsid w:val="0029177D"/>
    <w:rsid w:val="0029379D"/>
    <w:rsid w:val="00294358"/>
    <w:rsid w:val="00295D54"/>
    <w:rsid w:val="00295DAA"/>
    <w:rsid w:val="002972D7"/>
    <w:rsid w:val="002A1538"/>
    <w:rsid w:val="002A1913"/>
    <w:rsid w:val="002A1EC3"/>
    <w:rsid w:val="002A24E0"/>
    <w:rsid w:val="002A2D0A"/>
    <w:rsid w:val="002A2EB7"/>
    <w:rsid w:val="002A33F1"/>
    <w:rsid w:val="002A3777"/>
    <w:rsid w:val="002A399B"/>
    <w:rsid w:val="002A3B91"/>
    <w:rsid w:val="002A4B80"/>
    <w:rsid w:val="002A5A2E"/>
    <w:rsid w:val="002A5EF3"/>
    <w:rsid w:val="002A6B48"/>
    <w:rsid w:val="002A7025"/>
    <w:rsid w:val="002A7074"/>
    <w:rsid w:val="002A71A9"/>
    <w:rsid w:val="002A7E05"/>
    <w:rsid w:val="002B11D5"/>
    <w:rsid w:val="002B223B"/>
    <w:rsid w:val="002B287A"/>
    <w:rsid w:val="002B380C"/>
    <w:rsid w:val="002B400F"/>
    <w:rsid w:val="002B41A4"/>
    <w:rsid w:val="002B50A0"/>
    <w:rsid w:val="002B5879"/>
    <w:rsid w:val="002B7196"/>
    <w:rsid w:val="002C071C"/>
    <w:rsid w:val="002C13D6"/>
    <w:rsid w:val="002C1ACF"/>
    <w:rsid w:val="002C247E"/>
    <w:rsid w:val="002C2A02"/>
    <w:rsid w:val="002C2B69"/>
    <w:rsid w:val="002C3886"/>
    <w:rsid w:val="002C43D9"/>
    <w:rsid w:val="002C654B"/>
    <w:rsid w:val="002C7E99"/>
    <w:rsid w:val="002D22B7"/>
    <w:rsid w:val="002D3CEC"/>
    <w:rsid w:val="002D444A"/>
    <w:rsid w:val="002D4E2E"/>
    <w:rsid w:val="002D501D"/>
    <w:rsid w:val="002D5918"/>
    <w:rsid w:val="002D6728"/>
    <w:rsid w:val="002D72FE"/>
    <w:rsid w:val="002D7B62"/>
    <w:rsid w:val="002E06F3"/>
    <w:rsid w:val="002E0E76"/>
    <w:rsid w:val="002E1D81"/>
    <w:rsid w:val="002E1EB9"/>
    <w:rsid w:val="002E203D"/>
    <w:rsid w:val="002E27B5"/>
    <w:rsid w:val="002E2A45"/>
    <w:rsid w:val="002E3025"/>
    <w:rsid w:val="002E4122"/>
    <w:rsid w:val="002E41AA"/>
    <w:rsid w:val="002E4350"/>
    <w:rsid w:val="002E485C"/>
    <w:rsid w:val="002E58C3"/>
    <w:rsid w:val="002E5A73"/>
    <w:rsid w:val="002E5DDC"/>
    <w:rsid w:val="002E5FB8"/>
    <w:rsid w:val="002E6041"/>
    <w:rsid w:val="002E63D3"/>
    <w:rsid w:val="002E64B9"/>
    <w:rsid w:val="002E7184"/>
    <w:rsid w:val="002E7E3C"/>
    <w:rsid w:val="002E7ECE"/>
    <w:rsid w:val="002F12D3"/>
    <w:rsid w:val="002F1700"/>
    <w:rsid w:val="002F1C6F"/>
    <w:rsid w:val="002F30BB"/>
    <w:rsid w:val="002F34F4"/>
    <w:rsid w:val="002F3688"/>
    <w:rsid w:val="002F398F"/>
    <w:rsid w:val="002F400B"/>
    <w:rsid w:val="002F4694"/>
    <w:rsid w:val="002F4C90"/>
    <w:rsid w:val="002F59E8"/>
    <w:rsid w:val="002F5F7E"/>
    <w:rsid w:val="002F63D8"/>
    <w:rsid w:val="002F706C"/>
    <w:rsid w:val="002F7269"/>
    <w:rsid w:val="00300D2C"/>
    <w:rsid w:val="0030149E"/>
    <w:rsid w:val="00301D03"/>
    <w:rsid w:val="00302847"/>
    <w:rsid w:val="0030400A"/>
    <w:rsid w:val="00304B23"/>
    <w:rsid w:val="003056BA"/>
    <w:rsid w:val="00305BAC"/>
    <w:rsid w:val="00306D84"/>
    <w:rsid w:val="003076CB"/>
    <w:rsid w:val="00307E89"/>
    <w:rsid w:val="00307F58"/>
    <w:rsid w:val="00310A7C"/>
    <w:rsid w:val="00310FCE"/>
    <w:rsid w:val="0031114F"/>
    <w:rsid w:val="00311196"/>
    <w:rsid w:val="00311356"/>
    <w:rsid w:val="003119A8"/>
    <w:rsid w:val="00313171"/>
    <w:rsid w:val="00314978"/>
    <w:rsid w:val="00315B39"/>
    <w:rsid w:val="00315E8C"/>
    <w:rsid w:val="00316F73"/>
    <w:rsid w:val="00317346"/>
    <w:rsid w:val="00320415"/>
    <w:rsid w:val="00320AF0"/>
    <w:rsid w:val="00320B3D"/>
    <w:rsid w:val="003212A6"/>
    <w:rsid w:val="00321910"/>
    <w:rsid w:val="00321B54"/>
    <w:rsid w:val="00322D52"/>
    <w:rsid w:val="00323122"/>
    <w:rsid w:val="00323274"/>
    <w:rsid w:val="0032368C"/>
    <w:rsid w:val="003249B3"/>
    <w:rsid w:val="00325BAB"/>
    <w:rsid w:val="00327DFB"/>
    <w:rsid w:val="0033001E"/>
    <w:rsid w:val="0033028B"/>
    <w:rsid w:val="00330751"/>
    <w:rsid w:val="0033088D"/>
    <w:rsid w:val="00331233"/>
    <w:rsid w:val="00331D26"/>
    <w:rsid w:val="003333AA"/>
    <w:rsid w:val="003344FB"/>
    <w:rsid w:val="00334C07"/>
    <w:rsid w:val="003350BF"/>
    <w:rsid w:val="00335593"/>
    <w:rsid w:val="003356A0"/>
    <w:rsid w:val="003356E7"/>
    <w:rsid w:val="003358D4"/>
    <w:rsid w:val="00335C7D"/>
    <w:rsid w:val="00335F52"/>
    <w:rsid w:val="003364EA"/>
    <w:rsid w:val="00336692"/>
    <w:rsid w:val="003370E8"/>
    <w:rsid w:val="0034051E"/>
    <w:rsid w:val="00340D99"/>
    <w:rsid w:val="00341E6F"/>
    <w:rsid w:val="003424BD"/>
    <w:rsid w:val="00342BEA"/>
    <w:rsid w:val="0034329C"/>
    <w:rsid w:val="00343535"/>
    <w:rsid w:val="00343BEA"/>
    <w:rsid w:val="003448E6"/>
    <w:rsid w:val="00344B14"/>
    <w:rsid w:val="00344F32"/>
    <w:rsid w:val="00345765"/>
    <w:rsid w:val="003464D6"/>
    <w:rsid w:val="00347242"/>
    <w:rsid w:val="003474C3"/>
    <w:rsid w:val="003502BF"/>
    <w:rsid w:val="003514C7"/>
    <w:rsid w:val="003516C3"/>
    <w:rsid w:val="00351ABE"/>
    <w:rsid w:val="0035408A"/>
    <w:rsid w:val="00354484"/>
    <w:rsid w:val="00354B3F"/>
    <w:rsid w:val="00354DAC"/>
    <w:rsid w:val="0035502A"/>
    <w:rsid w:val="00355747"/>
    <w:rsid w:val="00355B68"/>
    <w:rsid w:val="00356036"/>
    <w:rsid w:val="003568C0"/>
    <w:rsid w:val="00356D9B"/>
    <w:rsid w:val="00356EC4"/>
    <w:rsid w:val="00357150"/>
    <w:rsid w:val="003578C9"/>
    <w:rsid w:val="00357C87"/>
    <w:rsid w:val="00357F97"/>
    <w:rsid w:val="00360F48"/>
    <w:rsid w:val="00361AD9"/>
    <w:rsid w:val="00361AF8"/>
    <w:rsid w:val="003623CC"/>
    <w:rsid w:val="003629F3"/>
    <w:rsid w:val="00362D4B"/>
    <w:rsid w:val="00362EBD"/>
    <w:rsid w:val="003658BF"/>
    <w:rsid w:val="00365E76"/>
    <w:rsid w:val="00366211"/>
    <w:rsid w:val="003664D6"/>
    <w:rsid w:val="00366E49"/>
    <w:rsid w:val="00367A63"/>
    <w:rsid w:val="00367C89"/>
    <w:rsid w:val="0037087A"/>
    <w:rsid w:val="00370A1D"/>
    <w:rsid w:val="00370A2E"/>
    <w:rsid w:val="00370C4A"/>
    <w:rsid w:val="00370C6F"/>
    <w:rsid w:val="00370F1F"/>
    <w:rsid w:val="00373083"/>
    <w:rsid w:val="0037417A"/>
    <w:rsid w:val="003748EB"/>
    <w:rsid w:val="00374C11"/>
    <w:rsid w:val="003754A1"/>
    <w:rsid w:val="00376839"/>
    <w:rsid w:val="003772AD"/>
    <w:rsid w:val="0038039A"/>
    <w:rsid w:val="00380D8E"/>
    <w:rsid w:val="00381B00"/>
    <w:rsid w:val="00381E36"/>
    <w:rsid w:val="003828BB"/>
    <w:rsid w:val="00382FDA"/>
    <w:rsid w:val="00383E60"/>
    <w:rsid w:val="003841FD"/>
    <w:rsid w:val="00385635"/>
    <w:rsid w:val="003868B1"/>
    <w:rsid w:val="00386BCD"/>
    <w:rsid w:val="00386D52"/>
    <w:rsid w:val="00387972"/>
    <w:rsid w:val="00391016"/>
    <w:rsid w:val="00391688"/>
    <w:rsid w:val="00391763"/>
    <w:rsid w:val="00391B2E"/>
    <w:rsid w:val="00391E18"/>
    <w:rsid w:val="00392511"/>
    <w:rsid w:val="003925AE"/>
    <w:rsid w:val="00392AB2"/>
    <w:rsid w:val="00393A9F"/>
    <w:rsid w:val="003948C9"/>
    <w:rsid w:val="00394A6C"/>
    <w:rsid w:val="00395245"/>
    <w:rsid w:val="003956C5"/>
    <w:rsid w:val="00396ACC"/>
    <w:rsid w:val="003A0641"/>
    <w:rsid w:val="003A0C1D"/>
    <w:rsid w:val="003A1891"/>
    <w:rsid w:val="003A2967"/>
    <w:rsid w:val="003A2D5D"/>
    <w:rsid w:val="003A3BD4"/>
    <w:rsid w:val="003A3CA5"/>
    <w:rsid w:val="003A5477"/>
    <w:rsid w:val="003A7884"/>
    <w:rsid w:val="003A7B40"/>
    <w:rsid w:val="003A7FCF"/>
    <w:rsid w:val="003B016E"/>
    <w:rsid w:val="003B023A"/>
    <w:rsid w:val="003B073E"/>
    <w:rsid w:val="003B07DC"/>
    <w:rsid w:val="003B0E40"/>
    <w:rsid w:val="003B178C"/>
    <w:rsid w:val="003B185B"/>
    <w:rsid w:val="003B29C7"/>
    <w:rsid w:val="003B4099"/>
    <w:rsid w:val="003B51BE"/>
    <w:rsid w:val="003B58AC"/>
    <w:rsid w:val="003B5B80"/>
    <w:rsid w:val="003B6C44"/>
    <w:rsid w:val="003B7DA7"/>
    <w:rsid w:val="003C04A7"/>
    <w:rsid w:val="003C056D"/>
    <w:rsid w:val="003C08C5"/>
    <w:rsid w:val="003C0E6B"/>
    <w:rsid w:val="003C11FD"/>
    <w:rsid w:val="003C127F"/>
    <w:rsid w:val="003C1421"/>
    <w:rsid w:val="003C1683"/>
    <w:rsid w:val="003C190A"/>
    <w:rsid w:val="003C2963"/>
    <w:rsid w:val="003C2F81"/>
    <w:rsid w:val="003C4303"/>
    <w:rsid w:val="003C4614"/>
    <w:rsid w:val="003C4687"/>
    <w:rsid w:val="003C52EC"/>
    <w:rsid w:val="003C53D7"/>
    <w:rsid w:val="003C5625"/>
    <w:rsid w:val="003C622A"/>
    <w:rsid w:val="003C6D89"/>
    <w:rsid w:val="003C730A"/>
    <w:rsid w:val="003C741A"/>
    <w:rsid w:val="003C7900"/>
    <w:rsid w:val="003C7CE4"/>
    <w:rsid w:val="003C7D5D"/>
    <w:rsid w:val="003D0919"/>
    <w:rsid w:val="003D1650"/>
    <w:rsid w:val="003D16E4"/>
    <w:rsid w:val="003D2D1F"/>
    <w:rsid w:val="003D3F8F"/>
    <w:rsid w:val="003D43B8"/>
    <w:rsid w:val="003D447D"/>
    <w:rsid w:val="003D465F"/>
    <w:rsid w:val="003D4A0C"/>
    <w:rsid w:val="003D4AA0"/>
    <w:rsid w:val="003D4ABA"/>
    <w:rsid w:val="003D5026"/>
    <w:rsid w:val="003D58E6"/>
    <w:rsid w:val="003D5E9D"/>
    <w:rsid w:val="003D6C67"/>
    <w:rsid w:val="003D6E38"/>
    <w:rsid w:val="003D7C97"/>
    <w:rsid w:val="003E0212"/>
    <w:rsid w:val="003E0443"/>
    <w:rsid w:val="003E0EEB"/>
    <w:rsid w:val="003E21D2"/>
    <w:rsid w:val="003E21E2"/>
    <w:rsid w:val="003E3186"/>
    <w:rsid w:val="003E36D9"/>
    <w:rsid w:val="003E44C9"/>
    <w:rsid w:val="003E5338"/>
    <w:rsid w:val="003E61C1"/>
    <w:rsid w:val="003F00B8"/>
    <w:rsid w:val="003F0209"/>
    <w:rsid w:val="003F0775"/>
    <w:rsid w:val="003F0D8B"/>
    <w:rsid w:val="003F1E0C"/>
    <w:rsid w:val="003F29B2"/>
    <w:rsid w:val="003F2B54"/>
    <w:rsid w:val="003F34B8"/>
    <w:rsid w:val="003F4ABC"/>
    <w:rsid w:val="003F4AD5"/>
    <w:rsid w:val="003F4AE4"/>
    <w:rsid w:val="003F4CC7"/>
    <w:rsid w:val="003F6AAF"/>
    <w:rsid w:val="004002BD"/>
    <w:rsid w:val="0040141D"/>
    <w:rsid w:val="004016E4"/>
    <w:rsid w:val="0040173E"/>
    <w:rsid w:val="00401BBC"/>
    <w:rsid w:val="00402753"/>
    <w:rsid w:val="00403153"/>
    <w:rsid w:val="004032D8"/>
    <w:rsid w:val="0040375A"/>
    <w:rsid w:val="004037E3"/>
    <w:rsid w:val="00403B0C"/>
    <w:rsid w:val="00404891"/>
    <w:rsid w:val="00404E5A"/>
    <w:rsid w:val="004052DE"/>
    <w:rsid w:val="00405D20"/>
    <w:rsid w:val="00406248"/>
    <w:rsid w:val="00406458"/>
    <w:rsid w:val="0040681C"/>
    <w:rsid w:val="00406C41"/>
    <w:rsid w:val="0040708C"/>
    <w:rsid w:val="0041054B"/>
    <w:rsid w:val="0041144E"/>
    <w:rsid w:val="00411ABA"/>
    <w:rsid w:val="00411D3C"/>
    <w:rsid w:val="0041220A"/>
    <w:rsid w:val="004145FE"/>
    <w:rsid w:val="00414950"/>
    <w:rsid w:val="00415198"/>
    <w:rsid w:val="00415493"/>
    <w:rsid w:val="004158BC"/>
    <w:rsid w:val="004158D1"/>
    <w:rsid w:val="00416EEE"/>
    <w:rsid w:val="004208B4"/>
    <w:rsid w:val="00421388"/>
    <w:rsid w:val="00421772"/>
    <w:rsid w:val="00421CBA"/>
    <w:rsid w:val="00421CF8"/>
    <w:rsid w:val="00421E2B"/>
    <w:rsid w:val="004241AB"/>
    <w:rsid w:val="004245B9"/>
    <w:rsid w:val="00424D07"/>
    <w:rsid w:val="00424D93"/>
    <w:rsid w:val="00425746"/>
    <w:rsid w:val="00427E85"/>
    <w:rsid w:val="00430467"/>
    <w:rsid w:val="00430981"/>
    <w:rsid w:val="00430C58"/>
    <w:rsid w:val="00431C90"/>
    <w:rsid w:val="0043279D"/>
    <w:rsid w:val="004347AB"/>
    <w:rsid w:val="00436E9E"/>
    <w:rsid w:val="00436EEF"/>
    <w:rsid w:val="00437373"/>
    <w:rsid w:val="0043760B"/>
    <w:rsid w:val="004379A3"/>
    <w:rsid w:val="004404D7"/>
    <w:rsid w:val="00440F29"/>
    <w:rsid w:val="0044108A"/>
    <w:rsid w:val="00443205"/>
    <w:rsid w:val="0044436E"/>
    <w:rsid w:val="004453A7"/>
    <w:rsid w:val="00445DE6"/>
    <w:rsid w:val="004460CF"/>
    <w:rsid w:val="00446225"/>
    <w:rsid w:val="00446A26"/>
    <w:rsid w:val="004479DE"/>
    <w:rsid w:val="00447A67"/>
    <w:rsid w:val="00447B95"/>
    <w:rsid w:val="00447E4D"/>
    <w:rsid w:val="004500A0"/>
    <w:rsid w:val="0045074C"/>
    <w:rsid w:val="00451133"/>
    <w:rsid w:val="00453895"/>
    <w:rsid w:val="00454A72"/>
    <w:rsid w:val="00454D42"/>
    <w:rsid w:val="004561BD"/>
    <w:rsid w:val="00456907"/>
    <w:rsid w:val="004574F2"/>
    <w:rsid w:val="00457F2A"/>
    <w:rsid w:val="004605C8"/>
    <w:rsid w:val="004610C8"/>
    <w:rsid w:val="00461582"/>
    <w:rsid w:val="00461A6E"/>
    <w:rsid w:val="004629DA"/>
    <w:rsid w:val="004630D9"/>
    <w:rsid w:val="00463483"/>
    <w:rsid w:val="00463CB3"/>
    <w:rsid w:val="0046583F"/>
    <w:rsid w:val="004666F0"/>
    <w:rsid w:val="00466D00"/>
    <w:rsid w:val="004672F1"/>
    <w:rsid w:val="00470263"/>
    <w:rsid w:val="004715DE"/>
    <w:rsid w:val="004717F3"/>
    <w:rsid w:val="004722AD"/>
    <w:rsid w:val="00472360"/>
    <w:rsid w:val="00472707"/>
    <w:rsid w:val="0047323E"/>
    <w:rsid w:val="00473DA9"/>
    <w:rsid w:val="00474869"/>
    <w:rsid w:val="00474E42"/>
    <w:rsid w:val="00475DD7"/>
    <w:rsid w:val="004764A4"/>
    <w:rsid w:val="00477462"/>
    <w:rsid w:val="00477F0F"/>
    <w:rsid w:val="0048018D"/>
    <w:rsid w:val="0048103E"/>
    <w:rsid w:val="004827FD"/>
    <w:rsid w:val="00482F26"/>
    <w:rsid w:val="00483E68"/>
    <w:rsid w:val="0048406C"/>
    <w:rsid w:val="00484953"/>
    <w:rsid w:val="00484C78"/>
    <w:rsid w:val="00484EA0"/>
    <w:rsid w:val="0048560B"/>
    <w:rsid w:val="004856AD"/>
    <w:rsid w:val="00485C7C"/>
    <w:rsid w:val="0048637D"/>
    <w:rsid w:val="004869D3"/>
    <w:rsid w:val="00486B0A"/>
    <w:rsid w:val="00486ED3"/>
    <w:rsid w:val="004874C5"/>
    <w:rsid w:val="00487FDB"/>
    <w:rsid w:val="00490285"/>
    <w:rsid w:val="004905E5"/>
    <w:rsid w:val="004906D1"/>
    <w:rsid w:val="00490775"/>
    <w:rsid w:val="004917EE"/>
    <w:rsid w:val="00491A5A"/>
    <w:rsid w:val="00491B9A"/>
    <w:rsid w:val="004930BF"/>
    <w:rsid w:val="00493B37"/>
    <w:rsid w:val="0049437D"/>
    <w:rsid w:val="004956AA"/>
    <w:rsid w:val="00496171"/>
    <w:rsid w:val="00496936"/>
    <w:rsid w:val="004976DF"/>
    <w:rsid w:val="00497B32"/>
    <w:rsid w:val="00497C04"/>
    <w:rsid w:val="004A1176"/>
    <w:rsid w:val="004A19AB"/>
    <w:rsid w:val="004A311E"/>
    <w:rsid w:val="004A37D8"/>
    <w:rsid w:val="004A3D87"/>
    <w:rsid w:val="004A425E"/>
    <w:rsid w:val="004A4390"/>
    <w:rsid w:val="004A4572"/>
    <w:rsid w:val="004A6626"/>
    <w:rsid w:val="004A6F22"/>
    <w:rsid w:val="004A73B7"/>
    <w:rsid w:val="004A7FCE"/>
    <w:rsid w:val="004B015C"/>
    <w:rsid w:val="004B0BB2"/>
    <w:rsid w:val="004B1187"/>
    <w:rsid w:val="004B1310"/>
    <w:rsid w:val="004B16F9"/>
    <w:rsid w:val="004B177D"/>
    <w:rsid w:val="004B20D2"/>
    <w:rsid w:val="004B23A1"/>
    <w:rsid w:val="004B2568"/>
    <w:rsid w:val="004B5A38"/>
    <w:rsid w:val="004B6B30"/>
    <w:rsid w:val="004B738B"/>
    <w:rsid w:val="004B7C22"/>
    <w:rsid w:val="004C1889"/>
    <w:rsid w:val="004C2316"/>
    <w:rsid w:val="004C25CA"/>
    <w:rsid w:val="004C28A8"/>
    <w:rsid w:val="004C3B7B"/>
    <w:rsid w:val="004C3F70"/>
    <w:rsid w:val="004C4CF4"/>
    <w:rsid w:val="004C518A"/>
    <w:rsid w:val="004C5821"/>
    <w:rsid w:val="004C5AE1"/>
    <w:rsid w:val="004C5F14"/>
    <w:rsid w:val="004C61CE"/>
    <w:rsid w:val="004C72F4"/>
    <w:rsid w:val="004C734C"/>
    <w:rsid w:val="004D0FD9"/>
    <w:rsid w:val="004D1A6F"/>
    <w:rsid w:val="004D1C35"/>
    <w:rsid w:val="004D2003"/>
    <w:rsid w:val="004D246D"/>
    <w:rsid w:val="004D3133"/>
    <w:rsid w:val="004D4A6B"/>
    <w:rsid w:val="004D4C82"/>
    <w:rsid w:val="004D54C8"/>
    <w:rsid w:val="004D5F8A"/>
    <w:rsid w:val="004D62CD"/>
    <w:rsid w:val="004E0289"/>
    <w:rsid w:val="004E113F"/>
    <w:rsid w:val="004E1CBD"/>
    <w:rsid w:val="004E21A5"/>
    <w:rsid w:val="004E235E"/>
    <w:rsid w:val="004E2975"/>
    <w:rsid w:val="004E29F9"/>
    <w:rsid w:val="004E2C2F"/>
    <w:rsid w:val="004E374E"/>
    <w:rsid w:val="004E37AD"/>
    <w:rsid w:val="004E43E3"/>
    <w:rsid w:val="004E45F2"/>
    <w:rsid w:val="004E5809"/>
    <w:rsid w:val="004E5EC4"/>
    <w:rsid w:val="004E6518"/>
    <w:rsid w:val="004E6528"/>
    <w:rsid w:val="004E68E5"/>
    <w:rsid w:val="004E6EA8"/>
    <w:rsid w:val="004E7C90"/>
    <w:rsid w:val="004F0CE8"/>
    <w:rsid w:val="004F213C"/>
    <w:rsid w:val="004F23D8"/>
    <w:rsid w:val="004F2405"/>
    <w:rsid w:val="004F2ADB"/>
    <w:rsid w:val="004F2EE4"/>
    <w:rsid w:val="004F3F09"/>
    <w:rsid w:val="004F4068"/>
    <w:rsid w:val="004F46FF"/>
    <w:rsid w:val="004F4E98"/>
    <w:rsid w:val="004F516B"/>
    <w:rsid w:val="004F5734"/>
    <w:rsid w:val="004F5D79"/>
    <w:rsid w:val="004F6E2C"/>
    <w:rsid w:val="004F70AA"/>
    <w:rsid w:val="004F7AED"/>
    <w:rsid w:val="00500854"/>
    <w:rsid w:val="00501658"/>
    <w:rsid w:val="00501D96"/>
    <w:rsid w:val="00502E3F"/>
    <w:rsid w:val="00503048"/>
    <w:rsid w:val="00503363"/>
    <w:rsid w:val="00503F33"/>
    <w:rsid w:val="00505BF8"/>
    <w:rsid w:val="00507BE2"/>
    <w:rsid w:val="00510129"/>
    <w:rsid w:val="00511092"/>
    <w:rsid w:val="0051284A"/>
    <w:rsid w:val="00512891"/>
    <w:rsid w:val="00512D51"/>
    <w:rsid w:val="00512EB3"/>
    <w:rsid w:val="00512F36"/>
    <w:rsid w:val="005161AF"/>
    <w:rsid w:val="0051660C"/>
    <w:rsid w:val="005169D0"/>
    <w:rsid w:val="00516AEA"/>
    <w:rsid w:val="00516B1E"/>
    <w:rsid w:val="00516DC0"/>
    <w:rsid w:val="0051703A"/>
    <w:rsid w:val="005177EF"/>
    <w:rsid w:val="00517DFF"/>
    <w:rsid w:val="0052007B"/>
    <w:rsid w:val="00520E4F"/>
    <w:rsid w:val="00521195"/>
    <w:rsid w:val="00521B74"/>
    <w:rsid w:val="0052223E"/>
    <w:rsid w:val="00522314"/>
    <w:rsid w:val="005224A6"/>
    <w:rsid w:val="005225C0"/>
    <w:rsid w:val="00523F6D"/>
    <w:rsid w:val="00524C2C"/>
    <w:rsid w:val="00524D23"/>
    <w:rsid w:val="0052506F"/>
    <w:rsid w:val="005251A5"/>
    <w:rsid w:val="005257B2"/>
    <w:rsid w:val="00525966"/>
    <w:rsid w:val="0052779F"/>
    <w:rsid w:val="0053336E"/>
    <w:rsid w:val="0053346A"/>
    <w:rsid w:val="005338B9"/>
    <w:rsid w:val="005339A5"/>
    <w:rsid w:val="00533EB6"/>
    <w:rsid w:val="00534381"/>
    <w:rsid w:val="005359D9"/>
    <w:rsid w:val="00536135"/>
    <w:rsid w:val="0053740D"/>
    <w:rsid w:val="00540321"/>
    <w:rsid w:val="00540557"/>
    <w:rsid w:val="0054073B"/>
    <w:rsid w:val="00540931"/>
    <w:rsid w:val="0054095B"/>
    <w:rsid w:val="00541670"/>
    <w:rsid w:val="00541FE6"/>
    <w:rsid w:val="00542045"/>
    <w:rsid w:val="005422F8"/>
    <w:rsid w:val="005424EA"/>
    <w:rsid w:val="0054342E"/>
    <w:rsid w:val="00543650"/>
    <w:rsid w:val="005437B9"/>
    <w:rsid w:val="0054432B"/>
    <w:rsid w:val="00544C39"/>
    <w:rsid w:val="00544C73"/>
    <w:rsid w:val="00544E8C"/>
    <w:rsid w:val="005451F5"/>
    <w:rsid w:val="0054565B"/>
    <w:rsid w:val="005457AB"/>
    <w:rsid w:val="005458D7"/>
    <w:rsid w:val="00545A60"/>
    <w:rsid w:val="005464DE"/>
    <w:rsid w:val="00546AAB"/>
    <w:rsid w:val="00547945"/>
    <w:rsid w:val="00547B1C"/>
    <w:rsid w:val="0055075F"/>
    <w:rsid w:val="00551628"/>
    <w:rsid w:val="00551957"/>
    <w:rsid w:val="00553445"/>
    <w:rsid w:val="00553A3B"/>
    <w:rsid w:val="005544F6"/>
    <w:rsid w:val="00555D0E"/>
    <w:rsid w:val="00556A67"/>
    <w:rsid w:val="00556B07"/>
    <w:rsid w:val="005571FC"/>
    <w:rsid w:val="0056138C"/>
    <w:rsid w:val="00561A43"/>
    <w:rsid w:val="0056202F"/>
    <w:rsid w:val="0056232F"/>
    <w:rsid w:val="0056239C"/>
    <w:rsid w:val="005628C7"/>
    <w:rsid w:val="005631C1"/>
    <w:rsid w:val="00563518"/>
    <w:rsid w:val="00563914"/>
    <w:rsid w:val="00564514"/>
    <w:rsid w:val="00564939"/>
    <w:rsid w:val="00564DCD"/>
    <w:rsid w:val="005651C7"/>
    <w:rsid w:val="00565318"/>
    <w:rsid w:val="00565707"/>
    <w:rsid w:val="00565856"/>
    <w:rsid w:val="005658EA"/>
    <w:rsid w:val="00565DE1"/>
    <w:rsid w:val="00566CAE"/>
    <w:rsid w:val="00567DCA"/>
    <w:rsid w:val="005710A3"/>
    <w:rsid w:val="005718CC"/>
    <w:rsid w:val="00572184"/>
    <w:rsid w:val="00572639"/>
    <w:rsid w:val="00572F3A"/>
    <w:rsid w:val="00573121"/>
    <w:rsid w:val="0057416E"/>
    <w:rsid w:val="00574C53"/>
    <w:rsid w:val="0057512D"/>
    <w:rsid w:val="00575497"/>
    <w:rsid w:val="00575A4E"/>
    <w:rsid w:val="00576327"/>
    <w:rsid w:val="0057633B"/>
    <w:rsid w:val="005767B9"/>
    <w:rsid w:val="00576C5E"/>
    <w:rsid w:val="00577CD2"/>
    <w:rsid w:val="00577D4D"/>
    <w:rsid w:val="00581512"/>
    <w:rsid w:val="00581F5D"/>
    <w:rsid w:val="005839E0"/>
    <w:rsid w:val="00583B6F"/>
    <w:rsid w:val="00584139"/>
    <w:rsid w:val="00584B7F"/>
    <w:rsid w:val="00585066"/>
    <w:rsid w:val="00585655"/>
    <w:rsid w:val="00585994"/>
    <w:rsid w:val="00585A93"/>
    <w:rsid w:val="00585C6E"/>
    <w:rsid w:val="00586193"/>
    <w:rsid w:val="005862B2"/>
    <w:rsid w:val="005866E4"/>
    <w:rsid w:val="00587868"/>
    <w:rsid w:val="00590450"/>
    <w:rsid w:val="00590640"/>
    <w:rsid w:val="0059171B"/>
    <w:rsid w:val="005917B9"/>
    <w:rsid w:val="00592036"/>
    <w:rsid w:val="00592133"/>
    <w:rsid w:val="00592460"/>
    <w:rsid w:val="005931F7"/>
    <w:rsid w:val="00593248"/>
    <w:rsid w:val="00594B08"/>
    <w:rsid w:val="00594B99"/>
    <w:rsid w:val="00595285"/>
    <w:rsid w:val="00595327"/>
    <w:rsid w:val="005957FE"/>
    <w:rsid w:val="0059611B"/>
    <w:rsid w:val="0059640C"/>
    <w:rsid w:val="005966B4"/>
    <w:rsid w:val="00596F16"/>
    <w:rsid w:val="0059711E"/>
    <w:rsid w:val="005972C2"/>
    <w:rsid w:val="00597507"/>
    <w:rsid w:val="005978E5"/>
    <w:rsid w:val="005A15FD"/>
    <w:rsid w:val="005A1AA3"/>
    <w:rsid w:val="005A239B"/>
    <w:rsid w:val="005A2F53"/>
    <w:rsid w:val="005A31D7"/>
    <w:rsid w:val="005A3986"/>
    <w:rsid w:val="005A3EEE"/>
    <w:rsid w:val="005A42CE"/>
    <w:rsid w:val="005A4970"/>
    <w:rsid w:val="005A49D2"/>
    <w:rsid w:val="005A5298"/>
    <w:rsid w:val="005A53AC"/>
    <w:rsid w:val="005A55AF"/>
    <w:rsid w:val="005A5866"/>
    <w:rsid w:val="005A5888"/>
    <w:rsid w:val="005A6720"/>
    <w:rsid w:val="005A7403"/>
    <w:rsid w:val="005A7996"/>
    <w:rsid w:val="005A7A4E"/>
    <w:rsid w:val="005A7C82"/>
    <w:rsid w:val="005A7E77"/>
    <w:rsid w:val="005B03C3"/>
    <w:rsid w:val="005B0852"/>
    <w:rsid w:val="005B1810"/>
    <w:rsid w:val="005B2169"/>
    <w:rsid w:val="005B34C1"/>
    <w:rsid w:val="005B3C39"/>
    <w:rsid w:val="005B490B"/>
    <w:rsid w:val="005B4D8D"/>
    <w:rsid w:val="005B4F22"/>
    <w:rsid w:val="005B5990"/>
    <w:rsid w:val="005B6FBF"/>
    <w:rsid w:val="005B72CC"/>
    <w:rsid w:val="005B7E15"/>
    <w:rsid w:val="005C02BD"/>
    <w:rsid w:val="005C04E0"/>
    <w:rsid w:val="005C084B"/>
    <w:rsid w:val="005C09D5"/>
    <w:rsid w:val="005C1AEA"/>
    <w:rsid w:val="005C2355"/>
    <w:rsid w:val="005C3411"/>
    <w:rsid w:val="005C4E8E"/>
    <w:rsid w:val="005C51CE"/>
    <w:rsid w:val="005C61D8"/>
    <w:rsid w:val="005C62F7"/>
    <w:rsid w:val="005C6F34"/>
    <w:rsid w:val="005C7781"/>
    <w:rsid w:val="005C7BA5"/>
    <w:rsid w:val="005D0337"/>
    <w:rsid w:val="005D0EDA"/>
    <w:rsid w:val="005D10B7"/>
    <w:rsid w:val="005D1408"/>
    <w:rsid w:val="005D1FE5"/>
    <w:rsid w:val="005D21AC"/>
    <w:rsid w:val="005D27C6"/>
    <w:rsid w:val="005D27F9"/>
    <w:rsid w:val="005D34AA"/>
    <w:rsid w:val="005D36A1"/>
    <w:rsid w:val="005D4C30"/>
    <w:rsid w:val="005D5168"/>
    <w:rsid w:val="005D67A1"/>
    <w:rsid w:val="005D714B"/>
    <w:rsid w:val="005D7E39"/>
    <w:rsid w:val="005E0341"/>
    <w:rsid w:val="005E0C09"/>
    <w:rsid w:val="005E0D27"/>
    <w:rsid w:val="005E11F4"/>
    <w:rsid w:val="005E12F1"/>
    <w:rsid w:val="005E1EFA"/>
    <w:rsid w:val="005E210C"/>
    <w:rsid w:val="005E22C8"/>
    <w:rsid w:val="005E2870"/>
    <w:rsid w:val="005E2876"/>
    <w:rsid w:val="005E28B4"/>
    <w:rsid w:val="005E2C61"/>
    <w:rsid w:val="005E2FA1"/>
    <w:rsid w:val="005E2FDC"/>
    <w:rsid w:val="005E3D87"/>
    <w:rsid w:val="005E49AE"/>
    <w:rsid w:val="005E4F56"/>
    <w:rsid w:val="005E61EF"/>
    <w:rsid w:val="005E7A65"/>
    <w:rsid w:val="005F10C9"/>
    <w:rsid w:val="005F5110"/>
    <w:rsid w:val="005F5D2E"/>
    <w:rsid w:val="005F5D6B"/>
    <w:rsid w:val="005F7C93"/>
    <w:rsid w:val="00600643"/>
    <w:rsid w:val="006009DE"/>
    <w:rsid w:val="00600BA7"/>
    <w:rsid w:val="00600E3C"/>
    <w:rsid w:val="006028FC"/>
    <w:rsid w:val="00603510"/>
    <w:rsid w:val="00603817"/>
    <w:rsid w:val="00603881"/>
    <w:rsid w:val="00604755"/>
    <w:rsid w:val="00604796"/>
    <w:rsid w:val="00604B13"/>
    <w:rsid w:val="00604BDD"/>
    <w:rsid w:val="006051B4"/>
    <w:rsid w:val="0060638B"/>
    <w:rsid w:val="006068FC"/>
    <w:rsid w:val="0060699E"/>
    <w:rsid w:val="0060779B"/>
    <w:rsid w:val="00607B9F"/>
    <w:rsid w:val="00607DC1"/>
    <w:rsid w:val="006119FA"/>
    <w:rsid w:val="0061320F"/>
    <w:rsid w:val="00613708"/>
    <w:rsid w:val="0061432C"/>
    <w:rsid w:val="00614714"/>
    <w:rsid w:val="006164B8"/>
    <w:rsid w:val="00616CA8"/>
    <w:rsid w:val="006202CF"/>
    <w:rsid w:val="00620B7F"/>
    <w:rsid w:val="00621C64"/>
    <w:rsid w:val="006222AA"/>
    <w:rsid w:val="006232EE"/>
    <w:rsid w:val="00623846"/>
    <w:rsid w:val="006246C2"/>
    <w:rsid w:val="00624986"/>
    <w:rsid w:val="00625103"/>
    <w:rsid w:val="00625163"/>
    <w:rsid w:val="00625A44"/>
    <w:rsid w:val="006270FB"/>
    <w:rsid w:val="0062746B"/>
    <w:rsid w:val="00630B2B"/>
    <w:rsid w:val="00630DCC"/>
    <w:rsid w:val="00631674"/>
    <w:rsid w:val="006319ED"/>
    <w:rsid w:val="00631A99"/>
    <w:rsid w:val="00631C07"/>
    <w:rsid w:val="00633018"/>
    <w:rsid w:val="006332B4"/>
    <w:rsid w:val="0063343E"/>
    <w:rsid w:val="00634235"/>
    <w:rsid w:val="00634A8E"/>
    <w:rsid w:val="00634E84"/>
    <w:rsid w:val="00635147"/>
    <w:rsid w:val="0063563A"/>
    <w:rsid w:val="00637349"/>
    <w:rsid w:val="006373CA"/>
    <w:rsid w:val="00637E4C"/>
    <w:rsid w:val="00641C18"/>
    <w:rsid w:val="00642036"/>
    <w:rsid w:val="00642140"/>
    <w:rsid w:val="0064216E"/>
    <w:rsid w:val="0064265A"/>
    <w:rsid w:val="00643146"/>
    <w:rsid w:val="0064317C"/>
    <w:rsid w:val="0064374F"/>
    <w:rsid w:val="00644A36"/>
    <w:rsid w:val="00644B93"/>
    <w:rsid w:val="00644F4D"/>
    <w:rsid w:val="0064500B"/>
    <w:rsid w:val="006458DB"/>
    <w:rsid w:val="0064634D"/>
    <w:rsid w:val="00646460"/>
    <w:rsid w:val="00646BD4"/>
    <w:rsid w:val="006476F8"/>
    <w:rsid w:val="006478E9"/>
    <w:rsid w:val="00647CEB"/>
    <w:rsid w:val="006504E5"/>
    <w:rsid w:val="00650603"/>
    <w:rsid w:val="0065096A"/>
    <w:rsid w:val="006511D3"/>
    <w:rsid w:val="00651439"/>
    <w:rsid w:val="00651871"/>
    <w:rsid w:val="00653BA3"/>
    <w:rsid w:val="00654276"/>
    <w:rsid w:val="00654A8E"/>
    <w:rsid w:val="00656913"/>
    <w:rsid w:val="00656B3A"/>
    <w:rsid w:val="00656D69"/>
    <w:rsid w:val="00657175"/>
    <w:rsid w:val="006618F4"/>
    <w:rsid w:val="00661BCA"/>
    <w:rsid w:val="0066253B"/>
    <w:rsid w:val="00662713"/>
    <w:rsid w:val="00662CD7"/>
    <w:rsid w:val="006638BE"/>
    <w:rsid w:val="00663934"/>
    <w:rsid w:val="00664073"/>
    <w:rsid w:val="00664B16"/>
    <w:rsid w:val="00664F94"/>
    <w:rsid w:val="00667248"/>
    <w:rsid w:val="006673C7"/>
    <w:rsid w:val="00667727"/>
    <w:rsid w:val="006700DA"/>
    <w:rsid w:val="00670461"/>
    <w:rsid w:val="00670EB6"/>
    <w:rsid w:val="0067260A"/>
    <w:rsid w:val="00672EE5"/>
    <w:rsid w:val="00673A33"/>
    <w:rsid w:val="00673D2A"/>
    <w:rsid w:val="00673EA7"/>
    <w:rsid w:val="00674C54"/>
    <w:rsid w:val="00674E5F"/>
    <w:rsid w:val="00675271"/>
    <w:rsid w:val="00675609"/>
    <w:rsid w:val="00675957"/>
    <w:rsid w:val="00675A58"/>
    <w:rsid w:val="00676A57"/>
    <w:rsid w:val="00677375"/>
    <w:rsid w:val="006773D8"/>
    <w:rsid w:val="006815FE"/>
    <w:rsid w:val="0068278F"/>
    <w:rsid w:val="0068358C"/>
    <w:rsid w:val="0068398A"/>
    <w:rsid w:val="0068584B"/>
    <w:rsid w:val="00685B68"/>
    <w:rsid w:val="00686764"/>
    <w:rsid w:val="00687457"/>
    <w:rsid w:val="00687BDF"/>
    <w:rsid w:val="00687C47"/>
    <w:rsid w:val="0069069F"/>
    <w:rsid w:val="006916D2"/>
    <w:rsid w:val="00691E0A"/>
    <w:rsid w:val="00692DC6"/>
    <w:rsid w:val="00692EBE"/>
    <w:rsid w:val="00692F1A"/>
    <w:rsid w:val="0069375B"/>
    <w:rsid w:val="00693B63"/>
    <w:rsid w:val="0069453E"/>
    <w:rsid w:val="006949B2"/>
    <w:rsid w:val="00694C6C"/>
    <w:rsid w:val="00694DC3"/>
    <w:rsid w:val="0069521F"/>
    <w:rsid w:val="0069540B"/>
    <w:rsid w:val="006959A3"/>
    <w:rsid w:val="00697AC8"/>
    <w:rsid w:val="00697F4B"/>
    <w:rsid w:val="006A03B7"/>
    <w:rsid w:val="006A055A"/>
    <w:rsid w:val="006A1ADB"/>
    <w:rsid w:val="006A20AE"/>
    <w:rsid w:val="006A2832"/>
    <w:rsid w:val="006A3E76"/>
    <w:rsid w:val="006A42EE"/>
    <w:rsid w:val="006A4969"/>
    <w:rsid w:val="006A4D6A"/>
    <w:rsid w:val="006A5457"/>
    <w:rsid w:val="006A5E73"/>
    <w:rsid w:val="006A5ED4"/>
    <w:rsid w:val="006A60FA"/>
    <w:rsid w:val="006A62CF"/>
    <w:rsid w:val="006A76BF"/>
    <w:rsid w:val="006A7D6A"/>
    <w:rsid w:val="006B09E0"/>
    <w:rsid w:val="006B1FA5"/>
    <w:rsid w:val="006B251D"/>
    <w:rsid w:val="006B2A5B"/>
    <w:rsid w:val="006B3F8C"/>
    <w:rsid w:val="006B4E0C"/>
    <w:rsid w:val="006B57E4"/>
    <w:rsid w:val="006B6A39"/>
    <w:rsid w:val="006B6C15"/>
    <w:rsid w:val="006C09AB"/>
    <w:rsid w:val="006C1B89"/>
    <w:rsid w:val="006C24D4"/>
    <w:rsid w:val="006C2B15"/>
    <w:rsid w:val="006C372B"/>
    <w:rsid w:val="006C37C8"/>
    <w:rsid w:val="006C381C"/>
    <w:rsid w:val="006C41EC"/>
    <w:rsid w:val="006C44F1"/>
    <w:rsid w:val="006C4C3A"/>
    <w:rsid w:val="006C56A4"/>
    <w:rsid w:val="006C6A5F"/>
    <w:rsid w:val="006C706B"/>
    <w:rsid w:val="006C7B0E"/>
    <w:rsid w:val="006D09FD"/>
    <w:rsid w:val="006D0F9A"/>
    <w:rsid w:val="006D1458"/>
    <w:rsid w:val="006D1B24"/>
    <w:rsid w:val="006D20DE"/>
    <w:rsid w:val="006D24AD"/>
    <w:rsid w:val="006D275A"/>
    <w:rsid w:val="006D2BEC"/>
    <w:rsid w:val="006D2E17"/>
    <w:rsid w:val="006D2EB2"/>
    <w:rsid w:val="006D303C"/>
    <w:rsid w:val="006D324C"/>
    <w:rsid w:val="006D3514"/>
    <w:rsid w:val="006D412B"/>
    <w:rsid w:val="006D45E3"/>
    <w:rsid w:val="006D4785"/>
    <w:rsid w:val="006D5589"/>
    <w:rsid w:val="006D5841"/>
    <w:rsid w:val="006D60F1"/>
    <w:rsid w:val="006D69B4"/>
    <w:rsid w:val="006D6E3A"/>
    <w:rsid w:val="006D7116"/>
    <w:rsid w:val="006D71D0"/>
    <w:rsid w:val="006D7395"/>
    <w:rsid w:val="006D7937"/>
    <w:rsid w:val="006D7C16"/>
    <w:rsid w:val="006E0233"/>
    <w:rsid w:val="006E0A76"/>
    <w:rsid w:val="006E0CF7"/>
    <w:rsid w:val="006E1024"/>
    <w:rsid w:val="006E2333"/>
    <w:rsid w:val="006E2777"/>
    <w:rsid w:val="006E2D4E"/>
    <w:rsid w:val="006E3A6B"/>
    <w:rsid w:val="006E3FCD"/>
    <w:rsid w:val="006E4200"/>
    <w:rsid w:val="006E4532"/>
    <w:rsid w:val="006E4BCB"/>
    <w:rsid w:val="006E4DF7"/>
    <w:rsid w:val="006E4F68"/>
    <w:rsid w:val="006E4FB8"/>
    <w:rsid w:val="006E5041"/>
    <w:rsid w:val="006E5233"/>
    <w:rsid w:val="006E5DDE"/>
    <w:rsid w:val="006E62E6"/>
    <w:rsid w:val="006E64D5"/>
    <w:rsid w:val="006E65A8"/>
    <w:rsid w:val="006E6983"/>
    <w:rsid w:val="006E790D"/>
    <w:rsid w:val="006F00F8"/>
    <w:rsid w:val="006F0836"/>
    <w:rsid w:val="006F0937"/>
    <w:rsid w:val="006F0BF1"/>
    <w:rsid w:val="006F1D3E"/>
    <w:rsid w:val="006F3688"/>
    <w:rsid w:val="006F3ED0"/>
    <w:rsid w:val="006F47EE"/>
    <w:rsid w:val="006F4D0B"/>
    <w:rsid w:val="006F5939"/>
    <w:rsid w:val="006F5957"/>
    <w:rsid w:val="006F5AFE"/>
    <w:rsid w:val="006F5C1A"/>
    <w:rsid w:val="006F5DF8"/>
    <w:rsid w:val="006F5E0A"/>
    <w:rsid w:val="006F6035"/>
    <w:rsid w:val="006F6098"/>
    <w:rsid w:val="006F61F7"/>
    <w:rsid w:val="006F7A29"/>
    <w:rsid w:val="006F7B12"/>
    <w:rsid w:val="00700795"/>
    <w:rsid w:val="00700A8F"/>
    <w:rsid w:val="00700D3C"/>
    <w:rsid w:val="007016CC"/>
    <w:rsid w:val="00703BE2"/>
    <w:rsid w:val="00703E23"/>
    <w:rsid w:val="00704009"/>
    <w:rsid w:val="00704E84"/>
    <w:rsid w:val="0070546D"/>
    <w:rsid w:val="00705C44"/>
    <w:rsid w:val="00705FFE"/>
    <w:rsid w:val="007061B1"/>
    <w:rsid w:val="0070646A"/>
    <w:rsid w:val="007067CD"/>
    <w:rsid w:val="007069ED"/>
    <w:rsid w:val="007072BD"/>
    <w:rsid w:val="007076D5"/>
    <w:rsid w:val="0070770A"/>
    <w:rsid w:val="0070799E"/>
    <w:rsid w:val="007103C2"/>
    <w:rsid w:val="00710F8B"/>
    <w:rsid w:val="00711430"/>
    <w:rsid w:val="00711ADA"/>
    <w:rsid w:val="007125D0"/>
    <w:rsid w:val="00712FE8"/>
    <w:rsid w:val="0071380A"/>
    <w:rsid w:val="00713AFC"/>
    <w:rsid w:val="0071404A"/>
    <w:rsid w:val="0071420A"/>
    <w:rsid w:val="00714979"/>
    <w:rsid w:val="00714A00"/>
    <w:rsid w:val="00714BF4"/>
    <w:rsid w:val="00714E3F"/>
    <w:rsid w:val="00715071"/>
    <w:rsid w:val="007155B7"/>
    <w:rsid w:val="00715EE9"/>
    <w:rsid w:val="007165AA"/>
    <w:rsid w:val="007176F8"/>
    <w:rsid w:val="007204B6"/>
    <w:rsid w:val="00721F05"/>
    <w:rsid w:val="007226A8"/>
    <w:rsid w:val="007227FE"/>
    <w:rsid w:val="00724EC8"/>
    <w:rsid w:val="00725669"/>
    <w:rsid w:val="0072600B"/>
    <w:rsid w:val="007268B9"/>
    <w:rsid w:val="00730ED0"/>
    <w:rsid w:val="00731635"/>
    <w:rsid w:val="00731EC4"/>
    <w:rsid w:val="00732375"/>
    <w:rsid w:val="00732868"/>
    <w:rsid w:val="007336A6"/>
    <w:rsid w:val="00733C25"/>
    <w:rsid w:val="0073444C"/>
    <w:rsid w:val="007346E1"/>
    <w:rsid w:val="0073539E"/>
    <w:rsid w:val="007361D1"/>
    <w:rsid w:val="0073690B"/>
    <w:rsid w:val="00736C2E"/>
    <w:rsid w:val="0073710A"/>
    <w:rsid w:val="00737481"/>
    <w:rsid w:val="0074070E"/>
    <w:rsid w:val="007418F7"/>
    <w:rsid w:val="00741E18"/>
    <w:rsid w:val="0074227F"/>
    <w:rsid w:val="00743A3F"/>
    <w:rsid w:val="00744958"/>
    <w:rsid w:val="00744E08"/>
    <w:rsid w:val="00744F0D"/>
    <w:rsid w:val="00745BB9"/>
    <w:rsid w:val="0074657B"/>
    <w:rsid w:val="007467C3"/>
    <w:rsid w:val="007478A1"/>
    <w:rsid w:val="007503B6"/>
    <w:rsid w:val="007510A4"/>
    <w:rsid w:val="00751DF5"/>
    <w:rsid w:val="00752F1A"/>
    <w:rsid w:val="007533CA"/>
    <w:rsid w:val="00753DA4"/>
    <w:rsid w:val="0075467A"/>
    <w:rsid w:val="007548CB"/>
    <w:rsid w:val="00754AA4"/>
    <w:rsid w:val="0075510B"/>
    <w:rsid w:val="00755850"/>
    <w:rsid w:val="00755E9C"/>
    <w:rsid w:val="0075625E"/>
    <w:rsid w:val="007572C1"/>
    <w:rsid w:val="007575B6"/>
    <w:rsid w:val="007577D5"/>
    <w:rsid w:val="007604CA"/>
    <w:rsid w:val="00761021"/>
    <w:rsid w:val="0076173D"/>
    <w:rsid w:val="00761E63"/>
    <w:rsid w:val="00763220"/>
    <w:rsid w:val="00763908"/>
    <w:rsid w:val="0076396F"/>
    <w:rsid w:val="007646E0"/>
    <w:rsid w:val="00764B6F"/>
    <w:rsid w:val="00771B9C"/>
    <w:rsid w:val="007720D4"/>
    <w:rsid w:val="00772B75"/>
    <w:rsid w:val="007740EA"/>
    <w:rsid w:val="00774ED2"/>
    <w:rsid w:val="007750A2"/>
    <w:rsid w:val="007751EE"/>
    <w:rsid w:val="007756DA"/>
    <w:rsid w:val="00776462"/>
    <w:rsid w:val="00776F18"/>
    <w:rsid w:val="007770C2"/>
    <w:rsid w:val="007773F0"/>
    <w:rsid w:val="00777531"/>
    <w:rsid w:val="00777B4E"/>
    <w:rsid w:val="00777D62"/>
    <w:rsid w:val="00780042"/>
    <w:rsid w:val="0078077A"/>
    <w:rsid w:val="00780F41"/>
    <w:rsid w:val="00782FED"/>
    <w:rsid w:val="00783D7C"/>
    <w:rsid w:val="007842F6"/>
    <w:rsid w:val="0078448C"/>
    <w:rsid w:val="007845DF"/>
    <w:rsid w:val="00784AFA"/>
    <w:rsid w:val="00786E57"/>
    <w:rsid w:val="00787109"/>
    <w:rsid w:val="00787B2F"/>
    <w:rsid w:val="0079065A"/>
    <w:rsid w:val="00791203"/>
    <w:rsid w:val="007912FB"/>
    <w:rsid w:val="007914B0"/>
    <w:rsid w:val="00791908"/>
    <w:rsid w:val="00792018"/>
    <w:rsid w:val="007932EC"/>
    <w:rsid w:val="00794249"/>
    <w:rsid w:val="00794FA3"/>
    <w:rsid w:val="007969D5"/>
    <w:rsid w:val="00796BE6"/>
    <w:rsid w:val="00796D7E"/>
    <w:rsid w:val="007979B5"/>
    <w:rsid w:val="007A01D9"/>
    <w:rsid w:val="007A0302"/>
    <w:rsid w:val="007A0883"/>
    <w:rsid w:val="007A0B3E"/>
    <w:rsid w:val="007A0DEF"/>
    <w:rsid w:val="007A0E0A"/>
    <w:rsid w:val="007A14E3"/>
    <w:rsid w:val="007A22BB"/>
    <w:rsid w:val="007A2385"/>
    <w:rsid w:val="007A2BE5"/>
    <w:rsid w:val="007A2E98"/>
    <w:rsid w:val="007A2F9B"/>
    <w:rsid w:val="007A347A"/>
    <w:rsid w:val="007A3EEB"/>
    <w:rsid w:val="007A4F3C"/>
    <w:rsid w:val="007A5504"/>
    <w:rsid w:val="007A6164"/>
    <w:rsid w:val="007A6437"/>
    <w:rsid w:val="007A6E28"/>
    <w:rsid w:val="007A720E"/>
    <w:rsid w:val="007A73F9"/>
    <w:rsid w:val="007A750A"/>
    <w:rsid w:val="007A786F"/>
    <w:rsid w:val="007B0213"/>
    <w:rsid w:val="007B035E"/>
    <w:rsid w:val="007B0B73"/>
    <w:rsid w:val="007B1193"/>
    <w:rsid w:val="007B1BEA"/>
    <w:rsid w:val="007B21A8"/>
    <w:rsid w:val="007B25C8"/>
    <w:rsid w:val="007B295B"/>
    <w:rsid w:val="007B2C6D"/>
    <w:rsid w:val="007B3016"/>
    <w:rsid w:val="007B31B1"/>
    <w:rsid w:val="007B454D"/>
    <w:rsid w:val="007B519E"/>
    <w:rsid w:val="007B5FF9"/>
    <w:rsid w:val="007B74AE"/>
    <w:rsid w:val="007B7850"/>
    <w:rsid w:val="007B7E23"/>
    <w:rsid w:val="007B7FD2"/>
    <w:rsid w:val="007C1147"/>
    <w:rsid w:val="007C15B0"/>
    <w:rsid w:val="007C1843"/>
    <w:rsid w:val="007C1ABA"/>
    <w:rsid w:val="007C1F64"/>
    <w:rsid w:val="007C2EF8"/>
    <w:rsid w:val="007C4E1F"/>
    <w:rsid w:val="007C50B3"/>
    <w:rsid w:val="007C61E0"/>
    <w:rsid w:val="007C6A1A"/>
    <w:rsid w:val="007C6B65"/>
    <w:rsid w:val="007C6C23"/>
    <w:rsid w:val="007C74E5"/>
    <w:rsid w:val="007C7B0F"/>
    <w:rsid w:val="007D017E"/>
    <w:rsid w:val="007D1554"/>
    <w:rsid w:val="007D15BF"/>
    <w:rsid w:val="007D2284"/>
    <w:rsid w:val="007D2EB9"/>
    <w:rsid w:val="007D3191"/>
    <w:rsid w:val="007D3547"/>
    <w:rsid w:val="007D3890"/>
    <w:rsid w:val="007D39DE"/>
    <w:rsid w:val="007D41B0"/>
    <w:rsid w:val="007D4318"/>
    <w:rsid w:val="007D47D3"/>
    <w:rsid w:val="007D4F1E"/>
    <w:rsid w:val="007D6357"/>
    <w:rsid w:val="007D73FC"/>
    <w:rsid w:val="007D79E6"/>
    <w:rsid w:val="007D7E63"/>
    <w:rsid w:val="007E0454"/>
    <w:rsid w:val="007E0D20"/>
    <w:rsid w:val="007E1BC2"/>
    <w:rsid w:val="007E1DB1"/>
    <w:rsid w:val="007E205D"/>
    <w:rsid w:val="007E25F3"/>
    <w:rsid w:val="007E2CBA"/>
    <w:rsid w:val="007E2F40"/>
    <w:rsid w:val="007E3126"/>
    <w:rsid w:val="007E3F8B"/>
    <w:rsid w:val="007E4781"/>
    <w:rsid w:val="007E6826"/>
    <w:rsid w:val="007E6923"/>
    <w:rsid w:val="007E6995"/>
    <w:rsid w:val="007E6B09"/>
    <w:rsid w:val="007E6C01"/>
    <w:rsid w:val="007E73E7"/>
    <w:rsid w:val="007E7457"/>
    <w:rsid w:val="007F01F8"/>
    <w:rsid w:val="007F0AAD"/>
    <w:rsid w:val="007F0F7F"/>
    <w:rsid w:val="007F0FF3"/>
    <w:rsid w:val="007F3275"/>
    <w:rsid w:val="007F3BEB"/>
    <w:rsid w:val="007F5433"/>
    <w:rsid w:val="007F55D1"/>
    <w:rsid w:val="007F71CB"/>
    <w:rsid w:val="008014BB"/>
    <w:rsid w:val="008017C1"/>
    <w:rsid w:val="0080241B"/>
    <w:rsid w:val="00802D34"/>
    <w:rsid w:val="00802E12"/>
    <w:rsid w:val="00803581"/>
    <w:rsid w:val="00803A50"/>
    <w:rsid w:val="00803FAC"/>
    <w:rsid w:val="00804B57"/>
    <w:rsid w:val="00805192"/>
    <w:rsid w:val="00806503"/>
    <w:rsid w:val="00806676"/>
    <w:rsid w:val="00806971"/>
    <w:rsid w:val="00806AB7"/>
    <w:rsid w:val="008103D8"/>
    <w:rsid w:val="00811C77"/>
    <w:rsid w:val="00811DFC"/>
    <w:rsid w:val="00812386"/>
    <w:rsid w:val="00812659"/>
    <w:rsid w:val="008128C1"/>
    <w:rsid w:val="00812FDD"/>
    <w:rsid w:val="00813FD4"/>
    <w:rsid w:val="00815077"/>
    <w:rsid w:val="0081594D"/>
    <w:rsid w:val="008173DC"/>
    <w:rsid w:val="00817AE2"/>
    <w:rsid w:val="00817C07"/>
    <w:rsid w:val="00820253"/>
    <w:rsid w:val="008202FC"/>
    <w:rsid w:val="00820310"/>
    <w:rsid w:val="00820E1F"/>
    <w:rsid w:val="0082191B"/>
    <w:rsid w:val="00822257"/>
    <w:rsid w:val="008226D7"/>
    <w:rsid w:val="008244BE"/>
    <w:rsid w:val="008245C2"/>
    <w:rsid w:val="00824CD7"/>
    <w:rsid w:val="00825704"/>
    <w:rsid w:val="00825E53"/>
    <w:rsid w:val="008262EE"/>
    <w:rsid w:val="008269C5"/>
    <w:rsid w:val="00826B3B"/>
    <w:rsid w:val="008278EF"/>
    <w:rsid w:val="008279B0"/>
    <w:rsid w:val="00827C55"/>
    <w:rsid w:val="00827E7E"/>
    <w:rsid w:val="008300E7"/>
    <w:rsid w:val="00831057"/>
    <w:rsid w:val="00831109"/>
    <w:rsid w:val="00831620"/>
    <w:rsid w:val="008324D7"/>
    <w:rsid w:val="00833472"/>
    <w:rsid w:val="00834BE8"/>
    <w:rsid w:val="0083527A"/>
    <w:rsid w:val="008366C8"/>
    <w:rsid w:val="00836DED"/>
    <w:rsid w:val="00836E4A"/>
    <w:rsid w:val="00837F5B"/>
    <w:rsid w:val="008407AC"/>
    <w:rsid w:val="00840859"/>
    <w:rsid w:val="00840950"/>
    <w:rsid w:val="00841459"/>
    <w:rsid w:val="00841627"/>
    <w:rsid w:val="00841864"/>
    <w:rsid w:val="00841F54"/>
    <w:rsid w:val="00841FD9"/>
    <w:rsid w:val="00843351"/>
    <w:rsid w:val="00843AD7"/>
    <w:rsid w:val="00843B0B"/>
    <w:rsid w:val="00843C1F"/>
    <w:rsid w:val="0084479F"/>
    <w:rsid w:val="0084666A"/>
    <w:rsid w:val="00846C84"/>
    <w:rsid w:val="008470A2"/>
    <w:rsid w:val="008473CC"/>
    <w:rsid w:val="00847C36"/>
    <w:rsid w:val="00850611"/>
    <w:rsid w:val="0085165D"/>
    <w:rsid w:val="00851760"/>
    <w:rsid w:val="008517D3"/>
    <w:rsid w:val="00852424"/>
    <w:rsid w:val="00852C3C"/>
    <w:rsid w:val="008538DF"/>
    <w:rsid w:val="008539C9"/>
    <w:rsid w:val="008541ED"/>
    <w:rsid w:val="0085507B"/>
    <w:rsid w:val="0085590E"/>
    <w:rsid w:val="00855B63"/>
    <w:rsid w:val="00856198"/>
    <w:rsid w:val="008564CE"/>
    <w:rsid w:val="008572F0"/>
    <w:rsid w:val="00857C81"/>
    <w:rsid w:val="00860307"/>
    <w:rsid w:val="008617DB"/>
    <w:rsid w:val="00861E52"/>
    <w:rsid w:val="008621C3"/>
    <w:rsid w:val="008630ED"/>
    <w:rsid w:val="0086402C"/>
    <w:rsid w:val="0086451C"/>
    <w:rsid w:val="008645E7"/>
    <w:rsid w:val="00864D37"/>
    <w:rsid w:val="00864E80"/>
    <w:rsid w:val="00865318"/>
    <w:rsid w:val="008664CD"/>
    <w:rsid w:val="008665FB"/>
    <w:rsid w:val="008675B9"/>
    <w:rsid w:val="0086772F"/>
    <w:rsid w:val="00870149"/>
    <w:rsid w:val="00871736"/>
    <w:rsid w:val="008719DA"/>
    <w:rsid w:val="00871A59"/>
    <w:rsid w:val="00872DC3"/>
    <w:rsid w:val="00873466"/>
    <w:rsid w:val="00873FE9"/>
    <w:rsid w:val="0087467D"/>
    <w:rsid w:val="008751DD"/>
    <w:rsid w:val="00875366"/>
    <w:rsid w:val="008759AD"/>
    <w:rsid w:val="00876738"/>
    <w:rsid w:val="00877325"/>
    <w:rsid w:val="0087794A"/>
    <w:rsid w:val="0088121F"/>
    <w:rsid w:val="008825CC"/>
    <w:rsid w:val="00883A08"/>
    <w:rsid w:val="008841CC"/>
    <w:rsid w:val="008843FC"/>
    <w:rsid w:val="008844BD"/>
    <w:rsid w:val="0088452B"/>
    <w:rsid w:val="00884DF7"/>
    <w:rsid w:val="00885425"/>
    <w:rsid w:val="0088560C"/>
    <w:rsid w:val="008856AD"/>
    <w:rsid w:val="00887120"/>
    <w:rsid w:val="0088742C"/>
    <w:rsid w:val="008878A1"/>
    <w:rsid w:val="00887D6B"/>
    <w:rsid w:val="00887E3F"/>
    <w:rsid w:val="00890895"/>
    <w:rsid w:val="0089196B"/>
    <w:rsid w:val="0089244D"/>
    <w:rsid w:val="00892F1A"/>
    <w:rsid w:val="00893A36"/>
    <w:rsid w:val="00893E65"/>
    <w:rsid w:val="008944BA"/>
    <w:rsid w:val="008948C8"/>
    <w:rsid w:val="00895817"/>
    <w:rsid w:val="00895D5A"/>
    <w:rsid w:val="00897202"/>
    <w:rsid w:val="00897382"/>
    <w:rsid w:val="0089798B"/>
    <w:rsid w:val="00897A68"/>
    <w:rsid w:val="00897D21"/>
    <w:rsid w:val="008A0972"/>
    <w:rsid w:val="008A1C71"/>
    <w:rsid w:val="008A1CF0"/>
    <w:rsid w:val="008A2378"/>
    <w:rsid w:val="008A2CA0"/>
    <w:rsid w:val="008A319A"/>
    <w:rsid w:val="008A3BF6"/>
    <w:rsid w:val="008A40C6"/>
    <w:rsid w:val="008A4187"/>
    <w:rsid w:val="008A46AD"/>
    <w:rsid w:val="008A4CC1"/>
    <w:rsid w:val="008A4F33"/>
    <w:rsid w:val="008A5187"/>
    <w:rsid w:val="008A6131"/>
    <w:rsid w:val="008A69BE"/>
    <w:rsid w:val="008A6AF6"/>
    <w:rsid w:val="008A73A8"/>
    <w:rsid w:val="008A7F5B"/>
    <w:rsid w:val="008B0C08"/>
    <w:rsid w:val="008B2606"/>
    <w:rsid w:val="008B260F"/>
    <w:rsid w:val="008B32F0"/>
    <w:rsid w:val="008B467E"/>
    <w:rsid w:val="008B4865"/>
    <w:rsid w:val="008B4CD7"/>
    <w:rsid w:val="008B5B39"/>
    <w:rsid w:val="008B5E83"/>
    <w:rsid w:val="008B6108"/>
    <w:rsid w:val="008B6FFA"/>
    <w:rsid w:val="008B7791"/>
    <w:rsid w:val="008C0387"/>
    <w:rsid w:val="008C0BE8"/>
    <w:rsid w:val="008C0D34"/>
    <w:rsid w:val="008C1C89"/>
    <w:rsid w:val="008C27DA"/>
    <w:rsid w:val="008C2AA0"/>
    <w:rsid w:val="008C2D17"/>
    <w:rsid w:val="008C4145"/>
    <w:rsid w:val="008C49ED"/>
    <w:rsid w:val="008C4D68"/>
    <w:rsid w:val="008C525E"/>
    <w:rsid w:val="008C5B61"/>
    <w:rsid w:val="008D0BFF"/>
    <w:rsid w:val="008D1176"/>
    <w:rsid w:val="008D19BF"/>
    <w:rsid w:val="008D1AE6"/>
    <w:rsid w:val="008D1C3D"/>
    <w:rsid w:val="008D21BC"/>
    <w:rsid w:val="008D2414"/>
    <w:rsid w:val="008D28BA"/>
    <w:rsid w:val="008D44A6"/>
    <w:rsid w:val="008D662A"/>
    <w:rsid w:val="008D6A5D"/>
    <w:rsid w:val="008D7133"/>
    <w:rsid w:val="008D7CA0"/>
    <w:rsid w:val="008E0E7F"/>
    <w:rsid w:val="008E1365"/>
    <w:rsid w:val="008E1602"/>
    <w:rsid w:val="008E1668"/>
    <w:rsid w:val="008E2E50"/>
    <w:rsid w:val="008E308A"/>
    <w:rsid w:val="008E4511"/>
    <w:rsid w:val="008E46FA"/>
    <w:rsid w:val="008E4839"/>
    <w:rsid w:val="008E595B"/>
    <w:rsid w:val="008E5CC6"/>
    <w:rsid w:val="008E5CD0"/>
    <w:rsid w:val="008F0021"/>
    <w:rsid w:val="008F07F5"/>
    <w:rsid w:val="008F0B27"/>
    <w:rsid w:val="008F1A11"/>
    <w:rsid w:val="008F1C7C"/>
    <w:rsid w:val="008F1E75"/>
    <w:rsid w:val="008F278C"/>
    <w:rsid w:val="008F2E57"/>
    <w:rsid w:val="008F35A3"/>
    <w:rsid w:val="008F36A9"/>
    <w:rsid w:val="008F3A1B"/>
    <w:rsid w:val="008F45DF"/>
    <w:rsid w:val="008F4F0A"/>
    <w:rsid w:val="008F575B"/>
    <w:rsid w:val="008F5BD8"/>
    <w:rsid w:val="008F5CBA"/>
    <w:rsid w:val="008F5D4A"/>
    <w:rsid w:val="008F6C7B"/>
    <w:rsid w:val="008F7104"/>
    <w:rsid w:val="008F7405"/>
    <w:rsid w:val="008F76A4"/>
    <w:rsid w:val="0090028B"/>
    <w:rsid w:val="009009DD"/>
    <w:rsid w:val="0090141C"/>
    <w:rsid w:val="00901FA3"/>
    <w:rsid w:val="00902ADA"/>
    <w:rsid w:val="00903364"/>
    <w:rsid w:val="00903E4E"/>
    <w:rsid w:val="00904485"/>
    <w:rsid w:val="00904A7A"/>
    <w:rsid w:val="00904AB8"/>
    <w:rsid w:val="00905DDF"/>
    <w:rsid w:val="00906DB5"/>
    <w:rsid w:val="0090706F"/>
    <w:rsid w:val="0090796A"/>
    <w:rsid w:val="009104DC"/>
    <w:rsid w:val="009110DD"/>
    <w:rsid w:val="0091137B"/>
    <w:rsid w:val="00911729"/>
    <w:rsid w:val="009126F7"/>
    <w:rsid w:val="00912D9F"/>
    <w:rsid w:val="00913EC7"/>
    <w:rsid w:val="0091492F"/>
    <w:rsid w:val="00915264"/>
    <w:rsid w:val="00916B76"/>
    <w:rsid w:val="00916EE3"/>
    <w:rsid w:val="00917268"/>
    <w:rsid w:val="0091732C"/>
    <w:rsid w:val="00920537"/>
    <w:rsid w:val="009210A8"/>
    <w:rsid w:val="00921613"/>
    <w:rsid w:val="00921F23"/>
    <w:rsid w:val="009233E8"/>
    <w:rsid w:val="00923DFA"/>
    <w:rsid w:val="009264C6"/>
    <w:rsid w:val="009278AB"/>
    <w:rsid w:val="00932434"/>
    <w:rsid w:val="0093284D"/>
    <w:rsid w:val="00932EAA"/>
    <w:rsid w:val="00933CDD"/>
    <w:rsid w:val="00935214"/>
    <w:rsid w:val="00936B90"/>
    <w:rsid w:val="00936DC2"/>
    <w:rsid w:val="00937EFF"/>
    <w:rsid w:val="0094020A"/>
    <w:rsid w:val="0094093B"/>
    <w:rsid w:val="00941219"/>
    <w:rsid w:val="00941B17"/>
    <w:rsid w:val="00942776"/>
    <w:rsid w:val="009439AF"/>
    <w:rsid w:val="00945498"/>
    <w:rsid w:val="00945B81"/>
    <w:rsid w:val="00950E31"/>
    <w:rsid w:val="0095126A"/>
    <w:rsid w:val="00951320"/>
    <w:rsid w:val="0095181B"/>
    <w:rsid w:val="009518AD"/>
    <w:rsid w:val="00952646"/>
    <w:rsid w:val="00952D19"/>
    <w:rsid w:val="0095311F"/>
    <w:rsid w:val="009533BE"/>
    <w:rsid w:val="00953475"/>
    <w:rsid w:val="0095589C"/>
    <w:rsid w:val="009558E0"/>
    <w:rsid w:val="00955BEB"/>
    <w:rsid w:val="00956236"/>
    <w:rsid w:val="009569D7"/>
    <w:rsid w:val="009606BD"/>
    <w:rsid w:val="00960F98"/>
    <w:rsid w:val="009620B1"/>
    <w:rsid w:val="00962745"/>
    <w:rsid w:val="00962F48"/>
    <w:rsid w:val="009631CF"/>
    <w:rsid w:val="009638DD"/>
    <w:rsid w:val="00963D01"/>
    <w:rsid w:val="00963F34"/>
    <w:rsid w:val="0096401C"/>
    <w:rsid w:val="00966177"/>
    <w:rsid w:val="00966291"/>
    <w:rsid w:val="009673DD"/>
    <w:rsid w:val="00967408"/>
    <w:rsid w:val="0096749F"/>
    <w:rsid w:val="009675A5"/>
    <w:rsid w:val="009700CA"/>
    <w:rsid w:val="009701A1"/>
    <w:rsid w:val="009707D3"/>
    <w:rsid w:val="009710CB"/>
    <w:rsid w:val="0097199A"/>
    <w:rsid w:val="00971BC8"/>
    <w:rsid w:val="00971C27"/>
    <w:rsid w:val="00971FE9"/>
    <w:rsid w:val="0097238C"/>
    <w:rsid w:val="00972702"/>
    <w:rsid w:val="009729EF"/>
    <w:rsid w:val="00973650"/>
    <w:rsid w:val="00973E78"/>
    <w:rsid w:val="009741CA"/>
    <w:rsid w:val="00974412"/>
    <w:rsid w:val="00974430"/>
    <w:rsid w:val="00974C74"/>
    <w:rsid w:val="00974FDC"/>
    <w:rsid w:val="00975176"/>
    <w:rsid w:val="009751C1"/>
    <w:rsid w:val="00975295"/>
    <w:rsid w:val="009761BD"/>
    <w:rsid w:val="00976F78"/>
    <w:rsid w:val="00977377"/>
    <w:rsid w:val="00977864"/>
    <w:rsid w:val="00980496"/>
    <w:rsid w:val="00980BC1"/>
    <w:rsid w:val="00980D13"/>
    <w:rsid w:val="00982089"/>
    <w:rsid w:val="009843C6"/>
    <w:rsid w:val="00984D4F"/>
    <w:rsid w:val="009863A3"/>
    <w:rsid w:val="00986A1F"/>
    <w:rsid w:val="00986E9F"/>
    <w:rsid w:val="00987650"/>
    <w:rsid w:val="009879A7"/>
    <w:rsid w:val="00990066"/>
    <w:rsid w:val="00990C81"/>
    <w:rsid w:val="00991A2B"/>
    <w:rsid w:val="00992464"/>
    <w:rsid w:val="00992623"/>
    <w:rsid w:val="009927CB"/>
    <w:rsid w:val="00992AE2"/>
    <w:rsid w:val="00993327"/>
    <w:rsid w:val="0099338E"/>
    <w:rsid w:val="00993975"/>
    <w:rsid w:val="00993992"/>
    <w:rsid w:val="00994828"/>
    <w:rsid w:val="00994A07"/>
    <w:rsid w:val="00995A0C"/>
    <w:rsid w:val="00996403"/>
    <w:rsid w:val="009966EF"/>
    <w:rsid w:val="00996D04"/>
    <w:rsid w:val="00996D36"/>
    <w:rsid w:val="00996FCC"/>
    <w:rsid w:val="0099774F"/>
    <w:rsid w:val="00997AB0"/>
    <w:rsid w:val="009A0042"/>
    <w:rsid w:val="009A1E6D"/>
    <w:rsid w:val="009A3E9C"/>
    <w:rsid w:val="009A4225"/>
    <w:rsid w:val="009A44EF"/>
    <w:rsid w:val="009A467D"/>
    <w:rsid w:val="009A4E06"/>
    <w:rsid w:val="009A523B"/>
    <w:rsid w:val="009A54AB"/>
    <w:rsid w:val="009A62F7"/>
    <w:rsid w:val="009A695C"/>
    <w:rsid w:val="009A6CFB"/>
    <w:rsid w:val="009A759D"/>
    <w:rsid w:val="009B0465"/>
    <w:rsid w:val="009B0EEC"/>
    <w:rsid w:val="009B11E7"/>
    <w:rsid w:val="009B152E"/>
    <w:rsid w:val="009B2C01"/>
    <w:rsid w:val="009B3196"/>
    <w:rsid w:val="009B4A4B"/>
    <w:rsid w:val="009B4A97"/>
    <w:rsid w:val="009B4B6A"/>
    <w:rsid w:val="009B4CB6"/>
    <w:rsid w:val="009B4D92"/>
    <w:rsid w:val="009B5333"/>
    <w:rsid w:val="009B53CD"/>
    <w:rsid w:val="009B5A65"/>
    <w:rsid w:val="009B5F9F"/>
    <w:rsid w:val="009B65DE"/>
    <w:rsid w:val="009B71AE"/>
    <w:rsid w:val="009B7DA1"/>
    <w:rsid w:val="009C008B"/>
    <w:rsid w:val="009C02C2"/>
    <w:rsid w:val="009C03F6"/>
    <w:rsid w:val="009C06E5"/>
    <w:rsid w:val="009C0E35"/>
    <w:rsid w:val="009C137C"/>
    <w:rsid w:val="009C14FC"/>
    <w:rsid w:val="009C20DE"/>
    <w:rsid w:val="009C29FE"/>
    <w:rsid w:val="009C3578"/>
    <w:rsid w:val="009C4886"/>
    <w:rsid w:val="009C4E85"/>
    <w:rsid w:val="009C5363"/>
    <w:rsid w:val="009C59C6"/>
    <w:rsid w:val="009C63D0"/>
    <w:rsid w:val="009C6F04"/>
    <w:rsid w:val="009C74CC"/>
    <w:rsid w:val="009C75C7"/>
    <w:rsid w:val="009C7ACA"/>
    <w:rsid w:val="009D020D"/>
    <w:rsid w:val="009D03B2"/>
    <w:rsid w:val="009D0578"/>
    <w:rsid w:val="009D0A2C"/>
    <w:rsid w:val="009D1219"/>
    <w:rsid w:val="009D17AC"/>
    <w:rsid w:val="009D22A3"/>
    <w:rsid w:val="009D2717"/>
    <w:rsid w:val="009D2914"/>
    <w:rsid w:val="009D2B9A"/>
    <w:rsid w:val="009D337D"/>
    <w:rsid w:val="009D389B"/>
    <w:rsid w:val="009D3FA4"/>
    <w:rsid w:val="009D4600"/>
    <w:rsid w:val="009D4C59"/>
    <w:rsid w:val="009D52A0"/>
    <w:rsid w:val="009D5907"/>
    <w:rsid w:val="009D5E33"/>
    <w:rsid w:val="009D6084"/>
    <w:rsid w:val="009D67A4"/>
    <w:rsid w:val="009D6C57"/>
    <w:rsid w:val="009D6DA3"/>
    <w:rsid w:val="009D71BE"/>
    <w:rsid w:val="009E022D"/>
    <w:rsid w:val="009E0B41"/>
    <w:rsid w:val="009E12E6"/>
    <w:rsid w:val="009E1333"/>
    <w:rsid w:val="009E1D71"/>
    <w:rsid w:val="009E208C"/>
    <w:rsid w:val="009E23D1"/>
    <w:rsid w:val="009E261E"/>
    <w:rsid w:val="009E2EB2"/>
    <w:rsid w:val="009E3569"/>
    <w:rsid w:val="009E3A97"/>
    <w:rsid w:val="009E41ED"/>
    <w:rsid w:val="009E4794"/>
    <w:rsid w:val="009E561C"/>
    <w:rsid w:val="009E5EA9"/>
    <w:rsid w:val="009E68FB"/>
    <w:rsid w:val="009E6F5F"/>
    <w:rsid w:val="009E7D12"/>
    <w:rsid w:val="009F0117"/>
    <w:rsid w:val="009F0DDB"/>
    <w:rsid w:val="009F1C6C"/>
    <w:rsid w:val="009F246A"/>
    <w:rsid w:val="009F2A22"/>
    <w:rsid w:val="009F308D"/>
    <w:rsid w:val="009F33E0"/>
    <w:rsid w:val="009F43F7"/>
    <w:rsid w:val="009F4E57"/>
    <w:rsid w:val="009F5314"/>
    <w:rsid w:val="009F5A32"/>
    <w:rsid w:val="009F5CF8"/>
    <w:rsid w:val="009F63BC"/>
    <w:rsid w:val="009F6D36"/>
    <w:rsid w:val="009F7999"/>
    <w:rsid w:val="009F7B4D"/>
    <w:rsid w:val="00A00148"/>
    <w:rsid w:val="00A005C3"/>
    <w:rsid w:val="00A01ADD"/>
    <w:rsid w:val="00A01E3A"/>
    <w:rsid w:val="00A01F37"/>
    <w:rsid w:val="00A0221C"/>
    <w:rsid w:val="00A02451"/>
    <w:rsid w:val="00A02C9F"/>
    <w:rsid w:val="00A02F10"/>
    <w:rsid w:val="00A0308D"/>
    <w:rsid w:val="00A03805"/>
    <w:rsid w:val="00A039D2"/>
    <w:rsid w:val="00A0460C"/>
    <w:rsid w:val="00A048F8"/>
    <w:rsid w:val="00A05AF6"/>
    <w:rsid w:val="00A06045"/>
    <w:rsid w:val="00A06322"/>
    <w:rsid w:val="00A07033"/>
    <w:rsid w:val="00A0775D"/>
    <w:rsid w:val="00A103D3"/>
    <w:rsid w:val="00A10E9F"/>
    <w:rsid w:val="00A1150A"/>
    <w:rsid w:val="00A1173F"/>
    <w:rsid w:val="00A120F0"/>
    <w:rsid w:val="00A12804"/>
    <w:rsid w:val="00A12CE6"/>
    <w:rsid w:val="00A1326C"/>
    <w:rsid w:val="00A13779"/>
    <w:rsid w:val="00A14799"/>
    <w:rsid w:val="00A14F93"/>
    <w:rsid w:val="00A15B9D"/>
    <w:rsid w:val="00A15FB1"/>
    <w:rsid w:val="00A160A0"/>
    <w:rsid w:val="00A16C27"/>
    <w:rsid w:val="00A179BD"/>
    <w:rsid w:val="00A20D09"/>
    <w:rsid w:val="00A221B0"/>
    <w:rsid w:val="00A22242"/>
    <w:rsid w:val="00A2279C"/>
    <w:rsid w:val="00A23279"/>
    <w:rsid w:val="00A234A7"/>
    <w:rsid w:val="00A234AF"/>
    <w:rsid w:val="00A23F7C"/>
    <w:rsid w:val="00A24048"/>
    <w:rsid w:val="00A246D6"/>
    <w:rsid w:val="00A249B0"/>
    <w:rsid w:val="00A250CC"/>
    <w:rsid w:val="00A25CC6"/>
    <w:rsid w:val="00A26647"/>
    <w:rsid w:val="00A26C33"/>
    <w:rsid w:val="00A273B1"/>
    <w:rsid w:val="00A27C41"/>
    <w:rsid w:val="00A314DA"/>
    <w:rsid w:val="00A316FE"/>
    <w:rsid w:val="00A327D9"/>
    <w:rsid w:val="00A32D20"/>
    <w:rsid w:val="00A332CA"/>
    <w:rsid w:val="00A337D5"/>
    <w:rsid w:val="00A33A66"/>
    <w:rsid w:val="00A33CDC"/>
    <w:rsid w:val="00A33F09"/>
    <w:rsid w:val="00A344EE"/>
    <w:rsid w:val="00A347BC"/>
    <w:rsid w:val="00A3779B"/>
    <w:rsid w:val="00A37AD9"/>
    <w:rsid w:val="00A405E7"/>
    <w:rsid w:val="00A4076B"/>
    <w:rsid w:val="00A41630"/>
    <w:rsid w:val="00A4242A"/>
    <w:rsid w:val="00A42AE4"/>
    <w:rsid w:val="00A42D43"/>
    <w:rsid w:val="00A42EC8"/>
    <w:rsid w:val="00A430E1"/>
    <w:rsid w:val="00A43C1B"/>
    <w:rsid w:val="00A4500B"/>
    <w:rsid w:val="00A45E50"/>
    <w:rsid w:val="00A45F5A"/>
    <w:rsid w:val="00A45FE0"/>
    <w:rsid w:val="00A46045"/>
    <w:rsid w:val="00A463F0"/>
    <w:rsid w:val="00A46B28"/>
    <w:rsid w:val="00A46CBF"/>
    <w:rsid w:val="00A4768E"/>
    <w:rsid w:val="00A50200"/>
    <w:rsid w:val="00A50F06"/>
    <w:rsid w:val="00A51613"/>
    <w:rsid w:val="00A52A46"/>
    <w:rsid w:val="00A53111"/>
    <w:rsid w:val="00A532F5"/>
    <w:rsid w:val="00A53D4E"/>
    <w:rsid w:val="00A545EE"/>
    <w:rsid w:val="00A54767"/>
    <w:rsid w:val="00A54C3D"/>
    <w:rsid w:val="00A54C6F"/>
    <w:rsid w:val="00A54E46"/>
    <w:rsid w:val="00A55AAF"/>
    <w:rsid w:val="00A61A16"/>
    <w:rsid w:val="00A62A48"/>
    <w:rsid w:val="00A62EA9"/>
    <w:rsid w:val="00A62ECA"/>
    <w:rsid w:val="00A63E94"/>
    <w:rsid w:val="00A63FAB"/>
    <w:rsid w:val="00A64106"/>
    <w:rsid w:val="00A64368"/>
    <w:rsid w:val="00A644E5"/>
    <w:rsid w:val="00A64649"/>
    <w:rsid w:val="00A64B25"/>
    <w:rsid w:val="00A656B2"/>
    <w:rsid w:val="00A65BDE"/>
    <w:rsid w:val="00A65F48"/>
    <w:rsid w:val="00A6612A"/>
    <w:rsid w:val="00A6676B"/>
    <w:rsid w:val="00A700EC"/>
    <w:rsid w:val="00A706B9"/>
    <w:rsid w:val="00A7098C"/>
    <w:rsid w:val="00A71138"/>
    <w:rsid w:val="00A7255B"/>
    <w:rsid w:val="00A72999"/>
    <w:rsid w:val="00A733F2"/>
    <w:rsid w:val="00A73751"/>
    <w:rsid w:val="00A73D87"/>
    <w:rsid w:val="00A7449C"/>
    <w:rsid w:val="00A74667"/>
    <w:rsid w:val="00A76557"/>
    <w:rsid w:val="00A7662D"/>
    <w:rsid w:val="00A77788"/>
    <w:rsid w:val="00A77C55"/>
    <w:rsid w:val="00A77D17"/>
    <w:rsid w:val="00A8032B"/>
    <w:rsid w:val="00A80A83"/>
    <w:rsid w:val="00A81263"/>
    <w:rsid w:val="00A81406"/>
    <w:rsid w:val="00A81C4D"/>
    <w:rsid w:val="00A8261C"/>
    <w:rsid w:val="00A82752"/>
    <w:rsid w:val="00A82C7C"/>
    <w:rsid w:val="00A8357F"/>
    <w:rsid w:val="00A8368E"/>
    <w:rsid w:val="00A83AD5"/>
    <w:rsid w:val="00A83D4C"/>
    <w:rsid w:val="00A84150"/>
    <w:rsid w:val="00A851FC"/>
    <w:rsid w:val="00A8522B"/>
    <w:rsid w:val="00A85A11"/>
    <w:rsid w:val="00A85F2A"/>
    <w:rsid w:val="00A86139"/>
    <w:rsid w:val="00A863E6"/>
    <w:rsid w:val="00A86538"/>
    <w:rsid w:val="00A86B7C"/>
    <w:rsid w:val="00A86C1E"/>
    <w:rsid w:val="00A8748F"/>
    <w:rsid w:val="00A902D8"/>
    <w:rsid w:val="00A9094C"/>
    <w:rsid w:val="00A915D7"/>
    <w:rsid w:val="00A91CC8"/>
    <w:rsid w:val="00A92E29"/>
    <w:rsid w:val="00A932B5"/>
    <w:rsid w:val="00A942CC"/>
    <w:rsid w:val="00A9445E"/>
    <w:rsid w:val="00A948FC"/>
    <w:rsid w:val="00A94946"/>
    <w:rsid w:val="00A94973"/>
    <w:rsid w:val="00A952C0"/>
    <w:rsid w:val="00A95BE7"/>
    <w:rsid w:val="00A96732"/>
    <w:rsid w:val="00A96795"/>
    <w:rsid w:val="00A96F81"/>
    <w:rsid w:val="00A96FFA"/>
    <w:rsid w:val="00A97B7D"/>
    <w:rsid w:val="00AA0B0E"/>
    <w:rsid w:val="00AA2166"/>
    <w:rsid w:val="00AA2560"/>
    <w:rsid w:val="00AA44FB"/>
    <w:rsid w:val="00AA45D5"/>
    <w:rsid w:val="00AA5ED1"/>
    <w:rsid w:val="00AA608F"/>
    <w:rsid w:val="00AA7324"/>
    <w:rsid w:val="00AA7D85"/>
    <w:rsid w:val="00AB01C9"/>
    <w:rsid w:val="00AB0905"/>
    <w:rsid w:val="00AB0EF5"/>
    <w:rsid w:val="00AB0EFE"/>
    <w:rsid w:val="00AB1B6D"/>
    <w:rsid w:val="00AB2152"/>
    <w:rsid w:val="00AB43FF"/>
    <w:rsid w:val="00AB4B09"/>
    <w:rsid w:val="00AB4B1E"/>
    <w:rsid w:val="00AB5E18"/>
    <w:rsid w:val="00AB5F7F"/>
    <w:rsid w:val="00AB6399"/>
    <w:rsid w:val="00AB6526"/>
    <w:rsid w:val="00AB66B9"/>
    <w:rsid w:val="00AB6CC7"/>
    <w:rsid w:val="00AC04C7"/>
    <w:rsid w:val="00AC05C9"/>
    <w:rsid w:val="00AC083E"/>
    <w:rsid w:val="00AC1057"/>
    <w:rsid w:val="00AC3F23"/>
    <w:rsid w:val="00AC41A7"/>
    <w:rsid w:val="00AC4489"/>
    <w:rsid w:val="00AC454F"/>
    <w:rsid w:val="00AC4769"/>
    <w:rsid w:val="00AC49CE"/>
    <w:rsid w:val="00AC5801"/>
    <w:rsid w:val="00AC5A33"/>
    <w:rsid w:val="00AC68EA"/>
    <w:rsid w:val="00AC6E04"/>
    <w:rsid w:val="00AC6F0D"/>
    <w:rsid w:val="00AC716F"/>
    <w:rsid w:val="00AD0928"/>
    <w:rsid w:val="00AD389E"/>
    <w:rsid w:val="00AD3C69"/>
    <w:rsid w:val="00AD4063"/>
    <w:rsid w:val="00AD444E"/>
    <w:rsid w:val="00AD50ED"/>
    <w:rsid w:val="00AD5BBC"/>
    <w:rsid w:val="00AD7E0A"/>
    <w:rsid w:val="00AE0283"/>
    <w:rsid w:val="00AE0330"/>
    <w:rsid w:val="00AE10C2"/>
    <w:rsid w:val="00AE15AC"/>
    <w:rsid w:val="00AE313B"/>
    <w:rsid w:val="00AE3234"/>
    <w:rsid w:val="00AE32AF"/>
    <w:rsid w:val="00AE3AB5"/>
    <w:rsid w:val="00AE4922"/>
    <w:rsid w:val="00AE565A"/>
    <w:rsid w:val="00AE6658"/>
    <w:rsid w:val="00AE6A96"/>
    <w:rsid w:val="00AE6E4D"/>
    <w:rsid w:val="00AF0547"/>
    <w:rsid w:val="00AF076C"/>
    <w:rsid w:val="00AF21C6"/>
    <w:rsid w:val="00AF245B"/>
    <w:rsid w:val="00AF2AE0"/>
    <w:rsid w:val="00AF378D"/>
    <w:rsid w:val="00AF37A9"/>
    <w:rsid w:val="00AF3851"/>
    <w:rsid w:val="00AF3A9B"/>
    <w:rsid w:val="00AF3EC0"/>
    <w:rsid w:val="00AF4203"/>
    <w:rsid w:val="00AF45C4"/>
    <w:rsid w:val="00AF485C"/>
    <w:rsid w:val="00AF5279"/>
    <w:rsid w:val="00AF551B"/>
    <w:rsid w:val="00AF621C"/>
    <w:rsid w:val="00AF7D29"/>
    <w:rsid w:val="00B00651"/>
    <w:rsid w:val="00B006CA"/>
    <w:rsid w:val="00B00F56"/>
    <w:rsid w:val="00B00FC6"/>
    <w:rsid w:val="00B0149D"/>
    <w:rsid w:val="00B01AEE"/>
    <w:rsid w:val="00B01BE4"/>
    <w:rsid w:val="00B01C80"/>
    <w:rsid w:val="00B01EAF"/>
    <w:rsid w:val="00B03821"/>
    <w:rsid w:val="00B039FF"/>
    <w:rsid w:val="00B043F3"/>
    <w:rsid w:val="00B04651"/>
    <w:rsid w:val="00B04833"/>
    <w:rsid w:val="00B04A38"/>
    <w:rsid w:val="00B0578D"/>
    <w:rsid w:val="00B05892"/>
    <w:rsid w:val="00B05C2C"/>
    <w:rsid w:val="00B05FDE"/>
    <w:rsid w:val="00B070A7"/>
    <w:rsid w:val="00B07142"/>
    <w:rsid w:val="00B072D2"/>
    <w:rsid w:val="00B0748E"/>
    <w:rsid w:val="00B07F72"/>
    <w:rsid w:val="00B10913"/>
    <w:rsid w:val="00B10B09"/>
    <w:rsid w:val="00B10D1C"/>
    <w:rsid w:val="00B1275D"/>
    <w:rsid w:val="00B12963"/>
    <w:rsid w:val="00B12BEF"/>
    <w:rsid w:val="00B13226"/>
    <w:rsid w:val="00B13B8A"/>
    <w:rsid w:val="00B1467F"/>
    <w:rsid w:val="00B14FC3"/>
    <w:rsid w:val="00B15014"/>
    <w:rsid w:val="00B17042"/>
    <w:rsid w:val="00B17624"/>
    <w:rsid w:val="00B21B77"/>
    <w:rsid w:val="00B220AD"/>
    <w:rsid w:val="00B2288B"/>
    <w:rsid w:val="00B2367F"/>
    <w:rsid w:val="00B25B96"/>
    <w:rsid w:val="00B25D0F"/>
    <w:rsid w:val="00B26000"/>
    <w:rsid w:val="00B2757F"/>
    <w:rsid w:val="00B27AB0"/>
    <w:rsid w:val="00B27B07"/>
    <w:rsid w:val="00B304E2"/>
    <w:rsid w:val="00B30BFD"/>
    <w:rsid w:val="00B30F14"/>
    <w:rsid w:val="00B31DF5"/>
    <w:rsid w:val="00B33693"/>
    <w:rsid w:val="00B34F7A"/>
    <w:rsid w:val="00B34F88"/>
    <w:rsid w:val="00B35D1D"/>
    <w:rsid w:val="00B36595"/>
    <w:rsid w:val="00B366DB"/>
    <w:rsid w:val="00B409B2"/>
    <w:rsid w:val="00B40BFE"/>
    <w:rsid w:val="00B40ECE"/>
    <w:rsid w:val="00B41F7B"/>
    <w:rsid w:val="00B422CF"/>
    <w:rsid w:val="00B4233C"/>
    <w:rsid w:val="00B4341C"/>
    <w:rsid w:val="00B43AC3"/>
    <w:rsid w:val="00B43D22"/>
    <w:rsid w:val="00B43FE6"/>
    <w:rsid w:val="00B4460F"/>
    <w:rsid w:val="00B45B39"/>
    <w:rsid w:val="00B461C6"/>
    <w:rsid w:val="00B4637D"/>
    <w:rsid w:val="00B46517"/>
    <w:rsid w:val="00B4765E"/>
    <w:rsid w:val="00B47F29"/>
    <w:rsid w:val="00B504F3"/>
    <w:rsid w:val="00B50558"/>
    <w:rsid w:val="00B50A19"/>
    <w:rsid w:val="00B5232D"/>
    <w:rsid w:val="00B52A8F"/>
    <w:rsid w:val="00B53043"/>
    <w:rsid w:val="00B53960"/>
    <w:rsid w:val="00B546D0"/>
    <w:rsid w:val="00B6040F"/>
    <w:rsid w:val="00B60671"/>
    <w:rsid w:val="00B60940"/>
    <w:rsid w:val="00B613DB"/>
    <w:rsid w:val="00B63BB8"/>
    <w:rsid w:val="00B6443E"/>
    <w:rsid w:val="00B6551A"/>
    <w:rsid w:val="00B66294"/>
    <w:rsid w:val="00B666D3"/>
    <w:rsid w:val="00B66D71"/>
    <w:rsid w:val="00B67778"/>
    <w:rsid w:val="00B7122A"/>
    <w:rsid w:val="00B7297D"/>
    <w:rsid w:val="00B72CF3"/>
    <w:rsid w:val="00B72E39"/>
    <w:rsid w:val="00B72EDB"/>
    <w:rsid w:val="00B73BE2"/>
    <w:rsid w:val="00B74645"/>
    <w:rsid w:val="00B74E5F"/>
    <w:rsid w:val="00B7718B"/>
    <w:rsid w:val="00B77923"/>
    <w:rsid w:val="00B77999"/>
    <w:rsid w:val="00B779E6"/>
    <w:rsid w:val="00B80354"/>
    <w:rsid w:val="00B808A4"/>
    <w:rsid w:val="00B809E0"/>
    <w:rsid w:val="00B80AAC"/>
    <w:rsid w:val="00B80ADF"/>
    <w:rsid w:val="00B8181A"/>
    <w:rsid w:val="00B81EA2"/>
    <w:rsid w:val="00B821C3"/>
    <w:rsid w:val="00B8256D"/>
    <w:rsid w:val="00B831FA"/>
    <w:rsid w:val="00B84217"/>
    <w:rsid w:val="00B8465B"/>
    <w:rsid w:val="00B846E8"/>
    <w:rsid w:val="00B8481C"/>
    <w:rsid w:val="00B84A9C"/>
    <w:rsid w:val="00B8506A"/>
    <w:rsid w:val="00B85A59"/>
    <w:rsid w:val="00B860FE"/>
    <w:rsid w:val="00B87854"/>
    <w:rsid w:val="00B87ADD"/>
    <w:rsid w:val="00B87E17"/>
    <w:rsid w:val="00B900F7"/>
    <w:rsid w:val="00B90CEF"/>
    <w:rsid w:val="00B91F15"/>
    <w:rsid w:val="00B923F2"/>
    <w:rsid w:val="00B92DA3"/>
    <w:rsid w:val="00B93C3B"/>
    <w:rsid w:val="00B94752"/>
    <w:rsid w:val="00B9585B"/>
    <w:rsid w:val="00B95B39"/>
    <w:rsid w:val="00B9655B"/>
    <w:rsid w:val="00B97493"/>
    <w:rsid w:val="00BA0EDC"/>
    <w:rsid w:val="00BA125F"/>
    <w:rsid w:val="00BA30BA"/>
    <w:rsid w:val="00BA31EC"/>
    <w:rsid w:val="00BA38BD"/>
    <w:rsid w:val="00BA3E54"/>
    <w:rsid w:val="00BA4152"/>
    <w:rsid w:val="00BA4B60"/>
    <w:rsid w:val="00BA538A"/>
    <w:rsid w:val="00BA5993"/>
    <w:rsid w:val="00BA5B1D"/>
    <w:rsid w:val="00BA6261"/>
    <w:rsid w:val="00BA6293"/>
    <w:rsid w:val="00BA6429"/>
    <w:rsid w:val="00BA6855"/>
    <w:rsid w:val="00BA68F1"/>
    <w:rsid w:val="00BA694E"/>
    <w:rsid w:val="00BA6F9D"/>
    <w:rsid w:val="00BA7A81"/>
    <w:rsid w:val="00BA7BFF"/>
    <w:rsid w:val="00BB0D6E"/>
    <w:rsid w:val="00BB1E43"/>
    <w:rsid w:val="00BB2709"/>
    <w:rsid w:val="00BB3B3B"/>
    <w:rsid w:val="00BB46CD"/>
    <w:rsid w:val="00BB5175"/>
    <w:rsid w:val="00BB561B"/>
    <w:rsid w:val="00BB57F6"/>
    <w:rsid w:val="00BB66F4"/>
    <w:rsid w:val="00BB68FE"/>
    <w:rsid w:val="00BB7024"/>
    <w:rsid w:val="00BB7458"/>
    <w:rsid w:val="00BB7462"/>
    <w:rsid w:val="00BB7531"/>
    <w:rsid w:val="00BC01E0"/>
    <w:rsid w:val="00BC15A9"/>
    <w:rsid w:val="00BC1858"/>
    <w:rsid w:val="00BC1F73"/>
    <w:rsid w:val="00BC2005"/>
    <w:rsid w:val="00BC2045"/>
    <w:rsid w:val="00BC2F60"/>
    <w:rsid w:val="00BC38FD"/>
    <w:rsid w:val="00BC4F53"/>
    <w:rsid w:val="00BC506E"/>
    <w:rsid w:val="00BC57F7"/>
    <w:rsid w:val="00BC5A1D"/>
    <w:rsid w:val="00BC6865"/>
    <w:rsid w:val="00BC6FFF"/>
    <w:rsid w:val="00BC764E"/>
    <w:rsid w:val="00BC7D92"/>
    <w:rsid w:val="00BC7F76"/>
    <w:rsid w:val="00BD0039"/>
    <w:rsid w:val="00BD030A"/>
    <w:rsid w:val="00BD0858"/>
    <w:rsid w:val="00BD09CF"/>
    <w:rsid w:val="00BD13B8"/>
    <w:rsid w:val="00BD1649"/>
    <w:rsid w:val="00BD1871"/>
    <w:rsid w:val="00BD34B8"/>
    <w:rsid w:val="00BD3811"/>
    <w:rsid w:val="00BD4037"/>
    <w:rsid w:val="00BD42B7"/>
    <w:rsid w:val="00BD5159"/>
    <w:rsid w:val="00BD529C"/>
    <w:rsid w:val="00BD6616"/>
    <w:rsid w:val="00BD6619"/>
    <w:rsid w:val="00BD7530"/>
    <w:rsid w:val="00BE029F"/>
    <w:rsid w:val="00BE04AC"/>
    <w:rsid w:val="00BE0687"/>
    <w:rsid w:val="00BE0729"/>
    <w:rsid w:val="00BE2DE7"/>
    <w:rsid w:val="00BE2E12"/>
    <w:rsid w:val="00BE3A6E"/>
    <w:rsid w:val="00BE453C"/>
    <w:rsid w:val="00BE454D"/>
    <w:rsid w:val="00BE4F14"/>
    <w:rsid w:val="00BE5133"/>
    <w:rsid w:val="00BE5A67"/>
    <w:rsid w:val="00BE5DA1"/>
    <w:rsid w:val="00BE659E"/>
    <w:rsid w:val="00BE6DC0"/>
    <w:rsid w:val="00BE7ECB"/>
    <w:rsid w:val="00BF0676"/>
    <w:rsid w:val="00BF14E4"/>
    <w:rsid w:val="00BF1572"/>
    <w:rsid w:val="00BF1AF5"/>
    <w:rsid w:val="00BF1C0A"/>
    <w:rsid w:val="00BF2C8D"/>
    <w:rsid w:val="00BF3723"/>
    <w:rsid w:val="00BF3B29"/>
    <w:rsid w:val="00BF3B4F"/>
    <w:rsid w:val="00BF3EE4"/>
    <w:rsid w:val="00BF4B7D"/>
    <w:rsid w:val="00BF520A"/>
    <w:rsid w:val="00BF527B"/>
    <w:rsid w:val="00BF5C9A"/>
    <w:rsid w:val="00BF770A"/>
    <w:rsid w:val="00BF7988"/>
    <w:rsid w:val="00BF7BE2"/>
    <w:rsid w:val="00BF7E21"/>
    <w:rsid w:val="00C002B8"/>
    <w:rsid w:val="00C0131F"/>
    <w:rsid w:val="00C0158A"/>
    <w:rsid w:val="00C0198E"/>
    <w:rsid w:val="00C0206A"/>
    <w:rsid w:val="00C02AF7"/>
    <w:rsid w:val="00C02B10"/>
    <w:rsid w:val="00C038F9"/>
    <w:rsid w:val="00C05595"/>
    <w:rsid w:val="00C06B35"/>
    <w:rsid w:val="00C06DF9"/>
    <w:rsid w:val="00C070CE"/>
    <w:rsid w:val="00C07349"/>
    <w:rsid w:val="00C1029A"/>
    <w:rsid w:val="00C1066F"/>
    <w:rsid w:val="00C10879"/>
    <w:rsid w:val="00C1094A"/>
    <w:rsid w:val="00C11292"/>
    <w:rsid w:val="00C11F84"/>
    <w:rsid w:val="00C1285B"/>
    <w:rsid w:val="00C12BF6"/>
    <w:rsid w:val="00C13426"/>
    <w:rsid w:val="00C13843"/>
    <w:rsid w:val="00C14B2A"/>
    <w:rsid w:val="00C15F2B"/>
    <w:rsid w:val="00C160F5"/>
    <w:rsid w:val="00C16878"/>
    <w:rsid w:val="00C169F0"/>
    <w:rsid w:val="00C16D6F"/>
    <w:rsid w:val="00C1712A"/>
    <w:rsid w:val="00C17299"/>
    <w:rsid w:val="00C17F7C"/>
    <w:rsid w:val="00C20AAC"/>
    <w:rsid w:val="00C213C0"/>
    <w:rsid w:val="00C21AEF"/>
    <w:rsid w:val="00C221CA"/>
    <w:rsid w:val="00C23728"/>
    <w:rsid w:val="00C24493"/>
    <w:rsid w:val="00C24E81"/>
    <w:rsid w:val="00C24EF6"/>
    <w:rsid w:val="00C24F02"/>
    <w:rsid w:val="00C25230"/>
    <w:rsid w:val="00C25536"/>
    <w:rsid w:val="00C2600A"/>
    <w:rsid w:val="00C26364"/>
    <w:rsid w:val="00C306DD"/>
    <w:rsid w:val="00C30A31"/>
    <w:rsid w:val="00C314F4"/>
    <w:rsid w:val="00C31870"/>
    <w:rsid w:val="00C31E00"/>
    <w:rsid w:val="00C33C88"/>
    <w:rsid w:val="00C34BA0"/>
    <w:rsid w:val="00C35085"/>
    <w:rsid w:val="00C3552F"/>
    <w:rsid w:val="00C35AC1"/>
    <w:rsid w:val="00C362A7"/>
    <w:rsid w:val="00C36892"/>
    <w:rsid w:val="00C37B1C"/>
    <w:rsid w:val="00C41B82"/>
    <w:rsid w:val="00C42D8D"/>
    <w:rsid w:val="00C43D96"/>
    <w:rsid w:val="00C43EB1"/>
    <w:rsid w:val="00C457C2"/>
    <w:rsid w:val="00C46D4F"/>
    <w:rsid w:val="00C47BDF"/>
    <w:rsid w:val="00C502DF"/>
    <w:rsid w:val="00C5086D"/>
    <w:rsid w:val="00C50ABD"/>
    <w:rsid w:val="00C50F64"/>
    <w:rsid w:val="00C51875"/>
    <w:rsid w:val="00C52A15"/>
    <w:rsid w:val="00C531CA"/>
    <w:rsid w:val="00C53BA7"/>
    <w:rsid w:val="00C53E7A"/>
    <w:rsid w:val="00C541AB"/>
    <w:rsid w:val="00C54726"/>
    <w:rsid w:val="00C547F9"/>
    <w:rsid w:val="00C554BA"/>
    <w:rsid w:val="00C55B8B"/>
    <w:rsid w:val="00C55BEA"/>
    <w:rsid w:val="00C55DA6"/>
    <w:rsid w:val="00C5666D"/>
    <w:rsid w:val="00C566FD"/>
    <w:rsid w:val="00C57427"/>
    <w:rsid w:val="00C61435"/>
    <w:rsid w:val="00C617D1"/>
    <w:rsid w:val="00C61882"/>
    <w:rsid w:val="00C61CBC"/>
    <w:rsid w:val="00C621D8"/>
    <w:rsid w:val="00C62DCD"/>
    <w:rsid w:val="00C62F73"/>
    <w:rsid w:val="00C635E1"/>
    <w:rsid w:val="00C6370A"/>
    <w:rsid w:val="00C638C8"/>
    <w:rsid w:val="00C63E50"/>
    <w:rsid w:val="00C64DC2"/>
    <w:rsid w:val="00C64EF0"/>
    <w:rsid w:val="00C660A3"/>
    <w:rsid w:val="00C66A7C"/>
    <w:rsid w:val="00C670B7"/>
    <w:rsid w:val="00C7007D"/>
    <w:rsid w:val="00C712CA"/>
    <w:rsid w:val="00C71885"/>
    <w:rsid w:val="00C71973"/>
    <w:rsid w:val="00C72AB5"/>
    <w:rsid w:val="00C72F3B"/>
    <w:rsid w:val="00C73EBF"/>
    <w:rsid w:val="00C741B4"/>
    <w:rsid w:val="00C74582"/>
    <w:rsid w:val="00C74793"/>
    <w:rsid w:val="00C749FC"/>
    <w:rsid w:val="00C74F3F"/>
    <w:rsid w:val="00C74F7B"/>
    <w:rsid w:val="00C7575F"/>
    <w:rsid w:val="00C766C5"/>
    <w:rsid w:val="00C769C8"/>
    <w:rsid w:val="00C800B4"/>
    <w:rsid w:val="00C81756"/>
    <w:rsid w:val="00C81F86"/>
    <w:rsid w:val="00C8218B"/>
    <w:rsid w:val="00C82A4B"/>
    <w:rsid w:val="00C82B95"/>
    <w:rsid w:val="00C82D5C"/>
    <w:rsid w:val="00C8430E"/>
    <w:rsid w:val="00C849B5"/>
    <w:rsid w:val="00C84F32"/>
    <w:rsid w:val="00C853BF"/>
    <w:rsid w:val="00C85C3B"/>
    <w:rsid w:val="00C85FC8"/>
    <w:rsid w:val="00C873A2"/>
    <w:rsid w:val="00C87E35"/>
    <w:rsid w:val="00C9101B"/>
    <w:rsid w:val="00C91225"/>
    <w:rsid w:val="00C91636"/>
    <w:rsid w:val="00C91F51"/>
    <w:rsid w:val="00C93216"/>
    <w:rsid w:val="00C93BD5"/>
    <w:rsid w:val="00C946A4"/>
    <w:rsid w:val="00C948D4"/>
    <w:rsid w:val="00C94B1D"/>
    <w:rsid w:val="00C9543A"/>
    <w:rsid w:val="00C95DAB"/>
    <w:rsid w:val="00C9638C"/>
    <w:rsid w:val="00C9646D"/>
    <w:rsid w:val="00C966D3"/>
    <w:rsid w:val="00CA10A4"/>
    <w:rsid w:val="00CA2090"/>
    <w:rsid w:val="00CA49EE"/>
    <w:rsid w:val="00CA4F69"/>
    <w:rsid w:val="00CA55B0"/>
    <w:rsid w:val="00CA62A7"/>
    <w:rsid w:val="00CA6AA4"/>
    <w:rsid w:val="00CA7155"/>
    <w:rsid w:val="00CB08E5"/>
    <w:rsid w:val="00CB0DDF"/>
    <w:rsid w:val="00CB11DF"/>
    <w:rsid w:val="00CB1655"/>
    <w:rsid w:val="00CB16A8"/>
    <w:rsid w:val="00CB1C08"/>
    <w:rsid w:val="00CB3D78"/>
    <w:rsid w:val="00CB3DAA"/>
    <w:rsid w:val="00CB42D3"/>
    <w:rsid w:val="00CB530A"/>
    <w:rsid w:val="00CB5AFE"/>
    <w:rsid w:val="00CB5D47"/>
    <w:rsid w:val="00CB61E2"/>
    <w:rsid w:val="00CB6613"/>
    <w:rsid w:val="00CB68C5"/>
    <w:rsid w:val="00CB6C0D"/>
    <w:rsid w:val="00CB78EC"/>
    <w:rsid w:val="00CC01C7"/>
    <w:rsid w:val="00CC0364"/>
    <w:rsid w:val="00CC060C"/>
    <w:rsid w:val="00CC1855"/>
    <w:rsid w:val="00CC1BF9"/>
    <w:rsid w:val="00CC2A46"/>
    <w:rsid w:val="00CC2E54"/>
    <w:rsid w:val="00CC3D0C"/>
    <w:rsid w:val="00CC42F3"/>
    <w:rsid w:val="00CC43E1"/>
    <w:rsid w:val="00CC474F"/>
    <w:rsid w:val="00CC53E2"/>
    <w:rsid w:val="00CC607F"/>
    <w:rsid w:val="00CC6456"/>
    <w:rsid w:val="00CC732A"/>
    <w:rsid w:val="00CC759F"/>
    <w:rsid w:val="00CD15A8"/>
    <w:rsid w:val="00CD2975"/>
    <w:rsid w:val="00CD2DE6"/>
    <w:rsid w:val="00CD2EC7"/>
    <w:rsid w:val="00CD3073"/>
    <w:rsid w:val="00CD3A1F"/>
    <w:rsid w:val="00CD5DDF"/>
    <w:rsid w:val="00CD70DC"/>
    <w:rsid w:val="00CD731F"/>
    <w:rsid w:val="00CD7498"/>
    <w:rsid w:val="00CD74DE"/>
    <w:rsid w:val="00CD75AB"/>
    <w:rsid w:val="00CD7646"/>
    <w:rsid w:val="00CE02AA"/>
    <w:rsid w:val="00CE0686"/>
    <w:rsid w:val="00CE1408"/>
    <w:rsid w:val="00CE19BB"/>
    <w:rsid w:val="00CE23BD"/>
    <w:rsid w:val="00CE2931"/>
    <w:rsid w:val="00CE2D95"/>
    <w:rsid w:val="00CE43AE"/>
    <w:rsid w:val="00CE44B1"/>
    <w:rsid w:val="00CE4C1B"/>
    <w:rsid w:val="00CE4F1A"/>
    <w:rsid w:val="00CE5047"/>
    <w:rsid w:val="00CE577A"/>
    <w:rsid w:val="00CE5A0D"/>
    <w:rsid w:val="00CE5C12"/>
    <w:rsid w:val="00CE6542"/>
    <w:rsid w:val="00CE6A75"/>
    <w:rsid w:val="00CE774E"/>
    <w:rsid w:val="00CE7DB8"/>
    <w:rsid w:val="00CE7E20"/>
    <w:rsid w:val="00CE7FB5"/>
    <w:rsid w:val="00CF0144"/>
    <w:rsid w:val="00CF0582"/>
    <w:rsid w:val="00CF0A6D"/>
    <w:rsid w:val="00CF0D2E"/>
    <w:rsid w:val="00CF1816"/>
    <w:rsid w:val="00CF34B9"/>
    <w:rsid w:val="00CF35AA"/>
    <w:rsid w:val="00CF3718"/>
    <w:rsid w:val="00CF3A7F"/>
    <w:rsid w:val="00CF4441"/>
    <w:rsid w:val="00CF53AE"/>
    <w:rsid w:val="00CF53FA"/>
    <w:rsid w:val="00CF735F"/>
    <w:rsid w:val="00CF7675"/>
    <w:rsid w:val="00D005C3"/>
    <w:rsid w:val="00D009BB"/>
    <w:rsid w:val="00D01698"/>
    <w:rsid w:val="00D01D1F"/>
    <w:rsid w:val="00D021C3"/>
    <w:rsid w:val="00D0275E"/>
    <w:rsid w:val="00D03567"/>
    <w:rsid w:val="00D0375A"/>
    <w:rsid w:val="00D039FA"/>
    <w:rsid w:val="00D03E58"/>
    <w:rsid w:val="00D04328"/>
    <w:rsid w:val="00D07242"/>
    <w:rsid w:val="00D07A42"/>
    <w:rsid w:val="00D10FB3"/>
    <w:rsid w:val="00D1167D"/>
    <w:rsid w:val="00D126A1"/>
    <w:rsid w:val="00D12B47"/>
    <w:rsid w:val="00D13B53"/>
    <w:rsid w:val="00D13FA8"/>
    <w:rsid w:val="00D16667"/>
    <w:rsid w:val="00D16FE1"/>
    <w:rsid w:val="00D177E7"/>
    <w:rsid w:val="00D17842"/>
    <w:rsid w:val="00D179BE"/>
    <w:rsid w:val="00D2025A"/>
    <w:rsid w:val="00D208AE"/>
    <w:rsid w:val="00D20CB3"/>
    <w:rsid w:val="00D20D67"/>
    <w:rsid w:val="00D210E2"/>
    <w:rsid w:val="00D22586"/>
    <w:rsid w:val="00D228BE"/>
    <w:rsid w:val="00D22F55"/>
    <w:rsid w:val="00D236B8"/>
    <w:rsid w:val="00D248CB"/>
    <w:rsid w:val="00D24DDE"/>
    <w:rsid w:val="00D25031"/>
    <w:rsid w:val="00D25AEF"/>
    <w:rsid w:val="00D2634A"/>
    <w:rsid w:val="00D26959"/>
    <w:rsid w:val="00D2780C"/>
    <w:rsid w:val="00D27CE0"/>
    <w:rsid w:val="00D305F7"/>
    <w:rsid w:val="00D30EA9"/>
    <w:rsid w:val="00D312B5"/>
    <w:rsid w:val="00D312E9"/>
    <w:rsid w:val="00D31312"/>
    <w:rsid w:val="00D320DD"/>
    <w:rsid w:val="00D3267B"/>
    <w:rsid w:val="00D331AB"/>
    <w:rsid w:val="00D33500"/>
    <w:rsid w:val="00D33B8F"/>
    <w:rsid w:val="00D33BC8"/>
    <w:rsid w:val="00D33D69"/>
    <w:rsid w:val="00D34225"/>
    <w:rsid w:val="00D345BF"/>
    <w:rsid w:val="00D34C9F"/>
    <w:rsid w:val="00D355D6"/>
    <w:rsid w:val="00D357C0"/>
    <w:rsid w:val="00D357F8"/>
    <w:rsid w:val="00D3614F"/>
    <w:rsid w:val="00D368A4"/>
    <w:rsid w:val="00D372D4"/>
    <w:rsid w:val="00D376ED"/>
    <w:rsid w:val="00D37BE9"/>
    <w:rsid w:val="00D40EDF"/>
    <w:rsid w:val="00D412B4"/>
    <w:rsid w:val="00D414F8"/>
    <w:rsid w:val="00D426B7"/>
    <w:rsid w:val="00D42B7B"/>
    <w:rsid w:val="00D4342B"/>
    <w:rsid w:val="00D44D91"/>
    <w:rsid w:val="00D4555B"/>
    <w:rsid w:val="00D46187"/>
    <w:rsid w:val="00D468EB"/>
    <w:rsid w:val="00D4708B"/>
    <w:rsid w:val="00D47B88"/>
    <w:rsid w:val="00D47BC7"/>
    <w:rsid w:val="00D47CE2"/>
    <w:rsid w:val="00D47DBD"/>
    <w:rsid w:val="00D5084B"/>
    <w:rsid w:val="00D51232"/>
    <w:rsid w:val="00D5143F"/>
    <w:rsid w:val="00D51E07"/>
    <w:rsid w:val="00D521A7"/>
    <w:rsid w:val="00D52B9C"/>
    <w:rsid w:val="00D533B4"/>
    <w:rsid w:val="00D5355B"/>
    <w:rsid w:val="00D53A43"/>
    <w:rsid w:val="00D53E74"/>
    <w:rsid w:val="00D54FC0"/>
    <w:rsid w:val="00D5579F"/>
    <w:rsid w:val="00D56673"/>
    <w:rsid w:val="00D569FA"/>
    <w:rsid w:val="00D56BB3"/>
    <w:rsid w:val="00D5775B"/>
    <w:rsid w:val="00D579CD"/>
    <w:rsid w:val="00D60C46"/>
    <w:rsid w:val="00D60CDB"/>
    <w:rsid w:val="00D6240C"/>
    <w:rsid w:val="00D63CFA"/>
    <w:rsid w:val="00D6737E"/>
    <w:rsid w:val="00D67390"/>
    <w:rsid w:val="00D677F0"/>
    <w:rsid w:val="00D678D6"/>
    <w:rsid w:val="00D67C95"/>
    <w:rsid w:val="00D67FC1"/>
    <w:rsid w:val="00D71256"/>
    <w:rsid w:val="00D71274"/>
    <w:rsid w:val="00D712F7"/>
    <w:rsid w:val="00D7177F"/>
    <w:rsid w:val="00D71AA0"/>
    <w:rsid w:val="00D71EF6"/>
    <w:rsid w:val="00D72260"/>
    <w:rsid w:val="00D72F4E"/>
    <w:rsid w:val="00D73C28"/>
    <w:rsid w:val="00D73F10"/>
    <w:rsid w:val="00D744F5"/>
    <w:rsid w:val="00D74684"/>
    <w:rsid w:val="00D75255"/>
    <w:rsid w:val="00D755AC"/>
    <w:rsid w:val="00D755F8"/>
    <w:rsid w:val="00D7609F"/>
    <w:rsid w:val="00D77815"/>
    <w:rsid w:val="00D805B7"/>
    <w:rsid w:val="00D807CA"/>
    <w:rsid w:val="00D81459"/>
    <w:rsid w:val="00D81923"/>
    <w:rsid w:val="00D81FC6"/>
    <w:rsid w:val="00D827DC"/>
    <w:rsid w:val="00D82E10"/>
    <w:rsid w:val="00D83C70"/>
    <w:rsid w:val="00D84EAD"/>
    <w:rsid w:val="00D84F85"/>
    <w:rsid w:val="00D85BFA"/>
    <w:rsid w:val="00D86140"/>
    <w:rsid w:val="00D870A7"/>
    <w:rsid w:val="00D876E2"/>
    <w:rsid w:val="00D87968"/>
    <w:rsid w:val="00D9000C"/>
    <w:rsid w:val="00D90D16"/>
    <w:rsid w:val="00D914CF"/>
    <w:rsid w:val="00D948EC"/>
    <w:rsid w:val="00D94DF1"/>
    <w:rsid w:val="00D969E4"/>
    <w:rsid w:val="00D97528"/>
    <w:rsid w:val="00D97BAB"/>
    <w:rsid w:val="00D97BE1"/>
    <w:rsid w:val="00DA0376"/>
    <w:rsid w:val="00DA0B7B"/>
    <w:rsid w:val="00DA2047"/>
    <w:rsid w:val="00DA23B7"/>
    <w:rsid w:val="00DA2EE9"/>
    <w:rsid w:val="00DA3B37"/>
    <w:rsid w:val="00DA3BBF"/>
    <w:rsid w:val="00DA46A2"/>
    <w:rsid w:val="00DA46B3"/>
    <w:rsid w:val="00DA4E60"/>
    <w:rsid w:val="00DA51A6"/>
    <w:rsid w:val="00DA5761"/>
    <w:rsid w:val="00DA5867"/>
    <w:rsid w:val="00DA5A87"/>
    <w:rsid w:val="00DA6585"/>
    <w:rsid w:val="00DA67F5"/>
    <w:rsid w:val="00DA77B5"/>
    <w:rsid w:val="00DB0336"/>
    <w:rsid w:val="00DB0608"/>
    <w:rsid w:val="00DB0805"/>
    <w:rsid w:val="00DB0CFB"/>
    <w:rsid w:val="00DB1147"/>
    <w:rsid w:val="00DB1F52"/>
    <w:rsid w:val="00DB26DE"/>
    <w:rsid w:val="00DB2E67"/>
    <w:rsid w:val="00DB3224"/>
    <w:rsid w:val="00DB3F39"/>
    <w:rsid w:val="00DB3F79"/>
    <w:rsid w:val="00DB4634"/>
    <w:rsid w:val="00DB4A8C"/>
    <w:rsid w:val="00DB4C43"/>
    <w:rsid w:val="00DB587A"/>
    <w:rsid w:val="00DB59A2"/>
    <w:rsid w:val="00DB6061"/>
    <w:rsid w:val="00DB75CE"/>
    <w:rsid w:val="00DC0E06"/>
    <w:rsid w:val="00DC117A"/>
    <w:rsid w:val="00DC1654"/>
    <w:rsid w:val="00DC2636"/>
    <w:rsid w:val="00DC3580"/>
    <w:rsid w:val="00DC3BC2"/>
    <w:rsid w:val="00DC3E0D"/>
    <w:rsid w:val="00DC448B"/>
    <w:rsid w:val="00DC5989"/>
    <w:rsid w:val="00DC7A5D"/>
    <w:rsid w:val="00DC7B02"/>
    <w:rsid w:val="00DC7B92"/>
    <w:rsid w:val="00DC7E07"/>
    <w:rsid w:val="00DD0717"/>
    <w:rsid w:val="00DD0A7C"/>
    <w:rsid w:val="00DD0BAF"/>
    <w:rsid w:val="00DD0C74"/>
    <w:rsid w:val="00DD1381"/>
    <w:rsid w:val="00DD22DD"/>
    <w:rsid w:val="00DD25AD"/>
    <w:rsid w:val="00DD35A1"/>
    <w:rsid w:val="00DD3C8D"/>
    <w:rsid w:val="00DD4085"/>
    <w:rsid w:val="00DD534A"/>
    <w:rsid w:val="00DD5802"/>
    <w:rsid w:val="00DD678D"/>
    <w:rsid w:val="00DD6E68"/>
    <w:rsid w:val="00DD6EA6"/>
    <w:rsid w:val="00DD79B7"/>
    <w:rsid w:val="00DD7A7C"/>
    <w:rsid w:val="00DE043E"/>
    <w:rsid w:val="00DE057D"/>
    <w:rsid w:val="00DE0CF7"/>
    <w:rsid w:val="00DE0CFE"/>
    <w:rsid w:val="00DE0EEA"/>
    <w:rsid w:val="00DE28E5"/>
    <w:rsid w:val="00DE33C1"/>
    <w:rsid w:val="00DE371F"/>
    <w:rsid w:val="00DE3D0C"/>
    <w:rsid w:val="00DE3F8D"/>
    <w:rsid w:val="00DE4BDD"/>
    <w:rsid w:val="00DE4DA0"/>
    <w:rsid w:val="00DE560D"/>
    <w:rsid w:val="00DE5783"/>
    <w:rsid w:val="00DE5805"/>
    <w:rsid w:val="00DE64E0"/>
    <w:rsid w:val="00DE6A6A"/>
    <w:rsid w:val="00DE6D8C"/>
    <w:rsid w:val="00DE7D2D"/>
    <w:rsid w:val="00DE7FBB"/>
    <w:rsid w:val="00DF0452"/>
    <w:rsid w:val="00DF086A"/>
    <w:rsid w:val="00DF28E0"/>
    <w:rsid w:val="00DF2C8F"/>
    <w:rsid w:val="00DF3216"/>
    <w:rsid w:val="00DF4372"/>
    <w:rsid w:val="00DF5447"/>
    <w:rsid w:val="00DF57BE"/>
    <w:rsid w:val="00DF58B1"/>
    <w:rsid w:val="00DF69A8"/>
    <w:rsid w:val="00DF6AAC"/>
    <w:rsid w:val="00DF6F18"/>
    <w:rsid w:val="00E00C69"/>
    <w:rsid w:val="00E016FF"/>
    <w:rsid w:val="00E0178E"/>
    <w:rsid w:val="00E01E71"/>
    <w:rsid w:val="00E032A0"/>
    <w:rsid w:val="00E0397A"/>
    <w:rsid w:val="00E043E1"/>
    <w:rsid w:val="00E04FD2"/>
    <w:rsid w:val="00E0509F"/>
    <w:rsid w:val="00E05229"/>
    <w:rsid w:val="00E0563E"/>
    <w:rsid w:val="00E05689"/>
    <w:rsid w:val="00E0762B"/>
    <w:rsid w:val="00E07B07"/>
    <w:rsid w:val="00E07B88"/>
    <w:rsid w:val="00E1064E"/>
    <w:rsid w:val="00E114D1"/>
    <w:rsid w:val="00E12297"/>
    <w:rsid w:val="00E12343"/>
    <w:rsid w:val="00E13442"/>
    <w:rsid w:val="00E13D89"/>
    <w:rsid w:val="00E13DF0"/>
    <w:rsid w:val="00E1429D"/>
    <w:rsid w:val="00E157B1"/>
    <w:rsid w:val="00E16927"/>
    <w:rsid w:val="00E16E8D"/>
    <w:rsid w:val="00E17CE4"/>
    <w:rsid w:val="00E17D7D"/>
    <w:rsid w:val="00E20467"/>
    <w:rsid w:val="00E20CCE"/>
    <w:rsid w:val="00E21123"/>
    <w:rsid w:val="00E21A28"/>
    <w:rsid w:val="00E236ED"/>
    <w:rsid w:val="00E237F3"/>
    <w:rsid w:val="00E23EFB"/>
    <w:rsid w:val="00E24223"/>
    <w:rsid w:val="00E24DA0"/>
    <w:rsid w:val="00E258E4"/>
    <w:rsid w:val="00E26208"/>
    <w:rsid w:val="00E26262"/>
    <w:rsid w:val="00E26432"/>
    <w:rsid w:val="00E30161"/>
    <w:rsid w:val="00E30A17"/>
    <w:rsid w:val="00E30E66"/>
    <w:rsid w:val="00E313BD"/>
    <w:rsid w:val="00E31F3E"/>
    <w:rsid w:val="00E32977"/>
    <w:rsid w:val="00E32DD6"/>
    <w:rsid w:val="00E34C31"/>
    <w:rsid w:val="00E35E90"/>
    <w:rsid w:val="00E36262"/>
    <w:rsid w:val="00E3677A"/>
    <w:rsid w:val="00E368CC"/>
    <w:rsid w:val="00E36CE0"/>
    <w:rsid w:val="00E410A2"/>
    <w:rsid w:val="00E41D71"/>
    <w:rsid w:val="00E423AB"/>
    <w:rsid w:val="00E43868"/>
    <w:rsid w:val="00E43F65"/>
    <w:rsid w:val="00E440F1"/>
    <w:rsid w:val="00E44880"/>
    <w:rsid w:val="00E4522F"/>
    <w:rsid w:val="00E464DE"/>
    <w:rsid w:val="00E46760"/>
    <w:rsid w:val="00E46963"/>
    <w:rsid w:val="00E46B03"/>
    <w:rsid w:val="00E46C6B"/>
    <w:rsid w:val="00E47E18"/>
    <w:rsid w:val="00E50C09"/>
    <w:rsid w:val="00E52570"/>
    <w:rsid w:val="00E52633"/>
    <w:rsid w:val="00E52DBC"/>
    <w:rsid w:val="00E53CA1"/>
    <w:rsid w:val="00E55624"/>
    <w:rsid w:val="00E55993"/>
    <w:rsid w:val="00E559BB"/>
    <w:rsid w:val="00E55F3A"/>
    <w:rsid w:val="00E564D3"/>
    <w:rsid w:val="00E56AE2"/>
    <w:rsid w:val="00E571E5"/>
    <w:rsid w:val="00E605DC"/>
    <w:rsid w:val="00E612A8"/>
    <w:rsid w:val="00E613A0"/>
    <w:rsid w:val="00E6142C"/>
    <w:rsid w:val="00E61785"/>
    <w:rsid w:val="00E63762"/>
    <w:rsid w:val="00E644AB"/>
    <w:rsid w:val="00E65130"/>
    <w:rsid w:val="00E659FD"/>
    <w:rsid w:val="00E67406"/>
    <w:rsid w:val="00E7088B"/>
    <w:rsid w:val="00E70C2C"/>
    <w:rsid w:val="00E70D31"/>
    <w:rsid w:val="00E70F2C"/>
    <w:rsid w:val="00E714B4"/>
    <w:rsid w:val="00E7152F"/>
    <w:rsid w:val="00E73682"/>
    <w:rsid w:val="00E737B9"/>
    <w:rsid w:val="00E73DD0"/>
    <w:rsid w:val="00E7499E"/>
    <w:rsid w:val="00E76972"/>
    <w:rsid w:val="00E76A0D"/>
    <w:rsid w:val="00E777B6"/>
    <w:rsid w:val="00E8085B"/>
    <w:rsid w:val="00E80860"/>
    <w:rsid w:val="00E80E1E"/>
    <w:rsid w:val="00E81A0C"/>
    <w:rsid w:val="00E81D90"/>
    <w:rsid w:val="00E82B14"/>
    <w:rsid w:val="00E83657"/>
    <w:rsid w:val="00E83743"/>
    <w:rsid w:val="00E837C8"/>
    <w:rsid w:val="00E83AB4"/>
    <w:rsid w:val="00E83B59"/>
    <w:rsid w:val="00E83EAC"/>
    <w:rsid w:val="00E842D9"/>
    <w:rsid w:val="00E8512F"/>
    <w:rsid w:val="00E855FE"/>
    <w:rsid w:val="00E8582B"/>
    <w:rsid w:val="00E864E9"/>
    <w:rsid w:val="00E86935"/>
    <w:rsid w:val="00E87116"/>
    <w:rsid w:val="00E87F9A"/>
    <w:rsid w:val="00E900A1"/>
    <w:rsid w:val="00E90746"/>
    <w:rsid w:val="00E90B10"/>
    <w:rsid w:val="00E90E28"/>
    <w:rsid w:val="00E917B5"/>
    <w:rsid w:val="00E91D03"/>
    <w:rsid w:val="00E923B2"/>
    <w:rsid w:val="00E9244C"/>
    <w:rsid w:val="00E925C9"/>
    <w:rsid w:val="00E928CF"/>
    <w:rsid w:val="00E92934"/>
    <w:rsid w:val="00E92B80"/>
    <w:rsid w:val="00E94436"/>
    <w:rsid w:val="00E94950"/>
    <w:rsid w:val="00E95791"/>
    <w:rsid w:val="00E957D7"/>
    <w:rsid w:val="00E95851"/>
    <w:rsid w:val="00E963FD"/>
    <w:rsid w:val="00E9679B"/>
    <w:rsid w:val="00EA03B1"/>
    <w:rsid w:val="00EA04EB"/>
    <w:rsid w:val="00EA0E92"/>
    <w:rsid w:val="00EA0EE0"/>
    <w:rsid w:val="00EA0EED"/>
    <w:rsid w:val="00EA10A6"/>
    <w:rsid w:val="00EA1B7E"/>
    <w:rsid w:val="00EA2D72"/>
    <w:rsid w:val="00EA2E84"/>
    <w:rsid w:val="00EA35F7"/>
    <w:rsid w:val="00EA38DB"/>
    <w:rsid w:val="00EA3A93"/>
    <w:rsid w:val="00EA3AAE"/>
    <w:rsid w:val="00EA3C13"/>
    <w:rsid w:val="00EA448C"/>
    <w:rsid w:val="00EA4B70"/>
    <w:rsid w:val="00EA506D"/>
    <w:rsid w:val="00EA57A6"/>
    <w:rsid w:val="00EA6115"/>
    <w:rsid w:val="00EA7061"/>
    <w:rsid w:val="00EA717F"/>
    <w:rsid w:val="00EA777F"/>
    <w:rsid w:val="00EA7B55"/>
    <w:rsid w:val="00EA7BE0"/>
    <w:rsid w:val="00EA7E91"/>
    <w:rsid w:val="00EB03CA"/>
    <w:rsid w:val="00EB0503"/>
    <w:rsid w:val="00EB07FE"/>
    <w:rsid w:val="00EB0ADD"/>
    <w:rsid w:val="00EB11E3"/>
    <w:rsid w:val="00EB25BF"/>
    <w:rsid w:val="00EB3139"/>
    <w:rsid w:val="00EB3B8A"/>
    <w:rsid w:val="00EB3CE4"/>
    <w:rsid w:val="00EB42C1"/>
    <w:rsid w:val="00EB5047"/>
    <w:rsid w:val="00EB716D"/>
    <w:rsid w:val="00EB758D"/>
    <w:rsid w:val="00EB79C5"/>
    <w:rsid w:val="00EB7C74"/>
    <w:rsid w:val="00EB7CD1"/>
    <w:rsid w:val="00EC0811"/>
    <w:rsid w:val="00EC1075"/>
    <w:rsid w:val="00EC11B8"/>
    <w:rsid w:val="00EC1291"/>
    <w:rsid w:val="00EC1525"/>
    <w:rsid w:val="00EC1BE7"/>
    <w:rsid w:val="00EC1F97"/>
    <w:rsid w:val="00EC250B"/>
    <w:rsid w:val="00EC28D5"/>
    <w:rsid w:val="00EC3E98"/>
    <w:rsid w:val="00EC62C6"/>
    <w:rsid w:val="00EC70F7"/>
    <w:rsid w:val="00EC7257"/>
    <w:rsid w:val="00EC785B"/>
    <w:rsid w:val="00EC7ACE"/>
    <w:rsid w:val="00ED01F4"/>
    <w:rsid w:val="00ED02FC"/>
    <w:rsid w:val="00ED0A17"/>
    <w:rsid w:val="00ED1875"/>
    <w:rsid w:val="00ED1A21"/>
    <w:rsid w:val="00ED2B85"/>
    <w:rsid w:val="00ED3B4A"/>
    <w:rsid w:val="00ED4244"/>
    <w:rsid w:val="00ED4D42"/>
    <w:rsid w:val="00ED59D0"/>
    <w:rsid w:val="00ED67A3"/>
    <w:rsid w:val="00ED6C5E"/>
    <w:rsid w:val="00ED78F7"/>
    <w:rsid w:val="00ED7D9F"/>
    <w:rsid w:val="00EE0934"/>
    <w:rsid w:val="00EE21BC"/>
    <w:rsid w:val="00EE234C"/>
    <w:rsid w:val="00EE2D07"/>
    <w:rsid w:val="00EE3E00"/>
    <w:rsid w:val="00EE4614"/>
    <w:rsid w:val="00EE47C8"/>
    <w:rsid w:val="00EE49D7"/>
    <w:rsid w:val="00EE4B07"/>
    <w:rsid w:val="00EE531F"/>
    <w:rsid w:val="00EE61EF"/>
    <w:rsid w:val="00EE64B9"/>
    <w:rsid w:val="00EE6B84"/>
    <w:rsid w:val="00EE7943"/>
    <w:rsid w:val="00EF04F7"/>
    <w:rsid w:val="00EF0753"/>
    <w:rsid w:val="00EF10A9"/>
    <w:rsid w:val="00EF167E"/>
    <w:rsid w:val="00EF181F"/>
    <w:rsid w:val="00EF1BAB"/>
    <w:rsid w:val="00EF1E77"/>
    <w:rsid w:val="00EF21A7"/>
    <w:rsid w:val="00EF2A4E"/>
    <w:rsid w:val="00EF3551"/>
    <w:rsid w:val="00EF375D"/>
    <w:rsid w:val="00EF37E5"/>
    <w:rsid w:val="00EF3851"/>
    <w:rsid w:val="00EF3A68"/>
    <w:rsid w:val="00EF3F40"/>
    <w:rsid w:val="00EF7EA0"/>
    <w:rsid w:val="00F0010E"/>
    <w:rsid w:val="00F025EE"/>
    <w:rsid w:val="00F03701"/>
    <w:rsid w:val="00F03C6A"/>
    <w:rsid w:val="00F03D2B"/>
    <w:rsid w:val="00F03FF0"/>
    <w:rsid w:val="00F041B3"/>
    <w:rsid w:val="00F043A8"/>
    <w:rsid w:val="00F055C3"/>
    <w:rsid w:val="00F05EA4"/>
    <w:rsid w:val="00F06DD7"/>
    <w:rsid w:val="00F0773C"/>
    <w:rsid w:val="00F07D34"/>
    <w:rsid w:val="00F10C6C"/>
    <w:rsid w:val="00F128B0"/>
    <w:rsid w:val="00F130AA"/>
    <w:rsid w:val="00F134A2"/>
    <w:rsid w:val="00F14033"/>
    <w:rsid w:val="00F1413A"/>
    <w:rsid w:val="00F14341"/>
    <w:rsid w:val="00F147D4"/>
    <w:rsid w:val="00F1536E"/>
    <w:rsid w:val="00F1562B"/>
    <w:rsid w:val="00F15784"/>
    <w:rsid w:val="00F15BEB"/>
    <w:rsid w:val="00F15CB7"/>
    <w:rsid w:val="00F15EBE"/>
    <w:rsid w:val="00F214EB"/>
    <w:rsid w:val="00F2241F"/>
    <w:rsid w:val="00F227EC"/>
    <w:rsid w:val="00F22A4A"/>
    <w:rsid w:val="00F22D13"/>
    <w:rsid w:val="00F234F3"/>
    <w:rsid w:val="00F24595"/>
    <w:rsid w:val="00F24F18"/>
    <w:rsid w:val="00F256C6"/>
    <w:rsid w:val="00F25715"/>
    <w:rsid w:val="00F25A20"/>
    <w:rsid w:val="00F268CC"/>
    <w:rsid w:val="00F26D47"/>
    <w:rsid w:val="00F27752"/>
    <w:rsid w:val="00F27971"/>
    <w:rsid w:val="00F27D9C"/>
    <w:rsid w:val="00F27F3A"/>
    <w:rsid w:val="00F3011F"/>
    <w:rsid w:val="00F326C8"/>
    <w:rsid w:val="00F328D8"/>
    <w:rsid w:val="00F33222"/>
    <w:rsid w:val="00F3363C"/>
    <w:rsid w:val="00F33822"/>
    <w:rsid w:val="00F3408D"/>
    <w:rsid w:val="00F344DB"/>
    <w:rsid w:val="00F34D0A"/>
    <w:rsid w:val="00F35276"/>
    <w:rsid w:val="00F35A81"/>
    <w:rsid w:val="00F35FA7"/>
    <w:rsid w:val="00F36120"/>
    <w:rsid w:val="00F36D50"/>
    <w:rsid w:val="00F36F23"/>
    <w:rsid w:val="00F37B68"/>
    <w:rsid w:val="00F37FC6"/>
    <w:rsid w:val="00F37FE4"/>
    <w:rsid w:val="00F40482"/>
    <w:rsid w:val="00F424DF"/>
    <w:rsid w:val="00F42FE2"/>
    <w:rsid w:val="00F442B8"/>
    <w:rsid w:val="00F44532"/>
    <w:rsid w:val="00F4561E"/>
    <w:rsid w:val="00F45B66"/>
    <w:rsid w:val="00F45EC7"/>
    <w:rsid w:val="00F45FB1"/>
    <w:rsid w:val="00F46639"/>
    <w:rsid w:val="00F470E6"/>
    <w:rsid w:val="00F47672"/>
    <w:rsid w:val="00F47C29"/>
    <w:rsid w:val="00F51ABE"/>
    <w:rsid w:val="00F51E3C"/>
    <w:rsid w:val="00F51F40"/>
    <w:rsid w:val="00F51F8B"/>
    <w:rsid w:val="00F5229E"/>
    <w:rsid w:val="00F523E0"/>
    <w:rsid w:val="00F523E7"/>
    <w:rsid w:val="00F53425"/>
    <w:rsid w:val="00F534FE"/>
    <w:rsid w:val="00F53DFA"/>
    <w:rsid w:val="00F549DB"/>
    <w:rsid w:val="00F56231"/>
    <w:rsid w:val="00F5652F"/>
    <w:rsid w:val="00F566E6"/>
    <w:rsid w:val="00F57155"/>
    <w:rsid w:val="00F5760D"/>
    <w:rsid w:val="00F57EC3"/>
    <w:rsid w:val="00F60326"/>
    <w:rsid w:val="00F61302"/>
    <w:rsid w:val="00F61895"/>
    <w:rsid w:val="00F61955"/>
    <w:rsid w:val="00F61A1A"/>
    <w:rsid w:val="00F61A48"/>
    <w:rsid w:val="00F62272"/>
    <w:rsid w:val="00F62345"/>
    <w:rsid w:val="00F645BA"/>
    <w:rsid w:val="00F64B1B"/>
    <w:rsid w:val="00F65824"/>
    <w:rsid w:val="00F6693C"/>
    <w:rsid w:val="00F6796E"/>
    <w:rsid w:val="00F7059A"/>
    <w:rsid w:val="00F70ECF"/>
    <w:rsid w:val="00F71A5D"/>
    <w:rsid w:val="00F737B8"/>
    <w:rsid w:val="00F739FD"/>
    <w:rsid w:val="00F73DB2"/>
    <w:rsid w:val="00F73FC9"/>
    <w:rsid w:val="00F74032"/>
    <w:rsid w:val="00F74A70"/>
    <w:rsid w:val="00F754EA"/>
    <w:rsid w:val="00F75B75"/>
    <w:rsid w:val="00F75EBB"/>
    <w:rsid w:val="00F76C93"/>
    <w:rsid w:val="00F779E3"/>
    <w:rsid w:val="00F77A19"/>
    <w:rsid w:val="00F77C49"/>
    <w:rsid w:val="00F80067"/>
    <w:rsid w:val="00F80DA5"/>
    <w:rsid w:val="00F8140F"/>
    <w:rsid w:val="00F81BFF"/>
    <w:rsid w:val="00F83A4A"/>
    <w:rsid w:val="00F855C7"/>
    <w:rsid w:val="00F8561D"/>
    <w:rsid w:val="00F85E4E"/>
    <w:rsid w:val="00F86205"/>
    <w:rsid w:val="00F87A11"/>
    <w:rsid w:val="00F911A0"/>
    <w:rsid w:val="00F916ED"/>
    <w:rsid w:val="00F91A77"/>
    <w:rsid w:val="00F91E34"/>
    <w:rsid w:val="00F92468"/>
    <w:rsid w:val="00F930A9"/>
    <w:rsid w:val="00F93881"/>
    <w:rsid w:val="00F946CA"/>
    <w:rsid w:val="00F946D8"/>
    <w:rsid w:val="00F947E9"/>
    <w:rsid w:val="00F95233"/>
    <w:rsid w:val="00F952EE"/>
    <w:rsid w:val="00F955F8"/>
    <w:rsid w:val="00F96A8B"/>
    <w:rsid w:val="00F97AA4"/>
    <w:rsid w:val="00FA0729"/>
    <w:rsid w:val="00FA0B13"/>
    <w:rsid w:val="00FA0E34"/>
    <w:rsid w:val="00FA1C64"/>
    <w:rsid w:val="00FA415A"/>
    <w:rsid w:val="00FA4999"/>
    <w:rsid w:val="00FA53FC"/>
    <w:rsid w:val="00FA5C2D"/>
    <w:rsid w:val="00FA6890"/>
    <w:rsid w:val="00FA78EF"/>
    <w:rsid w:val="00FB04D7"/>
    <w:rsid w:val="00FB08BE"/>
    <w:rsid w:val="00FB0D42"/>
    <w:rsid w:val="00FB0F85"/>
    <w:rsid w:val="00FB150F"/>
    <w:rsid w:val="00FB1D47"/>
    <w:rsid w:val="00FB3838"/>
    <w:rsid w:val="00FB530D"/>
    <w:rsid w:val="00FB5DB2"/>
    <w:rsid w:val="00FB69B9"/>
    <w:rsid w:val="00FB78FD"/>
    <w:rsid w:val="00FB7CA4"/>
    <w:rsid w:val="00FC065C"/>
    <w:rsid w:val="00FC070C"/>
    <w:rsid w:val="00FC16BF"/>
    <w:rsid w:val="00FC189A"/>
    <w:rsid w:val="00FC2EC2"/>
    <w:rsid w:val="00FC321B"/>
    <w:rsid w:val="00FC37C7"/>
    <w:rsid w:val="00FC40E6"/>
    <w:rsid w:val="00FC4265"/>
    <w:rsid w:val="00FC459E"/>
    <w:rsid w:val="00FC45F3"/>
    <w:rsid w:val="00FC463A"/>
    <w:rsid w:val="00FC5839"/>
    <w:rsid w:val="00FC5C4E"/>
    <w:rsid w:val="00FC614D"/>
    <w:rsid w:val="00FC6216"/>
    <w:rsid w:val="00FC671B"/>
    <w:rsid w:val="00FC70E2"/>
    <w:rsid w:val="00FC722E"/>
    <w:rsid w:val="00FC7C74"/>
    <w:rsid w:val="00FD0078"/>
    <w:rsid w:val="00FD0EDE"/>
    <w:rsid w:val="00FD2094"/>
    <w:rsid w:val="00FD2D70"/>
    <w:rsid w:val="00FD2E7A"/>
    <w:rsid w:val="00FD2F7E"/>
    <w:rsid w:val="00FD30C0"/>
    <w:rsid w:val="00FD3981"/>
    <w:rsid w:val="00FD4202"/>
    <w:rsid w:val="00FD4910"/>
    <w:rsid w:val="00FD4DD9"/>
    <w:rsid w:val="00FD5D1D"/>
    <w:rsid w:val="00FD6AA3"/>
    <w:rsid w:val="00FD7060"/>
    <w:rsid w:val="00FD727C"/>
    <w:rsid w:val="00FD773B"/>
    <w:rsid w:val="00FE1069"/>
    <w:rsid w:val="00FE1402"/>
    <w:rsid w:val="00FE1CCA"/>
    <w:rsid w:val="00FE2712"/>
    <w:rsid w:val="00FE2A47"/>
    <w:rsid w:val="00FE2A49"/>
    <w:rsid w:val="00FE4BE0"/>
    <w:rsid w:val="00FE59F6"/>
    <w:rsid w:val="00FE68D0"/>
    <w:rsid w:val="00FF10B2"/>
    <w:rsid w:val="00FF1304"/>
    <w:rsid w:val="00FF1881"/>
    <w:rsid w:val="00FF2F0F"/>
    <w:rsid w:val="00FF3321"/>
    <w:rsid w:val="00FF3D24"/>
    <w:rsid w:val="00FF3D83"/>
    <w:rsid w:val="00FF3E61"/>
    <w:rsid w:val="00FF4D3E"/>
    <w:rsid w:val="00FF6349"/>
    <w:rsid w:val="00FF6598"/>
    <w:rsid w:val="00FF76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8AC239"/>
  <w15:chartTrackingRefBased/>
  <w15:docId w15:val="{EFDB4224-7E11-4B3D-9050-30C525B05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5DD7"/>
    <w:rPr>
      <w:rFonts w:ascii="Arial Armenian" w:eastAsia="Times New Roman" w:hAnsi="Arial Armenian"/>
      <w:lang w:val="hy-AM" w:eastAsia="ru-RU"/>
    </w:rPr>
  </w:style>
  <w:style w:type="paragraph" w:styleId="Heading1">
    <w:name w:val="heading 1"/>
    <w:basedOn w:val="Heading11"/>
    <w:next w:val="Normal"/>
    <w:link w:val="Heading1Char"/>
    <w:qFormat/>
    <w:rsid w:val="00581F5D"/>
    <w:pPr>
      <w:outlineLvl w:val="0"/>
    </w:pPr>
  </w:style>
  <w:style w:type="paragraph" w:styleId="Heading2">
    <w:name w:val="heading 2"/>
    <w:basedOn w:val="Normal"/>
    <w:link w:val="Heading2Char"/>
    <w:qFormat/>
    <w:rsid w:val="00BD6616"/>
    <w:pPr>
      <w:ind w:firstLine="567"/>
      <w:jc w:val="center"/>
      <w:outlineLvl w:val="1"/>
    </w:pPr>
    <w:rPr>
      <w:rFonts w:ascii="GHEA Grapalat" w:hAnsi="GHEA Grapalat"/>
      <w:sz w:val="24"/>
      <w:szCs w:val="24"/>
    </w:rPr>
  </w:style>
  <w:style w:type="paragraph" w:styleId="Heading3">
    <w:name w:val="heading 3"/>
    <w:basedOn w:val="Normal"/>
    <w:next w:val="Normal"/>
    <w:link w:val="Heading3Char"/>
    <w:qFormat/>
    <w:rsid w:val="00E032A0"/>
    <w:pPr>
      <w:keepNext/>
      <w:tabs>
        <w:tab w:val="num" w:pos="384"/>
      </w:tabs>
      <w:spacing w:before="240" w:after="60"/>
      <w:ind w:left="1248" w:hanging="708"/>
      <w:outlineLvl w:val="2"/>
    </w:pPr>
    <w:rPr>
      <w:rFonts w:ascii="GHEA Grapalat" w:hAnsi="GHEA Grapalat"/>
      <w:b/>
      <w:bCs/>
      <w:sz w:val="24"/>
      <w:szCs w:val="24"/>
      <w:lang w:val="x-none"/>
    </w:rPr>
  </w:style>
  <w:style w:type="paragraph" w:styleId="Heading4">
    <w:name w:val="heading 4"/>
    <w:basedOn w:val="Normal"/>
    <w:next w:val="Normal"/>
    <w:link w:val="Heading4Char"/>
    <w:qFormat/>
    <w:rsid w:val="00E032A0"/>
    <w:pPr>
      <w:keepNext/>
      <w:jc w:val="center"/>
      <w:outlineLvl w:val="3"/>
    </w:pPr>
    <w:rPr>
      <w:b/>
      <w:sz w:val="23"/>
      <w:lang w:val="en-GB"/>
    </w:rPr>
  </w:style>
  <w:style w:type="paragraph" w:styleId="Heading5">
    <w:name w:val="heading 5"/>
    <w:basedOn w:val="Normal"/>
    <w:next w:val="Normal"/>
    <w:link w:val="Heading5Char"/>
    <w:qFormat/>
    <w:rsid w:val="00E032A0"/>
    <w:pPr>
      <w:tabs>
        <w:tab w:val="num" w:pos="0"/>
        <w:tab w:val="left" w:pos="680"/>
      </w:tabs>
      <w:spacing w:before="240" w:after="60"/>
      <w:ind w:left="1728" w:hanging="708"/>
      <w:jc w:val="both"/>
      <w:outlineLvl w:val="4"/>
    </w:pPr>
    <w:rPr>
      <w:rFonts w:ascii="Sylfaen" w:hAnsi="Sylfaen"/>
      <w:b/>
      <w:bCs/>
      <w:i/>
      <w:iCs/>
      <w:sz w:val="26"/>
      <w:szCs w:val="26"/>
      <w:lang w:val="x-none"/>
    </w:rPr>
  </w:style>
  <w:style w:type="paragraph" w:styleId="Heading6">
    <w:name w:val="heading 6"/>
    <w:basedOn w:val="Normal"/>
    <w:next w:val="Normal"/>
    <w:link w:val="Heading6Char"/>
    <w:qFormat/>
    <w:rsid w:val="00E032A0"/>
    <w:pPr>
      <w:tabs>
        <w:tab w:val="num" w:pos="0"/>
        <w:tab w:val="left" w:pos="680"/>
      </w:tabs>
      <w:spacing w:before="240" w:after="60"/>
      <w:ind w:left="4248" w:hanging="708"/>
      <w:jc w:val="both"/>
      <w:outlineLvl w:val="5"/>
    </w:pPr>
    <w:rPr>
      <w:rFonts w:ascii="Times New Roman" w:hAnsi="Times New Roman"/>
      <w:b/>
      <w:bCs/>
      <w:lang w:val="x-none"/>
    </w:rPr>
  </w:style>
  <w:style w:type="paragraph" w:styleId="Heading7">
    <w:name w:val="heading 7"/>
    <w:basedOn w:val="Normal"/>
    <w:next w:val="Normal"/>
    <w:link w:val="Heading7Char"/>
    <w:qFormat/>
    <w:rsid w:val="00E032A0"/>
    <w:pPr>
      <w:tabs>
        <w:tab w:val="num" w:pos="0"/>
        <w:tab w:val="left" w:pos="680"/>
      </w:tabs>
      <w:spacing w:before="240" w:after="60"/>
      <w:ind w:left="4956" w:hanging="708"/>
      <w:jc w:val="both"/>
      <w:outlineLvl w:val="6"/>
    </w:pPr>
    <w:rPr>
      <w:rFonts w:ascii="Times New Roman" w:hAnsi="Times New Roman"/>
      <w:sz w:val="24"/>
      <w:szCs w:val="24"/>
      <w:lang w:val="x-none"/>
    </w:rPr>
  </w:style>
  <w:style w:type="paragraph" w:styleId="Heading8">
    <w:name w:val="heading 8"/>
    <w:basedOn w:val="Normal"/>
    <w:next w:val="Normal"/>
    <w:link w:val="Heading8Char"/>
    <w:qFormat/>
    <w:rsid w:val="00E032A0"/>
    <w:pPr>
      <w:tabs>
        <w:tab w:val="num" w:pos="0"/>
        <w:tab w:val="left" w:pos="680"/>
      </w:tabs>
      <w:spacing w:before="240" w:after="60"/>
      <w:ind w:left="5664" w:hanging="708"/>
      <w:jc w:val="both"/>
      <w:outlineLvl w:val="7"/>
    </w:pPr>
    <w:rPr>
      <w:rFonts w:ascii="Times New Roman" w:hAnsi="Times New Roman"/>
      <w:i/>
      <w:iCs/>
      <w:sz w:val="24"/>
      <w:szCs w:val="24"/>
      <w:lang w:val="x-none"/>
    </w:rPr>
  </w:style>
  <w:style w:type="paragraph" w:styleId="Heading9">
    <w:name w:val="heading 9"/>
    <w:basedOn w:val="Normal"/>
    <w:next w:val="Normal"/>
    <w:link w:val="Heading9Char"/>
    <w:qFormat/>
    <w:rsid w:val="00E032A0"/>
    <w:pPr>
      <w:tabs>
        <w:tab w:val="num" w:pos="0"/>
        <w:tab w:val="left" w:pos="680"/>
      </w:tabs>
      <w:spacing w:before="240" w:after="60"/>
      <w:ind w:left="6372" w:hanging="708"/>
      <w:jc w:val="both"/>
      <w:outlineLvl w:val="8"/>
    </w:pPr>
    <w:rPr>
      <w:rFonts w:ascii="Arial" w:hAnsi="Arial"/>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581F5D"/>
    <w:rPr>
      <w:rFonts w:ascii="GHEA Grapalat" w:eastAsia="Times New Roman" w:hAnsi="GHEA Grapalat" w:cs="Sylfaen"/>
      <w:b/>
      <w:bCs/>
      <w:sz w:val="24"/>
      <w:szCs w:val="24"/>
      <w:lang w:val="hy-AM" w:eastAsia="ru-RU"/>
    </w:rPr>
  </w:style>
  <w:style w:type="character" w:customStyle="1" w:styleId="Heading2Char">
    <w:name w:val="Heading 2 Char"/>
    <w:link w:val="Heading2"/>
    <w:rsid w:val="00BD6616"/>
    <w:rPr>
      <w:rFonts w:ascii="GHEA Grapalat" w:eastAsia="Times New Roman" w:hAnsi="GHEA Grapalat"/>
      <w:sz w:val="24"/>
      <w:szCs w:val="24"/>
      <w:lang w:val="hy-AM" w:eastAsia="ru-RU"/>
    </w:rPr>
  </w:style>
  <w:style w:type="character" w:customStyle="1" w:styleId="Heading3Char">
    <w:name w:val="Heading 3 Char"/>
    <w:link w:val="Heading3"/>
    <w:rsid w:val="00E032A0"/>
    <w:rPr>
      <w:rFonts w:ascii="GHEA Grapalat" w:eastAsia="Times New Roman" w:hAnsi="GHEA Grapalat" w:cs="Sylfaen"/>
      <w:b/>
      <w:bCs/>
      <w:sz w:val="24"/>
      <w:szCs w:val="24"/>
      <w:lang w:eastAsia="ru-RU"/>
    </w:rPr>
  </w:style>
  <w:style w:type="character" w:customStyle="1" w:styleId="Heading4Char">
    <w:name w:val="Heading 4 Char"/>
    <w:link w:val="Heading4"/>
    <w:rsid w:val="00E032A0"/>
    <w:rPr>
      <w:rFonts w:ascii="Arial Armenian" w:eastAsia="Times New Roman" w:hAnsi="Arial Armenian" w:cs="Times New Roman"/>
      <w:b/>
      <w:sz w:val="23"/>
      <w:szCs w:val="20"/>
      <w:lang w:val="en-GB" w:eastAsia="ru-RU"/>
    </w:rPr>
  </w:style>
  <w:style w:type="character" w:customStyle="1" w:styleId="Heading5Char">
    <w:name w:val="Heading 5 Char"/>
    <w:link w:val="Heading5"/>
    <w:rsid w:val="00E032A0"/>
    <w:rPr>
      <w:rFonts w:ascii="Sylfaen" w:eastAsia="Times New Roman" w:hAnsi="Sylfaen" w:cs="Times New Roman"/>
      <w:b/>
      <w:bCs/>
      <w:i/>
      <w:iCs/>
      <w:sz w:val="26"/>
      <w:szCs w:val="26"/>
      <w:lang w:eastAsia="ru-RU"/>
    </w:rPr>
  </w:style>
  <w:style w:type="character" w:customStyle="1" w:styleId="Heading6Char">
    <w:name w:val="Heading 6 Char"/>
    <w:link w:val="Heading6"/>
    <w:rsid w:val="00E032A0"/>
    <w:rPr>
      <w:rFonts w:ascii="Times New Roman" w:eastAsia="Times New Roman" w:hAnsi="Times New Roman" w:cs="Times New Roman"/>
      <w:b/>
      <w:bCs/>
      <w:lang w:eastAsia="ru-RU"/>
    </w:rPr>
  </w:style>
  <w:style w:type="character" w:customStyle="1" w:styleId="Heading7Char">
    <w:name w:val="Heading 7 Char"/>
    <w:link w:val="Heading7"/>
    <w:rsid w:val="00E032A0"/>
    <w:rPr>
      <w:rFonts w:ascii="Times New Roman" w:eastAsia="Times New Roman" w:hAnsi="Times New Roman" w:cs="Times New Roman"/>
      <w:sz w:val="24"/>
      <w:szCs w:val="24"/>
      <w:lang w:eastAsia="ru-RU"/>
    </w:rPr>
  </w:style>
  <w:style w:type="character" w:customStyle="1" w:styleId="Heading8Char">
    <w:name w:val="Heading 8 Char"/>
    <w:link w:val="Heading8"/>
    <w:rsid w:val="00E032A0"/>
    <w:rPr>
      <w:rFonts w:ascii="Times New Roman" w:eastAsia="Times New Roman" w:hAnsi="Times New Roman" w:cs="Times New Roman"/>
      <w:i/>
      <w:iCs/>
      <w:sz w:val="24"/>
      <w:szCs w:val="24"/>
      <w:lang w:eastAsia="ru-RU"/>
    </w:rPr>
  </w:style>
  <w:style w:type="character" w:customStyle="1" w:styleId="Heading9Char">
    <w:name w:val="Heading 9 Char"/>
    <w:link w:val="Heading9"/>
    <w:rsid w:val="00E032A0"/>
    <w:rPr>
      <w:rFonts w:ascii="Arial" w:eastAsia="Times New Roman" w:hAnsi="Arial" w:cs="Arial"/>
      <w:lang w:eastAsia="ru-RU"/>
    </w:rPr>
  </w:style>
  <w:style w:type="paragraph" w:styleId="Header">
    <w:name w:val="header"/>
    <w:basedOn w:val="Normal"/>
    <w:link w:val="HeaderChar"/>
    <w:rsid w:val="00E032A0"/>
    <w:pPr>
      <w:tabs>
        <w:tab w:val="center" w:pos="4320"/>
        <w:tab w:val="right" w:pos="8640"/>
      </w:tabs>
    </w:pPr>
    <w:rPr>
      <w:lang w:val="x-none"/>
    </w:rPr>
  </w:style>
  <w:style w:type="character" w:customStyle="1" w:styleId="HeaderChar">
    <w:name w:val="Header Char"/>
    <w:link w:val="Header"/>
    <w:rsid w:val="00E032A0"/>
    <w:rPr>
      <w:rFonts w:ascii="Arial Armenian" w:eastAsia="Times New Roman" w:hAnsi="Arial Armenian" w:cs="Times New Roman"/>
      <w:sz w:val="20"/>
      <w:szCs w:val="20"/>
      <w:lang w:eastAsia="ru-RU"/>
    </w:rPr>
  </w:style>
  <w:style w:type="paragraph" w:styleId="Footer">
    <w:name w:val="footer"/>
    <w:basedOn w:val="Normal"/>
    <w:link w:val="FooterChar"/>
    <w:uiPriority w:val="99"/>
    <w:rsid w:val="00E032A0"/>
    <w:pPr>
      <w:tabs>
        <w:tab w:val="center" w:pos="4320"/>
        <w:tab w:val="right" w:pos="8640"/>
      </w:tabs>
    </w:pPr>
    <w:rPr>
      <w:lang w:val="x-none"/>
    </w:rPr>
  </w:style>
  <w:style w:type="character" w:customStyle="1" w:styleId="FooterChar">
    <w:name w:val="Footer Char"/>
    <w:link w:val="Footer"/>
    <w:uiPriority w:val="99"/>
    <w:rsid w:val="00E032A0"/>
    <w:rPr>
      <w:rFonts w:ascii="Arial Armenian" w:eastAsia="Times New Roman" w:hAnsi="Arial Armenian" w:cs="Times New Roman"/>
      <w:sz w:val="20"/>
      <w:szCs w:val="20"/>
      <w:lang w:eastAsia="ru-RU"/>
    </w:rPr>
  </w:style>
  <w:style w:type="character" w:styleId="PageNumber">
    <w:name w:val="page number"/>
    <w:basedOn w:val="DefaultParagraphFont"/>
    <w:rsid w:val="00E032A0"/>
  </w:style>
  <w:style w:type="paragraph" w:customStyle="1" w:styleId="norm">
    <w:name w:val="norm"/>
    <w:basedOn w:val="Normal"/>
    <w:link w:val="normChar"/>
    <w:rsid w:val="00E032A0"/>
    <w:pPr>
      <w:spacing w:line="480" w:lineRule="auto"/>
      <w:ind w:firstLine="709"/>
      <w:jc w:val="both"/>
    </w:pPr>
    <w:rPr>
      <w:lang w:val="x-none"/>
    </w:rPr>
  </w:style>
  <w:style w:type="paragraph" w:customStyle="1" w:styleId="mechtex">
    <w:name w:val="mechtex"/>
    <w:basedOn w:val="Normal"/>
    <w:link w:val="mechtexChar"/>
    <w:rsid w:val="00E032A0"/>
    <w:pPr>
      <w:jc w:val="center"/>
    </w:pPr>
    <w:rPr>
      <w:lang w:val="x-none"/>
    </w:rPr>
  </w:style>
  <w:style w:type="paragraph" w:customStyle="1" w:styleId="Style15">
    <w:name w:val="Style1.5"/>
    <w:basedOn w:val="Normal"/>
    <w:rsid w:val="00E032A0"/>
    <w:pPr>
      <w:spacing w:line="360" w:lineRule="auto"/>
      <w:ind w:firstLine="709"/>
      <w:jc w:val="both"/>
    </w:pPr>
    <w:rPr>
      <w:sz w:val="22"/>
    </w:rPr>
  </w:style>
  <w:style w:type="paragraph" w:customStyle="1" w:styleId="Style1">
    <w:name w:val="Style1"/>
    <w:basedOn w:val="mechtex"/>
    <w:rsid w:val="00E032A0"/>
    <w:pPr>
      <w:jc w:val="both"/>
    </w:pPr>
  </w:style>
  <w:style w:type="paragraph" w:customStyle="1" w:styleId="russtyle">
    <w:name w:val="russtyle"/>
    <w:basedOn w:val="Normal"/>
    <w:rsid w:val="00E032A0"/>
    <w:rPr>
      <w:rFonts w:ascii="Russian Baltica" w:hAnsi="Russian Baltica"/>
      <w:sz w:val="22"/>
    </w:rPr>
  </w:style>
  <w:style w:type="character" w:customStyle="1" w:styleId="mechtexChar">
    <w:name w:val="mechtex Char"/>
    <w:link w:val="mechtex"/>
    <w:rsid w:val="00E032A0"/>
    <w:rPr>
      <w:rFonts w:ascii="Arial Armenian" w:eastAsia="Times New Roman" w:hAnsi="Arial Armenian" w:cs="Times New Roman"/>
      <w:szCs w:val="20"/>
      <w:lang w:eastAsia="ru-RU"/>
    </w:rPr>
  </w:style>
  <w:style w:type="character" w:customStyle="1" w:styleId="normChar">
    <w:name w:val="norm Char"/>
    <w:link w:val="norm"/>
    <w:rsid w:val="00E032A0"/>
    <w:rPr>
      <w:rFonts w:ascii="Arial Armenian" w:eastAsia="Times New Roman" w:hAnsi="Arial Armenian" w:cs="Times New Roman"/>
      <w:szCs w:val="20"/>
      <w:lang w:eastAsia="ru-RU"/>
    </w:rPr>
  </w:style>
  <w:style w:type="paragraph" w:customStyle="1" w:styleId="Style2">
    <w:name w:val="Style2"/>
    <w:basedOn w:val="mechtex"/>
    <w:rsid w:val="00E032A0"/>
    <w:rPr>
      <w:w w:val="90"/>
    </w:rPr>
  </w:style>
  <w:style w:type="paragraph" w:customStyle="1" w:styleId="Style3">
    <w:name w:val="Style3"/>
    <w:basedOn w:val="mechtex"/>
    <w:rsid w:val="00E032A0"/>
    <w:rPr>
      <w:w w:val="90"/>
    </w:rPr>
  </w:style>
  <w:style w:type="paragraph" w:customStyle="1" w:styleId="Style6">
    <w:name w:val="Style6"/>
    <w:basedOn w:val="mechtex"/>
    <w:rsid w:val="00E032A0"/>
  </w:style>
  <w:style w:type="paragraph" w:styleId="NormalWeb">
    <w:name w:val="Normal (Web)"/>
    <w:basedOn w:val="Normal"/>
    <w:uiPriority w:val="99"/>
    <w:rsid w:val="00E032A0"/>
    <w:pPr>
      <w:spacing w:before="100" w:beforeAutospacing="1" w:after="100" w:afterAutospacing="1"/>
    </w:pPr>
    <w:rPr>
      <w:rFonts w:ascii="Times New Roman" w:hAnsi="Times New Roman"/>
      <w:sz w:val="24"/>
      <w:szCs w:val="24"/>
      <w:lang w:val="ru-RU"/>
    </w:rPr>
  </w:style>
  <w:style w:type="paragraph" w:customStyle="1" w:styleId="CharCharChar1CharCharCharCharCharCharCharCharCharCharCharCharCharCharChar">
    <w:name w:val="Char Char Char1 Char Char Char Char Char Char Char Char Char Char Char Char Char Char Char"/>
    <w:basedOn w:val="Normal"/>
    <w:rsid w:val="00E032A0"/>
    <w:pPr>
      <w:spacing w:after="160" w:line="240" w:lineRule="exact"/>
    </w:pPr>
    <w:rPr>
      <w:rFonts w:ascii="Verdana" w:eastAsia="MS Mincho" w:hAnsi="Verdana"/>
      <w:lang w:val="en-GB" w:eastAsia="en-US"/>
    </w:rPr>
  </w:style>
  <w:style w:type="paragraph" w:customStyle="1" w:styleId="CharCharCharChar">
    <w:name w:val="Char Char Char Char"/>
    <w:basedOn w:val="Normal"/>
    <w:rsid w:val="00E032A0"/>
    <w:pPr>
      <w:tabs>
        <w:tab w:val="num" w:pos="840"/>
      </w:tabs>
      <w:spacing w:after="160" w:line="240" w:lineRule="exact"/>
      <w:ind w:left="840" w:hanging="360"/>
      <w:jc w:val="both"/>
    </w:pPr>
    <w:rPr>
      <w:rFonts w:ascii="Verdana" w:hAnsi="Verdana"/>
      <w:lang w:val="ru-RU" w:eastAsia="en-US"/>
    </w:rPr>
  </w:style>
  <w:style w:type="character" w:styleId="Hyperlink">
    <w:name w:val="Hyperlink"/>
    <w:uiPriority w:val="99"/>
    <w:rsid w:val="00E032A0"/>
    <w:rPr>
      <w:color w:val="0000FF"/>
      <w:u w:val="single"/>
    </w:rPr>
  </w:style>
  <w:style w:type="paragraph" w:customStyle="1" w:styleId="bodytext">
    <w:name w:val="bodytext"/>
    <w:basedOn w:val="Normal"/>
    <w:rsid w:val="00E032A0"/>
    <w:rPr>
      <w:rFonts w:ascii="Arial" w:hAnsi="Arial" w:cs="Arial"/>
      <w:lang w:val="ru-RU"/>
    </w:rPr>
  </w:style>
  <w:style w:type="table" w:styleId="TableGrid">
    <w:name w:val="Table Grid"/>
    <w:basedOn w:val="TableNormal"/>
    <w:rsid w:val="00E032A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0">
    <w:name w:val="Body Text"/>
    <w:basedOn w:val="Normal"/>
    <w:link w:val="BodyTextChar"/>
    <w:rsid w:val="00E032A0"/>
    <w:pPr>
      <w:spacing w:line="360" w:lineRule="auto"/>
      <w:jc w:val="both"/>
    </w:pPr>
    <w:rPr>
      <w:rFonts w:ascii="Times Armenian" w:hAnsi="Times Armenian"/>
      <w:sz w:val="24"/>
      <w:szCs w:val="24"/>
      <w:lang w:val="x-none" w:eastAsia="x-none"/>
    </w:rPr>
  </w:style>
  <w:style w:type="character" w:customStyle="1" w:styleId="BodyTextChar">
    <w:name w:val="Body Text Char"/>
    <w:link w:val="BodyText0"/>
    <w:rsid w:val="00E032A0"/>
    <w:rPr>
      <w:rFonts w:ascii="Times Armenian" w:eastAsia="Times New Roman" w:hAnsi="Times Armenian" w:cs="Times New Roman"/>
      <w:sz w:val="24"/>
      <w:szCs w:val="24"/>
    </w:rPr>
  </w:style>
  <w:style w:type="paragraph" w:customStyle="1" w:styleId="Default">
    <w:name w:val="Default"/>
    <w:rsid w:val="00E032A0"/>
    <w:pPr>
      <w:widowControl w:val="0"/>
      <w:autoSpaceDE w:val="0"/>
      <w:autoSpaceDN w:val="0"/>
      <w:adjustRightInd w:val="0"/>
    </w:pPr>
    <w:rPr>
      <w:rFonts w:ascii="Arial-Armenian" w:eastAsia="Times New Roman" w:hAnsi="Arial-Armenian" w:cs="Arial-Armenian"/>
      <w:color w:val="000000"/>
      <w:sz w:val="24"/>
      <w:szCs w:val="24"/>
      <w:lang w:val="ru-RU" w:eastAsia="ru-RU"/>
    </w:rPr>
  </w:style>
  <w:style w:type="paragraph" w:styleId="BodyTextIndent">
    <w:name w:val="Body Text Indent"/>
    <w:basedOn w:val="Normal"/>
    <w:link w:val="BodyTextIndentChar"/>
    <w:rsid w:val="00E032A0"/>
    <w:pPr>
      <w:spacing w:after="120"/>
      <w:ind w:left="360"/>
    </w:pPr>
    <w:rPr>
      <w:rFonts w:ascii="Times New Roman" w:hAnsi="Times New Roman"/>
      <w:noProof/>
      <w:sz w:val="24"/>
      <w:szCs w:val="24"/>
      <w:lang w:val="x-none"/>
    </w:rPr>
  </w:style>
  <w:style w:type="character" w:customStyle="1" w:styleId="BodyTextIndentChar">
    <w:name w:val="Body Text Indent Char"/>
    <w:link w:val="BodyTextIndent"/>
    <w:rsid w:val="00E032A0"/>
    <w:rPr>
      <w:rFonts w:ascii="Times New Roman" w:eastAsia="Times New Roman" w:hAnsi="Times New Roman" w:cs="Times New Roman"/>
      <w:noProof/>
      <w:sz w:val="24"/>
      <w:szCs w:val="24"/>
      <w:lang w:eastAsia="ru-RU"/>
    </w:rPr>
  </w:style>
  <w:style w:type="paragraph" w:customStyle="1" w:styleId="m">
    <w:name w:val="m"/>
    <w:basedOn w:val="Normal"/>
    <w:rsid w:val="00E032A0"/>
    <w:pPr>
      <w:spacing w:before="100" w:beforeAutospacing="1" w:after="100" w:afterAutospacing="1"/>
    </w:pPr>
    <w:rPr>
      <w:rFonts w:ascii="Times New Roman" w:hAnsi="Times New Roman"/>
      <w:color w:val="000000"/>
      <w:sz w:val="24"/>
      <w:szCs w:val="24"/>
      <w:lang w:val="ru-RU"/>
    </w:rPr>
  </w:style>
  <w:style w:type="paragraph" w:styleId="BodyTextIndent2">
    <w:name w:val="Body Text Indent 2"/>
    <w:basedOn w:val="Normal"/>
    <w:link w:val="BodyTextIndent2Char"/>
    <w:rsid w:val="00E032A0"/>
    <w:pPr>
      <w:spacing w:after="120" w:line="480" w:lineRule="auto"/>
      <w:ind w:left="283"/>
    </w:pPr>
    <w:rPr>
      <w:rFonts w:ascii="Times New Roman" w:hAnsi="Times New Roman"/>
      <w:sz w:val="24"/>
      <w:szCs w:val="24"/>
      <w:lang w:val="ru-RU"/>
    </w:rPr>
  </w:style>
  <w:style w:type="character" w:customStyle="1" w:styleId="BodyTextIndent2Char">
    <w:name w:val="Body Text Indent 2 Char"/>
    <w:link w:val="BodyTextIndent2"/>
    <w:rsid w:val="00E032A0"/>
    <w:rPr>
      <w:rFonts w:ascii="Times New Roman" w:eastAsia="Times New Roman" w:hAnsi="Times New Roman" w:cs="Times New Roman"/>
      <w:sz w:val="24"/>
      <w:szCs w:val="24"/>
      <w:lang w:val="ru-RU" w:eastAsia="ru-RU"/>
    </w:rPr>
  </w:style>
  <w:style w:type="paragraph" w:styleId="z-TopofForm">
    <w:name w:val="HTML Top of Form"/>
    <w:basedOn w:val="Normal"/>
    <w:next w:val="Normal"/>
    <w:link w:val="z-TopofFormChar"/>
    <w:hidden/>
    <w:unhideWhenUsed/>
    <w:rsid w:val="00E032A0"/>
    <w:pPr>
      <w:pBdr>
        <w:bottom w:val="single" w:sz="6" w:space="1" w:color="auto"/>
      </w:pBdr>
      <w:jc w:val="center"/>
    </w:pPr>
    <w:rPr>
      <w:rFonts w:ascii="Arial" w:hAnsi="Arial"/>
      <w:vanish/>
      <w:sz w:val="16"/>
      <w:szCs w:val="16"/>
      <w:lang w:val="ru-RU"/>
    </w:rPr>
  </w:style>
  <w:style w:type="character" w:customStyle="1" w:styleId="z-TopofFormChar">
    <w:name w:val="z-Top of Form Char"/>
    <w:link w:val="z-TopofForm"/>
    <w:rsid w:val="00E032A0"/>
    <w:rPr>
      <w:rFonts w:ascii="Arial" w:eastAsia="Times New Roman" w:hAnsi="Arial" w:cs="Times New Roman"/>
      <w:vanish/>
      <w:sz w:val="16"/>
      <w:szCs w:val="16"/>
      <w:lang w:val="ru-RU" w:eastAsia="ru-RU"/>
    </w:rPr>
  </w:style>
  <w:style w:type="character" w:customStyle="1" w:styleId="z-BottomofFormChar">
    <w:name w:val="z-Bottom of Form Char"/>
    <w:link w:val="z-BottomofForm"/>
    <w:rsid w:val="00E032A0"/>
    <w:rPr>
      <w:rFonts w:ascii="Arial" w:hAnsi="Arial"/>
      <w:vanish/>
      <w:sz w:val="16"/>
      <w:szCs w:val="16"/>
    </w:rPr>
  </w:style>
  <w:style w:type="paragraph" w:styleId="z-BottomofForm">
    <w:name w:val="HTML Bottom of Form"/>
    <w:basedOn w:val="Normal"/>
    <w:next w:val="Normal"/>
    <w:link w:val="z-BottomofFormChar"/>
    <w:hidden/>
    <w:unhideWhenUsed/>
    <w:rsid w:val="00E032A0"/>
    <w:pPr>
      <w:pBdr>
        <w:top w:val="single" w:sz="6" w:space="1" w:color="auto"/>
      </w:pBdr>
      <w:jc w:val="center"/>
    </w:pPr>
    <w:rPr>
      <w:rFonts w:ascii="Arial" w:eastAsia="Calibri" w:hAnsi="Arial"/>
      <w:vanish/>
      <w:sz w:val="16"/>
      <w:szCs w:val="16"/>
      <w:lang w:val="x-none" w:eastAsia="x-none"/>
    </w:rPr>
  </w:style>
  <w:style w:type="character" w:customStyle="1" w:styleId="z-BottomofFormChar1">
    <w:name w:val="z-Bottom of Form Char1"/>
    <w:uiPriority w:val="99"/>
    <w:semiHidden/>
    <w:rsid w:val="00E032A0"/>
    <w:rPr>
      <w:rFonts w:ascii="Arial" w:eastAsia="Times New Roman" w:hAnsi="Arial" w:cs="Arial"/>
      <w:vanish/>
      <w:sz w:val="16"/>
      <w:szCs w:val="16"/>
      <w:lang w:eastAsia="ru-RU"/>
    </w:rPr>
  </w:style>
  <w:style w:type="character" w:styleId="Strong">
    <w:name w:val="Strong"/>
    <w:uiPriority w:val="22"/>
    <w:qFormat/>
    <w:rsid w:val="00E032A0"/>
    <w:rPr>
      <w:b/>
      <w:bCs/>
    </w:rPr>
  </w:style>
  <w:style w:type="character" w:customStyle="1" w:styleId="shorttext">
    <w:name w:val="short_text"/>
    <w:basedOn w:val="DefaultParagraphFont"/>
    <w:rsid w:val="00E032A0"/>
  </w:style>
  <w:style w:type="character" w:styleId="Emphasis">
    <w:name w:val="Emphasis"/>
    <w:uiPriority w:val="20"/>
    <w:qFormat/>
    <w:rsid w:val="00E032A0"/>
    <w:rPr>
      <w:b/>
      <w:bCs/>
      <w:i w:val="0"/>
      <w:iCs w:val="0"/>
    </w:rPr>
  </w:style>
  <w:style w:type="character" w:customStyle="1" w:styleId="apple-converted-space">
    <w:name w:val="apple-converted-space"/>
    <w:basedOn w:val="DefaultParagraphFont"/>
    <w:rsid w:val="00E032A0"/>
  </w:style>
  <w:style w:type="character" w:customStyle="1" w:styleId="apple-style-span">
    <w:name w:val="apple-style-span"/>
    <w:basedOn w:val="DefaultParagraphFont"/>
    <w:rsid w:val="00E032A0"/>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E032A0"/>
    <w:pPr>
      <w:spacing w:after="200" w:line="360" w:lineRule="auto"/>
      <w:ind w:left="720"/>
      <w:contextualSpacing/>
    </w:pPr>
    <w:rPr>
      <w:rFonts w:ascii="Calibri" w:eastAsia="Calibri" w:hAnsi="Calibri"/>
      <w:sz w:val="22"/>
      <w:szCs w:val="22"/>
      <w:lang w:eastAsia="en-US"/>
    </w:rPr>
  </w:style>
  <w:style w:type="paragraph" w:styleId="FootnoteText">
    <w:name w:val="footnote text"/>
    <w:aliases w:val="single space,footnote text,fn,FOOTNOTES,ADB,WB-Fußnotentext,Footnote,Fußnote,Footnote Text Char Char Char Char Char Char,ft,Footnote Text Char1 Char1,Footnote Text Char Char Char1,Footnote Text Char1 Char Char,Fußnote C,Текст сноски Знак"/>
    <w:basedOn w:val="Normal"/>
    <w:link w:val="FootnoteTextChar1"/>
    <w:uiPriority w:val="99"/>
    <w:rsid w:val="00E032A0"/>
    <w:rPr>
      <w:rFonts w:ascii="Times New Roman" w:hAnsi="Times New Roman"/>
      <w:lang w:val="ru-RU"/>
    </w:rPr>
  </w:style>
  <w:style w:type="character" w:customStyle="1" w:styleId="FootnoteTextChar">
    <w:name w:val="Footnote Text Char"/>
    <w:uiPriority w:val="99"/>
    <w:rsid w:val="00E032A0"/>
    <w:rPr>
      <w:rFonts w:ascii="Arial Armenian" w:eastAsia="Times New Roman" w:hAnsi="Arial Armenian" w:cs="Times New Roman"/>
      <w:sz w:val="20"/>
      <w:szCs w:val="20"/>
      <w:lang w:eastAsia="ru-RU"/>
    </w:rPr>
  </w:style>
  <w:style w:type="character" w:customStyle="1" w:styleId="FootnoteTextChar1">
    <w:name w:val="Footnote Text Char1"/>
    <w:aliases w:val="single space Char,footnote text Char,fn Char,FOOTNOTES Char,ADB Char,WB-Fußnotentext Char,Footnote Char,Fußnote Char,Footnote Text Char Char Char Char Char Char Char,ft Char,Footnote Text Char1 Char1 Char,Fußnote C Char"/>
    <w:link w:val="FootnoteText"/>
    <w:locked/>
    <w:rsid w:val="00E032A0"/>
    <w:rPr>
      <w:rFonts w:ascii="Times New Roman" w:eastAsia="Times New Roman" w:hAnsi="Times New Roman" w:cs="Times New Roman"/>
      <w:sz w:val="20"/>
      <w:szCs w:val="20"/>
      <w:lang w:val="ru-RU" w:eastAsia="ru-RU"/>
    </w:rPr>
  </w:style>
  <w:style w:type="character" w:styleId="FootnoteReference">
    <w:name w:val="footnote reference"/>
    <w:aliases w:val="ftref,Footnote Reference Number"/>
    <w:uiPriority w:val="99"/>
    <w:rsid w:val="00E032A0"/>
    <w:rPr>
      <w:vertAlign w:val="superscript"/>
    </w:rPr>
  </w:style>
  <w:style w:type="paragraph" w:customStyle="1" w:styleId="StyleHeading1GHEAGrapalatJustified">
    <w:name w:val="Style Heading 1 + GHEA Grapalat Justified"/>
    <w:basedOn w:val="Heading1"/>
    <w:rsid w:val="00E032A0"/>
    <w:pPr>
      <w:numPr>
        <w:ilvl w:val="2"/>
        <w:numId w:val="3"/>
      </w:numPr>
      <w:spacing w:before="360" w:after="240"/>
      <w:jc w:val="left"/>
      <w:outlineLvl w:val="3"/>
    </w:pPr>
    <w:rPr>
      <w:bCs w:val="0"/>
      <w:kern w:val="32"/>
    </w:rPr>
  </w:style>
  <w:style w:type="paragraph" w:customStyle="1" w:styleId="StyleHeading2GHEAGrapalatJustified">
    <w:name w:val="Style Heading 2 + GHEA Grapalat Justified"/>
    <w:basedOn w:val="Heading2"/>
    <w:link w:val="StyleHeading2GHEAGrapalatJustifiedChar"/>
    <w:rsid w:val="00E032A0"/>
    <w:pPr>
      <w:keepNext/>
      <w:numPr>
        <w:numId w:val="3"/>
      </w:numPr>
      <w:spacing w:before="360" w:after="360"/>
      <w:ind w:left="360"/>
    </w:pPr>
    <w:rPr>
      <w:iCs/>
      <w:sz w:val="28"/>
      <w:szCs w:val="20"/>
    </w:rPr>
  </w:style>
  <w:style w:type="character" w:customStyle="1" w:styleId="StyleHeading2GHEAGrapalatJustifiedChar">
    <w:name w:val="Style Heading 2 + GHEA Grapalat Justified Char"/>
    <w:link w:val="StyleHeading2GHEAGrapalatJustified"/>
    <w:rsid w:val="00E032A0"/>
    <w:rPr>
      <w:rFonts w:ascii="GHEA Grapalat" w:eastAsia="Times New Roman" w:hAnsi="GHEA Grapalat"/>
      <w:b/>
      <w:bCs/>
      <w:iCs/>
      <w:sz w:val="28"/>
      <w:lang w:val="ru-RU" w:eastAsia="ru-RU"/>
    </w:rPr>
  </w:style>
  <w:style w:type="paragraph" w:customStyle="1" w:styleId="StyleHeading3GHEAGrapalatJustified">
    <w:name w:val="Style Heading 3 + GHEA Grapalat Justified"/>
    <w:basedOn w:val="Heading3"/>
    <w:rsid w:val="00E032A0"/>
    <w:pPr>
      <w:numPr>
        <w:ilvl w:val="2"/>
      </w:numPr>
      <w:tabs>
        <w:tab w:val="num" w:pos="384"/>
      </w:tabs>
      <w:spacing w:before="360" w:after="240"/>
      <w:ind w:left="1248" w:hanging="708"/>
      <w:jc w:val="both"/>
    </w:pPr>
    <w:rPr>
      <w:szCs w:val="20"/>
    </w:rPr>
  </w:style>
  <w:style w:type="paragraph" w:customStyle="1" w:styleId="StyleGHEAGrapalatJustifiedBefore12pt">
    <w:name w:val="Style GHEA Grapalat Justified Before:  12 pt"/>
    <w:basedOn w:val="Normal"/>
    <w:link w:val="StyleGHEAGrapalatJustifiedBefore12ptChar"/>
    <w:rsid w:val="00E032A0"/>
    <w:pPr>
      <w:numPr>
        <w:numId w:val="4"/>
      </w:numPr>
      <w:spacing w:before="240" w:after="240"/>
      <w:jc w:val="both"/>
    </w:pPr>
    <w:rPr>
      <w:rFonts w:ascii="GHEA Grapalat" w:hAnsi="GHEA Grapalat"/>
      <w:sz w:val="24"/>
      <w:lang w:val="ru-RU"/>
    </w:rPr>
  </w:style>
  <w:style w:type="character" w:customStyle="1" w:styleId="StyleGHEAGrapalatJustifiedBefore12ptChar">
    <w:name w:val="Style GHEA Grapalat Justified Before:  12 pt Char"/>
    <w:link w:val="StyleGHEAGrapalatJustifiedBefore12pt"/>
    <w:rsid w:val="00E032A0"/>
    <w:rPr>
      <w:rFonts w:ascii="GHEA Grapalat" w:eastAsia="Times New Roman" w:hAnsi="GHEA Grapalat"/>
      <w:sz w:val="24"/>
      <w:lang w:val="ru-RU" w:eastAsia="ru-RU"/>
    </w:rPr>
  </w:style>
  <w:style w:type="paragraph" w:styleId="TOC3">
    <w:name w:val="toc 3"/>
    <w:basedOn w:val="Normal"/>
    <w:next w:val="Normal"/>
    <w:autoRedefine/>
    <w:uiPriority w:val="39"/>
    <w:rsid w:val="00E032A0"/>
    <w:pPr>
      <w:tabs>
        <w:tab w:val="left" w:pos="1260"/>
        <w:tab w:val="right" w:leader="dot" w:pos="9617"/>
      </w:tabs>
      <w:ind w:left="900" w:right="278" w:hanging="360"/>
    </w:pPr>
    <w:rPr>
      <w:rFonts w:ascii="Times New Roman" w:hAnsi="Times New Roman"/>
      <w:sz w:val="24"/>
      <w:szCs w:val="24"/>
      <w:lang w:val="ru-RU"/>
    </w:rPr>
  </w:style>
  <w:style w:type="paragraph" w:styleId="BalloonText">
    <w:name w:val="Balloon Text"/>
    <w:basedOn w:val="Normal"/>
    <w:link w:val="BalloonTextChar"/>
    <w:rsid w:val="00E032A0"/>
    <w:rPr>
      <w:rFonts w:ascii="Tahoma" w:hAnsi="Tahoma"/>
      <w:sz w:val="16"/>
      <w:szCs w:val="16"/>
      <w:lang w:val="x-none"/>
    </w:rPr>
  </w:style>
  <w:style w:type="character" w:customStyle="1" w:styleId="BalloonTextChar">
    <w:name w:val="Balloon Text Char"/>
    <w:link w:val="BalloonText"/>
    <w:rsid w:val="00E032A0"/>
    <w:rPr>
      <w:rFonts w:ascii="Tahoma" w:eastAsia="Times New Roman" w:hAnsi="Tahoma" w:cs="Tahoma"/>
      <w:sz w:val="16"/>
      <w:szCs w:val="16"/>
      <w:lang w:eastAsia="ru-RU"/>
    </w:rPr>
  </w:style>
  <w:style w:type="character" w:customStyle="1" w:styleId="st">
    <w:name w:val="st"/>
    <w:basedOn w:val="DefaultParagraphFont"/>
    <w:rsid w:val="00E032A0"/>
  </w:style>
  <w:style w:type="character" w:customStyle="1" w:styleId="pdf-mod">
    <w:name w:val="pdf-mod"/>
    <w:basedOn w:val="DefaultParagraphFont"/>
    <w:rsid w:val="00E032A0"/>
  </w:style>
  <w:style w:type="character" w:styleId="PlaceholderText">
    <w:name w:val="Placeholder Text"/>
    <w:uiPriority w:val="99"/>
    <w:semiHidden/>
    <w:rsid w:val="00306D84"/>
    <w:rPr>
      <w:color w:val="808080"/>
    </w:rPr>
  </w:style>
  <w:style w:type="table" w:customStyle="1" w:styleId="TableGrid1">
    <w:name w:val="Table Grid1"/>
    <w:basedOn w:val="TableNormal"/>
    <w:next w:val="TableGrid"/>
    <w:rsid w:val="00DF6AA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
    <w:name w:val="Char Char Char Char Char Char Char Char Char Char Char Char"/>
    <w:basedOn w:val="Normal"/>
    <w:rsid w:val="00D5355B"/>
    <w:pPr>
      <w:spacing w:after="160" w:line="240" w:lineRule="exact"/>
    </w:pPr>
    <w:rPr>
      <w:rFonts w:ascii="Arial" w:hAnsi="Arial" w:cs="Arial"/>
      <w:lang w:eastAsia="en-US"/>
    </w:rPr>
  </w:style>
  <w:style w:type="paragraph" w:customStyle="1" w:styleId="a">
    <w:name w:val="Ø³"/>
    <w:rsid w:val="00D5355B"/>
    <w:rPr>
      <w:rFonts w:ascii="Times New Roman" w:eastAsia="Times New Roman" w:hAnsi="Times New Roman"/>
    </w:rPr>
  </w:style>
  <w:style w:type="table" w:customStyle="1" w:styleId="TableGrid19">
    <w:name w:val="Table Grid19"/>
    <w:basedOn w:val="TableNormal"/>
    <w:next w:val="TableGrid"/>
    <w:rsid w:val="004A73B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8A6131"/>
    <w:rPr>
      <w:sz w:val="16"/>
      <w:szCs w:val="16"/>
    </w:rPr>
  </w:style>
  <w:style w:type="paragraph" w:styleId="CommentText">
    <w:name w:val="annotation text"/>
    <w:basedOn w:val="Normal"/>
    <w:link w:val="CommentTextChar"/>
    <w:uiPriority w:val="99"/>
    <w:semiHidden/>
    <w:unhideWhenUsed/>
    <w:rsid w:val="008A6131"/>
  </w:style>
  <w:style w:type="character" w:customStyle="1" w:styleId="CommentTextChar">
    <w:name w:val="Comment Text Char"/>
    <w:link w:val="CommentText"/>
    <w:uiPriority w:val="99"/>
    <w:semiHidden/>
    <w:rsid w:val="008A6131"/>
    <w:rPr>
      <w:rFonts w:ascii="Arial Armenian" w:eastAsia="Times New Roman" w:hAnsi="Arial Armenian"/>
      <w:lang w:eastAsia="ru-RU"/>
    </w:rPr>
  </w:style>
  <w:style w:type="paragraph" w:styleId="CommentSubject">
    <w:name w:val="annotation subject"/>
    <w:basedOn w:val="CommentText"/>
    <w:next w:val="CommentText"/>
    <w:link w:val="CommentSubjectChar"/>
    <w:uiPriority w:val="99"/>
    <w:semiHidden/>
    <w:unhideWhenUsed/>
    <w:rsid w:val="008A6131"/>
    <w:rPr>
      <w:b/>
      <w:bCs/>
    </w:rPr>
  </w:style>
  <w:style w:type="character" w:customStyle="1" w:styleId="CommentSubjectChar">
    <w:name w:val="Comment Subject Char"/>
    <w:link w:val="CommentSubject"/>
    <w:uiPriority w:val="99"/>
    <w:semiHidden/>
    <w:rsid w:val="008A6131"/>
    <w:rPr>
      <w:rFonts w:ascii="Arial Armenian" w:eastAsia="Times New Roman" w:hAnsi="Arial Armenian"/>
      <w:b/>
      <w:bCs/>
      <w:lang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D27CE0"/>
    <w:rPr>
      <w:sz w:val="22"/>
      <w:szCs w:val="22"/>
    </w:rPr>
  </w:style>
  <w:style w:type="character" w:customStyle="1" w:styleId="italic">
    <w:name w:val="italic"/>
    <w:basedOn w:val="DefaultParagraphFont"/>
    <w:rsid w:val="00CE4F1A"/>
  </w:style>
  <w:style w:type="paragraph" w:customStyle="1" w:styleId="Graphicsannotation">
    <w:name w:val="Graphics annotation"/>
    <w:basedOn w:val="Normal"/>
    <w:link w:val="GraphicsannotationChar"/>
    <w:qFormat/>
    <w:rsid w:val="005359D9"/>
    <w:pPr>
      <w:tabs>
        <w:tab w:val="left" w:pos="709"/>
        <w:tab w:val="left" w:pos="851"/>
      </w:tabs>
      <w:ind w:left="1276" w:hanging="1276"/>
      <w:jc w:val="both"/>
    </w:pPr>
    <w:rPr>
      <w:rFonts w:ascii="GHEA Grapalat" w:hAnsi="GHEA Grapalat"/>
    </w:rPr>
  </w:style>
  <w:style w:type="paragraph" w:customStyle="1" w:styleId="GRAPHICSANNOTATION0">
    <w:name w:val="GRAPHICS ANNOTATION"/>
    <w:basedOn w:val="Normal"/>
    <w:link w:val="GRAPHICSANNOTATIONChar0"/>
    <w:qFormat/>
    <w:rsid w:val="005359D9"/>
    <w:pPr>
      <w:tabs>
        <w:tab w:val="left" w:pos="709"/>
        <w:tab w:val="left" w:pos="851"/>
      </w:tabs>
      <w:ind w:left="709" w:hanging="709"/>
      <w:jc w:val="both"/>
    </w:pPr>
    <w:rPr>
      <w:rFonts w:ascii="GHEA Grapalat" w:hAnsi="GHEA Grapalat"/>
      <w:b/>
    </w:rPr>
  </w:style>
  <w:style w:type="character" w:customStyle="1" w:styleId="GraphicsannotationChar">
    <w:name w:val="Graphics annotation Char"/>
    <w:basedOn w:val="DefaultParagraphFont"/>
    <w:link w:val="Graphicsannotation"/>
    <w:rsid w:val="005359D9"/>
    <w:rPr>
      <w:rFonts w:ascii="GHEA Grapalat" w:eastAsia="Times New Roman" w:hAnsi="GHEA Grapalat"/>
      <w:lang w:val="hy-AM" w:eastAsia="ru-RU"/>
    </w:rPr>
  </w:style>
  <w:style w:type="character" w:customStyle="1" w:styleId="GRAPHICSANNOTATIONChar0">
    <w:name w:val="GRAPHICS ANNOTATION Char"/>
    <w:basedOn w:val="DefaultParagraphFont"/>
    <w:link w:val="GRAPHICSANNOTATION0"/>
    <w:rsid w:val="005359D9"/>
    <w:rPr>
      <w:rFonts w:ascii="GHEA Grapalat" w:eastAsia="Times New Roman" w:hAnsi="GHEA Grapalat"/>
      <w:b/>
      <w:lang w:val="hy-AM" w:eastAsia="ru-RU"/>
    </w:rPr>
  </w:style>
  <w:style w:type="character" w:styleId="FollowedHyperlink">
    <w:name w:val="FollowedHyperlink"/>
    <w:basedOn w:val="DefaultParagraphFont"/>
    <w:uiPriority w:val="99"/>
    <w:semiHidden/>
    <w:unhideWhenUsed/>
    <w:rsid w:val="00086EC8"/>
    <w:rPr>
      <w:color w:val="954F72" w:themeColor="followedHyperlink"/>
      <w:u w:val="single"/>
    </w:rPr>
  </w:style>
  <w:style w:type="character" w:customStyle="1" w:styleId="UnresolvedMention1">
    <w:name w:val="Unresolved Mention1"/>
    <w:basedOn w:val="DefaultParagraphFont"/>
    <w:uiPriority w:val="99"/>
    <w:semiHidden/>
    <w:unhideWhenUsed/>
    <w:rsid w:val="00F1562B"/>
    <w:rPr>
      <w:color w:val="605E5C"/>
      <w:shd w:val="clear" w:color="auto" w:fill="E1DFDD"/>
    </w:rPr>
  </w:style>
  <w:style w:type="paragraph" w:customStyle="1" w:styleId="Heading11">
    <w:name w:val="Heading 11"/>
    <w:basedOn w:val="Normal"/>
    <w:next w:val="Heading1"/>
    <w:link w:val="HEADING1Char0"/>
    <w:rsid w:val="00581F5D"/>
    <w:pPr>
      <w:tabs>
        <w:tab w:val="left" w:pos="851"/>
        <w:tab w:val="left" w:pos="993"/>
      </w:tabs>
      <w:spacing w:line="276" w:lineRule="auto"/>
      <w:ind w:firstLine="567"/>
      <w:jc w:val="center"/>
    </w:pPr>
    <w:rPr>
      <w:rFonts w:ascii="GHEA Grapalat" w:hAnsi="GHEA Grapalat" w:cs="Sylfaen"/>
      <w:b/>
      <w:bCs/>
      <w:sz w:val="24"/>
      <w:szCs w:val="24"/>
    </w:rPr>
  </w:style>
  <w:style w:type="character" w:customStyle="1" w:styleId="HEADING1Char0">
    <w:name w:val="HEADING 1 Char"/>
    <w:basedOn w:val="DefaultParagraphFont"/>
    <w:link w:val="Heading11"/>
    <w:rsid w:val="00581F5D"/>
    <w:rPr>
      <w:rFonts w:ascii="GHEA Grapalat" w:eastAsia="Times New Roman" w:hAnsi="GHEA Grapalat" w:cs="Sylfaen"/>
      <w:b/>
      <w:bCs/>
      <w:sz w:val="24"/>
      <w:szCs w:val="24"/>
      <w:lang w:val="hy-AM" w:eastAsia="ru-RU"/>
    </w:rPr>
  </w:style>
  <w:style w:type="paragraph" w:styleId="TOCHeading">
    <w:name w:val="TOC Heading"/>
    <w:basedOn w:val="Heading1"/>
    <w:next w:val="Normal"/>
    <w:uiPriority w:val="39"/>
    <w:unhideWhenUsed/>
    <w:qFormat/>
    <w:rsid w:val="00581F5D"/>
    <w:pPr>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n-US" w:eastAsia="en-US"/>
    </w:rPr>
  </w:style>
  <w:style w:type="paragraph" w:styleId="TOC1">
    <w:name w:val="toc 1"/>
    <w:basedOn w:val="Normal"/>
    <w:next w:val="Normal"/>
    <w:autoRedefine/>
    <w:uiPriority w:val="39"/>
    <w:unhideWhenUsed/>
    <w:rsid w:val="00581F5D"/>
    <w:pPr>
      <w:spacing w:after="100"/>
    </w:pPr>
  </w:style>
  <w:style w:type="paragraph" w:styleId="TOC2">
    <w:name w:val="toc 2"/>
    <w:basedOn w:val="Normal"/>
    <w:next w:val="Normal"/>
    <w:autoRedefine/>
    <w:uiPriority w:val="39"/>
    <w:unhideWhenUsed/>
    <w:rsid w:val="00D533B4"/>
    <w:pPr>
      <w:spacing w:after="100"/>
      <w:ind w:left="200"/>
    </w:pPr>
  </w:style>
  <w:style w:type="character" w:customStyle="1" w:styleId="ms-1">
    <w:name w:val="ms-1"/>
    <w:basedOn w:val="DefaultParagraphFont"/>
    <w:rsid w:val="00E91D03"/>
  </w:style>
  <w:style w:type="character" w:customStyle="1" w:styleId="max-w-15ch">
    <w:name w:val="max-w-[15ch]"/>
    <w:basedOn w:val="DefaultParagraphFont"/>
    <w:rsid w:val="00E91D03"/>
  </w:style>
  <w:style w:type="character" w:customStyle="1" w:styleId="UnresolvedMention">
    <w:name w:val="Unresolved Mention"/>
    <w:basedOn w:val="DefaultParagraphFont"/>
    <w:uiPriority w:val="99"/>
    <w:semiHidden/>
    <w:unhideWhenUsed/>
    <w:rsid w:val="002036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022306">
      <w:bodyDiv w:val="1"/>
      <w:marLeft w:val="0"/>
      <w:marRight w:val="0"/>
      <w:marTop w:val="0"/>
      <w:marBottom w:val="0"/>
      <w:divBdr>
        <w:top w:val="none" w:sz="0" w:space="0" w:color="auto"/>
        <w:left w:val="none" w:sz="0" w:space="0" w:color="auto"/>
        <w:bottom w:val="none" w:sz="0" w:space="0" w:color="auto"/>
        <w:right w:val="none" w:sz="0" w:space="0" w:color="auto"/>
      </w:divBdr>
    </w:div>
    <w:div w:id="63336672">
      <w:bodyDiv w:val="1"/>
      <w:marLeft w:val="0"/>
      <w:marRight w:val="0"/>
      <w:marTop w:val="0"/>
      <w:marBottom w:val="0"/>
      <w:divBdr>
        <w:top w:val="none" w:sz="0" w:space="0" w:color="auto"/>
        <w:left w:val="none" w:sz="0" w:space="0" w:color="auto"/>
        <w:bottom w:val="none" w:sz="0" w:space="0" w:color="auto"/>
        <w:right w:val="none" w:sz="0" w:space="0" w:color="auto"/>
      </w:divBdr>
    </w:div>
    <w:div w:id="79301150">
      <w:bodyDiv w:val="1"/>
      <w:marLeft w:val="0"/>
      <w:marRight w:val="0"/>
      <w:marTop w:val="0"/>
      <w:marBottom w:val="0"/>
      <w:divBdr>
        <w:top w:val="none" w:sz="0" w:space="0" w:color="auto"/>
        <w:left w:val="none" w:sz="0" w:space="0" w:color="auto"/>
        <w:bottom w:val="none" w:sz="0" w:space="0" w:color="auto"/>
        <w:right w:val="none" w:sz="0" w:space="0" w:color="auto"/>
      </w:divBdr>
    </w:div>
    <w:div w:id="130177217">
      <w:bodyDiv w:val="1"/>
      <w:marLeft w:val="0"/>
      <w:marRight w:val="0"/>
      <w:marTop w:val="0"/>
      <w:marBottom w:val="0"/>
      <w:divBdr>
        <w:top w:val="none" w:sz="0" w:space="0" w:color="auto"/>
        <w:left w:val="none" w:sz="0" w:space="0" w:color="auto"/>
        <w:bottom w:val="none" w:sz="0" w:space="0" w:color="auto"/>
        <w:right w:val="none" w:sz="0" w:space="0" w:color="auto"/>
      </w:divBdr>
    </w:div>
    <w:div w:id="211117557">
      <w:bodyDiv w:val="1"/>
      <w:marLeft w:val="0"/>
      <w:marRight w:val="0"/>
      <w:marTop w:val="0"/>
      <w:marBottom w:val="0"/>
      <w:divBdr>
        <w:top w:val="none" w:sz="0" w:space="0" w:color="auto"/>
        <w:left w:val="none" w:sz="0" w:space="0" w:color="auto"/>
        <w:bottom w:val="none" w:sz="0" w:space="0" w:color="auto"/>
        <w:right w:val="none" w:sz="0" w:space="0" w:color="auto"/>
      </w:divBdr>
      <w:divsChild>
        <w:div w:id="467671295">
          <w:marLeft w:val="0"/>
          <w:marRight w:val="0"/>
          <w:marTop w:val="0"/>
          <w:marBottom w:val="0"/>
          <w:divBdr>
            <w:top w:val="none" w:sz="0" w:space="0" w:color="auto"/>
            <w:left w:val="none" w:sz="0" w:space="0" w:color="auto"/>
            <w:bottom w:val="none" w:sz="0" w:space="0" w:color="auto"/>
            <w:right w:val="none" w:sz="0" w:space="0" w:color="auto"/>
          </w:divBdr>
        </w:div>
      </w:divsChild>
    </w:div>
    <w:div w:id="270823485">
      <w:bodyDiv w:val="1"/>
      <w:marLeft w:val="0"/>
      <w:marRight w:val="0"/>
      <w:marTop w:val="0"/>
      <w:marBottom w:val="0"/>
      <w:divBdr>
        <w:top w:val="none" w:sz="0" w:space="0" w:color="auto"/>
        <w:left w:val="none" w:sz="0" w:space="0" w:color="auto"/>
        <w:bottom w:val="none" w:sz="0" w:space="0" w:color="auto"/>
        <w:right w:val="none" w:sz="0" w:space="0" w:color="auto"/>
      </w:divBdr>
    </w:div>
    <w:div w:id="285039216">
      <w:bodyDiv w:val="1"/>
      <w:marLeft w:val="0"/>
      <w:marRight w:val="0"/>
      <w:marTop w:val="0"/>
      <w:marBottom w:val="0"/>
      <w:divBdr>
        <w:top w:val="none" w:sz="0" w:space="0" w:color="auto"/>
        <w:left w:val="none" w:sz="0" w:space="0" w:color="auto"/>
        <w:bottom w:val="none" w:sz="0" w:space="0" w:color="auto"/>
        <w:right w:val="none" w:sz="0" w:space="0" w:color="auto"/>
      </w:divBdr>
    </w:div>
    <w:div w:id="309987490">
      <w:bodyDiv w:val="1"/>
      <w:marLeft w:val="0"/>
      <w:marRight w:val="0"/>
      <w:marTop w:val="0"/>
      <w:marBottom w:val="0"/>
      <w:divBdr>
        <w:top w:val="none" w:sz="0" w:space="0" w:color="auto"/>
        <w:left w:val="none" w:sz="0" w:space="0" w:color="auto"/>
        <w:bottom w:val="none" w:sz="0" w:space="0" w:color="auto"/>
        <w:right w:val="none" w:sz="0" w:space="0" w:color="auto"/>
      </w:divBdr>
    </w:div>
    <w:div w:id="368144809">
      <w:bodyDiv w:val="1"/>
      <w:marLeft w:val="0"/>
      <w:marRight w:val="0"/>
      <w:marTop w:val="0"/>
      <w:marBottom w:val="0"/>
      <w:divBdr>
        <w:top w:val="none" w:sz="0" w:space="0" w:color="auto"/>
        <w:left w:val="none" w:sz="0" w:space="0" w:color="auto"/>
        <w:bottom w:val="none" w:sz="0" w:space="0" w:color="auto"/>
        <w:right w:val="none" w:sz="0" w:space="0" w:color="auto"/>
      </w:divBdr>
    </w:div>
    <w:div w:id="368916639">
      <w:bodyDiv w:val="1"/>
      <w:marLeft w:val="0"/>
      <w:marRight w:val="0"/>
      <w:marTop w:val="0"/>
      <w:marBottom w:val="0"/>
      <w:divBdr>
        <w:top w:val="none" w:sz="0" w:space="0" w:color="auto"/>
        <w:left w:val="none" w:sz="0" w:space="0" w:color="auto"/>
        <w:bottom w:val="none" w:sz="0" w:space="0" w:color="auto"/>
        <w:right w:val="none" w:sz="0" w:space="0" w:color="auto"/>
      </w:divBdr>
    </w:div>
    <w:div w:id="403260929">
      <w:bodyDiv w:val="1"/>
      <w:marLeft w:val="0"/>
      <w:marRight w:val="0"/>
      <w:marTop w:val="0"/>
      <w:marBottom w:val="0"/>
      <w:divBdr>
        <w:top w:val="none" w:sz="0" w:space="0" w:color="auto"/>
        <w:left w:val="none" w:sz="0" w:space="0" w:color="auto"/>
        <w:bottom w:val="none" w:sz="0" w:space="0" w:color="auto"/>
        <w:right w:val="none" w:sz="0" w:space="0" w:color="auto"/>
      </w:divBdr>
    </w:div>
    <w:div w:id="513960630">
      <w:bodyDiv w:val="1"/>
      <w:marLeft w:val="0"/>
      <w:marRight w:val="0"/>
      <w:marTop w:val="0"/>
      <w:marBottom w:val="0"/>
      <w:divBdr>
        <w:top w:val="none" w:sz="0" w:space="0" w:color="auto"/>
        <w:left w:val="none" w:sz="0" w:space="0" w:color="auto"/>
        <w:bottom w:val="none" w:sz="0" w:space="0" w:color="auto"/>
        <w:right w:val="none" w:sz="0" w:space="0" w:color="auto"/>
      </w:divBdr>
    </w:div>
    <w:div w:id="534125868">
      <w:bodyDiv w:val="1"/>
      <w:marLeft w:val="0"/>
      <w:marRight w:val="0"/>
      <w:marTop w:val="0"/>
      <w:marBottom w:val="0"/>
      <w:divBdr>
        <w:top w:val="none" w:sz="0" w:space="0" w:color="auto"/>
        <w:left w:val="none" w:sz="0" w:space="0" w:color="auto"/>
        <w:bottom w:val="none" w:sz="0" w:space="0" w:color="auto"/>
        <w:right w:val="none" w:sz="0" w:space="0" w:color="auto"/>
      </w:divBdr>
    </w:div>
    <w:div w:id="593972663">
      <w:bodyDiv w:val="1"/>
      <w:marLeft w:val="0"/>
      <w:marRight w:val="0"/>
      <w:marTop w:val="0"/>
      <w:marBottom w:val="0"/>
      <w:divBdr>
        <w:top w:val="none" w:sz="0" w:space="0" w:color="auto"/>
        <w:left w:val="none" w:sz="0" w:space="0" w:color="auto"/>
        <w:bottom w:val="none" w:sz="0" w:space="0" w:color="auto"/>
        <w:right w:val="none" w:sz="0" w:space="0" w:color="auto"/>
      </w:divBdr>
    </w:div>
    <w:div w:id="665980550">
      <w:bodyDiv w:val="1"/>
      <w:marLeft w:val="0"/>
      <w:marRight w:val="0"/>
      <w:marTop w:val="0"/>
      <w:marBottom w:val="0"/>
      <w:divBdr>
        <w:top w:val="none" w:sz="0" w:space="0" w:color="auto"/>
        <w:left w:val="none" w:sz="0" w:space="0" w:color="auto"/>
        <w:bottom w:val="none" w:sz="0" w:space="0" w:color="auto"/>
        <w:right w:val="none" w:sz="0" w:space="0" w:color="auto"/>
      </w:divBdr>
    </w:div>
    <w:div w:id="685518137">
      <w:bodyDiv w:val="1"/>
      <w:marLeft w:val="0"/>
      <w:marRight w:val="0"/>
      <w:marTop w:val="0"/>
      <w:marBottom w:val="0"/>
      <w:divBdr>
        <w:top w:val="none" w:sz="0" w:space="0" w:color="auto"/>
        <w:left w:val="none" w:sz="0" w:space="0" w:color="auto"/>
        <w:bottom w:val="none" w:sz="0" w:space="0" w:color="auto"/>
        <w:right w:val="none" w:sz="0" w:space="0" w:color="auto"/>
      </w:divBdr>
    </w:div>
    <w:div w:id="687022948">
      <w:bodyDiv w:val="1"/>
      <w:marLeft w:val="0"/>
      <w:marRight w:val="0"/>
      <w:marTop w:val="0"/>
      <w:marBottom w:val="0"/>
      <w:divBdr>
        <w:top w:val="none" w:sz="0" w:space="0" w:color="auto"/>
        <w:left w:val="none" w:sz="0" w:space="0" w:color="auto"/>
        <w:bottom w:val="none" w:sz="0" w:space="0" w:color="auto"/>
        <w:right w:val="none" w:sz="0" w:space="0" w:color="auto"/>
      </w:divBdr>
    </w:div>
    <w:div w:id="760026934">
      <w:bodyDiv w:val="1"/>
      <w:marLeft w:val="0"/>
      <w:marRight w:val="0"/>
      <w:marTop w:val="0"/>
      <w:marBottom w:val="0"/>
      <w:divBdr>
        <w:top w:val="none" w:sz="0" w:space="0" w:color="auto"/>
        <w:left w:val="none" w:sz="0" w:space="0" w:color="auto"/>
        <w:bottom w:val="none" w:sz="0" w:space="0" w:color="auto"/>
        <w:right w:val="none" w:sz="0" w:space="0" w:color="auto"/>
      </w:divBdr>
    </w:div>
    <w:div w:id="815219354">
      <w:bodyDiv w:val="1"/>
      <w:marLeft w:val="0"/>
      <w:marRight w:val="0"/>
      <w:marTop w:val="0"/>
      <w:marBottom w:val="0"/>
      <w:divBdr>
        <w:top w:val="none" w:sz="0" w:space="0" w:color="auto"/>
        <w:left w:val="none" w:sz="0" w:space="0" w:color="auto"/>
        <w:bottom w:val="none" w:sz="0" w:space="0" w:color="auto"/>
        <w:right w:val="none" w:sz="0" w:space="0" w:color="auto"/>
      </w:divBdr>
    </w:div>
    <w:div w:id="821193974">
      <w:bodyDiv w:val="1"/>
      <w:marLeft w:val="0"/>
      <w:marRight w:val="0"/>
      <w:marTop w:val="0"/>
      <w:marBottom w:val="0"/>
      <w:divBdr>
        <w:top w:val="none" w:sz="0" w:space="0" w:color="auto"/>
        <w:left w:val="none" w:sz="0" w:space="0" w:color="auto"/>
        <w:bottom w:val="none" w:sz="0" w:space="0" w:color="auto"/>
        <w:right w:val="none" w:sz="0" w:space="0" w:color="auto"/>
      </w:divBdr>
    </w:div>
    <w:div w:id="946425912">
      <w:bodyDiv w:val="1"/>
      <w:marLeft w:val="0"/>
      <w:marRight w:val="0"/>
      <w:marTop w:val="0"/>
      <w:marBottom w:val="0"/>
      <w:divBdr>
        <w:top w:val="none" w:sz="0" w:space="0" w:color="auto"/>
        <w:left w:val="none" w:sz="0" w:space="0" w:color="auto"/>
        <w:bottom w:val="none" w:sz="0" w:space="0" w:color="auto"/>
        <w:right w:val="none" w:sz="0" w:space="0" w:color="auto"/>
      </w:divBdr>
    </w:div>
    <w:div w:id="954294212">
      <w:bodyDiv w:val="1"/>
      <w:marLeft w:val="0"/>
      <w:marRight w:val="0"/>
      <w:marTop w:val="0"/>
      <w:marBottom w:val="0"/>
      <w:divBdr>
        <w:top w:val="none" w:sz="0" w:space="0" w:color="auto"/>
        <w:left w:val="none" w:sz="0" w:space="0" w:color="auto"/>
        <w:bottom w:val="none" w:sz="0" w:space="0" w:color="auto"/>
        <w:right w:val="none" w:sz="0" w:space="0" w:color="auto"/>
      </w:divBdr>
    </w:div>
    <w:div w:id="1013456307">
      <w:bodyDiv w:val="1"/>
      <w:marLeft w:val="0"/>
      <w:marRight w:val="0"/>
      <w:marTop w:val="0"/>
      <w:marBottom w:val="0"/>
      <w:divBdr>
        <w:top w:val="none" w:sz="0" w:space="0" w:color="auto"/>
        <w:left w:val="none" w:sz="0" w:space="0" w:color="auto"/>
        <w:bottom w:val="none" w:sz="0" w:space="0" w:color="auto"/>
        <w:right w:val="none" w:sz="0" w:space="0" w:color="auto"/>
      </w:divBdr>
    </w:div>
    <w:div w:id="1034887342">
      <w:bodyDiv w:val="1"/>
      <w:marLeft w:val="0"/>
      <w:marRight w:val="0"/>
      <w:marTop w:val="0"/>
      <w:marBottom w:val="0"/>
      <w:divBdr>
        <w:top w:val="none" w:sz="0" w:space="0" w:color="auto"/>
        <w:left w:val="none" w:sz="0" w:space="0" w:color="auto"/>
        <w:bottom w:val="none" w:sz="0" w:space="0" w:color="auto"/>
        <w:right w:val="none" w:sz="0" w:space="0" w:color="auto"/>
      </w:divBdr>
    </w:div>
    <w:div w:id="1053583290">
      <w:bodyDiv w:val="1"/>
      <w:marLeft w:val="0"/>
      <w:marRight w:val="0"/>
      <w:marTop w:val="0"/>
      <w:marBottom w:val="0"/>
      <w:divBdr>
        <w:top w:val="none" w:sz="0" w:space="0" w:color="auto"/>
        <w:left w:val="none" w:sz="0" w:space="0" w:color="auto"/>
        <w:bottom w:val="none" w:sz="0" w:space="0" w:color="auto"/>
        <w:right w:val="none" w:sz="0" w:space="0" w:color="auto"/>
      </w:divBdr>
    </w:div>
    <w:div w:id="1086074845">
      <w:bodyDiv w:val="1"/>
      <w:marLeft w:val="0"/>
      <w:marRight w:val="0"/>
      <w:marTop w:val="0"/>
      <w:marBottom w:val="0"/>
      <w:divBdr>
        <w:top w:val="none" w:sz="0" w:space="0" w:color="auto"/>
        <w:left w:val="none" w:sz="0" w:space="0" w:color="auto"/>
        <w:bottom w:val="none" w:sz="0" w:space="0" w:color="auto"/>
        <w:right w:val="none" w:sz="0" w:space="0" w:color="auto"/>
      </w:divBdr>
      <w:divsChild>
        <w:div w:id="1242832503">
          <w:marLeft w:val="0"/>
          <w:marRight w:val="0"/>
          <w:marTop w:val="0"/>
          <w:marBottom w:val="0"/>
          <w:divBdr>
            <w:top w:val="none" w:sz="0" w:space="0" w:color="auto"/>
            <w:left w:val="none" w:sz="0" w:space="0" w:color="auto"/>
            <w:bottom w:val="none" w:sz="0" w:space="0" w:color="auto"/>
            <w:right w:val="none" w:sz="0" w:space="0" w:color="auto"/>
          </w:divBdr>
        </w:div>
      </w:divsChild>
    </w:div>
    <w:div w:id="1138183619">
      <w:bodyDiv w:val="1"/>
      <w:marLeft w:val="0"/>
      <w:marRight w:val="0"/>
      <w:marTop w:val="0"/>
      <w:marBottom w:val="0"/>
      <w:divBdr>
        <w:top w:val="none" w:sz="0" w:space="0" w:color="auto"/>
        <w:left w:val="none" w:sz="0" w:space="0" w:color="auto"/>
        <w:bottom w:val="none" w:sz="0" w:space="0" w:color="auto"/>
        <w:right w:val="none" w:sz="0" w:space="0" w:color="auto"/>
      </w:divBdr>
    </w:div>
    <w:div w:id="1147741648">
      <w:bodyDiv w:val="1"/>
      <w:marLeft w:val="0"/>
      <w:marRight w:val="0"/>
      <w:marTop w:val="0"/>
      <w:marBottom w:val="0"/>
      <w:divBdr>
        <w:top w:val="none" w:sz="0" w:space="0" w:color="auto"/>
        <w:left w:val="none" w:sz="0" w:space="0" w:color="auto"/>
        <w:bottom w:val="none" w:sz="0" w:space="0" w:color="auto"/>
        <w:right w:val="none" w:sz="0" w:space="0" w:color="auto"/>
      </w:divBdr>
    </w:div>
    <w:div w:id="1290748429">
      <w:bodyDiv w:val="1"/>
      <w:marLeft w:val="0"/>
      <w:marRight w:val="0"/>
      <w:marTop w:val="0"/>
      <w:marBottom w:val="0"/>
      <w:divBdr>
        <w:top w:val="none" w:sz="0" w:space="0" w:color="auto"/>
        <w:left w:val="none" w:sz="0" w:space="0" w:color="auto"/>
        <w:bottom w:val="none" w:sz="0" w:space="0" w:color="auto"/>
        <w:right w:val="none" w:sz="0" w:space="0" w:color="auto"/>
      </w:divBdr>
      <w:divsChild>
        <w:div w:id="650064111">
          <w:marLeft w:val="0"/>
          <w:marRight w:val="0"/>
          <w:marTop w:val="0"/>
          <w:marBottom w:val="0"/>
          <w:divBdr>
            <w:top w:val="none" w:sz="0" w:space="0" w:color="auto"/>
            <w:left w:val="none" w:sz="0" w:space="0" w:color="auto"/>
            <w:bottom w:val="none" w:sz="0" w:space="0" w:color="auto"/>
            <w:right w:val="none" w:sz="0" w:space="0" w:color="auto"/>
          </w:divBdr>
        </w:div>
      </w:divsChild>
    </w:div>
    <w:div w:id="1298338285">
      <w:bodyDiv w:val="1"/>
      <w:marLeft w:val="0"/>
      <w:marRight w:val="0"/>
      <w:marTop w:val="0"/>
      <w:marBottom w:val="0"/>
      <w:divBdr>
        <w:top w:val="none" w:sz="0" w:space="0" w:color="auto"/>
        <w:left w:val="none" w:sz="0" w:space="0" w:color="auto"/>
        <w:bottom w:val="none" w:sz="0" w:space="0" w:color="auto"/>
        <w:right w:val="none" w:sz="0" w:space="0" w:color="auto"/>
      </w:divBdr>
    </w:div>
    <w:div w:id="1344436487">
      <w:bodyDiv w:val="1"/>
      <w:marLeft w:val="0"/>
      <w:marRight w:val="0"/>
      <w:marTop w:val="0"/>
      <w:marBottom w:val="0"/>
      <w:divBdr>
        <w:top w:val="none" w:sz="0" w:space="0" w:color="auto"/>
        <w:left w:val="none" w:sz="0" w:space="0" w:color="auto"/>
        <w:bottom w:val="none" w:sz="0" w:space="0" w:color="auto"/>
        <w:right w:val="none" w:sz="0" w:space="0" w:color="auto"/>
      </w:divBdr>
    </w:div>
    <w:div w:id="1376196463">
      <w:bodyDiv w:val="1"/>
      <w:marLeft w:val="0"/>
      <w:marRight w:val="0"/>
      <w:marTop w:val="0"/>
      <w:marBottom w:val="0"/>
      <w:divBdr>
        <w:top w:val="none" w:sz="0" w:space="0" w:color="auto"/>
        <w:left w:val="none" w:sz="0" w:space="0" w:color="auto"/>
        <w:bottom w:val="none" w:sz="0" w:space="0" w:color="auto"/>
        <w:right w:val="none" w:sz="0" w:space="0" w:color="auto"/>
      </w:divBdr>
    </w:div>
    <w:div w:id="1390377838">
      <w:bodyDiv w:val="1"/>
      <w:marLeft w:val="0"/>
      <w:marRight w:val="0"/>
      <w:marTop w:val="0"/>
      <w:marBottom w:val="0"/>
      <w:divBdr>
        <w:top w:val="none" w:sz="0" w:space="0" w:color="auto"/>
        <w:left w:val="none" w:sz="0" w:space="0" w:color="auto"/>
        <w:bottom w:val="none" w:sz="0" w:space="0" w:color="auto"/>
        <w:right w:val="none" w:sz="0" w:space="0" w:color="auto"/>
      </w:divBdr>
    </w:div>
    <w:div w:id="1502623699">
      <w:bodyDiv w:val="1"/>
      <w:marLeft w:val="0"/>
      <w:marRight w:val="0"/>
      <w:marTop w:val="0"/>
      <w:marBottom w:val="0"/>
      <w:divBdr>
        <w:top w:val="none" w:sz="0" w:space="0" w:color="auto"/>
        <w:left w:val="none" w:sz="0" w:space="0" w:color="auto"/>
        <w:bottom w:val="none" w:sz="0" w:space="0" w:color="auto"/>
        <w:right w:val="none" w:sz="0" w:space="0" w:color="auto"/>
      </w:divBdr>
    </w:div>
    <w:div w:id="1516457425">
      <w:bodyDiv w:val="1"/>
      <w:marLeft w:val="0"/>
      <w:marRight w:val="0"/>
      <w:marTop w:val="0"/>
      <w:marBottom w:val="0"/>
      <w:divBdr>
        <w:top w:val="none" w:sz="0" w:space="0" w:color="auto"/>
        <w:left w:val="none" w:sz="0" w:space="0" w:color="auto"/>
        <w:bottom w:val="none" w:sz="0" w:space="0" w:color="auto"/>
        <w:right w:val="none" w:sz="0" w:space="0" w:color="auto"/>
      </w:divBdr>
    </w:div>
    <w:div w:id="1595673850">
      <w:bodyDiv w:val="1"/>
      <w:marLeft w:val="0"/>
      <w:marRight w:val="0"/>
      <w:marTop w:val="0"/>
      <w:marBottom w:val="0"/>
      <w:divBdr>
        <w:top w:val="none" w:sz="0" w:space="0" w:color="auto"/>
        <w:left w:val="none" w:sz="0" w:space="0" w:color="auto"/>
        <w:bottom w:val="none" w:sz="0" w:space="0" w:color="auto"/>
        <w:right w:val="none" w:sz="0" w:space="0" w:color="auto"/>
      </w:divBdr>
    </w:div>
    <w:div w:id="1618677596">
      <w:bodyDiv w:val="1"/>
      <w:marLeft w:val="0"/>
      <w:marRight w:val="0"/>
      <w:marTop w:val="0"/>
      <w:marBottom w:val="0"/>
      <w:divBdr>
        <w:top w:val="none" w:sz="0" w:space="0" w:color="auto"/>
        <w:left w:val="none" w:sz="0" w:space="0" w:color="auto"/>
        <w:bottom w:val="none" w:sz="0" w:space="0" w:color="auto"/>
        <w:right w:val="none" w:sz="0" w:space="0" w:color="auto"/>
      </w:divBdr>
    </w:div>
    <w:div w:id="1636330677">
      <w:bodyDiv w:val="1"/>
      <w:marLeft w:val="0"/>
      <w:marRight w:val="0"/>
      <w:marTop w:val="0"/>
      <w:marBottom w:val="0"/>
      <w:divBdr>
        <w:top w:val="none" w:sz="0" w:space="0" w:color="auto"/>
        <w:left w:val="none" w:sz="0" w:space="0" w:color="auto"/>
        <w:bottom w:val="none" w:sz="0" w:space="0" w:color="auto"/>
        <w:right w:val="none" w:sz="0" w:space="0" w:color="auto"/>
      </w:divBdr>
    </w:div>
    <w:div w:id="1687174656">
      <w:bodyDiv w:val="1"/>
      <w:marLeft w:val="0"/>
      <w:marRight w:val="0"/>
      <w:marTop w:val="0"/>
      <w:marBottom w:val="0"/>
      <w:divBdr>
        <w:top w:val="none" w:sz="0" w:space="0" w:color="auto"/>
        <w:left w:val="none" w:sz="0" w:space="0" w:color="auto"/>
        <w:bottom w:val="none" w:sz="0" w:space="0" w:color="auto"/>
        <w:right w:val="none" w:sz="0" w:space="0" w:color="auto"/>
      </w:divBdr>
    </w:div>
    <w:div w:id="1729305278">
      <w:bodyDiv w:val="1"/>
      <w:marLeft w:val="0"/>
      <w:marRight w:val="0"/>
      <w:marTop w:val="0"/>
      <w:marBottom w:val="0"/>
      <w:divBdr>
        <w:top w:val="none" w:sz="0" w:space="0" w:color="auto"/>
        <w:left w:val="none" w:sz="0" w:space="0" w:color="auto"/>
        <w:bottom w:val="none" w:sz="0" w:space="0" w:color="auto"/>
        <w:right w:val="none" w:sz="0" w:space="0" w:color="auto"/>
      </w:divBdr>
    </w:div>
    <w:div w:id="1732344065">
      <w:bodyDiv w:val="1"/>
      <w:marLeft w:val="0"/>
      <w:marRight w:val="0"/>
      <w:marTop w:val="0"/>
      <w:marBottom w:val="0"/>
      <w:divBdr>
        <w:top w:val="none" w:sz="0" w:space="0" w:color="auto"/>
        <w:left w:val="none" w:sz="0" w:space="0" w:color="auto"/>
        <w:bottom w:val="none" w:sz="0" w:space="0" w:color="auto"/>
        <w:right w:val="none" w:sz="0" w:space="0" w:color="auto"/>
      </w:divBdr>
    </w:div>
    <w:div w:id="1813861846">
      <w:bodyDiv w:val="1"/>
      <w:marLeft w:val="0"/>
      <w:marRight w:val="0"/>
      <w:marTop w:val="0"/>
      <w:marBottom w:val="0"/>
      <w:divBdr>
        <w:top w:val="none" w:sz="0" w:space="0" w:color="auto"/>
        <w:left w:val="none" w:sz="0" w:space="0" w:color="auto"/>
        <w:bottom w:val="none" w:sz="0" w:space="0" w:color="auto"/>
        <w:right w:val="none" w:sz="0" w:space="0" w:color="auto"/>
      </w:divBdr>
    </w:div>
    <w:div w:id="1816021795">
      <w:bodyDiv w:val="1"/>
      <w:marLeft w:val="0"/>
      <w:marRight w:val="0"/>
      <w:marTop w:val="0"/>
      <w:marBottom w:val="0"/>
      <w:divBdr>
        <w:top w:val="none" w:sz="0" w:space="0" w:color="auto"/>
        <w:left w:val="none" w:sz="0" w:space="0" w:color="auto"/>
        <w:bottom w:val="none" w:sz="0" w:space="0" w:color="auto"/>
        <w:right w:val="none" w:sz="0" w:space="0" w:color="auto"/>
      </w:divBdr>
    </w:div>
    <w:div w:id="1863855832">
      <w:bodyDiv w:val="1"/>
      <w:marLeft w:val="0"/>
      <w:marRight w:val="0"/>
      <w:marTop w:val="0"/>
      <w:marBottom w:val="0"/>
      <w:divBdr>
        <w:top w:val="none" w:sz="0" w:space="0" w:color="auto"/>
        <w:left w:val="none" w:sz="0" w:space="0" w:color="auto"/>
        <w:bottom w:val="none" w:sz="0" w:space="0" w:color="auto"/>
        <w:right w:val="none" w:sz="0" w:space="0" w:color="auto"/>
      </w:divBdr>
    </w:div>
    <w:div w:id="1872181737">
      <w:bodyDiv w:val="1"/>
      <w:marLeft w:val="0"/>
      <w:marRight w:val="0"/>
      <w:marTop w:val="0"/>
      <w:marBottom w:val="0"/>
      <w:divBdr>
        <w:top w:val="none" w:sz="0" w:space="0" w:color="auto"/>
        <w:left w:val="none" w:sz="0" w:space="0" w:color="auto"/>
        <w:bottom w:val="none" w:sz="0" w:space="0" w:color="auto"/>
        <w:right w:val="none" w:sz="0" w:space="0" w:color="auto"/>
      </w:divBdr>
    </w:div>
    <w:div w:id="1918854752">
      <w:bodyDiv w:val="1"/>
      <w:marLeft w:val="0"/>
      <w:marRight w:val="0"/>
      <w:marTop w:val="0"/>
      <w:marBottom w:val="0"/>
      <w:divBdr>
        <w:top w:val="none" w:sz="0" w:space="0" w:color="auto"/>
        <w:left w:val="none" w:sz="0" w:space="0" w:color="auto"/>
        <w:bottom w:val="none" w:sz="0" w:space="0" w:color="auto"/>
        <w:right w:val="none" w:sz="0" w:space="0" w:color="auto"/>
      </w:divBdr>
    </w:div>
    <w:div w:id="1933974650">
      <w:bodyDiv w:val="1"/>
      <w:marLeft w:val="0"/>
      <w:marRight w:val="0"/>
      <w:marTop w:val="0"/>
      <w:marBottom w:val="0"/>
      <w:divBdr>
        <w:top w:val="none" w:sz="0" w:space="0" w:color="auto"/>
        <w:left w:val="none" w:sz="0" w:space="0" w:color="auto"/>
        <w:bottom w:val="none" w:sz="0" w:space="0" w:color="auto"/>
        <w:right w:val="none" w:sz="0" w:space="0" w:color="auto"/>
      </w:divBdr>
    </w:div>
    <w:div w:id="1935239003">
      <w:bodyDiv w:val="1"/>
      <w:marLeft w:val="0"/>
      <w:marRight w:val="0"/>
      <w:marTop w:val="0"/>
      <w:marBottom w:val="0"/>
      <w:divBdr>
        <w:top w:val="none" w:sz="0" w:space="0" w:color="auto"/>
        <w:left w:val="none" w:sz="0" w:space="0" w:color="auto"/>
        <w:bottom w:val="none" w:sz="0" w:space="0" w:color="auto"/>
        <w:right w:val="none" w:sz="0" w:space="0" w:color="auto"/>
      </w:divBdr>
    </w:div>
    <w:div w:id="1981885387">
      <w:bodyDiv w:val="1"/>
      <w:marLeft w:val="0"/>
      <w:marRight w:val="0"/>
      <w:marTop w:val="0"/>
      <w:marBottom w:val="0"/>
      <w:divBdr>
        <w:top w:val="none" w:sz="0" w:space="0" w:color="auto"/>
        <w:left w:val="none" w:sz="0" w:space="0" w:color="auto"/>
        <w:bottom w:val="none" w:sz="0" w:space="0" w:color="auto"/>
        <w:right w:val="none" w:sz="0" w:space="0" w:color="auto"/>
      </w:divBdr>
    </w:div>
    <w:div w:id="1984890474">
      <w:bodyDiv w:val="1"/>
      <w:marLeft w:val="0"/>
      <w:marRight w:val="0"/>
      <w:marTop w:val="0"/>
      <w:marBottom w:val="0"/>
      <w:divBdr>
        <w:top w:val="none" w:sz="0" w:space="0" w:color="auto"/>
        <w:left w:val="none" w:sz="0" w:space="0" w:color="auto"/>
        <w:bottom w:val="none" w:sz="0" w:space="0" w:color="auto"/>
        <w:right w:val="none" w:sz="0" w:space="0" w:color="auto"/>
      </w:divBdr>
    </w:div>
    <w:div w:id="1993754347">
      <w:bodyDiv w:val="1"/>
      <w:marLeft w:val="0"/>
      <w:marRight w:val="0"/>
      <w:marTop w:val="0"/>
      <w:marBottom w:val="0"/>
      <w:divBdr>
        <w:top w:val="none" w:sz="0" w:space="0" w:color="auto"/>
        <w:left w:val="none" w:sz="0" w:space="0" w:color="auto"/>
        <w:bottom w:val="none" w:sz="0" w:space="0" w:color="auto"/>
        <w:right w:val="none" w:sz="0" w:space="0" w:color="auto"/>
      </w:divBdr>
    </w:div>
    <w:div w:id="2003046733">
      <w:bodyDiv w:val="1"/>
      <w:marLeft w:val="0"/>
      <w:marRight w:val="0"/>
      <w:marTop w:val="0"/>
      <w:marBottom w:val="0"/>
      <w:divBdr>
        <w:top w:val="none" w:sz="0" w:space="0" w:color="auto"/>
        <w:left w:val="none" w:sz="0" w:space="0" w:color="auto"/>
        <w:bottom w:val="none" w:sz="0" w:space="0" w:color="auto"/>
        <w:right w:val="none" w:sz="0" w:space="0" w:color="auto"/>
      </w:divBdr>
    </w:div>
    <w:div w:id="2005552311">
      <w:bodyDiv w:val="1"/>
      <w:marLeft w:val="0"/>
      <w:marRight w:val="0"/>
      <w:marTop w:val="0"/>
      <w:marBottom w:val="0"/>
      <w:divBdr>
        <w:top w:val="none" w:sz="0" w:space="0" w:color="auto"/>
        <w:left w:val="none" w:sz="0" w:space="0" w:color="auto"/>
        <w:bottom w:val="none" w:sz="0" w:space="0" w:color="auto"/>
        <w:right w:val="none" w:sz="0" w:space="0" w:color="auto"/>
      </w:divBdr>
    </w:div>
    <w:div w:id="2008746160">
      <w:bodyDiv w:val="1"/>
      <w:marLeft w:val="0"/>
      <w:marRight w:val="0"/>
      <w:marTop w:val="0"/>
      <w:marBottom w:val="0"/>
      <w:divBdr>
        <w:top w:val="none" w:sz="0" w:space="0" w:color="auto"/>
        <w:left w:val="none" w:sz="0" w:space="0" w:color="auto"/>
        <w:bottom w:val="none" w:sz="0" w:space="0" w:color="auto"/>
        <w:right w:val="none" w:sz="0" w:space="0" w:color="auto"/>
      </w:divBdr>
    </w:div>
    <w:div w:id="2104494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4.xml"/><Relationship Id="rId18" Type="http://schemas.openxmlformats.org/officeDocument/2006/relationships/chart" Target="charts/chart9.xml"/><Relationship Id="rId26" Type="http://schemas.microsoft.com/office/2014/relationships/chartEx" Target="charts/chartEx2.xml"/><Relationship Id="rId39" Type="http://schemas.openxmlformats.org/officeDocument/2006/relationships/chart" Target="charts/chart19.xml"/><Relationship Id="rId21" Type="http://schemas.openxmlformats.org/officeDocument/2006/relationships/chart" Target="charts/chart12.xml"/><Relationship Id="rId34" Type="http://schemas.openxmlformats.org/officeDocument/2006/relationships/image" Target="media/image5.png"/><Relationship Id="rId42" Type="http://schemas.openxmlformats.org/officeDocument/2006/relationships/chart" Target="charts/chart20.xml"/><Relationship Id="rId47" Type="http://schemas.openxmlformats.org/officeDocument/2006/relationships/image" Target="media/image9.png"/><Relationship Id="rId50" Type="http://schemas.openxmlformats.org/officeDocument/2006/relationships/image" Target="media/image10.png"/><Relationship Id="rId55"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image" Target="media/image2.png"/><Relationship Id="rId33" Type="http://schemas.microsoft.com/office/2014/relationships/chartEx" Target="charts/chartEx3.xml"/><Relationship Id="rId38" Type="http://schemas.openxmlformats.org/officeDocument/2006/relationships/image" Target="media/image7.png"/><Relationship Id="rId46" Type="http://schemas.openxmlformats.org/officeDocument/2006/relationships/chart" Target="charts/chart24.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chart" Target="charts/chart11.xml"/><Relationship Id="rId29" Type="http://schemas.openxmlformats.org/officeDocument/2006/relationships/image" Target="media/image4.emf"/><Relationship Id="rId41" Type="http://schemas.openxmlformats.org/officeDocument/2006/relationships/image" Target="media/image8.png"/><Relationship Id="rId54" Type="http://schemas.openxmlformats.org/officeDocument/2006/relationships/chart" Target="charts/chart2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microsoft.com/office/2014/relationships/chartEx" Target="charts/chartEx1.xml"/><Relationship Id="rId32" Type="http://schemas.openxmlformats.org/officeDocument/2006/relationships/chart" Target="charts/chart18.xml"/><Relationship Id="rId37" Type="http://schemas.microsoft.com/office/2014/relationships/chartEx" Target="charts/chartEx5.xml"/><Relationship Id="rId40" Type="http://schemas.microsoft.com/office/2014/relationships/chartEx" Target="charts/chartEx6.xml"/><Relationship Id="rId45" Type="http://schemas.openxmlformats.org/officeDocument/2006/relationships/chart" Target="charts/chart23.xml"/><Relationship Id="rId53" Type="http://schemas.openxmlformats.org/officeDocument/2006/relationships/image" Target="media/image13.png"/><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chart" Target="charts/chart14.xml"/><Relationship Id="rId28" Type="http://schemas.openxmlformats.org/officeDocument/2006/relationships/chart" Target="charts/chart15.xml"/><Relationship Id="rId36" Type="http://schemas.openxmlformats.org/officeDocument/2006/relationships/image" Target="media/image6.png"/><Relationship Id="rId49" Type="http://schemas.openxmlformats.org/officeDocument/2006/relationships/chart" Target="charts/chart26.xml"/><Relationship Id="rId57" Type="http://schemas.openxmlformats.org/officeDocument/2006/relationships/theme" Target="theme/theme1.xml"/><Relationship Id="rId10" Type="http://schemas.openxmlformats.org/officeDocument/2006/relationships/chart" Target="charts/chart1.xml"/><Relationship Id="rId19" Type="http://schemas.openxmlformats.org/officeDocument/2006/relationships/chart" Target="charts/chart10.xml"/><Relationship Id="rId31" Type="http://schemas.openxmlformats.org/officeDocument/2006/relationships/chart" Target="charts/chart17.xml"/><Relationship Id="rId44" Type="http://schemas.openxmlformats.org/officeDocument/2006/relationships/chart" Target="charts/chart22.xml"/><Relationship Id="rId52"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chart" Target="charts/chart5.xml"/><Relationship Id="rId22" Type="http://schemas.openxmlformats.org/officeDocument/2006/relationships/chart" Target="charts/chart13.xml"/><Relationship Id="rId27" Type="http://schemas.openxmlformats.org/officeDocument/2006/relationships/image" Target="media/image3.png"/><Relationship Id="rId30" Type="http://schemas.openxmlformats.org/officeDocument/2006/relationships/chart" Target="charts/chart16.xml"/><Relationship Id="rId35" Type="http://schemas.microsoft.com/office/2014/relationships/chartEx" Target="charts/chartEx4.xml"/><Relationship Id="rId43" Type="http://schemas.openxmlformats.org/officeDocument/2006/relationships/chart" Target="charts/chart21.xml"/><Relationship Id="rId48" Type="http://schemas.openxmlformats.org/officeDocument/2006/relationships/chart" Target="charts/chart25.xml"/><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image" Target="media/image11.png"/><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8" Type="http://schemas.openxmlformats.org/officeDocument/2006/relationships/hyperlink" Target="https://www.wipo.int/documents/d/global-innovation-index/docs-en-2024-gii-2024-clusters-top100-ranking.pdf" TargetMode="External"/><Relationship Id="rId3" Type="http://schemas.openxmlformats.org/officeDocument/2006/relationships/hyperlink" Target="https://www.armstat.am/am/?nid=12&amp;id=01001" TargetMode="External"/><Relationship Id="rId7" Type="http://schemas.openxmlformats.org/officeDocument/2006/relationships/hyperlink" Target="https://www.wipo.int/web-publications/global-innovation-index-2024/en/appendix-iv-global-innovation-index-science-and-technology-cluster-methodology.html" TargetMode="External"/><Relationship Id="rId2" Type="http://schemas.openxmlformats.org/officeDocument/2006/relationships/hyperlink" Target="https://publications.jrc.ec.europa.eu/repository/handle/JRC125677" TargetMode="External"/><Relationship Id="rId1" Type="http://schemas.openxmlformats.org/officeDocument/2006/relationships/hyperlink" Target="https://ec.europa.eu/research-and-innovation/en/statistics/policy-support-facility/specific-support-armenia" TargetMode="External"/><Relationship Id="rId6" Type="http://schemas.openxmlformats.org/officeDocument/2006/relationships/hyperlink" Target="https://doi.org/10.1787/9789264239012-en" TargetMode="External"/><Relationship Id="rId5" Type="http://schemas.openxmlformats.org/officeDocument/2006/relationships/hyperlink" Target="https://webgate.ec.europa.eu/dashboard/sense/app/a976d168-2023-41d8-acec-e77640154726/sheet/0c8af38b-b73c-4da2-ba41-73ea34ab7ac4/state/analysis/select/Country/Armenia" TargetMode="External"/><Relationship Id="rId4" Type="http://schemas.openxmlformats.org/officeDocument/2006/relationships/hyperlink" Target="https://www.arlis.am/hy/acts/217676/latest"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D:\GOOGLE%20DRIVE\9.%20Razmavarutyun%202024-2028\DATA%20files\&#1330;&#1397;&#1400;&#1410;&#1403;&#1381;_for%20this%20particular%20momen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GOOGLE%20DRIVE\9.%20Razmavarutyun%202026-2030\0.%20USED%20DATA\&#1330;&#1397;&#1400;&#1410;&#1403;&#1381;_for%20this%20particular%20moment.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D:\GOOGLE%20DRIVE\9.%20Razmavarutyun%202024-2028\0.%20USED%20DATA\&#1359;&#1377;&#1408;&#1387;&#1412;&#1377;&#1397;&#1387;&#1398;-2016-2024.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D:\GOOGLE%20DRIVE\9.%20Razmavarutyun%202024-2028\0.%20USED%20DATA\&#1359;&#1377;&#1408;&#1387;&#1412;&#1377;&#1397;&#1387;&#1398;-2016-2024.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D:\GOOGLE%20DRIVE\9.%20Razmavarutyun%202024-2028\0.%20USED%20DATA\&#1359;&#1377;&#1408;&#1387;&#1412;&#1377;&#1397;&#1387;&#1398;-2016-2024.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D:\GOOGLE%20DRIVE\9.%20Razmavarutyun%202024-2028\0.%20USED%20DATA\&#1359;&#1377;&#1408;&#1387;&#1412;&#1377;&#1397;&#1387;&#1398;-2016-2024.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D:\GOOGLE%20DRIVE\9.%20Razmavarutyun%202026-2030\0.%20USED%20DATA\&#1359;&#1377;&#1408;&#1387;&#1412;&#1377;&#1397;&#1387;&#1398;-2016-2024.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D:\GOOGLE%20DRIVE\9.%20Razmavarutyun%202024-2028\0.%20USED%20DATA\&#1359;&#1377;&#1408;&#1387;&#1412;&#1377;&#1397;&#1387;&#1398;-2016-2024.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oleObject" Target="file:///D:\GOOGLE%20DRIVE\9.%20Razmavarutyun%202024-2028\0.%20USED%20DATA\&#1359;&#1377;&#1408;&#1387;&#1412;&#1377;&#1397;&#1387;&#1398;-2016-2024.xlsx" TargetMode="External"/></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oleObject" Target="file:///D:\GOOGLE%20DRIVE\9.%20Razmavarutyun%202024-2028\0.%20USED%20DATA\&#1359;&#1377;&#1408;&#1387;&#1412;&#1377;&#1397;&#1387;&#1398;-2016-2024.xlsx" TargetMode="External"/></Relationships>
</file>

<file path=word/charts/_rels/chart11.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11.xml"/><Relationship Id="rId1" Type="http://schemas.microsoft.com/office/2011/relationships/chartStyle" Target="style11.xml"/><Relationship Id="rId4" Type="http://schemas.openxmlformats.org/officeDocument/2006/relationships/package" Target="../embeddings/Microsoft_Excel_Worksheet.xlsx"/></Relationships>
</file>

<file path=word/charts/_rels/chart12.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12.xml"/><Relationship Id="rId1" Type="http://schemas.microsoft.com/office/2011/relationships/chartStyle" Target="style12.xml"/><Relationship Id="rId4" Type="http://schemas.openxmlformats.org/officeDocument/2006/relationships/package" Target="../embeddings/Microsoft_Excel_Worksheet1.xlsx"/></Relationships>
</file>

<file path=word/charts/_rels/chart13.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13.xml"/><Relationship Id="rId1" Type="http://schemas.microsoft.com/office/2011/relationships/chartStyle" Target="style13.xml"/><Relationship Id="rId4" Type="http://schemas.openxmlformats.org/officeDocument/2006/relationships/package" Target="../embeddings/Microsoft_Excel_Worksheet2.xlsx"/></Relationships>
</file>

<file path=word/charts/_rels/chart14.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14.xml"/><Relationship Id="rId1" Type="http://schemas.microsoft.com/office/2011/relationships/chartStyle" Target="style14.xml"/><Relationship Id="rId4" Type="http://schemas.openxmlformats.org/officeDocument/2006/relationships/package" Target="../embeddings/Microsoft_Excel_Worksheet3.xlsx"/></Relationships>
</file>

<file path=word/charts/_rels/chart15.xml.rels><?xml version="1.0" encoding="UTF-8" standalone="yes"?>
<Relationships xmlns="http://schemas.openxmlformats.org/package/2006/relationships"><Relationship Id="rId3" Type="http://schemas.openxmlformats.org/officeDocument/2006/relationships/oleObject" Target="file:///D:\GOOGLE%20DRIVE\9.%20Razmavarutyun%202024-2028\0.%20USED%20DATA\collaboration%20with%20countries_Publications.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file:///D:\GOOGLE%20DRIVE\9.%20Razmavarutyun%202026-2030\0.%20USED%20DATA\Research%20Output\2015-2024-publications_WOS.xlsx" TargetMode="External"/><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oleObject" Target="file:///D:\GOOGLE%20DRIVE\9.%20Razmavarutyun%202026-2030\0.%20USED%20DATA\Research%20Output\2015-2024-publications_WOS.xlsx" TargetMode="External"/><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oleObject" Target="file:///D:\GOOGLE%20DRIVE\9.%20Razmavarutyun%202024-2028\0.%20USED%20DATA\Research%20Output\2015-2024-publications_WOS.xlsx" TargetMode="External"/><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oleObject" Target="file:///D:\GOOGLE%20DRIVE\9.%20Razmavarutyun%202024-2028\0.%20USED%20DATA\Research%20Output\&#1396;&#1377;&#1405;&#1398;&#1377;&#1379;&#1387;&#1407;&#1400;&#1410;&#1385;&#1397;&#1400;&#1410;&#1398;&#1398;&#1381;&#1408;.xlsx" TargetMode="External"/><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oleObject" Target="file:///D:\GOOGLE%20DRIVE\9.%20Razmavarutyun%202024-2028\0.%20USED%20DATA\Research%20Output\2015-2024_&#1396;&#1377;&#1405;&#1398;&#1377;&#1379;&#1387;&#1407;&#1400;&#1410;&#1385;&#1397;&#1400;&#1410;&#1398;&#1398;&#1381;&#1408;.xlsx" TargetMode="External"/><Relationship Id="rId2" Type="http://schemas.microsoft.com/office/2011/relationships/chartColorStyle" Target="colors20.xml"/><Relationship Id="rId1" Type="http://schemas.microsoft.com/office/2011/relationships/chartStyle" Target="style20.xml"/></Relationships>
</file>

<file path=word/charts/_rels/chart21.xml.rels><?xml version="1.0" encoding="UTF-8" standalone="yes"?>
<Relationships xmlns="http://schemas.openxmlformats.org/package/2006/relationships"><Relationship Id="rId3" Type="http://schemas.openxmlformats.org/officeDocument/2006/relationships/oleObject" Target="file:///D:\GOOGLE%20DRIVE\9.%20Razmavarutyun%202024-2028\0.%20USED%20DATA\Research%20Output\EaP+comparable_&#1352;&#1365;&#1357;.xlsx" TargetMode="External"/><Relationship Id="rId2" Type="http://schemas.microsoft.com/office/2011/relationships/chartColorStyle" Target="colors21.xml"/><Relationship Id="rId1" Type="http://schemas.microsoft.com/office/2011/relationships/chartStyle" Target="style21.xml"/></Relationships>
</file>

<file path=word/charts/_rels/chart22.xml.rels><?xml version="1.0" encoding="UTF-8" standalone="yes"?>
<Relationships xmlns="http://schemas.openxmlformats.org/package/2006/relationships"><Relationship Id="rId3" Type="http://schemas.openxmlformats.org/officeDocument/2006/relationships/oleObject" Target="file:///D:\GOOGLE%20DRIVE\9.%20Razmavarutyun%202024-2028\0.%20USED%20DATA\Research%20Output\EaP+comparable_&#1352;&#1365;&#1357;.xlsx" TargetMode="External"/><Relationship Id="rId2" Type="http://schemas.microsoft.com/office/2011/relationships/chartColorStyle" Target="colors22.xml"/><Relationship Id="rId1" Type="http://schemas.microsoft.com/office/2011/relationships/chartStyle" Target="style22.xml"/></Relationships>
</file>

<file path=word/charts/_rels/chart23.xml.rels><?xml version="1.0" encoding="UTF-8" standalone="yes"?>
<Relationships xmlns="http://schemas.openxmlformats.org/package/2006/relationships"><Relationship Id="rId3" Type="http://schemas.openxmlformats.org/officeDocument/2006/relationships/oleObject" Target="file:///D:\GOOGLE%20DRIVE\9.%20Razmavarutyun%202026-2030\0.%20USED%20DATA\GII%20data%202015-2024\GII%20ranks%20and%20scores.xlsx" TargetMode="External"/><Relationship Id="rId2" Type="http://schemas.microsoft.com/office/2011/relationships/chartColorStyle" Target="colors23.xml"/><Relationship Id="rId1" Type="http://schemas.microsoft.com/office/2011/relationships/chartStyle" Target="style23.xml"/></Relationships>
</file>

<file path=word/charts/_rels/chart24.xml.rels><?xml version="1.0" encoding="UTF-8" standalone="yes"?>
<Relationships xmlns="http://schemas.openxmlformats.org/package/2006/relationships"><Relationship Id="rId3" Type="http://schemas.openxmlformats.org/officeDocument/2006/relationships/oleObject" Target="file:///D:\GOOGLE%20DRIVE\9.%20Razmavarutyun%202026-2030\0.%20USED%20DATA\GII%20data%202015-2024\GII%20ranks%20and%20scores.xlsx" TargetMode="External"/><Relationship Id="rId2" Type="http://schemas.microsoft.com/office/2011/relationships/chartColorStyle" Target="colors24.xml"/><Relationship Id="rId1" Type="http://schemas.microsoft.com/office/2011/relationships/chartStyle" Target="style24.xml"/></Relationships>
</file>

<file path=word/charts/_rels/chart25.xml.rels><?xml version="1.0" encoding="UTF-8" standalone="yes"?>
<Relationships xmlns="http://schemas.openxmlformats.org/package/2006/relationships"><Relationship Id="rId3" Type="http://schemas.openxmlformats.org/officeDocument/2006/relationships/oleObject" Target="file:///D:\GOOGLE%20DRIVE\9.%20Razmavarutyun%202026-2030\0.%20USED%20DATA\WEF%202025%20skills.xlsx" TargetMode="External"/><Relationship Id="rId2" Type="http://schemas.microsoft.com/office/2011/relationships/chartColorStyle" Target="colors25.xml"/><Relationship Id="rId1" Type="http://schemas.microsoft.com/office/2011/relationships/chartStyle" Target="style25.xml"/></Relationships>
</file>

<file path=word/charts/_rels/chart26.xml.rels><?xml version="1.0" encoding="UTF-8" standalone="yes"?>
<Relationships xmlns="http://schemas.openxmlformats.org/package/2006/relationships"><Relationship Id="rId3" Type="http://schemas.openxmlformats.org/officeDocument/2006/relationships/oleObject" Target="file:///D:\GOOGLE%20DRIVE\9.%20Razmavarutyun%202026-2030\0.%20USED%20DATA\EU%20GDP.xlsx" TargetMode="External"/><Relationship Id="rId2" Type="http://schemas.microsoft.com/office/2011/relationships/chartColorStyle" Target="colors26.xml"/><Relationship Id="rId1" Type="http://schemas.microsoft.com/office/2011/relationships/chartStyle" Target="style26.xml"/></Relationships>
</file>

<file path=word/charts/_rels/chart27.xml.rels><?xml version="1.0" encoding="UTF-8" standalone="yes"?>
<Relationships xmlns="http://schemas.openxmlformats.org/package/2006/relationships"><Relationship Id="rId3" Type="http://schemas.openxmlformats.org/officeDocument/2006/relationships/oleObject" Target="file:///D:\GoogleDrive\9.%20Razmavarutyun%202026-2030\0.%20USED%20DATA\Brain%20drain\CS%20Stats_Full%20Data_data_ARMENIA.csv" TargetMode="External"/><Relationship Id="rId2" Type="http://schemas.microsoft.com/office/2011/relationships/chartColorStyle" Target="colors27.xml"/><Relationship Id="rId1" Type="http://schemas.microsoft.com/office/2011/relationships/chartStyle" Target="style27.xml"/></Relationships>
</file>

<file path=word/charts/_rels/chartEx1.xml.rels><?xml version="1.0" encoding="UTF-8" standalone="yes"?>
<Relationships xmlns="http://schemas.openxmlformats.org/package/2006/relationships"><Relationship Id="rId3" Type="http://schemas.microsoft.com/office/2011/relationships/chartColorStyle" Target="colors150.xml"/><Relationship Id="rId2" Type="http://schemas.microsoft.com/office/2011/relationships/chartStyle" Target="style150.xml"/><Relationship Id="rId1" Type="http://schemas.openxmlformats.org/officeDocument/2006/relationships/oleObject" Target="file:///D:\GOOGLE%20DRIVE\9.%20Razmavarutyun%202024-2028\0.%20USED%20DATA\2021-2025_colaborations_SC.xlsx" TargetMode="External"/></Relationships>
</file>

<file path=word/charts/_rels/chartEx2.xml.rels><?xml version="1.0" encoding="UTF-8" standalone="yes"?>
<Relationships xmlns="http://schemas.openxmlformats.org/package/2006/relationships"><Relationship Id="rId3" Type="http://schemas.microsoft.com/office/2011/relationships/chartColorStyle" Target="colors160.xml"/><Relationship Id="rId2" Type="http://schemas.microsoft.com/office/2011/relationships/chartStyle" Target="style160.xml"/><Relationship Id="rId1" Type="http://schemas.openxmlformats.org/officeDocument/2006/relationships/oleObject" Target="file:///D:\GOOGLE%20DRIVE\9.%20Razmavarutyun%202024-2028\0.%20USED%20DATA\2021-2025_colaborations_SC.xlsx" TargetMode="External"/></Relationships>
</file>

<file path=word/charts/_rels/chartEx3.xml.rels><?xml version="1.0" encoding="UTF-8" standalone="yes"?>
<Relationships xmlns="http://schemas.openxmlformats.org/package/2006/relationships"><Relationship Id="rId3" Type="http://schemas.microsoft.com/office/2011/relationships/chartColorStyle" Target="colors210.xml"/><Relationship Id="rId2" Type="http://schemas.microsoft.com/office/2011/relationships/chartStyle" Target="style210.xml"/><Relationship Id="rId1" Type="http://schemas.openxmlformats.org/officeDocument/2006/relationships/oleObject" Target="file:///D:\GOOGLE%20DRIVE\9.%20Razmavarutyun%202024-2028\0.%20USED%20DATA\Research%20Output\&#1396;&#1377;&#1405;&#1398;&#1377;&#1379;&#1387;&#1407;&#1400;&#1410;&#1385;&#1397;&#1400;&#1410;&#1398;&#1398;&#1381;&#1408;.xlsx" TargetMode="External"/></Relationships>
</file>

<file path=word/charts/_rels/chartEx4.xml.rels><?xml version="1.0" encoding="UTF-8" standalone="yes"?>
<Relationships xmlns="http://schemas.openxmlformats.org/package/2006/relationships"><Relationship Id="rId3" Type="http://schemas.microsoft.com/office/2011/relationships/chartColorStyle" Target="colors220.xml"/><Relationship Id="rId2" Type="http://schemas.microsoft.com/office/2011/relationships/chartStyle" Target="style220.xml"/><Relationship Id="rId1" Type="http://schemas.openxmlformats.org/officeDocument/2006/relationships/oleObject" Target="file:///D:\GOOGLE%20DRIVE\9.%20Razmavarutyun%202024-2028\0.%20USED%20DATA\Research%20Output\&#1396;&#1377;&#1405;&#1398;&#1377;&#1379;&#1387;&#1407;&#1400;&#1410;&#1385;&#1397;&#1400;&#1410;&#1398;&#1398;&#1381;&#1408;.xlsx" TargetMode="External"/></Relationships>
</file>

<file path=word/charts/_rels/chartEx5.xml.rels><?xml version="1.0" encoding="UTF-8" standalone="yes"?>
<Relationships xmlns="http://schemas.openxmlformats.org/package/2006/relationships"><Relationship Id="rId3" Type="http://schemas.microsoft.com/office/2011/relationships/chartColorStyle" Target="colors230.xml"/><Relationship Id="rId2" Type="http://schemas.microsoft.com/office/2011/relationships/chartStyle" Target="style230.xml"/><Relationship Id="rId1" Type="http://schemas.openxmlformats.org/officeDocument/2006/relationships/oleObject" Target="file:///D:\GOOGLE%20DRIVE\9.%20Razmavarutyun%202024-2028\0.%20USED%20DATA\Research%20Output\&#1396;&#1377;&#1405;&#1398;&#1377;&#1379;&#1387;&#1407;&#1400;&#1410;&#1385;&#1397;&#1400;&#1410;&#1398;&#1398;&#1381;&#1408;.xlsx" TargetMode="External"/></Relationships>
</file>

<file path=word/charts/_rels/chartEx6.xml.rels><?xml version="1.0" encoding="UTF-8" standalone="yes"?>
<Relationships xmlns="http://schemas.openxmlformats.org/package/2006/relationships"><Relationship Id="rId3" Type="http://schemas.microsoft.com/office/2011/relationships/chartColorStyle" Target="colors250.xml"/><Relationship Id="rId2" Type="http://schemas.microsoft.com/office/2011/relationships/chartStyle" Target="style250.xml"/><Relationship Id="rId1" Type="http://schemas.openxmlformats.org/officeDocument/2006/relationships/oleObject" Target="file:///D:\GOOGLE%20DRIVE\9.%20Razmavarutyun%202024-2028\0.%20USED%20DATA\Research%20Output\2015-2024_&#1396;&#1377;&#1405;&#1398;&#1377;&#1379;&#1387;&#1407;&#1400;&#1410;&#1385;&#1397;&#1400;&#1410;&#1398;&#1398;&#1381;&#1408;.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9.3915362173353834E-2"/>
          <c:y val="5.0925925925925923E-2"/>
          <c:w val="0.86121069527663618"/>
          <c:h val="0.8416746864975212"/>
        </c:manualLayout>
      </c:layout>
      <c:scatterChart>
        <c:scatterStyle val="lineMarker"/>
        <c:varyColors val="0"/>
        <c:ser>
          <c:idx val="0"/>
          <c:order val="0"/>
          <c:tx>
            <c:strRef>
              <c:f>'Ֆինանսավորման Ձևերով'!$I$2</c:f>
              <c:strCache>
                <c:ptCount val="1"/>
                <c:pt idx="0">
                  <c:v>Բազային</c:v>
                </c:pt>
              </c:strCache>
            </c:strRef>
          </c:tx>
          <c:spPr>
            <a:ln w="19050" cap="rnd">
              <a:solidFill>
                <a:srgbClr val="C00000"/>
              </a:solidFill>
              <a:round/>
            </a:ln>
            <a:effectLst/>
          </c:spPr>
          <c:marker>
            <c:symbol val="circle"/>
            <c:size val="5"/>
            <c:spPr>
              <a:solidFill>
                <a:srgbClr val="C00000"/>
              </a:solidFill>
              <a:ln w="9525">
                <a:solidFill>
                  <a:srgbClr val="C00000"/>
                </a:solidFill>
              </a:ln>
              <a:effectLst/>
            </c:spPr>
          </c:marker>
          <c:dPt>
            <c:idx val="12"/>
            <c:marker>
              <c:symbol val="circle"/>
              <c:size val="5"/>
              <c:spPr>
                <a:solidFill>
                  <a:srgbClr val="C00000"/>
                </a:solidFill>
                <a:ln w="9525">
                  <a:solidFill>
                    <a:srgbClr val="C00000"/>
                  </a:solidFill>
                </a:ln>
                <a:effectLst/>
              </c:spPr>
            </c:marker>
            <c:bubble3D val="0"/>
            <c:spPr>
              <a:ln w="19050" cap="rnd">
                <a:solidFill>
                  <a:srgbClr val="C00000"/>
                </a:solidFill>
                <a:prstDash val="solid"/>
                <a:round/>
              </a:ln>
              <a:effectLst/>
            </c:spPr>
            <c:extLst>
              <c:ext xmlns:c16="http://schemas.microsoft.com/office/drawing/2014/chart" uri="{C3380CC4-5D6E-409C-BE32-E72D297353CC}">
                <c16:uniqueId val="{00000001-8298-4A83-9020-4C7DD95A9426}"/>
              </c:ext>
            </c:extLst>
          </c:dPt>
          <c:dPt>
            <c:idx val="13"/>
            <c:marker>
              <c:symbol val="circle"/>
              <c:size val="5"/>
              <c:spPr>
                <a:solidFill>
                  <a:srgbClr val="C00000"/>
                </a:solidFill>
                <a:ln w="9525">
                  <a:solidFill>
                    <a:srgbClr val="C00000"/>
                  </a:solidFill>
                </a:ln>
                <a:effectLst/>
              </c:spPr>
            </c:marker>
            <c:bubble3D val="0"/>
            <c:spPr>
              <a:ln w="19050" cap="rnd">
                <a:solidFill>
                  <a:srgbClr val="C00000"/>
                </a:solidFill>
                <a:prstDash val="solid"/>
                <a:round/>
              </a:ln>
              <a:effectLst/>
            </c:spPr>
            <c:extLst>
              <c:ext xmlns:c16="http://schemas.microsoft.com/office/drawing/2014/chart" uri="{C3380CC4-5D6E-409C-BE32-E72D297353CC}">
                <c16:uniqueId val="{00000003-8298-4A83-9020-4C7DD95A9426}"/>
              </c:ext>
            </c:extLst>
          </c:dPt>
          <c:dPt>
            <c:idx val="14"/>
            <c:marker>
              <c:symbol val="circle"/>
              <c:size val="5"/>
              <c:spPr>
                <a:solidFill>
                  <a:srgbClr val="C00000"/>
                </a:solidFill>
                <a:ln w="9525">
                  <a:solidFill>
                    <a:srgbClr val="C00000"/>
                  </a:solidFill>
                </a:ln>
                <a:effectLst/>
              </c:spPr>
            </c:marker>
            <c:bubble3D val="0"/>
            <c:spPr>
              <a:ln w="19050" cap="rnd">
                <a:solidFill>
                  <a:srgbClr val="C00000"/>
                </a:solidFill>
                <a:prstDash val="solid"/>
                <a:round/>
              </a:ln>
              <a:effectLst/>
            </c:spPr>
            <c:extLst>
              <c:ext xmlns:c16="http://schemas.microsoft.com/office/drawing/2014/chart" uri="{C3380CC4-5D6E-409C-BE32-E72D297353CC}">
                <c16:uniqueId val="{00000005-8298-4A83-9020-4C7DD95A9426}"/>
              </c:ext>
            </c:extLst>
          </c:dPt>
          <c:dPt>
            <c:idx val="15"/>
            <c:marker>
              <c:symbol val="circle"/>
              <c:size val="5"/>
              <c:spPr>
                <a:solidFill>
                  <a:schemeClr val="bg1"/>
                </a:solidFill>
                <a:ln w="9525">
                  <a:solidFill>
                    <a:srgbClr val="C00000"/>
                  </a:solidFill>
                </a:ln>
                <a:effectLst/>
              </c:spPr>
            </c:marker>
            <c:bubble3D val="0"/>
            <c:spPr>
              <a:ln w="19050" cap="rnd">
                <a:solidFill>
                  <a:srgbClr val="C00000"/>
                </a:solidFill>
                <a:prstDash val="sysDot"/>
                <a:round/>
              </a:ln>
              <a:effectLst/>
            </c:spPr>
            <c:extLst>
              <c:ext xmlns:c16="http://schemas.microsoft.com/office/drawing/2014/chart" uri="{C3380CC4-5D6E-409C-BE32-E72D297353CC}">
                <c16:uniqueId val="{00000007-8298-4A83-9020-4C7DD95A9426}"/>
              </c:ext>
            </c:extLst>
          </c:dPt>
          <c:dLbls>
            <c:dLbl>
              <c:idx val="14"/>
              <c:dLblPos val="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8298-4A83-9020-4C7DD95A942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'Ֆինանսավորման Ձևերով'!$A$3:$A$18</c:f>
              <c:numCache>
                <c:formatCode>General</c:formatCode>
                <c:ptCount val="16"/>
                <c:pt idx="0">
                  <c:v>2010</c:v>
                </c:pt>
                <c:pt idx="1">
                  <c:v>2011</c:v>
                </c:pt>
                <c:pt idx="2">
                  <c:v>2012</c:v>
                </c:pt>
                <c:pt idx="3">
                  <c:v>2013</c:v>
                </c:pt>
                <c:pt idx="4">
                  <c:v>2014</c:v>
                </c:pt>
                <c:pt idx="5">
                  <c:v>2015</c:v>
                </c:pt>
                <c:pt idx="6">
                  <c:v>2016</c:v>
                </c:pt>
                <c:pt idx="7">
                  <c:v>2017</c:v>
                </c:pt>
                <c:pt idx="8">
                  <c:v>2018</c:v>
                </c:pt>
                <c:pt idx="9">
                  <c:v>2019</c:v>
                </c:pt>
                <c:pt idx="10">
                  <c:v>2020</c:v>
                </c:pt>
                <c:pt idx="11">
                  <c:v>2021</c:v>
                </c:pt>
                <c:pt idx="12">
                  <c:v>2022</c:v>
                </c:pt>
                <c:pt idx="13">
                  <c:v>2023</c:v>
                </c:pt>
                <c:pt idx="14">
                  <c:v>2024</c:v>
                </c:pt>
                <c:pt idx="15">
                  <c:v>2025</c:v>
                </c:pt>
              </c:numCache>
            </c:numRef>
          </c:xVal>
          <c:yVal>
            <c:numRef>
              <c:f>'Ֆինանսավորման Ձևերով'!$I$3:$I$18</c:f>
              <c:numCache>
                <c:formatCode>#,##0.0</c:formatCode>
                <c:ptCount val="16"/>
                <c:pt idx="0">
                  <c:v>68.637875021727922</c:v>
                </c:pt>
                <c:pt idx="1">
                  <c:v>78.061366872817857</c:v>
                </c:pt>
                <c:pt idx="2">
                  <c:v>77.921990600402921</c:v>
                </c:pt>
                <c:pt idx="3">
                  <c:v>76.880987742381933</c:v>
                </c:pt>
                <c:pt idx="4">
                  <c:v>74.80053004352304</c:v>
                </c:pt>
                <c:pt idx="5">
                  <c:v>77.213121968704584</c:v>
                </c:pt>
                <c:pt idx="6">
                  <c:v>77.33969064703669</c:v>
                </c:pt>
                <c:pt idx="7">
                  <c:v>76.387727779009225</c:v>
                </c:pt>
                <c:pt idx="8">
                  <c:v>72.855397566680224</c:v>
                </c:pt>
                <c:pt idx="9">
                  <c:v>71.533154320996289</c:v>
                </c:pt>
                <c:pt idx="10">
                  <c:v>63.786801862202047</c:v>
                </c:pt>
                <c:pt idx="11">
                  <c:v>56.670409948589281</c:v>
                </c:pt>
                <c:pt idx="12">
                  <c:v>59.63450112543962</c:v>
                </c:pt>
                <c:pt idx="13">
                  <c:v>43.015371577688676</c:v>
                </c:pt>
                <c:pt idx="14">
                  <c:v>44.795443574744112</c:v>
                </c:pt>
                <c:pt idx="15">
                  <c:v>45.942091871148925</c:v>
                </c:pt>
              </c:numCache>
            </c:numRef>
          </c:yVal>
          <c:smooth val="0"/>
          <c:extLst>
            <c:ext xmlns:c16="http://schemas.microsoft.com/office/drawing/2014/chart" uri="{C3380CC4-5D6E-409C-BE32-E72D297353CC}">
              <c16:uniqueId val="{00000008-8298-4A83-9020-4C7DD95A9426}"/>
            </c:ext>
          </c:extLst>
        </c:ser>
        <c:ser>
          <c:idx val="1"/>
          <c:order val="1"/>
          <c:tx>
            <c:strRef>
              <c:f>'Ֆինանսավորման Ձևերով'!$J$2</c:f>
              <c:strCache>
                <c:ptCount val="1"/>
                <c:pt idx="0">
                  <c:v>Նպատակային</c:v>
                </c:pt>
              </c:strCache>
            </c:strRef>
          </c:tx>
          <c:spPr>
            <a:ln w="19050" cap="rnd">
              <a:solidFill>
                <a:schemeClr val="accent2">
                  <a:lumMod val="75000"/>
                </a:schemeClr>
              </a:solidFill>
              <a:round/>
            </a:ln>
            <a:effectLst/>
          </c:spPr>
          <c:marker>
            <c:symbol val="circle"/>
            <c:size val="5"/>
            <c:spPr>
              <a:solidFill>
                <a:schemeClr val="accent2"/>
              </a:solidFill>
              <a:ln w="9525">
                <a:solidFill>
                  <a:schemeClr val="accent2"/>
                </a:solidFill>
              </a:ln>
              <a:effectLst/>
            </c:spPr>
          </c:marker>
          <c:dPt>
            <c:idx val="12"/>
            <c:marker>
              <c:symbol val="circle"/>
              <c:size val="5"/>
              <c:spPr>
                <a:solidFill>
                  <a:schemeClr val="accent2"/>
                </a:solidFill>
                <a:ln w="9525">
                  <a:solidFill>
                    <a:schemeClr val="accent2"/>
                  </a:solidFill>
                </a:ln>
                <a:effectLst/>
              </c:spPr>
            </c:marker>
            <c:bubble3D val="0"/>
            <c:spPr>
              <a:ln w="19050" cap="rnd">
                <a:solidFill>
                  <a:schemeClr val="accent2">
                    <a:lumMod val="75000"/>
                  </a:schemeClr>
                </a:solidFill>
                <a:prstDash val="solid"/>
                <a:round/>
              </a:ln>
              <a:effectLst/>
            </c:spPr>
            <c:extLst>
              <c:ext xmlns:c16="http://schemas.microsoft.com/office/drawing/2014/chart" uri="{C3380CC4-5D6E-409C-BE32-E72D297353CC}">
                <c16:uniqueId val="{0000000A-8298-4A83-9020-4C7DD95A9426}"/>
              </c:ext>
            </c:extLst>
          </c:dPt>
          <c:dPt>
            <c:idx val="13"/>
            <c:marker>
              <c:symbol val="circle"/>
              <c:size val="5"/>
              <c:spPr>
                <a:solidFill>
                  <a:schemeClr val="accent2"/>
                </a:solidFill>
                <a:ln w="9525">
                  <a:solidFill>
                    <a:schemeClr val="accent2"/>
                  </a:solidFill>
                </a:ln>
                <a:effectLst/>
              </c:spPr>
            </c:marker>
            <c:bubble3D val="0"/>
            <c:spPr>
              <a:ln w="19050" cap="rnd">
                <a:solidFill>
                  <a:schemeClr val="accent2">
                    <a:lumMod val="75000"/>
                  </a:schemeClr>
                </a:solidFill>
                <a:prstDash val="solid"/>
                <a:round/>
              </a:ln>
              <a:effectLst/>
            </c:spPr>
            <c:extLst>
              <c:ext xmlns:c16="http://schemas.microsoft.com/office/drawing/2014/chart" uri="{C3380CC4-5D6E-409C-BE32-E72D297353CC}">
                <c16:uniqueId val="{0000000C-8298-4A83-9020-4C7DD95A9426}"/>
              </c:ext>
            </c:extLst>
          </c:dPt>
          <c:dPt>
            <c:idx val="14"/>
            <c:marker>
              <c:symbol val="circle"/>
              <c:size val="5"/>
              <c:spPr>
                <a:solidFill>
                  <a:srgbClr val="FA6A6A"/>
                </a:solidFill>
                <a:ln w="9525">
                  <a:solidFill>
                    <a:schemeClr val="accent2"/>
                  </a:solidFill>
                </a:ln>
                <a:effectLst/>
              </c:spPr>
            </c:marker>
            <c:bubble3D val="0"/>
            <c:spPr>
              <a:ln w="19050" cap="rnd">
                <a:solidFill>
                  <a:schemeClr val="accent2">
                    <a:lumMod val="75000"/>
                  </a:schemeClr>
                </a:solidFill>
                <a:prstDash val="solid"/>
                <a:round/>
              </a:ln>
              <a:effectLst/>
            </c:spPr>
            <c:extLst>
              <c:ext xmlns:c16="http://schemas.microsoft.com/office/drawing/2014/chart" uri="{C3380CC4-5D6E-409C-BE32-E72D297353CC}">
                <c16:uniqueId val="{0000000E-8298-4A83-9020-4C7DD95A9426}"/>
              </c:ext>
            </c:extLst>
          </c:dPt>
          <c:dPt>
            <c:idx val="15"/>
            <c:marker>
              <c:symbol val="circle"/>
              <c:size val="5"/>
              <c:spPr>
                <a:solidFill>
                  <a:schemeClr val="bg1"/>
                </a:solidFill>
                <a:ln w="9525">
                  <a:solidFill>
                    <a:schemeClr val="accent2"/>
                  </a:solidFill>
                </a:ln>
                <a:effectLst/>
              </c:spPr>
            </c:marker>
            <c:bubble3D val="0"/>
            <c:spPr>
              <a:ln w="19050" cap="rnd">
                <a:solidFill>
                  <a:schemeClr val="accent2">
                    <a:lumMod val="75000"/>
                  </a:schemeClr>
                </a:solidFill>
                <a:prstDash val="sysDot"/>
                <a:round/>
              </a:ln>
              <a:effectLst/>
            </c:spPr>
            <c:extLst>
              <c:ext xmlns:c16="http://schemas.microsoft.com/office/drawing/2014/chart" uri="{C3380CC4-5D6E-409C-BE32-E72D297353CC}">
                <c16:uniqueId val="{00000010-8298-4A83-9020-4C7DD95A9426}"/>
              </c:ext>
            </c:extLst>
          </c:dPt>
          <c:dLbls>
            <c:dLbl>
              <c:idx val="14"/>
              <c:layout>
                <c:manualLayout>
                  <c:x val="-3.6548055881065113E-2"/>
                  <c:y val="4.401611256926217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8298-4A83-9020-4C7DD95A942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'Ֆինանսավորման Ձևերով'!$A$3:$A$18</c:f>
              <c:numCache>
                <c:formatCode>General</c:formatCode>
                <c:ptCount val="16"/>
                <c:pt idx="0">
                  <c:v>2010</c:v>
                </c:pt>
                <c:pt idx="1">
                  <c:v>2011</c:v>
                </c:pt>
                <c:pt idx="2">
                  <c:v>2012</c:v>
                </c:pt>
                <c:pt idx="3">
                  <c:v>2013</c:v>
                </c:pt>
                <c:pt idx="4">
                  <c:v>2014</c:v>
                </c:pt>
                <c:pt idx="5">
                  <c:v>2015</c:v>
                </c:pt>
                <c:pt idx="6">
                  <c:v>2016</c:v>
                </c:pt>
                <c:pt idx="7">
                  <c:v>2017</c:v>
                </c:pt>
                <c:pt idx="8">
                  <c:v>2018</c:v>
                </c:pt>
                <c:pt idx="9">
                  <c:v>2019</c:v>
                </c:pt>
                <c:pt idx="10">
                  <c:v>2020</c:v>
                </c:pt>
                <c:pt idx="11">
                  <c:v>2021</c:v>
                </c:pt>
                <c:pt idx="12">
                  <c:v>2022</c:v>
                </c:pt>
                <c:pt idx="13">
                  <c:v>2023</c:v>
                </c:pt>
                <c:pt idx="14">
                  <c:v>2024</c:v>
                </c:pt>
                <c:pt idx="15">
                  <c:v>2025</c:v>
                </c:pt>
              </c:numCache>
            </c:numRef>
          </c:xVal>
          <c:yVal>
            <c:numRef>
              <c:f>'Ֆինանսավորման Ձևերով'!$J$3:$J$18</c:f>
              <c:numCache>
                <c:formatCode>#,##0.0</c:formatCode>
                <c:ptCount val="16"/>
                <c:pt idx="0">
                  <c:v>12.849219898891395</c:v>
                </c:pt>
                <c:pt idx="1">
                  <c:v>13.241240595462401</c:v>
                </c:pt>
                <c:pt idx="2">
                  <c:v>13.528068538629507</c:v>
                </c:pt>
                <c:pt idx="3">
                  <c:v>13.440959403058436</c:v>
                </c:pt>
                <c:pt idx="4">
                  <c:v>13.229847133762387</c:v>
                </c:pt>
                <c:pt idx="5">
                  <c:v>13.212111576703473</c:v>
                </c:pt>
                <c:pt idx="6">
                  <c:v>13.057252838953081</c:v>
                </c:pt>
                <c:pt idx="7">
                  <c:v>12.944461526536873</c:v>
                </c:pt>
                <c:pt idx="8">
                  <c:v>17.991501803380086</c:v>
                </c:pt>
                <c:pt idx="9">
                  <c:v>18.397659598851352</c:v>
                </c:pt>
                <c:pt idx="10">
                  <c:v>23.130292286898101</c:v>
                </c:pt>
                <c:pt idx="11">
                  <c:v>24.173289381652907</c:v>
                </c:pt>
                <c:pt idx="12">
                  <c:v>18.031518662435019</c:v>
                </c:pt>
                <c:pt idx="13">
                  <c:v>19.380697618837704</c:v>
                </c:pt>
                <c:pt idx="14">
                  <c:v>10.74405121314839</c:v>
                </c:pt>
                <c:pt idx="15">
                  <c:v>11.12608858805652</c:v>
                </c:pt>
              </c:numCache>
            </c:numRef>
          </c:yVal>
          <c:smooth val="0"/>
          <c:extLst>
            <c:ext xmlns:c16="http://schemas.microsoft.com/office/drawing/2014/chart" uri="{C3380CC4-5D6E-409C-BE32-E72D297353CC}">
              <c16:uniqueId val="{00000011-8298-4A83-9020-4C7DD95A9426}"/>
            </c:ext>
          </c:extLst>
        </c:ser>
        <c:ser>
          <c:idx val="2"/>
          <c:order val="2"/>
          <c:tx>
            <c:strRef>
              <c:f>'Ֆինանսավորման Ձևերով'!$K$2</c:f>
              <c:strCache>
                <c:ptCount val="1"/>
                <c:pt idx="0">
                  <c:v>Դրամաշնորհային</c:v>
                </c:pt>
              </c:strCache>
            </c:strRef>
          </c:tx>
          <c:spPr>
            <a:ln w="19050" cap="rnd">
              <a:solidFill>
                <a:schemeClr val="accent1">
                  <a:lumMod val="75000"/>
                </a:schemeClr>
              </a:solidFill>
              <a:round/>
            </a:ln>
            <a:effectLst/>
          </c:spPr>
          <c:marker>
            <c:symbol val="circle"/>
            <c:size val="5"/>
            <c:spPr>
              <a:solidFill>
                <a:schemeClr val="accent1">
                  <a:lumMod val="75000"/>
                </a:schemeClr>
              </a:solidFill>
              <a:ln w="9525">
                <a:solidFill>
                  <a:schemeClr val="accent1">
                    <a:lumMod val="75000"/>
                  </a:schemeClr>
                </a:solidFill>
              </a:ln>
              <a:effectLst/>
            </c:spPr>
          </c:marker>
          <c:dPt>
            <c:idx val="12"/>
            <c:marker>
              <c:symbol val="circle"/>
              <c:size val="5"/>
              <c:spPr>
                <a:solidFill>
                  <a:schemeClr val="accent1">
                    <a:lumMod val="75000"/>
                  </a:schemeClr>
                </a:solidFill>
                <a:ln w="9525">
                  <a:solidFill>
                    <a:schemeClr val="accent1">
                      <a:lumMod val="75000"/>
                    </a:schemeClr>
                  </a:solidFill>
                </a:ln>
                <a:effectLst/>
              </c:spPr>
            </c:marker>
            <c:bubble3D val="0"/>
            <c:spPr>
              <a:ln w="19050" cap="rnd">
                <a:solidFill>
                  <a:schemeClr val="accent1">
                    <a:lumMod val="75000"/>
                  </a:schemeClr>
                </a:solidFill>
                <a:prstDash val="solid"/>
                <a:round/>
              </a:ln>
              <a:effectLst/>
            </c:spPr>
            <c:extLst>
              <c:ext xmlns:c16="http://schemas.microsoft.com/office/drawing/2014/chart" uri="{C3380CC4-5D6E-409C-BE32-E72D297353CC}">
                <c16:uniqueId val="{00000013-8298-4A83-9020-4C7DD95A9426}"/>
              </c:ext>
            </c:extLst>
          </c:dPt>
          <c:dPt>
            <c:idx val="13"/>
            <c:marker>
              <c:symbol val="circle"/>
              <c:size val="5"/>
              <c:spPr>
                <a:solidFill>
                  <a:schemeClr val="accent1">
                    <a:lumMod val="75000"/>
                  </a:schemeClr>
                </a:solidFill>
                <a:ln w="9525">
                  <a:solidFill>
                    <a:schemeClr val="accent1">
                      <a:lumMod val="75000"/>
                    </a:schemeClr>
                  </a:solidFill>
                </a:ln>
                <a:effectLst/>
              </c:spPr>
            </c:marker>
            <c:bubble3D val="0"/>
            <c:spPr>
              <a:ln w="19050" cap="rnd">
                <a:solidFill>
                  <a:schemeClr val="accent1">
                    <a:lumMod val="75000"/>
                  </a:schemeClr>
                </a:solidFill>
                <a:prstDash val="solid"/>
                <a:round/>
              </a:ln>
              <a:effectLst/>
            </c:spPr>
            <c:extLst>
              <c:ext xmlns:c16="http://schemas.microsoft.com/office/drawing/2014/chart" uri="{C3380CC4-5D6E-409C-BE32-E72D297353CC}">
                <c16:uniqueId val="{00000015-8298-4A83-9020-4C7DD95A9426}"/>
              </c:ext>
            </c:extLst>
          </c:dPt>
          <c:dPt>
            <c:idx val="14"/>
            <c:marker>
              <c:symbol val="circle"/>
              <c:size val="5"/>
              <c:spPr>
                <a:solidFill>
                  <a:schemeClr val="accent1">
                    <a:lumMod val="75000"/>
                  </a:schemeClr>
                </a:solidFill>
                <a:ln w="9525">
                  <a:solidFill>
                    <a:schemeClr val="accent1">
                      <a:lumMod val="75000"/>
                    </a:schemeClr>
                  </a:solidFill>
                </a:ln>
                <a:effectLst/>
              </c:spPr>
            </c:marker>
            <c:bubble3D val="0"/>
            <c:spPr>
              <a:ln w="19050" cap="rnd">
                <a:solidFill>
                  <a:schemeClr val="accent1">
                    <a:lumMod val="75000"/>
                  </a:schemeClr>
                </a:solidFill>
                <a:prstDash val="solid"/>
                <a:round/>
              </a:ln>
              <a:effectLst/>
            </c:spPr>
            <c:extLst>
              <c:ext xmlns:c16="http://schemas.microsoft.com/office/drawing/2014/chart" uri="{C3380CC4-5D6E-409C-BE32-E72D297353CC}">
                <c16:uniqueId val="{00000017-8298-4A83-9020-4C7DD95A9426}"/>
              </c:ext>
            </c:extLst>
          </c:dPt>
          <c:dPt>
            <c:idx val="15"/>
            <c:marker>
              <c:symbol val="circle"/>
              <c:size val="5"/>
              <c:spPr>
                <a:solidFill>
                  <a:schemeClr val="bg1"/>
                </a:solidFill>
                <a:ln w="9525">
                  <a:solidFill>
                    <a:schemeClr val="accent1">
                      <a:lumMod val="75000"/>
                    </a:schemeClr>
                  </a:solidFill>
                </a:ln>
                <a:effectLst/>
              </c:spPr>
            </c:marker>
            <c:bubble3D val="0"/>
            <c:spPr>
              <a:ln w="19050" cap="rnd">
                <a:solidFill>
                  <a:schemeClr val="accent1">
                    <a:lumMod val="75000"/>
                  </a:schemeClr>
                </a:solidFill>
                <a:prstDash val="sysDot"/>
                <a:round/>
              </a:ln>
              <a:effectLst/>
            </c:spPr>
            <c:extLst>
              <c:ext xmlns:c16="http://schemas.microsoft.com/office/drawing/2014/chart" uri="{C3380CC4-5D6E-409C-BE32-E72D297353CC}">
                <c16:uniqueId val="{00000019-8298-4A83-9020-4C7DD95A9426}"/>
              </c:ext>
            </c:extLst>
          </c:dPt>
          <c:dLbls>
            <c:dLbl>
              <c:idx val="14"/>
              <c:dLblPos val="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8298-4A83-9020-4C7DD95A942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'Ֆինանսավորման Ձևերով'!$A$3:$A$18</c:f>
              <c:numCache>
                <c:formatCode>General</c:formatCode>
                <c:ptCount val="16"/>
                <c:pt idx="0">
                  <c:v>2010</c:v>
                </c:pt>
                <c:pt idx="1">
                  <c:v>2011</c:v>
                </c:pt>
                <c:pt idx="2">
                  <c:v>2012</c:v>
                </c:pt>
                <c:pt idx="3">
                  <c:v>2013</c:v>
                </c:pt>
                <c:pt idx="4">
                  <c:v>2014</c:v>
                </c:pt>
                <c:pt idx="5">
                  <c:v>2015</c:v>
                </c:pt>
                <c:pt idx="6">
                  <c:v>2016</c:v>
                </c:pt>
                <c:pt idx="7">
                  <c:v>2017</c:v>
                </c:pt>
                <c:pt idx="8">
                  <c:v>2018</c:v>
                </c:pt>
                <c:pt idx="9">
                  <c:v>2019</c:v>
                </c:pt>
                <c:pt idx="10">
                  <c:v>2020</c:v>
                </c:pt>
                <c:pt idx="11">
                  <c:v>2021</c:v>
                </c:pt>
                <c:pt idx="12">
                  <c:v>2022</c:v>
                </c:pt>
                <c:pt idx="13">
                  <c:v>2023</c:v>
                </c:pt>
                <c:pt idx="14">
                  <c:v>2024</c:v>
                </c:pt>
                <c:pt idx="15">
                  <c:v>2025</c:v>
                </c:pt>
              </c:numCache>
            </c:numRef>
          </c:xVal>
          <c:yVal>
            <c:numRef>
              <c:f>'Ֆինանսավորման Ձևերով'!$K$3:$K$18</c:f>
              <c:numCache>
                <c:formatCode>#,##0.0</c:formatCode>
                <c:ptCount val="16"/>
                <c:pt idx="0">
                  <c:v>18.51290507938069</c:v>
                </c:pt>
                <c:pt idx="1">
                  <c:v>8.6973925317197409</c:v>
                </c:pt>
                <c:pt idx="2">
                  <c:v>8.5499408609675633</c:v>
                </c:pt>
                <c:pt idx="3">
                  <c:v>9.6780528545596312</c:v>
                </c:pt>
                <c:pt idx="4">
                  <c:v>11.969622822714566</c:v>
                </c:pt>
                <c:pt idx="5">
                  <c:v>9.5747664545919466</c:v>
                </c:pt>
                <c:pt idx="6">
                  <c:v>9.6030565140102304</c:v>
                </c:pt>
                <c:pt idx="7">
                  <c:v>10.667810694453902</c:v>
                </c:pt>
                <c:pt idx="8">
                  <c:v>9.1531006299396811</c:v>
                </c:pt>
                <c:pt idx="9">
                  <c:v>10.069186080152361</c:v>
                </c:pt>
                <c:pt idx="10">
                  <c:v>13.08290585089985</c:v>
                </c:pt>
                <c:pt idx="11">
                  <c:v>19.156300669757812</c:v>
                </c:pt>
                <c:pt idx="12">
                  <c:v>22.333980212125365</c:v>
                </c:pt>
                <c:pt idx="13">
                  <c:v>23.332417466831874</c:v>
                </c:pt>
                <c:pt idx="14">
                  <c:v>23.128087635123943</c:v>
                </c:pt>
                <c:pt idx="15">
                  <c:v>22.747709282380534</c:v>
                </c:pt>
              </c:numCache>
            </c:numRef>
          </c:yVal>
          <c:smooth val="0"/>
          <c:extLst>
            <c:ext xmlns:c16="http://schemas.microsoft.com/office/drawing/2014/chart" uri="{C3380CC4-5D6E-409C-BE32-E72D297353CC}">
              <c16:uniqueId val="{0000001A-8298-4A83-9020-4C7DD95A9426}"/>
            </c:ext>
          </c:extLst>
        </c:ser>
        <c:ser>
          <c:idx val="3"/>
          <c:order val="3"/>
          <c:tx>
            <c:strRef>
              <c:f>'Ֆինանսավորման Ձևերով'!$L$2</c:f>
              <c:strCache>
                <c:ptCount val="1"/>
                <c:pt idx="0">
                  <c:v>Կապիտալ</c:v>
                </c:pt>
              </c:strCache>
            </c:strRef>
          </c:tx>
          <c:spPr>
            <a:ln w="19050" cap="rnd">
              <a:solidFill>
                <a:srgbClr val="AA72D4"/>
              </a:solidFill>
              <a:round/>
            </a:ln>
            <a:effectLst/>
          </c:spPr>
          <c:marker>
            <c:symbol val="circle"/>
            <c:size val="5"/>
            <c:spPr>
              <a:solidFill>
                <a:srgbClr val="AA72D4"/>
              </a:solidFill>
              <a:ln w="9525">
                <a:noFill/>
              </a:ln>
              <a:effectLst/>
            </c:spPr>
          </c:marker>
          <c:dPt>
            <c:idx val="2"/>
            <c:marker>
              <c:symbol val="circle"/>
              <c:size val="5"/>
              <c:spPr>
                <a:solidFill>
                  <a:schemeClr val="bg1"/>
                </a:solidFill>
                <a:ln w="9525">
                  <a:solidFill>
                    <a:srgbClr val="AA72D4"/>
                  </a:solidFill>
                </a:ln>
                <a:effectLst/>
              </c:spPr>
            </c:marker>
            <c:bubble3D val="0"/>
            <c:spPr>
              <a:ln w="19050" cap="rnd">
                <a:solidFill>
                  <a:srgbClr val="AA72D4"/>
                </a:solidFill>
                <a:prstDash val="sysDot"/>
                <a:round/>
              </a:ln>
              <a:effectLst/>
            </c:spPr>
            <c:extLst>
              <c:ext xmlns:c16="http://schemas.microsoft.com/office/drawing/2014/chart" uri="{C3380CC4-5D6E-409C-BE32-E72D297353CC}">
                <c16:uniqueId val="{0000001C-8298-4A83-9020-4C7DD95A9426}"/>
              </c:ext>
            </c:extLst>
          </c:dPt>
          <c:dLbls>
            <c:dLbl>
              <c:idx val="1"/>
              <c:layout>
                <c:manualLayout>
                  <c:x val="-3.2591576530849868E-2"/>
                  <c:y val="4.857648002333032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D-8298-4A83-9020-4C7DD95A942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'Ֆինանսավորման Ձևերով'!$A$16:$A$18</c:f>
              <c:numCache>
                <c:formatCode>General</c:formatCode>
                <c:ptCount val="3"/>
                <c:pt idx="0">
                  <c:v>2023</c:v>
                </c:pt>
                <c:pt idx="1">
                  <c:v>2024</c:v>
                </c:pt>
                <c:pt idx="2">
                  <c:v>2025</c:v>
                </c:pt>
              </c:numCache>
            </c:numRef>
          </c:xVal>
          <c:yVal>
            <c:numRef>
              <c:f>'Ֆինանսավորման Ձևերով'!$L$16:$L$18</c:f>
              <c:numCache>
                <c:formatCode>#,##0.0</c:formatCode>
                <c:ptCount val="3"/>
                <c:pt idx="0">
                  <c:v>14.27151333664175</c:v>
                </c:pt>
                <c:pt idx="1">
                  <c:v>21.332417576983552</c:v>
                </c:pt>
                <c:pt idx="2">
                  <c:v>20.184110258414027</c:v>
                </c:pt>
              </c:numCache>
            </c:numRef>
          </c:yVal>
          <c:smooth val="0"/>
          <c:extLst>
            <c:ext xmlns:c16="http://schemas.microsoft.com/office/drawing/2014/chart" uri="{C3380CC4-5D6E-409C-BE32-E72D297353CC}">
              <c16:uniqueId val="{0000001E-8298-4A83-9020-4C7DD95A9426}"/>
            </c:ext>
          </c:extLst>
        </c:ser>
        <c:dLbls>
          <c:showLegendKey val="0"/>
          <c:showVal val="0"/>
          <c:showCatName val="0"/>
          <c:showSerName val="0"/>
          <c:showPercent val="0"/>
          <c:showBubbleSize val="0"/>
        </c:dLbls>
        <c:axId val="509830944"/>
        <c:axId val="509833568"/>
      </c:scatterChart>
      <c:valAx>
        <c:axId val="509830944"/>
        <c:scaling>
          <c:orientation val="minMax"/>
          <c:max val="2027"/>
          <c:min val="2009"/>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509833568"/>
        <c:crosses val="autoZero"/>
        <c:crossBetween val="midCat"/>
        <c:minorUnit val="1"/>
      </c:valAx>
      <c:valAx>
        <c:axId val="509833568"/>
        <c:scaling>
          <c:orientation val="minMax"/>
          <c:max val="100"/>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509830944"/>
        <c:crosses val="autoZero"/>
        <c:crossBetween val="midCat"/>
        <c:minorUnit val="2"/>
      </c:valAx>
      <c:spPr>
        <a:noFill/>
        <a:ln>
          <a:noFill/>
        </a:ln>
        <a:effectLst/>
      </c:spPr>
    </c:plotArea>
    <c:legend>
      <c:legendPos val="t"/>
      <c:layout>
        <c:manualLayout>
          <c:xMode val="edge"/>
          <c:yMode val="edge"/>
          <c:x val="0.15699091987989128"/>
          <c:y val="7.8703703703703706E-2"/>
          <c:w val="0.71666498698022341"/>
          <c:h val="7.8125546806649182E-2"/>
        </c:manualLayout>
      </c:layout>
      <c:overlay val="0"/>
      <c:spPr>
        <a:solidFill>
          <a:schemeClr val="bg1"/>
        </a:solid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areaChart>
        <c:grouping val="stacked"/>
        <c:varyColors val="0"/>
        <c:ser>
          <c:idx val="0"/>
          <c:order val="0"/>
          <c:tx>
            <c:strRef>
              <c:f>'Մրցութային|ոչ-մրցութային'!$E$1</c:f>
              <c:strCache>
                <c:ptCount val="1"/>
                <c:pt idx="0">
                  <c:v>Մրցութային %</c:v>
                </c:pt>
              </c:strCache>
            </c:strRef>
          </c:tx>
          <c:spPr>
            <a:solidFill>
              <a:schemeClr val="accent5">
                <a:lumMod val="40000"/>
                <a:lumOff val="60000"/>
              </a:schemeClr>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ysClr val="windowText" lastClr="000000"/>
                    </a:solidFill>
                    <a:latin typeface="+mn-lt"/>
                    <a:ea typeface="+mn-ea"/>
                    <a:cs typeface="+mn-cs"/>
                  </a:defRPr>
                </a:pPr>
                <a:endParaRPr lang="en-US"/>
              </a:p>
            </c:txPr>
            <c:showLegendKey val="0"/>
            <c:showVal val="0"/>
            <c:showCatName val="0"/>
            <c:showSerName val="1"/>
            <c:showPercent val="0"/>
            <c:showBubbleSize val="0"/>
            <c:showLeaderLines val="0"/>
            <c:extLst>
              <c:ext xmlns:c15="http://schemas.microsoft.com/office/drawing/2012/chart" uri="{CE6537A1-D6FC-4f65-9D91-7224C49458BB}">
                <c15:showLeaderLines val="0"/>
              </c:ext>
            </c:extLst>
          </c:dLbls>
          <c:cat>
            <c:numRef>
              <c:f>'Մրցութային|ոչ-մրցութային'!$A$2:$A$10</c:f>
              <c:numCache>
                <c:formatCode>General</c:formatCode>
                <c:ptCount val="9"/>
                <c:pt idx="0">
                  <c:v>2016</c:v>
                </c:pt>
                <c:pt idx="1">
                  <c:v>2017</c:v>
                </c:pt>
                <c:pt idx="2">
                  <c:v>2018</c:v>
                </c:pt>
                <c:pt idx="3">
                  <c:v>2019</c:v>
                </c:pt>
                <c:pt idx="4">
                  <c:v>2020</c:v>
                </c:pt>
                <c:pt idx="5">
                  <c:v>2021</c:v>
                </c:pt>
                <c:pt idx="6">
                  <c:v>2022</c:v>
                </c:pt>
                <c:pt idx="7">
                  <c:v>2023</c:v>
                </c:pt>
                <c:pt idx="8">
                  <c:v>2024</c:v>
                </c:pt>
              </c:numCache>
            </c:numRef>
          </c:cat>
          <c:val>
            <c:numRef>
              <c:f>'Մրցութային|ոչ-մրցութային'!$E$2:$E$10</c:f>
              <c:numCache>
                <c:formatCode>0.0</c:formatCode>
                <c:ptCount val="9"/>
                <c:pt idx="0">
                  <c:v>26.118278600717325</c:v>
                </c:pt>
                <c:pt idx="1">
                  <c:v>27.344800862859458</c:v>
                </c:pt>
                <c:pt idx="2">
                  <c:v>30.771748609726689</c:v>
                </c:pt>
                <c:pt idx="3">
                  <c:v>31.974646462782751</c:v>
                </c:pt>
                <c:pt idx="4">
                  <c:v>42.062671018851084</c:v>
                </c:pt>
                <c:pt idx="5">
                  <c:v>50.889324540269911</c:v>
                </c:pt>
                <c:pt idx="6">
                  <c:v>49.447799476466187</c:v>
                </c:pt>
                <c:pt idx="7">
                  <c:v>58.401262005063629</c:v>
                </c:pt>
                <c:pt idx="8">
                  <c:v>57.068948221779316</c:v>
                </c:pt>
              </c:numCache>
            </c:numRef>
          </c:val>
          <c:extLst>
            <c:ext xmlns:c16="http://schemas.microsoft.com/office/drawing/2014/chart" uri="{C3380CC4-5D6E-409C-BE32-E72D297353CC}">
              <c16:uniqueId val="{00000000-8404-4F8A-BD8F-D978BE6DB325}"/>
            </c:ext>
          </c:extLst>
        </c:ser>
        <c:ser>
          <c:idx val="1"/>
          <c:order val="1"/>
          <c:tx>
            <c:strRef>
              <c:f>'Մրցութային|ոչ-մրցութային'!$F$1</c:f>
              <c:strCache>
                <c:ptCount val="1"/>
                <c:pt idx="0">
                  <c:v>Ոչ-մրցութային %</c:v>
                </c:pt>
              </c:strCache>
            </c:strRef>
          </c:tx>
          <c:spPr>
            <a:solidFill>
              <a:schemeClr val="accent2">
                <a:lumMod val="40000"/>
                <a:lumOff val="60000"/>
              </a:schemeClr>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ysClr val="windowText" lastClr="000000"/>
                    </a:solidFill>
                    <a:latin typeface="+mn-lt"/>
                    <a:ea typeface="+mn-ea"/>
                    <a:cs typeface="+mn-cs"/>
                  </a:defRPr>
                </a:pPr>
                <a:endParaRPr lang="en-US"/>
              </a:p>
            </c:txPr>
            <c:showLegendKey val="0"/>
            <c:showVal val="0"/>
            <c:showCatName val="0"/>
            <c:showSerName val="1"/>
            <c:showPercent val="0"/>
            <c:showBubbleSize val="0"/>
            <c:showLeaderLines val="0"/>
            <c:extLst>
              <c:ext xmlns:c15="http://schemas.microsoft.com/office/drawing/2012/chart" uri="{CE6537A1-D6FC-4f65-9D91-7224C49458BB}">
                <c15:showLeaderLines val="0"/>
              </c:ext>
            </c:extLst>
          </c:dLbls>
          <c:cat>
            <c:numRef>
              <c:f>'Մրցութային|ոչ-մրցութային'!$A$2:$A$10</c:f>
              <c:numCache>
                <c:formatCode>General</c:formatCode>
                <c:ptCount val="9"/>
                <c:pt idx="0">
                  <c:v>2016</c:v>
                </c:pt>
                <c:pt idx="1">
                  <c:v>2017</c:v>
                </c:pt>
                <c:pt idx="2">
                  <c:v>2018</c:v>
                </c:pt>
                <c:pt idx="3">
                  <c:v>2019</c:v>
                </c:pt>
                <c:pt idx="4">
                  <c:v>2020</c:v>
                </c:pt>
                <c:pt idx="5">
                  <c:v>2021</c:v>
                </c:pt>
                <c:pt idx="6">
                  <c:v>2022</c:v>
                </c:pt>
                <c:pt idx="7">
                  <c:v>2023</c:v>
                </c:pt>
                <c:pt idx="8">
                  <c:v>2024</c:v>
                </c:pt>
              </c:numCache>
            </c:numRef>
          </c:cat>
          <c:val>
            <c:numRef>
              <c:f>'Մրցութային|ոչ-մրցութային'!$F$2:$F$10</c:f>
              <c:numCache>
                <c:formatCode>0.0</c:formatCode>
                <c:ptCount val="9"/>
                <c:pt idx="0">
                  <c:v>73.881721399282668</c:v>
                </c:pt>
                <c:pt idx="1">
                  <c:v>72.655199137140542</c:v>
                </c:pt>
                <c:pt idx="2">
                  <c:v>69.228251390273314</c:v>
                </c:pt>
                <c:pt idx="3">
                  <c:v>68.025353537217242</c:v>
                </c:pt>
                <c:pt idx="4">
                  <c:v>57.937328981148916</c:v>
                </c:pt>
                <c:pt idx="5">
                  <c:v>49.110675459730089</c:v>
                </c:pt>
                <c:pt idx="6">
                  <c:v>50.55220052353382</c:v>
                </c:pt>
                <c:pt idx="7">
                  <c:v>41.598737994936378</c:v>
                </c:pt>
                <c:pt idx="8">
                  <c:v>42.931051778220684</c:v>
                </c:pt>
              </c:numCache>
            </c:numRef>
          </c:val>
          <c:extLst>
            <c:ext xmlns:c16="http://schemas.microsoft.com/office/drawing/2014/chart" uri="{C3380CC4-5D6E-409C-BE32-E72D297353CC}">
              <c16:uniqueId val="{00000002-8404-4F8A-BD8F-D978BE6DB325}"/>
            </c:ext>
          </c:extLst>
        </c:ser>
        <c:dLbls>
          <c:showLegendKey val="0"/>
          <c:showVal val="0"/>
          <c:showCatName val="0"/>
          <c:showSerName val="0"/>
          <c:showPercent val="0"/>
          <c:showBubbleSize val="0"/>
        </c:dLbls>
        <c:axId val="519468384"/>
        <c:axId val="519459528"/>
      </c:areaChart>
      <c:lineChart>
        <c:grouping val="standard"/>
        <c:varyColors val="0"/>
        <c:ser>
          <c:idx val="2"/>
          <c:order val="2"/>
          <c:tx>
            <c:strRef>
              <c:f>'Մրցութային|ոչ-մրցութային'!$E$1</c:f>
              <c:strCache>
                <c:ptCount val="1"/>
                <c:pt idx="0">
                  <c:v>Մրցութային %</c:v>
                </c:pt>
              </c:strCache>
            </c:strRef>
          </c:tx>
          <c:spPr>
            <a:ln w="28575" cap="rnd">
              <a:solidFill>
                <a:srgbClr val="7030A0"/>
              </a:solidFill>
              <a:round/>
            </a:ln>
            <a:effectLst/>
          </c:spPr>
          <c:marker>
            <c:symbol val="circle"/>
            <c:size val="5"/>
            <c:spPr>
              <a:solidFill>
                <a:schemeClr val="accent3"/>
              </a:solidFill>
              <a:ln w="9525">
                <a:solidFill>
                  <a:srgbClr val="7030A0"/>
                </a:solidFill>
              </a:ln>
              <a:effectLst/>
            </c:spPr>
          </c:marker>
          <c:dLbls>
            <c:dLbl>
              <c:idx val="0"/>
              <c:layout>
                <c:manualLayout>
                  <c:x val="-5.7844779452819652E-3"/>
                  <c:y val="0"/>
                </c:manualLayout>
              </c:layout>
              <c:tx>
                <c:rich>
                  <a:bodyPr/>
                  <a:lstStyle/>
                  <a:p>
                    <a:fld id="{B0EA5363-75FF-44DE-93F3-3B1AB74D7C8D}" type="CELLRANGE">
                      <a:rPr lang="en-US"/>
                      <a:pPr/>
                      <a:t>[CELLRANGE]</a:t>
                    </a:fld>
                    <a:endParaRPr lang="en-US" baseline="0"/>
                  </a:p>
                  <a:p>
                    <a:fld id="{9F6CA7C5-5B07-4949-9F48-0A822B0C395A}" type="VALUE">
                      <a:rPr lang="en-US"/>
                      <a:pPr/>
                      <a:t>[VALUE]</a:t>
                    </a:fld>
                    <a:endParaRPr lang="en-US"/>
                  </a:p>
                </c:rich>
              </c:tx>
              <c:dLblPos val="r"/>
              <c:showLegendKey val="0"/>
              <c:showVal val="1"/>
              <c:showCatName val="0"/>
              <c:showSerName val="0"/>
              <c:showPercent val="0"/>
              <c:showBubbleSize val="0"/>
              <c:separator>
</c:separator>
              <c:extLst>
                <c:ext xmlns:c15="http://schemas.microsoft.com/office/drawing/2012/chart" uri="{CE6537A1-D6FC-4f65-9D91-7224C49458BB}">
                  <c15:dlblFieldTable/>
                  <c15:showDataLabelsRange val="1"/>
                </c:ext>
                <c:ext xmlns:c16="http://schemas.microsoft.com/office/drawing/2014/chart" uri="{C3380CC4-5D6E-409C-BE32-E72D297353CC}">
                  <c16:uniqueId val="{00000003-8404-4F8A-BD8F-D978BE6DB325}"/>
                </c:ext>
              </c:extLst>
            </c:dLbl>
            <c:dLbl>
              <c:idx val="1"/>
              <c:tx>
                <c:rich>
                  <a:bodyPr/>
                  <a:lstStyle/>
                  <a:p>
                    <a:fld id="{5A7A3B98-BA28-4C5C-8EA6-01E1B31F955A}" type="CELLRANGE">
                      <a:rPr lang="en-US"/>
                      <a:pPr/>
                      <a:t>[CELLRANGE]</a:t>
                    </a:fld>
                    <a:endParaRPr lang="en-US" baseline="0"/>
                  </a:p>
                  <a:p>
                    <a:fld id="{502049F8-54F3-4398-810A-2799D5B9ECE2}" type="VALUE">
                      <a:rPr lang="en-US"/>
                      <a:pPr/>
                      <a:t>[VALUE]</a:t>
                    </a:fld>
                    <a:endParaRPr lang="en-US"/>
                  </a:p>
                </c:rich>
              </c:tx>
              <c:dLblPos val="ctr"/>
              <c:showLegendKey val="0"/>
              <c:showVal val="1"/>
              <c:showCatName val="0"/>
              <c:showSerName val="0"/>
              <c:showPercent val="0"/>
              <c:showBubbleSize val="0"/>
              <c:separator>
</c:separator>
              <c:extLst>
                <c:ext xmlns:c15="http://schemas.microsoft.com/office/drawing/2012/chart" uri="{CE6537A1-D6FC-4f65-9D91-7224C49458BB}">
                  <c15:dlblFieldTable/>
                  <c15:showDataLabelsRange val="1"/>
                </c:ext>
                <c:ext xmlns:c16="http://schemas.microsoft.com/office/drawing/2014/chart" uri="{C3380CC4-5D6E-409C-BE32-E72D297353CC}">
                  <c16:uniqueId val="{00000004-8404-4F8A-BD8F-D978BE6DB325}"/>
                </c:ext>
              </c:extLst>
            </c:dLbl>
            <c:dLbl>
              <c:idx val="2"/>
              <c:tx>
                <c:rich>
                  <a:bodyPr/>
                  <a:lstStyle/>
                  <a:p>
                    <a:fld id="{52DAE3AA-ECC6-4670-8F20-259FBC10FCF3}" type="CELLRANGE">
                      <a:rPr lang="en-US"/>
                      <a:pPr/>
                      <a:t>[CELLRANGE]</a:t>
                    </a:fld>
                    <a:endParaRPr lang="en-US" baseline="0"/>
                  </a:p>
                  <a:p>
                    <a:fld id="{69810FE8-9B29-4315-8F19-E0D25A40939D}" type="VALUE">
                      <a:rPr lang="en-US"/>
                      <a:pPr/>
                      <a:t>[VALUE]</a:t>
                    </a:fld>
                    <a:endParaRPr lang="en-US"/>
                  </a:p>
                </c:rich>
              </c:tx>
              <c:dLblPos val="ctr"/>
              <c:showLegendKey val="0"/>
              <c:showVal val="1"/>
              <c:showCatName val="0"/>
              <c:showSerName val="0"/>
              <c:showPercent val="0"/>
              <c:showBubbleSize val="0"/>
              <c:separator>
</c:separator>
              <c:extLst>
                <c:ext xmlns:c15="http://schemas.microsoft.com/office/drawing/2012/chart" uri="{CE6537A1-D6FC-4f65-9D91-7224C49458BB}">
                  <c15:dlblFieldTable/>
                  <c15:showDataLabelsRange val="1"/>
                </c:ext>
                <c:ext xmlns:c16="http://schemas.microsoft.com/office/drawing/2014/chart" uri="{C3380CC4-5D6E-409C-BE32-E72D297353CC}">
                  <c16:uniqueId val="{00000005-8404-4F8A-BD8F-D978BE6DB325}"/>
                </c:ext>
              </c:extLst>
            </c:dLbl>
            <c:dLbl>
              <c:idx val="3"/>
              <c:tx>
                <c:rich>
                  <a:bodyPr/>
                  <a:lstStyle/>
                  <a:p>
                    <a:fld id="{1DCEFC47-98EF-49E6-A819-B2D92E6AB0F7}" type="CELLRANGE">
                      <a:rPr lang="en-US"/>
                      <a:pPr/>
                      <a:t>[CELLRANGE]</a:t>
                    </a:fld>
                    <a:endParaRPr lang="en-US" baseline="0"/>
                  </a:p>
                  <a:p>
                    <a:fld id="{56DC8543-3756-433A-BF3B-04075D98662A}" type="VALUE">
                      <a:rPr lang="en-US"/>
                      <a:pPr/>
                      <a:t>[VALUE]</a:t>
                    </a:fld>
                    <a:endParaRPr lang="en-US"/>
                  </a:p>
                </c:rich>
              </c:tx>
              <c:dLblPos val="ctr"/>
              <c:showLegendKey val="0"/>
              <c:showVal val="1"/>
              <c:showCatName val="0"/>
              <c:showSerName val="0"/>
              <c:showPercent val="0"/>
              <c:showBubbleSize val="0"/>
              <c:separator>
</c:separator>
              <c:extLst>
                <c:ext xmlns:c15="http://schemas.microsoft.com/office/drawing/2012/chart" uri="{CE6537A1-D6FC-4f65-9D91-7224C49458BB}">
                  <c15:dlblFieldTable/>
                  <c15:showDataLabelsRange val="1"/>
                </c:ext>
                <c:ext xmlns:c16="http://schemas.microsoft.com/office/drawing/2014/chart" uri="{C3380CC4-5D6E-409C-BE32-E72D297353CC}">
                  <c16:uniqueId val="{00000006-8404-4F8A-BD8F-D978BE6DB325}"/>
                </c:ext>
              </c:extLst>
            </c:dLbl>
            <c:dLbl>
              <c:idx val="4"/>
              <c:tx>
                <c:rich>
                  <a:bodyPr/>
                  <a:lstStyle/>
                  <a:p>
                    <a:fld id="{4EF978A8-D40C-4603-A468-0A243ECDAEA9}" type="CELLRANGE">
                      <a:rPr lang="en-US"/>
                      <a:pPr/>
                      <a:t>[CELLRANGE]</a:t>
                    </a:fld>
                    <a:endParaRPr lang="en-US" baseline="0"/>
                  </a:p>
                  <a:p>
                    <a:fld id="{0C07C063-BB96-4B6F-926F-3410B4A66EEA}" type="VALUE">
                      <a:rPr lang="en-US"/>
                      <a:pPr/>
                      <a:t>[VALUE]</a:t>
                    </a:fld>
                    <a:endParaRPr lang="en-US"/>
                  </a:p>
                </c:rich>
              </c:tx>
              <c:dLblPos val="ctr"/>
              <c:showLegendKey val="0"/>
              <c:showVal val="1"/>
              <c:showCatName val="0"/>
              <c:showSerName val="0"/>
              <c:showPercent val="0"/>
              <c:showBubbleSize val="0"/>
              <c:separator>
</c:separator>
              <c:extLst>
                <c:ext xmlns:c15="http://schemas.microsoft.com/office/drawing/2012/chart" uri="{CE6537A1-D6FC-4f65-9D91-7224C49458BB}">
                  <c15:dlblFieldTable/>
                  <c15:showDataLabelsRange val="1"/>
                </c:ext>
                <c:ext xmlns:c16="http://schemas.microsoft.com/office/drawing/2014/chart" uri="{C3380CC4-5D6E-409C-BE32-E72D297353CC}">
                  <c16:uniqueId val="{00000007-8404-4F8A-BD8F-D978BE6DB325}"/>
                </c:ext>
              </c:extLst>
            </c:dLbl>
            <c:dLbl>
              <c:idx val="5"/>
              <c:tx>
                <c:rich>
                  <a:bodyPr/>
                  <a:lstStyle/>
                  <a:p>
                    <a:fld id="{9FA50D3D-FF3B-4FBA-BD0A-53848F2A39C2}" type="CELLRANGE">
                      <a:rPr lang="en-US"/>
                      <a:pPr/>
                      <a:t>[CELLRANGE]</a:t>
                    </a:fld>
                    <a:endParaRPr lang="en-US" baseline="0"/>
                  </a:p>
                  <a:p>
                    <a:fld id="{A434173E-415F-47B0-AF15-F4D075CD7195}" type="VALUE">
                      <a:rPr lang="en-US"/>
                      <a:pPr/>
                      <a:t>[VALUE]</a:t>
                    </a:fld>
                    <a:endParaRPr lang="en-US"/>
                  </a:p>
                </c:rich>
              </c:tx>
              <c:dLblPos val="ctr"/>
              <c:showLegendKey val="0"/>
              <c:showVal val="1"/>
              <c:showCatName val="0"/>
              <c:showSerName val="0"/>
              <c:showPercent val="0"/>
              <c:showBubbleSize val="0"/>
              <c:separator>
</c:separator>
              <c:extLst>
                <c:ext xmlns:c15="http://schemas.microsoft.com/office/drawing/2012/chart" uri="{CE6537A1-D6FC-4f65-9D91-7224C49458BB}">
                  <c15:dlblFieldTable/>
                  <c15:showDataLabelsRange val="1"/>
                </c:ext>
                <c:ext xmlns:c16="http://schemas.microsoft.com/office/drawing/2014/chart" uri="{C3380CC4-5D6E-409C-BE32-E72D297353CC}">
                  <c16:uniqueId val="{00000008-8404-4F8A-BD8F-D978BE6DB325}"/>
                </c:ext>
              </c:extLst>
            </c:dLbl>
            <c:dLbl>
              <c:idx val="6"/>
              <c:layout>
                <c:manualLayout>
                  <c:x val="-4.8548253076405652E-2"/>
                  <c:y val="0"/>
                </c:manualLayout>
              </c:layout>
              <c:tx>
                <c:rich>
                  <a:bodyPr/>
                  <a:lstStyle/>
                  <a:p>
                    <a:fld id="{3B3E2D57-F392-4C35-95CB-9C005DF74D27}" type="CELLRANGE">
                      <a:rPr lang="en-US"/>
                      <a:pPr/>
                      <a:t>[CELLRANGE]</a:t>
                    </a:fld>
                    <a:endParaRPr lang="en-US" baseline="0"/>
                  </a:p>
                  <a:p>
                    <a:fld id="{4F8A93BF-5C02-4CB1-BDEB-FA2CC44FEA75}" type="VALUE">
                      <a:rPr lang="en-US"/>
                      <a:pPr/>
                      <a:t>[VALUE]</a:t>
                    </a:fld>
                    <a:endParaRPr lang="en-US"/>
                  </a:p>
                </c:rich>
              </c:tx>
              <c:dLblPos val="r"/>
              <c:showLegendKey val="0"/>
              <c:showVal val="1"/>
              <c:showCatName val="0"/>
              <c:showSerName val="0"/>
              <c:showPercent val="0"/>
              <c:showBubbleSize val="0"/>
              <c:separator>
</c:separator>
              <c:extLst>
                <c:ext xmlns:c15="http://schemas.microsoft.com/office/drawing/2012/chart" uri="{CE6537A1-D6FC-4f65-9D91-7224C49458BB}">
                  <c15:dlblFieldTable/>
                  <c15:showDataLabelsRange val="1"/>
                </c:ext>
                <c:ext xmlns:c16="http://schemas.microsoft.com/office/drawing/2014/chart" uri="{C3380CC4-5D6E-409C-BE32-E72D297353CC}">
                  <c16:uniqueId val="{00000009-8404-4F8A-BD8F-D978BE6DB325}"/>
                </c:ext>
              </c:extLst>
            </c:dLbl>
            <c:dLbl>
              <c:idx val="7"/>
              <c:layout>
                <c:manualLayout>
                  <c:x val="-4.8548253076405652E-2"/>
                  <c:y val="-4.2290937825948762E-17"/>
                </c:manualLayout>
              </c:layout>
              <c:tx>
                <c:rich>
                  <a:bodyPr/>
                  <a:lstStyle/>
                  <a:p>
                    <a:fld id="{49AA7853-7D06-4CFC-A10B-C9A2FE57763B}" type="CELLRANGE">
                      <a:rPr lang="en-US" baseline="0"/>
                      <a:pPr/>
                      <a:t>[CELLRANGE]</a:t>
                    </a:fld>
                    <a:r>
                      <a:rPr lang="en-US" baseline="0"/>
                      <a:t>
</a:t>
                    </a:r>
                    <a:fld id="{DD347A1B-E492-46E9-9C82-9D5E0E564C38}" type="VALUE">
                      <a:rPr lang="en-US" baseline="0"/>
                      <a:pPr/>
                      <a:t>[VALUE]</a:t>
                    </a:fld>
                    <a:endParaRPr lang="en-US" baseline="0"/>
                  </a:p>
                </c:rich>
              </c:tx>
              <c:dLblPos val="r"/>
              <c:showLegendKey val="0"/>
              <c:showVal val="1"/>
              <c:showCatName val="0"/>
              <c:showSerName val="0"/>
              <c:showPercent val="0"/>
              <c:showBubbleSize val="0"/>
              <c:separator>
</c:separator>
              <c:extLst>
                <c:ext xmlns:c15="http://schemas.microsoft.com/office/drawing/2012/chart" uri="{CE6537A1-D6FC-4f65-9D91-7224C49458BB}">
                  <c15:dlblFieldTable/>
                  <c15:showDataLabelsRange val="1"/>
                </c:ext>
                <c:ext xmlns:c16="http://schemas.microsoft.com/office/drawing/2014/chart" uri="{C3380CC4-5D6E-409C-BE32-E72D297353CC}">
                  <c16:uniqueId val="{0000000A-8404-4F8A-BD8F-D978BE6DB325}"/>
                </c:ext>
              </c:extLst>
            </c:dLbl>
            <c:dLbl>
              <c:idx val="8"/>
              <c:layout>
                <c:manualLayout>
                  <c:x val="-4.4081474740280582E-2"/>
                  <c:y val="-9.227220299884745E-3"/>
                </c:manualLayout>
              </c:layout>
              <c:tx>
                <c:rich>
                  <a:bodyPr/>
                  <a:lstStyle/>
                  <a:p>
                    <a:fld id="{6070C31E-09C3-4AC7-83D8-466790DC5C95}" type="CELLRANGE">
                      <a:rPr lang="en-US" baseline="0"/>
                      <a:pPr/>
                      <a:t>[CELLRANGE]</a:t>
                    </a:fld>
                    <a:r>
                      <a:rPr lang="en-US" baseline="0"/>
                      <a:t>
</a:t>
                    </a:r>
                    <a:fld id="{1E7855B3-E158-47FB-B927-CC2236205609}" type="VALUE">
                      <a:rPr lang="en-US" baseline="0"/>
                      <a:pPr/>
                      <a:t>[VALUE]</a:t>
                    </a:fld>
                    <a:endParaRPr lang="en-US" baseline="0"/>
                  </a:p>
                </c:rich>
              </c:tx>
              <c:dLblPos val="r"/>
              <c:showLegendKey val="0"/>
              <c:showVal val="1"/>
              <c:showCatName val="0"/>
              <c:showSerName val="0"/>
              <c:showPercent val="0"/>
              <c:showBubbleSize val="0"/>
              <c:separator>
</c:separator>
              <c:extLst>
                <c:ext xmlns:c15="http://schemas.microsoft.com/office/drawing/2012/chart" uri="{CE6537A1-D6FC-4f65-9D91-7224C49458BB}">
                  <c15:dlblFieldTable/>
                  <c15:showDataLabelsRange val="1"/>
                </c:ext>
                <c:ext xmlns:c16="http://schemas.microsoft.com/office/drawing/2014/chart" uri="{C3380CC4-5D6E-409C-BE32-E72D297353CC}">
                  <c16:uniqueId val="{0000000B-8404-4F8A-BD8F-D978BE6DB325}"/>
                </c:ext>
              </c:extLst>
            </c:dLbl>
            <c:spPr>
              <a:noFill/>
              <a:ln>
                <a:noFill/>
              </a:ln>
              <a:effectLst/>
            </c:spPr>
            <c:txPr>
              <a:bodyPr rot="0" spcFirstLastPara="1" vertOverflow="ellipsis" vert="horz" wrap="square" anchor="ctr" anchorCtr="1"/>
              <a:lstStyle/>
              <a:p>
                <a:pPr>
                  <a:defRPr sz="1050" b="1" i="0" u="none" strike="noStrike" kern="1200" baseline="0">
                    <a:solidFill>
                      <a:sysClr val="windowText" lastClr="000000"/>
                    </a:solidFill>
                    <a:latin typeface="+mn-lt"/>
                    <a:ea typeface="+mn-ea"/>
                    <a:cs typeface="+mn-cs"/>
                  </a:defRPr>
                </a:pPr>
                <a:endParaRPr lang="en-US"/>
              </a:p>
            </c:txPr>
            <c:dLblPos val="ctr"/>
            <c:showLegendKey val="0"/>
            <c:showVal val="1"/>
            <c:showCatName val="0"/>
            <c:showSerName val="0"/>
            <c:showPercent val="0"/>
            <c:showBubbleSize val="0"/>
            <c:separator>
</c:separator>
            <c:showLeaderLines val="0"/>
            <c:extLst>
              <c:ext xmlns:c15="http://schemas.microsoft.com/office/drawing/2012/chart" uri="{CE6537A1-D6FC-4f65-9D91-7224C49458BB}">
                <c15:showDataLabelsRange val="1"/>
                <c15:showLeaderLines val="0"/>
              </c:ext>
            </c:extLst>
          </c:dLbls>
          <c:cat>
            <c:numRef>
              <c:f>'Մրցութային|ոչ-մրցութային'!$A$2:$A$8</c:f>
              <c:numCache>
                <c:formatCode>General</c:formatCode>
                <c:ptCount val="7"/>
                <c:pt idx="0">
                  <c:v>2016</c:v>
                </c:pt>
                <c:pt idx="1">
                  <c:v>2017</c:v>
                </c:pt>
                <c:pt idx="2">
                  <c:v>2018</c:v>
                </c:pt>
                <c:pt idx="3">
                  <c:v>2019</c:v>
                </c:pt>
                <c:pt idx="4">
                  <c:v>2020</c:v>
                </c:pt>
                <c:pt idx="5">
                  <c:v>2021</c:v>
                </c:pt>
                <c:pt idx="6">
                  <c:v>2022</c:v>
                </c:pt>
              </c:numCache>
            </c:numRef>
          </c:cat>
          <c:val>
            <c:numRef>
              <c:f>'Մրցութային|ոչ-մրցութային'!$E$2:$E$10</c:f>
              <c:numCache>
                <c:formatCode>0.0</c:formatCode>
                <c:ptCount val="9"/>
                <c:pt idx="0">
                  <c:v>26.118278600717325</c:v>
                </c:pt>
                <c:pt idx="1">
                  <c:v>27.344800862859458</c:v>
                </c:pt>
                <c:pt idx="2">
                  <c:v>30.771748609726689</c:v>
                </c:pt>
                <c:pt idx="3">
                  <c:v>31.974646462782751</c:v>
                </c:pt>
                <c:pt idx="4">
                  <c:v>42.062671018851084</c:v>
                </c:pt>
                <c:pt idx="5">
                  <c:v>50.889324540269911</c:v>
                </c:pt>
                <c:pt idx="6">
                  <c:v>49.447799476466187</c:v>
                </c:pt>
                <c:pt idx="7">
                  <c:v>58.401262005063629</c:v>
                </c:pt>
                <c:pt idx="8">
                  <c:v>57.068948221779316</c:v>
                </c:pt>
              </c:numCache>
            </c:numRef>
          </c:val>
          <c:smooth val="0"/>
          <c:extLst>
            <c:ext xmlns:c15="http://schemas.microsoft.com/office/drawing/2012/chart" uri="{02D57815-91ED-43cb-92C2-25804820EDAC}">
              <c15:datalabelsRange>
                <c15:f>'Մրցութային|ոչ-մրցութային'!$F$2:$F$10</c15:f>
                <c15:dlblRangeCache>
                  <c:ptCount val="9"/>
                  <c:pt idx="0">
                    <c:v>73.9</c:v>
                  </c:pt>
                  <c:pt idx="1">
                    <c:v>72.7</c:v>
                  </c:pt>
                  <c:pt idx="2">
                    <c:v>69.2</c:v>
                  </c:pt>
                  <c:pt idx="3">
                    <c:v>68.0</c:v>
                  </c:pt>
                  <c:pt idx="4">
                    <c:v>57.9</c:v>
                  </c:pt>
                  <c:pt idx="5">
                    <c:v>49.1</c:v>
                  </c:pt>
                  <c:pt idx="6">
                    <c:v>50.6</c:v>
                  </c:pt>
                  <c:pt idx="7">
                    <c:v>41.6</c:v>
                  </c:pt>
                  <c:pt idx="8">
                    <c:v>42.9</c:v>
                  </c:pt>
                </c15:dlblRangeCache>
              </c15:datalabelsRange>
            </c:ext>
            <c:ext xmlns:c16="http://schemas.microsoft.com/office/drawing/2014/chart" uri="{C3380CC4-5D6E-409C-BE32-E72D297353CC}">
              <c16:uniqueId val="{0000000C-8404-4F8A-BD8F-D978BE6DB325}"/>
            </c:ext>
          </c:extLst>
        </c:ser>
        <c:dLbls>
          <c:showLegendKey val="0"/>
          <c:showVal val="0"/>
          <c:showCatName val="0"/>
          <c:showSerName val="0"/>
          <c:showPercent val="0"/>
          <c:showBubbleSize val="0"/>
        </c:dLbls>
        <c:marker val="1"/>
        <c:smooth val="0"/>
        <c:axId val="519468384"/>
        <c:axId val="519459528"/>
      </c:lineChart>
      <c:catAx>
        <c:axId val="5194683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519459528"/>
        <c:crosses val="autoZero"/>
        <c:auto val="1"/>
        <c:lblAlgn val="ctr"/>
        <c:lblOffset val="100"/>
        <c:noMultiLvlLbl val="0"/>
      </c:catAx>
      <c:valAx>
        <c:axId val="519459528"/>
        <c:scaling>
          <c:orientation val="minMax"/>
          <c:max val="100"/>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519468384"/>
        <c:crosses val="autoZero"/>
        <c:crossBetween val="midCat"/>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1685130718954248E-2"/>
          <c:y val="7.1255158399399568E-2"/>
          <c:w val="0.8999565675694452"/>
          <c:h val="0.82387578936829087"/>
        </c:manualLayout>
      </c:layout>
      <c:lineChart>
        <c:grouping val="standard"/>
        <c:varyColors val="0"/>
        <c:ser>
          <c:idx val="0"/>
          <c:order val="0"/>
          <c:tx>
            <c:strRef>
              <c:f>'բազային+prediction'!$F$65</c:f>
              <c:strCache>
                <c:ptCount val="1"/>
                <c:pt idx="0">
                  <c:v>2019</c:v>
                </c:pt>
              </c:strCache>
            </c:strRef>
          </c:tx>
          <c:spPr>
            <a:ln w="28575" cap="rnd">
              <a:solidFill>
                <a:schemeClr val="accent1"/>
              </a:solidFill>
              <a:round/>
            </a:ln>
            <a:effectLst/>
          </c:spPr>
          <c:marker>
            <c:symbol val="circle"/>
            <c:size val="6"/>
            <c:spPr>
              <a:solidFill>
                <a:schemeClr val="accent1">
                  <a:lumMod val="75000"/>
                </a:schemeClr>
              </a:solidFill>
              <a:ln w="9525">
                <a:solidFill>
                  <a:schemeClr val="tx1"/>
                </a:solidFill>
              </a:ln>
              <a:effectLst/>
            </c:spPr>
          </c:marker>
          <c:cat>
            <c:strRef>
              <c:f>'բազային+prediction'!$A$66:$A$80</c:f>
              <c:strCache>
                <c:ptCount val="15"/>
                <c:pt idx="0">
                  <c:v>≤24</c:v>
                </c:pt>
                <c:pt idx="1">
                  <c:v>25-29</c:v>
                </c:pt>
                <c:pt idx="2">
                  <c:v>30-34</c:v>
                </c:pt>
                <c:pt idx="3">
                  <c:v>35-39</c:v>
                </c:pt>
                <c:pt idx="4">
                  <c:v>40-44</c:v>
                </c:pt>
                <c:pt idx="5">
                  <c:v>45-49</c:v>
                </c:pt>
                <c:pt idx="6">
                  <c:v>50-54</c:v>
                </c:pt>
                <c:pt idx="7">
                  <c:v>55-59</c:v>
                </c:pt>
                <c:pt idx="8">
                  <c:v>60-64</c:v>
                </c:pt>
                <c:pt idx="9">
                  <c:v>65-69</c:v>
                </c:pt>
                <c:pt idx="10">
                  <c:v>70-74</c:v>
                </c:pt>
                <c:pt idx="11">
                  <c:v>75-79</c:v>
                </c:pt>
                <c:pt idx="12">
                  <c:v>80-84</c:v>
                </c:pt>
                <c:pt idx="13">
                  <c:v>85-89</c:v>
                </c:pt>
                <c:pt idx="14">
                  <c:v>≥90</c:v>
                </c:pt>
              </c:strCache>
            </c:strRef>
          </c:cat>
          <c:val>
            <c:numRef>
              <c:f>'բազային+prediction'!$F$66:$F$80</c:f>
              <c:numCache>
                <c:formatCode>General</c:formatCode>
                <c:ptCount val="15"/>
                <c:pt idx="0">
                  <c:v>96</c:v>
                </c:pt>
                <c:pt idx="1">
                  <c:v>320</c:v>
                </c:pt>
                <c:pt idx="2">
                  <c:v>386</c:v>
                </c:pt>
                <c:pt idx="3">
                  <c:v>350</c:v>
                </c:pt>
                <c:pt idx="4">
                  <c:v>252</c:v>
                </c:pt>
                <c:pt idx="5">
                  <c:v>196</c:v>
                </c:pt>
                <c:pt idx="6">
                  <c:v>158</c:v>
                </c:pt>
                <c:pt idx="7">
                  <c:v>230</c:v>
                </c:pt>
                <c:pt idx="8">
                  <c:v>331</c:v>
                </c:pt>
                <c:pt idx="9">
                  <c:v>397</c:v>
                </c:pt>
                <c:pt idx="10">
                  <c:v>329</c:v>
                </c:pt>
                <c:pt idx="11">
                  <c:v>161</c:v>
                </c:pt>
                <c:pt idx="12">
                  <c:v>125</c:v>
                </c:pt>
                <c:pt idx="13">
                  <c:v>39</c:v>
                </c:pt>
                <c:pt idx="14">
                  <c:v>8</c:v>
                </c:pt>
              </c:numCache>
            </c:numRef>
          </c:val>
          <c:smooth val="0"/>
          <c:extLst>
            <c:ext xmlns:c16="http://schemas.microsoft.com/office/drawing/2014/chart" uri="{C3380CC4-5D6E-409C-BE32-E72D297353CC}">
              <c16:uniqueId val="{00000000-8D18-445F-97D0-EEBF54F3C64F}"/>
            </c:ext>
          </c:extLst>
        </c:ser>
        <c:ser>
          <c:idx val="1"/>
          <c:order val="1"/>
          <c:tx>
            <c:strRef>
              <c:f>'բազային+prediction'!$K$65</c:f>
              <c:strCache>
                <c:ptCount val="1"/>
                <c:pt idx="0">
                  <c:v>2024</c:v>
                </c:pt>
              </c:strCache>
            </c:strRef>
          </c:tx>
          <c:spPr>
            <a:ln w="28575" cap="rnd">
              <a:solidFill>
                <a:schemeClr val="accent2"/>
              </a:solidFill>
              <a:round/>
            </a:ln>
            <a:effectLst/>
          </c:spPr>
          <c:marker>
            <c:symbol val="circle"/>
            <c:size val="7"/>
            <c:spPr>
              <a:solidFill>
                <a:srgbClr val="FFC000"/>
              </a:solidFill>
              <a:ln w="9525">
                <a:solidFill>
                  <a:schemeClr val="accent1">
                    <a:lumMod val="50000"/>
                  </a:schemeClr>
                </a:solidFill>
              </a:ln>
              <a:effectLst/>
            </c:spPr>
          </c:marker>
          <c:cat>
            <c:strRef>
              <c:f>'բազային+prediction'!$A$66:$A$80</c:f>
              <c:strCache>
                <c:ptCount val="15"/>
                <c:pt idx="0">
                  <c:v>≤24</c:v>
                </c:pt>
                <c:pt idx="1">
                  <c:v>25-29</c:v>
                </c:pt>
                <c:pt idx="2">
                  <c:v>30-34</c:v>
                </c:pt>
                <c:pt idx="3">
                  <c:v>35-39</c:v>
                </c:pt>
                <c:pt idx="4">
                  <c:v>40-44</c:v>
                </c:pt>
                <c:pt idx="5">
                  <c:v>45-49</c:v>
                </c:pt>
                <c:pt idx="6">
                  <c:v>50-54</c:v>
                </c:pt>
                <c:pt idx="7">
                  <c:v>55-59</c:v>
                </c:pt>
                <c:pt idx="8">
                  <c:v>60-64</c:v>
                </c:pt>
                <c:pt idx="9">
                  <c:v>65-69</c:v>
                </c:pt>
                <c:pt idx="10">
                  <c:v>70-74</c:v>
                </c:pt>
                <c:pt idx="11">
                  <c:v>75-79</c:v>
                </c:pt>
                <c:pt idx="12">
                  <c:v>80-84</c:v>
                </c:pt>
                <c:pt idx="13">
                  <c:v>85-89</c:v>
                </c:pt>
                <c:pt idx="14">
                  <c:v>≥90</c:v>
                </c:pt>
              </c:strCache>
            </c:strRef>
          </c:cat>
          <c:val>
            <c:numRef>
              <c:f>'բազային+prediction'!$K$66:$K$80</c:f>
              <c:numCache>
                <c:formatCode>General</c:formatCode>
                <c:ptCount val="15"/>
                <c:pt idx="0">
                  <c:v>201</c:v>
                </c:pt>
                <c:pt idx="1">
                  <c:v>354</c:v>
                </c:pt>
                <c:pt idx="2">
                  <c:v>360</c:v>
                </c:pt>
                <c:pt idx="3">
                  <c:v>461</c:v>
                </c:pt>
                <c:pt idx="4">
                  <c:v>391</c:v>
                </c:pt>
                <c:pt idx="5">
                  <c:v>285</c:v>
                </c:pt>
                <c:pt idx="6">
                  <c:v>210</c:v>
                </c:pt>
                <c:pt idx="7">
                  <c:v>153</c:v>
                </c:pt>
                <c:pt idx="8">
                  <c:v>235</c:v>
                </c:pt>
                <c:pt idx="9">
                  <c:v>286</c:v>
                </c:pt>
                <c:pt idx="10">
                  <c:v>352</c:v>
                </c:pt>
                <c:pt idx="11">
                  <c:v>293</c:v>
                </c:pt>
                <c:pt idx="12">
                  <c:v>98</c:v>
                </c:pt>
                <c:pt idx="13">
                  <c:v>63</c:v>
                </c:pt>
                <c:pt idx="14">
                  <c:v>19</c:v>
                </c:pt>
              </c:numCache>
            </c:numRef>
          </c:val>
          <c:smooth val="0"/>
          <c:extLst>
            <c:ext xmlns:c16="http://schemas.microsoft.com/office/drawing/2014/chart" uri="{C3380CC4-5D6E-409C-BE32-E72D297353CC}">
              <c16:uniqueId val="{00000001-8D18-445F-97D0-EEBF54F3C64F}"/>
            </c:ext>
          </c:extLst>
        </c:ser>
        <c:ser>
          <c:idx val="2"/>
          <c:order val="2"/>
          <c:tx>
            <c:strRef>
              <c:f>'բազային+prediction'!$M$65</c:f>
              <c:strCache>
                <c:ptCount val="1"/>
                <c:pt idx="0">
                  <c:v>2029</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strRef>
              <c:f>'բազային+prediction'!$A$66:$A$80</c:f>
              <c:strCache>
                <c:ptCount val="15"/>
                <c:pt idx="0">
                  <c:v>≤24</c:v>
                </c:pt>
                <c:pt idx="1">
                  <c:v>25-29</c:v>
                </c:pt>
                <c:pt idx="2">
                  <c:v>30-34</c:v>
                </c:pt>
                <c:pt idx="3">
                  <c:v>35-39</c:v>
                </c:pt>
                <c:pt idx="4">
                  <c:v>40-44</c:v>
                </c:pt>
                <c:pt idx="5">
                  <c:v>45-49</c:v>
                </c:pt>
                <c:pt idx="6">
                  <c:v>50-54</c:v>
                </c:pt>
                <c:pt idx="7">
                  <c:v>55-59</c:v>
                </c:pt>
                <c:pt idx="8">
                  <c:v>60-64</c:v>
                </c:pt>
                <c:pt idx="9">
                  <c:v>65-69</c:v>
                </c:pt>
                <c:pt idx="10">
                  <c:v>70-74</c:v>
                </c:pt>
                <c:pt idx="11">
                  <c:v>75-79</c:v>
                </c:pt>
                <c:pt idx="12">
                  <c:v>80-84</c:v>
                </c:pt>
                <c:pt idx="13">
                  <c:v>85-89</c:v>
                </c:pt>
                <c:pt idx="14">
                  <c:v>≥90</c:v>
                </c:pt>
              </c:strCache>
            </c:strRef>
          </c:cat>
          <c:val>
            <c:numRef>
              <c:f>'բազային+prediction'!$M$66:$M$80</c:f>
              <c:numCache>
                <c:formatCode>General</c:formatCode>
                <c:ptCount val="15"/>
                <c:pt idx="0">
                  <c:v>201</c:v>
                </c:pt>
                <c:pt idx="1">
                  <c:v>354</c:v>
                </c:pt>
                <c:pt idx="2">
                  <c:v>394</c:v>
                </c:pt>
                <c:pt idx="3">
                  <c:v>435</c:v>
                </c:pt>
                <c:pt idx="4">
                  <c:v>502</c:v>
                </c:pt>
                <c:pt idx="5">
                  <c:v>424</c:v>
                </c:pt>
                <c:pt idx="6">
                  <c:v>299</c:v>
                </c:pt>
                <c:pt idx="7">
                  <c:v>205</c:v>
                </c:pt>
                <c:pt idx="8">
                  <c:v>158</c:v>
                </c:pt>
                <c:pt idx="9">
                  <c:v>190</c:v>
                </c:pt>
                <c:pt idx="10">
                  <c:v>241</c:v>
                </c:pt>
                <c:pt idx="11">
                  <c:v>316</c:v>
                </c:pt>
                <c:pt idx="12">
                  <c:v>230</c:v>
                </c:pt>
                <c:pt idx="13">
                  <c:v>36</c:v>
                </c:pt>
                <c:pt idx="14">
                  <c:v>43</c:v>
                </c:pt>
              </c:numCache>
            </c:numRef>
          </c:val>
          <c:smooth val="0"/>
          <c:extLst>
            <c:ext xmlns:c16="http://schemas.microsoft.com/office/drawing/2014/chart" uri="{C3380CC4-5D6E-409C-BE32-E72D297353CC}">
              <c16:uniqueId val="{00000002-8D18-445F-97D0-EEBF54F3C64F}"/>
            </c:ext>
          </c:extLst>
        </c:ser>
        <c:dLbls>
          <c:showLegendKey val="0"/>
          <c:showVal val="0"/>
          <c:showCatName val="0"/>
          <c:showSerName val="0"/>
          <c:showPercent val="0"/>
          <c:showBubbleSize val="0"/>
        </c:dLbls>
        <c:marker val="1"/>
        <c:smooth val="0"/>
        <c:axId val="534416840"/>
        <c:axId val="534419792"/>
      </c:lineChart>
      <c:catAx>
        <c:axId val="534416840"/>
        <c:scaling>
          <c:orientation val="minMax"/>
        </c:scaling>
        <c:delete val="0"/>
        <c:axPos val="b"/>
        <c:minorGridlines>
          <c:spPr>
            <a:ln w="9525" cap="flat" cmpd="sng" algn="ctr">
              <a:solidFill>
                <a:schemeClr val="tx1">
                  <a:lumMod val="5000"/>
                  <a:lumOff val="95000"/>
                </a:schemeClr>
              </a:solidFill>
              <a:round/>
            </a:ln>
            <a:effectLst/>
          </c:spPr>
        </c:minorGridlines>
        <c:numFmt formatCode="General" sourceLinked="1"/>
        <c:majorTickMark val="none"/>
        <c:minorTickMark val="out"/>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en-US"/>
          </a:p>
        </c:txPr>
        <c:crossAx val="534419792"/>
        <c:crosses val="autoZero"/>
        <c:auto val="1"/>
        <c:lblAlgn val="ctr"/>
        <c:lblOffset val="100"/>
        <c:noMultiLvlLbl val="0"/>
      </c:catAx>
      <c:valAx>
        <c:axId val="534419792"/>
        <c:scaling>
          <c:orientation val="minMax"/>
          <c:max val="550"/>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en-US"/>
          </a:p>
        </c:txPr>
        <c:crossAx val="534416840"/>
        <c:crosses val="autoZero"/>
        <c:crossBetween val="between"/>
        <c:majorUnit val="50"/>
      </c:valAx>
      <c:spPr>
        <a:noFill/>
        <a:ln>
          <a:noFill/>
        </a:ln>
        <a:effectLst/>
      </c:spPr>
    </c:plotArea>
    <c:legend>
      <c:legendPos val="b"/>
      <c:layout>
        <c:manualLayout>
          <c:xMode val="edge"/>
          <c:yMode val="edge"/>
          <c:x val="0.14860016339869284"/>
          <c:y val="0.76191496062992115"/>
          <c:w val="0.33826813725490201"/>
          <c:h val="0.10032355046528275"/>
        </c:manualLayout>
      </c:layout>
      <c:overlay val="0"/>
      <c:spPr>
        <a:solidFill>
          <a:schemeClr val="bg1"/>
        </a:solidFill>
        <a:ln>
          <a:noFill/>
        </a:ln>
        <a:effectLst/>
      </c:spPr>
      <c:txPr>
        <a:bodyPr rot="0" spcFirstLastPara="1" vertOverflow="ellipsis" vert="horz" wrap="square" anchor="ctr" anchorCtr="1"/>
        <a:lstStyle/>
        <a:p>
          <a:pPr>
            <a:defRPr sz="1050" b="0" i="0" u="none" strike="noStrike" kern="1200" baseline="0">
              <a:solidFill>
                <a:sysClr val="windowText" lastClr="000000"/>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sz="1050">
          <a:solidFill>
            <a:sysClr val="windowText" lastClr="000000"/>
          </a:solidFill>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1.6692746344518568E-2"/>
          <c:y val="3.892947022202059E-2"/>
          <c:w val="0.96661450731096288"/>
          <c:h val="0.9026763244449485"/>
        </c:manualLayout>
      </c:layout>
      <c:barChart>
        <c:barDir val="col"/>
        <c:grouping val="clustered"/>
        <c:varyColors val="0"/>
        <c:ser>
          <c:idx val="0"/>
          <c:order val="0"/>
          <c:spPr>
            <a:solidFill>
              <a:schemeClr val="accent1">
                <a:lumMod val="60000"/>
                <a:lumOff val="40000"/>
              </a:schemeClr>
            </a:solidFill>
            <a:ln>
              <a:noFill/>
            </a:ln>
            <a:effectLst/>
          </c:spPr>
          <c:invertIfNegative val="0"/>
          <c:cat>
            <c:strRef>
              <c:f>'բազային+prediction'!$CD$5:$CD$19</c:f>
              <c:strCache>
                <c:ptCount val="15"/>
                <c:pt idx="0">
                  <c:v>≤ 24</c:v>
                </c:pt>
                <c:pt idx="1">
                  <c:v>25-29</c:v>
                </c:pt>
                <c:pt idx="2">
                  <c:v>30-34</c:v>
                </c:pt>
                <c:pt idx="3">
                  <c:v>35-39</c:v>
                </c:pt>
                <c:pt idx="4">
                  <c:v>40-44</c:v>
                </c:pt>
                <c:pt idx="5">
                  <c:v>45-49</c:v>
                </c:pt>
                <c:pt idx="6">
                  <c:v>50-54</c:v>
                </c:pt>
                <c:pt idx="7">
                  <c:v>55-59</c:v>
                </c:pt>
                <c:pt idx="8">
                  <c:v>60-64</c:v>
                </c:pt>
                <c:pt idx="9">
                  <c:v>65-69</c:v>
                </c:pt>
                <c:pt idx="10">
                  <c:v>70-74</c:v>
                </c:pt>
                <c:pt idx="11">
                  <c:v>75-79</c:v>
                </c:pt>
                <c:pt idx="12">
                  <c:v>80-84</c:v>
                </c:pt>
                <c:pt idx="13">
                  <c:v>85-89</c:v>
                </c:pt>
                <c:pt idx="14">
                  <c:v>≥ 90</c:v>
                </c:pt>
              </c:strCache>
            </c:strRef>
          </c:cat>
          <c:val>
            <c:numRef>
              <c:f>'բազային+prediction'!$FB$5:$FB$19</c:f>
              <c:numCache>
                <c:formatCode>General</c:formatCode>
                <c:ptCount val="15"/>
                <c:pt idx="0">
                  <c:v>79</c:v>
                </c:pt>
                <c:pt idx="1">
                  <c:v>157</c:v>
                </c:pt>
                <c:pt idx="2">
                  <c:v>156</c:v>
                </c:pt>
                <c:pt idx="3">
                  <c:v>201</c:v>
                </c:pt>
                <c:pt idx="4">
                  <c:v>148</c:v>
                </c:pt>
                <c:pt idx="5">
                  <c:v>115</c:v>
                </c:pt>
                <c:pt idx="6">
                  <c:v>75</c:v>
                </c:pt>
                <c:pt idx="7">
                  <c:v>51</c:v>
                </c:pt>
                <c:pt idx="8">
                  <c:v>112</c:v>
                </c:pt>
                <c:pt idx="9">
                  <c:v>152</c:v>
                </c:pt>
                <c:pt idx="10">
                  <c:v>208</c:v>
                </c:pt>
                <c:pt idx="11">
                  <c:v>174</c:v>
                </c:pt>
                <c:pt idx="12">
                  <c:v>64</c:v>
                </c:pt>
                <c:pt idx="13">
                  <c:v>42</c:v>
                </c:pt>
                <c:pt idx="14">
                  <c:v>10</c:v>
                </c:pt>
              </c:numCache>
            </c:numRef>
          </c:val>
          <c:extLst>
            <c:ext xmlns:c16="http://schemas.microsoft.com/office/drawing/2014/chart" uri="{C3380CC4-5D6E-409C-BE32-E72D297353CC}">
              <c16:uniqueId val="{00000000-7372-4108-9EED-562BF1F919F7}"/>
            </c:ext>
          </c:extLst>
        </c:ser>
        <c:ser>
          <c:idx val="1"/>
          <c:order val="1"/>
          <c:spPr>
            <a:solidFill>
              <a:schemeClr val="accent4">
                <a:lumMod val="60000"/>
                <a:lumOff val="40000"/>
              </a:schemeClr>
            </a:solidFill>
            <a:ln>
              <a:noFill/>
            </a:ln>
            <a:effectLst/>
          </c:spPr>
          <c:invertIfNegative val="0"/>
          <c:cat>
            <c:strRef>
              <c:f>'բազային+prediction'!$CD$5:$CD$19</c:f>
              <c:strCache>
                <c:ptCount val="15"/>
                <c:pt idx="0">
                  <c:v>≤ 24</c:v>
                </c:pt>
                <c:pt idx="1">
                  <c:v>25-29</c:v>
                </c:pt>
                <c:pt idx="2">
                  <c:v>30-34</c:v>
                </c:pt>
                <c:pt idx="3">
                  <c:v>35-39</c:v>
                </c:pt>
                <c:pt idx="4">
                  <c:v>40-44</c:v>
                </c:pt>
                <c:pt idx="5">
                  <c:v>45-49</c:v>
                </c:pt>
                <c:pt idx="6">
                  <c:v>50-54</c:v>
                </c:pt>
                <c:pt idx="7">
                  <c:v>55-59</c:v>
                </c:pt>
                <c:pt idx="8">
                  <c:v>60-64</c:v>
                </c:pt>
                <c:pt idx="9">
                  <c:v>65-69</c:v>
                </c:pt>
                <c:pt idx="10">
                  <c:v>70-74</c:v>
                </c:pt>
                <c:pt idx="11">
                  <c:v>75-79</c:v>
                </c:pt>
                <c:pt idx="12">
                  <c:v>80-84</c:v>
                </c:pt>
                <c:pt idx="13">
                  <c:v>85-89</c:v>
                </c:pt>
                <c:pt idx="14">
                  <c:v>≥ 90</c:v>
                </c:pt>
              </c:strCache>
            </c:strRef>
          </c:cat>
          <c:val>
            <c:numRef>
              <c:f>'բազային+prediction'!$FC$5:$FC$19</c:f>
              <c:numCache>
                <c:formatCode>General</c:formatCode>
                <c:ptCount val="15"/>
                <c:pt idx="0">
                  <c:v>122</c:v>
                </c:pt>
                <c:pt idx="1">
                  <c:v>197</c:v>
                </c:pt>
                <c:pt idx="2">
                  <c:v>204</c:v>
                </c:pt>
                <c:pt idx="3">
                  <c:v>260</c:v>
                </c:pt>
                <c:pt idx="4">
                  <c:v>243</c:v>
                </c:pt>
                <c:pt idx="5">
                  <c:v>170</c:v>
                </c:pt>
                <c:pt idx="6">
                  <c:v>135</c:v>
                </c:pt>
                <c:pt idx="7">
                  <c:v>102</c:v>
                </c:pt>
                <c:pt idx="8">
                  <c:v>123</c:v>
                </c:pt>
                <c:pt idx="9">
                  <c:v>134</c:v>
                </c:pt>
                <c:pt idx="10">
                  <c:v>144</c:v>
                </c:pt>
                <c:pt idx="11">
                  <c:v>119</c:v>
                </c:pt>
                <c:pt idx="12">
                  <c:v>34</c:v>
                </c:pt>
                <c:pt idx="13">
                  <c:v>21</c:v>
                </c:pt>
                <c:pt idx="14">
                  <c:v>9</c:v>
                </c:pt>
              </c:numCache>
            </c:numRef>
          </c:val>
          <c:extLst>
            <c:ext xmlns:c16="http://schemas.microsoft.com/office/drawing/2014/chart" uri="{C3380CC4-5D6E-409C-BE32-E72D297353CC}">
              <c16:uniqueId val="{00000001-7372-4108-9EED-562BF1F919F7}"/>
            </c:ext>
          </c:extLst>
        </c:ser>
        <c:dLbls>
          <c:showLegendKey val="0"/>
          <c:showVal val="0"/>
          <c:showCatName val="0"/>
          <c:showSerName val="0"/>
          <c:showPercent val="0"/>
          <c:showBubbleSize val="0"/>
        </c:dLbls>
        <c:gapWidth val="100"/>
        <c:overlap val="-27"/>
        <c:axId val="538843408"/>
        <c:axId val="538841112"/>
      </c:barChart>
      <c:catAx>
        <c:axId val="538843408"/>
        <c:scaling>
          <c:orientation val="minMax"/>
        </c:scaling>
        <c:delete val="1"/>
        <c:axPos val="b"/>
        <c:numFmt formatCode="General" sourceLinked="1"/>
        <c:majorTickMark val="none"/>
        <c:minorTickMark val="none"/>
        <c:tickLblPos val="nextTo"/>
        <c:crossAx val="538841112"/>
        <c:crosses val="autoZero"/>
        <c:auto val="1"/>
        <c:lblAlgn val="ctr"/>
        <c:lblOffset val="100"/>
        <c:noMultiLvlLbl val="0"/>
      </c:catAx>
      <c:valAx>
        <c:axId val="538841112"/>
        <c:scaling>
          <c:orientation val="minMax"/>
          <c:max val="300"/>
          <c:min val="0"/>
        </c:scaling>
        <c:delete val="1"/>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crossAx val="5388434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bg2">
          <a:lumMod val="75000"/>
        </a:schemeClr>
      </a:solidFill>
      <a:round/>
    </a:ln>
    <a:effectLst>
      <a:outerShdw blurRad="50800" dist="38100" dir="8100000" algn="tr" rotWithShape="0">
        <a:prstClr val="black">
          <a:alpha val="40000"/>
        </a:prstClr>
      </a:outerShdw>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
          <c:y val="0"/>
          <c:w val="1"/>
          <c:h val="0.98599606374759763"/>
        </c:manualLayout>
      </c:layout>
      <c:pieChart>
        <c:varyColors val="1"/>
        <c:ser>
          <c:idx val="0"/>
          <c:order val="0"/>
          <c:dPt>
            <c:idx val="0"/>
            <c:bubble3D val="0"/>
            <c:spPr>
              <a:solidFill>
                <a:schemeClr val="accent1">
                  <a:lumMod val="60000"/>
                  <a:lumOff val="40000"/>
                </a:schemeClr>
              </a:solidFill>
              <a:ln w="19050">
                <a:solidFill>
                  <a:schemeClr val="lt1"/>
                </a:solidFill>
              </a:ln>
              <a:effectLst/>
            </c:spPr>
            <c:extLst>
              <c:ext xmlns:c16="http://schemas.microsoft.com/office/drawing/2014/chart" uri="{C3380CC4-5D6E-409C-BE32-E72D297353CC}">
                <c16:uniqueId val="{00000001-A94B-44B3-80A5-D5F0CDA77C00}"/>
              </c:ext>
            </c:extLst>
          </c:dPt>
          <c:dPt>
            <c:idx val="1"/>
            <c:bubble3D val="0"/>
            <c:spPr>
              <a:solidFill>
                <a:schemeClr val="accent4">
                  <a:lumMod val="60000"/>
                  <a:lumOff val="40000"/>
                </a:schemeClr>
              </a:solidFill>
              <a:ln w="19050">
                <a:solidFill>
                  <a:schemeClr val="lt1"/>
                </a:solidFill>
              </a:ln>
              <a:effectLst/>
            </c:spPr>
            <c:extLst>
              <c:ext xmlns:c16="http://schemas.microsoft.com/office/drawing/2014/chart" uri="{C3380CC4-5D6E-409C-BE32-E72D297353CC}">
                <c16:uniqueId val="{00000003-A94B-44B3-80A5-D5F0CDA77C00}"/>
              </c:ext>
            </c:extLst>
          </c:dPt>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A94B-44B3-80A5-D5F0CDA77C00}"/>
                </c:ext>
              </c:extLst>
            </c:dLbl>
            <c:dLbl>
              <c:idx val="1"/>
              <c:layout>
                <c:manualLayout>
                  <c:x val="-0.11963299986812111"/>
                  <c:y val="-0.10266270556418114"/>
                </c:manualLayout>
              </c:layout>
              <c:showLegendKey val="0"/>
              <c:showVal val="1"/>
              <c:showCatName val="0"/>
              <c:showSerName val="0"/>
              <c:showPercent val="0"/>
              <c:showBubbleSize val="0"/>
              <c:extLst>
                <c:ext xmlns:c15="http://schemas.microsoft.com/office/drawing/2012/chart" uri="{CE6537A1-D6FC-4f65-9D91-7224C49458BB}">
                  <c15:layout>
                    <c:manualLayout>
                      <c:w val="0.49722465570187835"/>
                      <c:h val="0.37714263088556077"/>
                    </c:manualLayout>
                  </c15:layout>
                </c:ext>
                <c:ext xmlns:c16="http://schemas.microsoft.com/office/drawing/2014/chart" uri="{C3380CC4-5D6E-409C-BE32-E72D297353CC}">
                  <c16:uniqueId val="{00000003-A94B-44B3-80A5-D5F0CDA77C0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s>
          <c:val>
            <c:numRef>
              <c:f>'բազային+prediction'!$FB$21:$FC$21</c:f>
              <c:numCache>
                <c:formatCode>0.0%</c:formatCode>
                <c:ptCount val="2"/>
                <c:pt idx="0">
                  <c:v>0.46370646104759372</c:v>
                </c:pt>
                <c:pt idx="1">
                  <c:v>0.53629353895240628</c:v>
                </c:pt>
              </c:numCache>
            </c:numRef>
          </c:val>
          <c:extLst>
            <c:ext xmlns:c16="http://schemas.microsoft.com/office/drawing/2014/chart" uri="{C3380CC4-5D6E-409C-BE32-E72D297353CC}">
              <c16:uniqueId val="{00000004-A94B-44B3-80A5-D5F0CDA77C00}"/>
            </c:ext>
          </c:extLst>
        </c:ser>
        <c:dLbls>
          <c:showLegendKey val="0"/>
          <c:showVal val="0"/>
          <c:showCatName val="0"/>
          <c:showSerName val="0"/>
          <c:showPercent val="0"/>
          <c:showBubbleSize val="0"/>
          <c:showLeaderLines val="1"/>
        </c:dLbls>
        <c:firstSliceAng val="0"/>
      </c:pie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9202614379084965E-2"/>
          <c:y val="4.4989760562368787E-2"/>
          <c:w val="0.91797058823529409"/>
          <c:h val="0.88057972059973899"/>
        </c:manualLayout>
      </c:layout>
      <c:barChart>
        <c:barDir val="col"/>
        <c:grouping val="stacked"/>
        <c:varyColors val="0"/>
        <c:ser>
          <c:idx val="0"/>
          <c:order val="0"/>
          <c:tx>
            <c:strRef>
              <c:f>'բազային+prediction'!$EN$4</c:f>
              <c:strCache>
                <c:ptCount val="1"/>
                <c:pt idx="0">
                  <c:v>Արական</c:v>
                </c:pt>
              </c:strCache>
            </c:strRef>
          </c:tx>
          <c:spPr>
            <a:solidFill>
              <a:schemeClr val="accent1">
                <a:lumMod val="60000"/>
                <a:lumOff val="40000"/>
              </a:schemeClr>
            </a:solidFill>
            <a:ln>
              <a:noFill/>
            </a:ln>
            <a:effectLst/>
          </c:spPr>
          <c:invertIfNegative val="0"/>
          <c:dLbls>
            <c:dLbl>
              <c:idx val="13"/>
              <c:delete val="1"/>
              <c:extLst>
                <c:ext xmlns:c15="http://schemas.microsoft.com/office/drawing/2012/chart" uri="{CE6537A1-D6FC-4f65-9D91-7224C49458BB}"/>
                <c:ext xmlns:c16="http://schemas.microsoft.com/office/drawing/2014/chart" uri="{C3380CC4-5D6E-409C-BE32-E72D297353CC}">
                  <c16:uniqueId val="{00000000-951A-48FC-A816-672CAA199E6C}"/>
                </c:ext>
              </c:extLst>
            </c:dLbl>
            <c:dLbl>
              <c:idx val="14"/>
              <c:delete val="1"/>
              <c:extLst>
                <c:ext xmlns:c15="http://schemas.microsoft.com/office/drawing/2012/chart" uri="{CE6537A1-D6FC-4f65-9D91-7224C49458BB}"/>
                <c:ext xmlns:c16="http://schemas.microsoft.com/office/drawing/2014/chart" uri="{C3380CC4-5D6E-409C-BE32-E72D297353CC}">
                  <c16:uniqueId val="{00000001-951A-48FC-A816-672CAA199E6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'բազային+prediction'!$CD$5:$CD$19</c:f>
              <c:strCache>
                <c:ptCount val="15"/>
                <c:pt idx="0">
                  <c:v>≤ 24</c:v>
                </c:pt>
                <c:pt idx="1">
                  <c:v>25-29</c:v>
                </c:pt>
                <c:pt idx="2">
                  <c:v>30-34</c:v>
                </c:pt>
                <c:pt idx="3">
                  <c:v>35-39</c:v>
                </c:pt>
                <c:pt idx="4">
                  <c:v>40-44</c:v>
                </c:pt>
                <c:pt idx="5">
                  <c:v>45-49</c:v>
                </c:pt>
                <c:pt idx="6">
                  <c:v>50-54</c:v>
                </c:pt>
                <c:pt idx="7">
                  <c:v>55-59</c:v>
                </c:pt>
                <c:pt idx="8">
                  <c:v>60-64</c:v>
                </c:pt>
                <c:pt idx="9">
                  <c:v>65-69</c:v>
                </c:pt>
                <c:pt idx="10">
                  <c:v>70-74</c:v>
                </c:pt>
                <c:pt idx="11">
                  <c:v>75-79</c:v>
                </c:pt>
                <c:pt idx="12">
                  <c:v>80-84</c:v>
                </c:pt>
                <c:pt idx="13">
                  <c:v>85-89</c:v>
                </c:pt>
                <c:pt idx="14">
                  <c:v>≥ 90</c:v>
                </c:pt>
              </c:strCache>
            </c:strRef>
          </c:cat>
          <c:val>
            <c:numRef>
              <c:f>'բազային+prediction'!$FB$5:$FB$19</c:f>
              <c:numCache>
                <c:formatCode>General</c:formatCode>
                <c:ptCount val="15"/>
                <c:pt idx="0">
                  <c:v>79</c:v>
                </c:pt>
                <c:pt idx="1">
                  <c:v>157</c:v>
                </c:pt>
                <c:pt idx="2">
                  <c:v>156</c:v>
                </c:pt>
                <c:pt idx="3">
                  <c:v>201</c:v>
                </c:pt>
                <c:pt idx="4">
                  <c:v>148</c:v>
                </c:pt>
                <c:pt idx="5">
                  <c:v>115</c:v>
                </c:pt>
                <c:pt idx="6">
                  <c:v>75</c:v>
                </c:pt>
                <c:pt idx="7">
                  <c:v>51</c:v>
                </c:pt>
                <c:pt idx="8">
                  <c:v>112</c:v>
                </c:pt>
                <c:pt idx="9">
                  <c:v>152</c:v>
                </c:pt>
                <c:pt idx="10">
                  <c:v>208</c:v>
                </c:pt>
                <c:pt idx="11">
                  <c:v>174</c:v>
                </c:pt>
                <c:pt idx="12">
                  <c:v>64</c:v>
                </c:pt>
                <c:pt idx="13">
                  <c:v>42</c:v>
                </c:pt>
                <c:pt idx="14">
                  <c:v>10</c:v>
                </c:pt>
              </c:numCache>
            </c:numRef>
          </c:val>
          <c:extLst>
            <c:ext xmlns:c16="http://schemas.microsoft.com/office/drawing/2014/chart" uri="{C3380CC4-5D6E-409C-BE32-E72D297353CC}">
              <c16:uniqueId val="{00000002-951A-48FC-A816-672CAA199E6C}"/>
            </c:ext>
          </c:extLst>
        </c:ser>
        <c:ser>
          <c:idx val="1"/>
          <c:order val="1"/>
          <c:tx>
            <c:strRef>
              <c:f>'բազային+prediction'!$EO$4</c:f>
              <c:strCache>
                <c:ptCount val="1"/>
                <c:pt idx="0">
                  <c:v>Իգական</c:v>
                </c:pt>
              </c:strCache>
            </c:strRef>
          </c:tx>
          <c:spPr>
            <a:solidFill>
              <a:schemeClr val="accent4">
                <a:lumMod val="60000"/>
                <a:lumOff val="40000"/>
              </a:schemeClr>
            </a:solidFill>
            <a:ln>
              <a:noFill/>
            </a:ln>
            <a:effectLst/>
          </c:spPr>
          <c:invertIfNegative val="0"/>
          <c:dLbls>
            <c:dLbl>
              <c:idx val="3"/>
              <c:layout>
                <c:manualLayout>
                  <c:x val="2.1645021645021645E-3"/>
                  <c:y val="-7.142857142857142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951A-48FC-A816-672CAA199E6C}"/>
                </c:ext>
              </c:extLst>
            </c:dLbl>
            <c:dLbl>
              <c:idx val="5"/>
              <c:layout>
                <c:manualLayout>
                  <c:x val="0"/>
                  <c:y val="-2.857142857142857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951A-48FC-A816-672CAA199E6C}"/>
                </c:ext>
              </c:extLst>
            </c:dLbl>
            <c:dLbl>
              <c:idx val="10"/>
              <c:layout>
                <c:manualLayout>
                  <c:x val="-1.8467220683287165E-3"/>
                  <c:y val="4.285714285714285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951A-48FC-A816-672CAA199E6C}"/>
                </c:ext>
              </c:extLst>
            </c:dLbl>
            <c:dLbl>
              <c:idx val="13"/>
              <c:delete val="1"/>
              <c:extLst>
                <c:ext xmlns:c15="http://schemas.microsoft.com/office/drawing/2012/chart" uri="{CE6537A1-D6FC-4f65-9D91-7224C49458BB}"/>
                <c:ext xmlns:c16="http://schemas.microsoft.com/office/drawing/2014/chart" uri="{C3380CC4-5D6E-409C-BE32-E72D297353CC}">
                  <c16:uniqueId val="{00000006-951A-48FC-A816-672CAA199E6C}"/>
                </c:ext>
              </c:extLst>
            </c:dLbl>
            <c:dLbl>
              <c:idx val="14"/>
              <c:delete val="1"/>
              <c:extLst>
                <c:ext xmlns:c15="http://schemas.microsoft.com/office/drawing/2012/chart" uri="{CE6537A1-D6FC-4f65-9D91-7224C49458BB}"/>
                <c:ext xmlns:c16="http://schemas.microsoft.com/office/drawing/2014/chart" uri="{C3380CC4-5D6E-409C-BE32-E72D297353CC}">
                  <c16:uniqueId val="{00000007-951A-48FC-A816-672CAA199E6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'բազային+prediction'!$CD$5:$CD$19</c:f>
              <c:strCache>
                <c:ptCount val="15"/>
                <c:pt idx="0">
                  <c:v>≤ 24</c:v>
                </c:pt>
                <c:pt idx="1">
                  <c:v>25-29</c:v>
                </c:pt>
                <c:pt idx="2">
                  <c:v>30-34</c:v>
                </c:pt>
                <c:pt idx="3">
                  <c:v>35-39</c:v>
                </c:pt>
                <c:pt idx="4">
                  <c:v>40-44</c:v>
                </c:pt>
                <c:pt idx="5">
                  <c:v>45-49</c:v>
                </c:pt>
                <c:pt idx="6">
                  <c:v>50-54</c:v>
                </c:pt>
                <c:pt idx="7">
                  <c:v>55-59</c:v>
                </c:pt>
                <c:pt idx="8">
                  <c:v>60-64</c:v>
                </c:pt>
                <c:pt idx="9">
                  <c:v>65-69</c:v>
                </c:pt>
                <c:pt idx="10">
                  <c:v>70-74</c:v>
                </c:pt>
                <c:pt idx="11">
                  <c:v>75-79</c:v>
                </c:pt>
                <c:pt idx="12">
                  <c:v>80-84</c:v>
                </c:pt>
                <c:pt idx="13">
                  <c:v>85-89</c:v>
                </c:pt>
                <c:pt idx="14">
                  <c:v>≥ 90</c:v>
                </c:pt>
              </c:strCache>
            </c:strRef>
          </c:cat>
          <c:val>
            <c:numRef>
              <c:f>'բազային+prediction'!$FC$5:$FC$19</c:f>
              <c:numCache>
                <c:formatCode>General</c:formatCode>
                <c:ptCount val="15"/>
                <c:pt idx="0">
                  <c:v>122</c:v>
                </c:pt>
                <c:pt idx="1">
                  <c:v>197</c:v>
                </c:pt>
                <c:pt idx="2">
                  <c:v>204</c:v>
                </c:pt>
                <c:pt idx="3">
                  <c:v>260</c:v>
                </c:pt>
                <c:pt idx="4">
                  <c:v>243</c:v>
                </c:pt>
                <c:pt idx="5">
                  <c:v>170</c:v>
                </c:pt>
                <c:pt idx="6">
                  <c:v>135</c:v>
                </c:pt>
                <c:pt idx="7">
                  <c:v>102</c:v>
                </c:pt>
                <c:pt idx="8">
                  <c:v>123</c:v>
                </c:pt>
                <c:pt idx="9">
                  <c:v>134</c:v>
                </c:pt>
                <c:pt idx="10">
                  <c:v>144</c:v>
                </c:pt>
                <c:pt idx="11">
                  <c:v>119</c:v>
                </c:pt>
                <c:pt idx="12">
                  <c:v>34</c:v>
                </c:pt>
                <c:pt idx="13">
                  <c:v>21</c:v>
                </c:pt>
                <c:pt idx="14">
                  <c:v>9</c:v>
                </c:pt>
              </c:numCache>
            </c:numRef>
          </c:val>
          <c:extLst>
            <c:ext xmlns:c16="http://schemas.microsoft.com/office/drawing/2014/chart" uri="{C3380CC4-5D6E-409C-BE32-E72D297353CC}">
              <c16:uniqueId val="{00000008-951A-48FC-A816-672CAA199E6C}"/>
            </c:ext>
          </c:extLst>
        </c:ser>
        <c:dLbls>
          <c:showLegendKey val="0"/>
          <c:showVal val="0"/>
          <c:showCatName val="0"/>
          <c:showSerName val="0"/>
          <c:showPercent val="0"/>
          <c:showBubbleSize val="0"/>
        </c:dLbls>
        <c:gapWidth val="50"/>
        <c:overlap val="100"/>
        <c:axId val="469913288"/>
        <c:axId val="469904760"/>
      </c:barChart>
      <c:lineChart>
        <c:grouping val="standard"/>
        <c:varyColors val="0"/>
        <c:ser>
          <c:idx val="2"/>
          <c:order val="2"/>
          <c:tx>
            <c:strRef>
              <c:f>'բազային+prediction'!$EP$4</c:f>
              <c:strCache>
                <c:ptCount val="1"/>
                <c:pt idx="0">
                  <c:v>Ընդհանուր</c:v>
                </c:pt>
              </c:strCache>
            </c:strRef>
          </c:tx>
          <c:spPr>
            <a:ln w="12700" cap="rnd">
              <a:solidFill>
                <a:schemeClr val="accent5"/>
              </a:solidFill>
              <a:round/>
            </a:ln>
            <a:effectLst/>
          </c:spPr>
          <c:marker>
            <c:symbol val="triangle"/>
            <c:size val="5"/>
            <c:spPr>
              <a:solidFill>
                <a:schemeClr val="accent1">
                  <a:lumMod val="50000"/>
                </a:schemeClr>
              </a:solidFill>
              <a:ln w="9525">
                <a:noFill/>
              </a:ln>
              <a:effectLst/>
            </c:spPr>
          </c:marker>
          <c:dLbls>
            <c:dLbl>
              <c:idx val="2"/>
              <c:layout>
                <c:manualLayout>
                  <c:x val="-3.3203463203463242E-2"/>
                  <c:y val="-9.282152230971128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951A-48FC-A816-672CAA199E6C}"/>
                </c:ext>
              </c:extLst>
            </c:dLbl>
            <c:dLbl>
              <c:idx val="12"/>
              <c:layout>
                <c:manualLayout>
                  <c:x val="-2.4118190212373037E-2"/>
                  <c:y val="-7.853580802399699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951A-48FC-A816-672CAA199E6C}"/>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'բազային+prediction'!$CD$5:$CD$19</c:f>
              <c:strCache>
                <c:ptCount val="15"/>
                <c:pt idx="0">
                  <c:v>≤ 24</c:v>
                </c:pt>
                <c:pt idx="1">
                  <c:v>25-29</c:v>
                </c:pt>
                <c:pt idx="2">
                  <c:v>30-34</c:v>
                </c:pt>
                <c:pt idx="3">
                  <c:v>35-39</c:v>
                </c:pt>
                <c:pt idx="4">
                  <c:v>40-44</c:v>
                </c:pt>
                <c:pt idx="5">
                  <c:v>45-49</c:v>
                </c:pt>
                <c:pt idx="6">
                  <c:v>50-54</c:v>
                </c:pt>
                <c:pt idx="7">
                  <c:v>55-59</c:v>
                </c:pt>
                <c:pt idx="8">
                  <c:v>60-64</c:v>
                </c:pt>
                <c:pt idx="9">
                  <c:v>65-69</c:v>
                </c:pt>
                <c:pt idx="10">
                  <c:v>70-74</c:v>
                </c:pt>
                <c:pt idx="11">
                  <c:v>75-79</c:v>
                </c:pt>
                <c:pt idx="12">
                  <c:v>80-84</c:v>
                </c:pt>
                <c:pt idx="13">
                  <c:v>85-89</c:v>
                </c:pt>
                <c:pt idx="14">
                  <c:v>≥ 90</c:v>
                </c:pt>
              </c:strCache>
            </c:strRef>
          </c:cat>
          <c:val>
            <c:numRef>
              <c:f>'բազային+prediction'!$FD$5:$FD$19</c:f>
              <c:numCache>
                <c:formatCode>General</c:formatCode>
                <c:ptCount val="15"/>
                <c:pt idx="0">
                  <c:v>201</c:v>
                </c:pt>
                <c:pt idx="1">
                  <c:v>354</c:v>
                </c:pt>
                <c:pt idx="2">
                  <c:v>360</c:v>
                </c:pt>
                <c:pt idx="3">
                  <c:v>461</c:v>
                </c:pt>
                <c:pt idx="4">
                  <c:v>391</c:v>
                </c:pt>
                <c:pt idx="5">
                  <c:v>285</c:v>
                </c:pt>
                <c:pt idx="6">
                  <c:v>210</c:v>
                </c:pt>
                <c:pt idx="7">
                  <c:v>153</c:v>
                </c:pt>
                <c:pt idx="8">
                  <c:v>235</c:v>
                </c:pt>
                <c:pt idx="9">
                  <c:v>286</c:v>
                </c:pt>
                <c:pt idx="10">
                  <c:v>352</c:v>
                </c:pt>
                <c:pt idx="11">
                  <c:v>293</c:v>
                </c:pt>
                <c:pt idx="12">
                  <c:v>98</c:v>
                </c:pt>
                <c:pt idx="13">
                  <c:v>63</c:v>
                </c:pt>
                <c:pt idx="14">
                  <c:v>19</c:v>
                </c:pt>
              </c:numCache>
            </c:numRef>
          </c:val>
          <c:smooth val="0"/>
          <c:extLst>
            <c:ext xmlns:c16="http://schemas.microsoft.com/office/drawing/2014/chart" uri="{C3380CC4-5D6E-409C-BE32-E72D297353CC}">
              <c16:uniqueId val="{0000000B-951A-48FC-A816-672CAA199E6C}"/>
            </c:ext>
          </c:extLst>
        </c:ser>
        <c:ser>
          <c:idx val="3"/>
          <c:order val="3"/>
          <c:tx>
            <c:strRef>
              <c:f>'բազային+prediction'!$AS$4</c:f>
              <c:strCache>
                <c:ptCount val="1"/>
                <c:pt idx="0">
                  <c:v>Ընդհանուր 2018</c:v>
                </c:pt>
              </c:strCache>
            </c:strRef>
          </c:tx>
          <c:spPr>
            <a:ln w="25400" cap="rnd">
              <a:noFill/>
              <a:round/>
            </a:ln>
            <a:effectLst/>
          </c:spPr>
          <c:marker>
            <c:symbol val="diamond"/>
            <c:size val="8"/>
            <c:spPr>
              <a:solidFill>
                <a:schemeClr val="tx1"/>
              </a:solidFill>
              <a:ln w="9525">
                <a:noFill/>
              </a:ln>
              <a:effectLst/>
            </c:spPr>
          </c:marker>
          <c:val>
            <c:numRef>
              <c:f>'բազային+prediction'!$AS$5:$AS$19</c:f>
              <c:numCache>
                <c:formatCode>General</c:formatCode>
                <c:ptCount val="15"/>
                <c:pt idx="0">
                  <c:v>81</c:v>
                </c:pt>
                <c:pt idx="1">
                  <c:v>364</c:v>
                </c:pt>
                <c:pt idx="2">
                  <c:v>407</c:v>
                </c:pt>
                <c:pt idx="3">
                  <c:v>338</c:v>
                </c:pt>
                <c:pt idx="4">
                  <c:v>246</c:v>
                </c:pt>
                <c:pt idx="5">
                  <c:v>187</c:v>
                </c:pt>
                <c:pt idx="6">
                  <c:v>178</c:v>
                </c:pt>
                <c:pt idx="7">
                  <c:v>275</c:v>
                </c:pt>
                <c:pt idx="8">
                  <c:v>347</c:v>
                </c:pt>
                <c:pt idx="9">
                  <c:v>407</c:v>
                </c:pt>
                <c:pt idx="10">
                  <c:v>293</c:v>
                </c:pt>
                <c:pt idx="11">
                  <c:v>194</c:v>
                </c:pt>
                <c:pt idx="12">
                  <c:v>129</c:v>
                </c:pt>
                <c:pt idx="13">
                  <c:v>33</c:v>
                </c:pt>
                <c:pt idx="14">
                  <c:v>9</c:v>
                </c:pt>
              </c:numCache>
            </c:numRef>
          </c:val>
          <c:smooth val="0"/>
          <c:extLst>
            <c:ext xmlns:c16="http://schemas.microsoft.com/office/drawing/2014/chart" uri="{C3380CC4-5D6E-409C-BE32-E72D297353CC}">
              <c16:uniqueId val="{0000000C-951A-48FC-A816-672CAA199E6C}"/>
            </c:ext>
          </c:extLst>
        </c:ser>
        <c:dLbls>
          <c:showLegendKey val="0"/>
          <c:showVal val="0"/>
          <c:showCatName val="0"/>
          <c:showSerName val="0"/>
          <c:showPercent val="0"/>
          <c:showBubbleSize val="0"/>
        </c:dLbls>
        <c:marker val="1"/>
        <c:smooth val="0"/>
        <c:axId val="469913288"/>
        <c:axId val="469904760"/>
      </c:lineChart>
      <c:catAx>
        <c:axId val="4699132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469904760"/>
        <c:crosses val="autoZero"/>
        <c:auto val="1"/>
        <c:lblAlgn val="ctr"/>
        <c:lblOffset val="100"/>
        <c:noMultiLvlLbl val="0"/>
      </c:catAx>
      <c:valAx>
        <c:axId val="469904760"/>
        <c:scaling>
          <c:orientation val="minMax"/>
          <c:max val="70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469913288"/>
        <c:crosses val="autoZero"/>
        <c:crossBetween val="between"/>
      </c:valAx>
      <c:spPr>
        <a:noFill/>
        <a:ln>
          <a:noFill/>
        </a:ln>
        <a:effectLst/>
      </c:spPr>
    </c:plotArea>
    <c:legend>
      <c:legendPos val="b"/>
      <c:layout>
        <c:manualLayout>
          <c:xMode val="edge"/>
          <c:yMode val="edge"/>
          <c:x val="5.6921405228758166E-2"/>
          <c:y val="7.2815898012748403E-2"/>
          <c:w val="0.37704364516762273"/>
          <c:h val="0.12321484814398201"/>
        </c:manualLayout>
      </c:layout>
      <c:overlay val="0"/>
      <c:spPr>
        <a:solidFill>
          <a:schemeClr val="bg1"/>
        </a:solid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rgbClr val="00B050"/>
            </a:solidFill>
            <a:ln>
              <a:noFill/>
            </a:ln>
            <a:effectLst/>
          </c:spPr>
          <c:invertIfNegative val="0"/>
          <c:dPt>
            <c:idx val="9"/>
            <c:invertIfNegative val="0"/>
            <c:bubble3D val="0"/>
            <c:spPr>
              <a:pattFill prst="zigZag">
                <a:fgClr>
                  <a:srgbClr val="00B050"/>
                </a:fgClr>
                <a:bgClr>
                  <a:schemeClr val="bg1"/>
                </a:bgClr>
              </a:pattFill>
              <a:ln>
                <a:noFill/>
              </a:ln>
              <a:effectLst/>
            </c:spPr>
            <c:extLst>
              <c:ext xmlns:c16="http://schemas.microsoft.com/office/drawing/2014/chart" uri="{C3380CC4-5D6E-409C-BE32-E72D297353CC}">
                <c16:uniqueId val="{00000001-2A8E-4150-8062-0C4831DB3337}"/>
              </c:ext>
            </c:extLst>
          </c:dPt>
          <c:dPt>
            <c:idx val="14"/>
            <c:invertIfNegative val="0"/>
            <c:bubble3D val="0"/>
            <c:spPr>
              <a:pattFill prst="zigZag">
                <a:fgClr>
                  <a:srgbClr val="00B050"/>
                </a:fgClr>
                <a:bgClr>
                  <a:schemeClr val="bg1"/>
                </a:bgClr>
              </a:pattFill>
              <a:ln>
                <a:noFill/>
              </a:ln>
              <a:effectLst/>
            </c:spPr>
            <c:extLst>
              <c:ext xmlns:c16="http://schemas.microsoft.com/office/drawing/2014/chart" uri="{C3380CC4-5D6E-409C-BE32-E72D297353CC}">
                <c16:uniqueId val="{00000003-2A8E-4150-8062-0C4831DB3337}"/>
              </c:ext>
            </c:extLst>
          </c:dPt>
          <c:cat>
            <c:numRef>
              <c:f>բոլորը!$AA$61:$AO$61</c:f>
              <c:numCache>
                <c:formatCode>General</c:formatCode>
                <c:ptCount val="15"/>
                <c:pt idx="0">
                  <c:v>2016</c:v>
                </c:pt>
                <c:pt idx="1">
                  <c:v>2017</c:v>
                </c:pt>
                <c:pt idx="2">
                  <c:v>2018</c:v>
                </c:pt>
                <c:pt idx="3">
                  <c:v>2019</c:v>
                </c:pt>
                <c:pt idx="4">
                  <c:v>2020</c:v>
                </c:pt>
                <c:pt idx="5">
                  <c:v>2021</c:v>
                </c:pt>
                <c:pt idx="6">
                  <c:v>2022</c:v>
                </c:pt>
                <c:pt idx="7">
                  <c:v>2023</c:v>
                </c:pt>
                <c:pt idx="8">
                  <c:v>2024</c:v>
                </c:pt>
                <c:pt idx="9">
                  <c:v>2025</c:v>
                </c:pt>
                <c:pt idx="10">
                  <c:v>2026</c:v>
                </c:pt>
                <c:pt idx="11">
                  <c:v>2027</c:v>
                </c:pt>
                <c:pt idx="12">
                  <c:v>2028</c:v>
                </c:pt>
                <c:pt idx="13">
                  <c:v>2029</c:v>
                </c:pt>
                <c:pt idx="14">
                  <c:v>2030</c:v>
                </c:pt>
              </c:numCache>
            </c:numRef>
          </c:cat>
          <c:val>
            <c:numRef>
              <c:f>բոլորը!$AA$77:$AO$77</c:f>
              <c:numCache>
                <c:formatCode>General</c:formatCode>
                <c:ptCount val="15"/>
                <c:pt idx="0">
                  <c:v>3782</c:v>
                </c:pt>
                <c:pt idx="1">
                  <c:v>4071</c:v>
                </c:pt>
                <c:pt idx="2">
                  <c:v>3951</c:v>
                </c:pt>
                <c:pt idx="3">
                  <c:v>3885</c:v>
                </c:pt>
                <c:pt idx="4">
                  <c:v>3815</c:v>
                </c:pt>
                <c:pt idx="5">
                  <c:v>3809</c:v>
                </c:pt>
                <c:pt idx="6">
                  <c:v>4103</c:v>
                </c:pt>
                <c:pt idx="7">
                  <c:v>4312</c:v>
                </c:pt>
                <c:pt idx="8">
                  <c:v>4227</c:v>
                </c:pt>
                <c:pt idx="9">
                  <c:v>5100</c:v>
                </c:pt>
                <c:pt idx="14">
                  <c:v>12000</c:v>
                </c:pt>
              </c:numCache>
            </c:numRef>
          </c:val>
          <c:extLst>
            <c:ext xmlns:c16="http://schemas.microsoft.com/office/drawing/2014/chart" uri="{C3380CC4-5D6E-409C-BE32-E72D297353CC}">
              <c16:uniqueId val="{00000004-2A8E-4150-8062-0C4831DB3337}"/>
            </c:ext>
          </c:extLst>
        </c:ser>
        <c:dLbls>
          <c:showLegendKey val="0"/>
          <c:showVal val="0"/>
          <c:showCatName val="0"/>
          <c:showSerName val="0"/>
          <c:showPercent val="0"/>
          <c:showBubbleSize val="0"/>
        </c:dLbls>
        <c:gapWidth val="120"/>
        <c:overlap val="-12"/>
        <c:axId val="516680736"/>
        <c:axId val="516682704"/>
      </c:barChart>
      <c:lineChart>
        <c:grouping val="stacked"/>
        <c:varyColors val="0"/>
        <c:ser>
          <c:idx val="1"/>
          <c:order val="1"/>
          <c:spPr>
            <a:ln w="15875" cap="rnd">
              <a:solidFill>
                <a:schemeClr val="accent2"/>
              </a:solidFill>
              <a:round/>
            </a:ln>
            <a:effectLst/>
          </c:spPr>
          <c:marker>
            <c:symbol val="circle"/>
            <c:size val="5"/>
            <c:spPr>
              <a:solidFill>
                <a:schemeClr val="accent2"/>
              </a:solidFill>
              <a:ln w="9525">
                <a:solidFill>
                  <a:schemeClr val="accent2"/>
                </a:solidFill>
              </a:ln>
              <a:effectLst/>
            </c:spPr>
          </c:marker>
          <c:dPt>
            <c:idx val="9"/>
            <c:marker>
              <c:symbol val="circle"/>
              <c:size val="5"/>
              <c:spPr>
                <a:solidFill>
                  <a:schemeClr val="accent2"/>
                </a:solidFill>
                <a:ln w="9525">
                  <a:solidFill>
                    <a:schemeClr val="accent2"/>
                  </a:solidFill>
                </a:ln>
                <a:effectLst/>
              </c:spPr>
            </c:marker>
            <c:bubble3D val="0"/>
            <c:spPr>
              <a:ln w="15875" cap="rnd">
                <a:solidFill>
                  <a:schemeClr val="accent2"/>
                </a:solidFill>
                <a:prstDash val="sysDot"/>
                <a:round/>
              </a:ln>
              <a:effectLst/>
            </c:spPr>
            <c:extLst>
              <c:ext xmlns:c16="http://schemas.microsoft.com/office/drawing/2014/chart" uri="{C3380CC4-5D6E-409C-BE32-E72D297353CC}">
                <c16:uniqueId val="{00000006-2A8E-4150-8062-0C4831DB3337}"/>
              </c:ext>
            </c:extLst>
          </c:dPt>
          <c:dPt>
            <c:idx val="10"/>
            <c:marker>
              <c:symbol val="none"/>
            </c:marker>
            <c:bubble3D val="0"/>
            <c:spPr>
              <a:ln w="15875" cap="rnd">
                <a:solidFill>
                  <a:schemeClr val="accent2"/>
                </a:solidFill>
                <a:prstDash val="sysDot"/>
                <a:round/>
              </a:ln>
              <a:effectLst/>
            </c:spPr>
            <c:extLst>
              <c:ext xmlns:c16="http://schemas.microsoft.com/office/drawing/2014/chart" uri="{C3380CC4-5D6E-409C-BE32-E72D297353CC}">
                <c16:uniqueId val="{00000008-2A8E-4150-8062-0C4831DB3337}"/>
              </c:ext>
            </c:extLst>
          </c:dPt>
          <c:dPt>
            <c:idx val="11"/>
            <c:marker>
              <c:symbol val="none"/>
            </c:marker>
            <c:bubble3D val="0"/>
            <c:spPr>
              <a:ln w="15875" cap="rnd">
                <a:solidFill>
                  <a:schemeClr val="accent2"/>
                </a:solidFill>
                <a:prstDash val="sysDot"/>
                <a:round/>
              </a:ln>
              <a:effectLst/>
            </c:spPr>
            <c:extLst>
              <c:ext xmlns:c16="http://schemas.microsoft.com/office/drawing/2014/chart" uri="{C3380CC4-5D6E-409C-BE32-E72D297353CC}">
                <c16:uniqueId val="{0000000A-2A8E-4150-8062-0C4831DB3337}"/>
              </c:ext>
            </c:extLst>
          </c:dPt>
          <c:dPt>
            <c:idx val="12"/>
            <c:marker>
              <c:symbol val="none"/>
            </c:marker>
            <c:bubble3D val="0"/>
            <c:spPr>
              <a:ln w="15875" cap="rnd">
                <a:solidFill>
                  <a:schemeClr val="accent2"/>
                </a:solidFill>
                <a:prstDash val="sysDot"/>
                <a:round/>
              </a:ln>
              <a:effectLst/>
            </c:spPr>
            <c:extLst>
              <c:ext xmlns:c16="http://schemas.microsoft.com/office/drawing/2014/chart" uri="{C3380CC4-5D6E-409C-BE32-E72D297353CC}">
                <c16:uniqueId val="{0000000C-2A8E-4150-8062-0C4831DB3337}"/>
              </c:ext>
            </c:extLst>
          </c:dPt>
          <c:dPt>
            <c:idx val="13"/>
            <c:marker>
              <c:symbol val="none"/>
            </c:marker>
            <c:bubble3D val="0"/>
            <c:spPr>
              <a:ln w="15875" cap="rnd">
                <a:solidFill>
                  <a:schemeClr val="accent2"/>
                </a:solidFill>
                <a:prstDash val="sysDot"/>
                <a:round/>
              </a:ln>
              <a:effectLst/>
            </c:spPr>
            <c:extLst>
              <c:ext xmlns:c16="http://schemas.microsoft.com/office/drawing/2014/chart" uri="{C3380CC4-5D6E-409C-BE32-E72D297353CC}">
                <c16:uniqueId val="{0000000E-2A8E-4150-8062-0C4831DB3337}"/>
              </c:ext>
            </c:extLst>
          </c:dPt>
          <c:dPt>
            <c:idx val="14"/>
            <c:marker>
              <c:symbol val="circle"/>
              <c:size val="5"/>
              <c:spPr>
                <a:solidFill>
                  <a:schemeClr val="accent2"/>
                </a:solidFill>
                <a:ln w="9525">
                  <a:solidFill>
                    <a:schemeClr val="accent2"/>
                  </a:solidFill>
                </a:ln>
                <a:effectLst/>
              </c:spPr>
            </c:marker>
            <c:bubble3D val="0"/>
            <c:spPr>
              <a:ln w="15875" cap="rnd">
                <a:solidFill>
                  <a:schemeClr val="accent2"/>
                </a:solidFill>
                <a:prstDash val="sysDot"/>
                <a:round/>
              </a:ln>
              <a:effectLst/>
            </c:spPr>
            <c:extLst>
              <c:ext xmlns:c16="http://schemas.microsoft.com/office/drawing/2014/chart" uri="{C3380CC4-5D6E-409C-BE32-E72D297353CC}">
                <c16:uniqueId val="{00000010-2A8E-4150-8062-0C4831DB3337}"/>
              </c:ext>
            </c:extLst>
          </c:dPt>
          <c:dLbls>
            <c:dLbl>
              <c:idx val="9"/>
              <c:layout>
                <c:manualLayout>
                  <c:x val="-6.2833333333333338E-2"/>
                  <c:y val="-6.70949985418489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2A8E-4150-8062-0C4831DB3337}"/>
                </c:ext>
              </c:extLst>
            </c:dLbl>
            <c:dLbl>
              <c:idx val="10"/>
              <c:delete val="1"/>
              <c:extLst>
                <c:ext xmlns:c15="http://schemas.microsoft.com/office/drawing/2012/chart" uri="{CE6537A1-D6FC-4f65-9D91-7224C49458BB}"/>
                <c:ext xmlns:c16="http://schemas.microsoft.com/office/drawing/2014/chart" uri="{C3380CC4-5D6E-409C-BE32-E72D297353CC}">
                  <c16:uniqueId val="{00000008-2A8E-4150-8062-0C4831DB3337}"/>
                </c:ext>
              </c:extLst>
            </c:dLbl>
            <c:dLbl>
              <c:idx val="11"/>
              <c:delete val="1"/>
              <c:extLst>
                <c:ext xmlns:c15="http://schemas.microsoft.com/office/drawing/2012/chart" uri="{CE6537A1-D6FC-4f65-9D91-7224C49458BB}"/>
                <c:ext xmlns:c16="http://schemas.microsoft.com/office/drawing/2014/chart" uri="{C3380CC4-5D6E-409C-BE32-E72D297353CC}">
                  <c16:uniqueId val="{0000000A-2A8E-4150-8062-0C4831DB3337}"/>
                </c:ext>
              </c:extLst>
            </c:dLbl>
            <c:dLbl>
              <c:idx val="12"/>
              <c:delete val="1"/>
              <c:extLst>
                <c:ext xmlns:c15="http://schemas.microsoft.com/office/drawing/2012/chart" uri="{CE6537A1-D6FC-4f65-9D91-7224C49458BB}"/>
                <c:ext xmlns:c16="http://schemas.microsoft.com/office/drawing/2014/chart" uri="{C3380CC4-5D6E-409C-BE32-E72D297353CC}">
                  <c16:uniqueId val="{0000000C-2A8E-4150-8062-0C4831DB3337}"/>
                </c:ext>
              </c:extLst>
            </c:dLbl>
            <c:dLbl>
              <c:idx val="13"/>
              <c:delete val="1"/>
              <c:extLst>
                <c:ext xmlns:c15="http://schemas.microsoft.com/office/drawing/2012/chart" uri="{CE6537A1-D6FC-4f65-9D91-7224C49458BB}"/>
                <c:ext xmlns:c16="http://schemas.microsoft.com/office/drawing/2014/chart" uri="{C3380CC4-5D6E-409C-BE32-E72D297353CC}">
                  <c16:uniqueId val="{0000000E-2A8E-4150-8062-0C4831DB3337}"/>
                </c:ext>
              </c:extLst>
            </c:dLbl>
            <c:spPr>
              <a:noFill/>
              <a:ln>
                <a:noFill/>
              </a:ln>
              <a:effectLst/>
            </c:spPr>
            <c:txPr>
              <a:bodyPr rot="0" spcFirstLastPara="1" vertOverflow="ellipsis" vert="horz" wrap="square" anchor="ctr" anchorCtr="1"/>
              <a:lstStyle/>
              <a:p>
                <a:pPr>
                  <a:defRPr sz="1000" b="1" i="0" u="none" strike="noStrike" kern="1200" baseline="0">
                    <a:solidFill>
                      <a:sysClr val="windowText" lastClr="000000"/>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բոլորը!$AA$78:$AO$78</c:f>
              <c:numCache>
                <c:formatCode>General</c:formatCode>
                <c:ptCount val="15"/>
                <c:pt idx="0">
                  <c:v>3782</c:v>
                </c:pt>
                <c:pt idx="1">
                  <c:v>4071</c:v>
                </c:pt>
                <c:pt idx="2">
                  <c:v>3951</c:v>
                </c:pt>
                <c:pt idx="3">
                  <c:v>3885</c:v>
                </c:pt>
                <c:pt idx="4">
                  <c:v>3815</c:v>
                </c:pt>
                <c:pt idx="5">
                  <c:v>3809</c:v>
                </c:pt>
                <c:pt idx="6">
                  <c:v>4103</c:v>
                </c:pt>
                <c:pt idx="7">
                  <c:v>4312</c:v>
                </c:pt>
                <c:pt idx="8">
                  <c:v>4277</c:v>
                </c:pt>
                <c:pt idx="9">
                  <c:v>5100</c:v>
                </c:pt>
                <c:pt idx="10">
                  <c:v>6480</c:v>
                </c:pt>
                <c:pt idx="11">
                  <c:v>7860</c:v>
                </c:pt>
                <c:pt idx="12">
                  <c:v>9240</c:v>
                </c:pt>
                <c:pt idx="13">
                  <c:v>10620</c:v>
                </c:pt>
                <c:pt idx="14">
                  <c:v>12000</c:v>
                </c:pt>
              </c:numCache>
            </c:numRef>
          </c:val>
          <c:smooth val="0"/>
          <c:extLst>
            <c:ext xmlns:c16="http://schemas.microsoft.com/office/drawing/2014/chart" uri="{C3380CC4-5D6E-409C-BE32-E72D297353CC}">
              <c16:uniqueId val="{00000011-2A8E-4150-8062-0C4831DB3337}"/>
            </c:ext>
          </c:extLst>
        </c:ser>
        <c:dLbls>
          <c:showLegendKey val="0"/>
          <c:showVal val="0"/>
          <c:showCatName val="0"/>
          <c:showSerName val="0"/>
          <c:showPercent val="0"/>
          <c:showBubbleSize val="0"/>
        </c:dLbls>
        <c:marker val="1"/>
        <c:smooth val="0"/>
        <c:axId val="516680736"/>
        <c:axId val="516682704"/>
      </c:lineChart>
      <c:catAx>
        <c:axId val="5166807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en-US"/>
          </a:p>
        </c:txPr>
        <c:crossAx val="516682704"/>
        <c:crosses val="autoZero"/>
        <c:auto val="1"/>
        <c:lblAlgn val="ctr"/>
        <c:lblOffset val="100"/>
        <c:noMultiLvlLbl val="0"/>
      </c:catAx>
      <c:valAx>
        <c:axId val="516682704"/>
        <c:scaling>
          <c:orientation val="minMax"/>
          <c:min val="200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516680736"/>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9.2081452150099899E-2"/>
          <c:y val="2.7235042707549253E-2"/>
          <c:w val="0.8040874102583081"/>
          <c:h val="0.93191239323112685"/>
        </c:manualLayout>
      </c:layout>
      <c:pieChart>
        <c:varyColors val="1"/>
        <c:ser>
          <c:idx val="0"/>
          <c:order val="0"/>
          <c:dPt>
            <c:idx val="0"/>
            <c:bubble3D val="0"/>
            <c:spPr>
              <a:solidFill>
                <a:schemeClr val="accent1">
                  <a:lumMod val="60000"/>
                  <a:lumOff val="40000"/>
                </a:schemeClr>
              </a:solidFill>
              <a:ln w="19050">
                <a:solidFill>
                  <a:schemeClr val="lt1"/>
                </a:solidFill>
              </a:ln>
              <a:effectLst/>
            </c:spPr>
            <c:extLst>
              <c:ext xmlns:c16="http://schemas.microsoft.com/office/drawing/2014/chart" uri="{C3380CC4-5D6E-409C-BE32-E72D297353CC}">
                <c16:uniqueId val="{00000001-9CCC-4C25-8165-CF3204411122}"/>
              </c:ext>
            </c:extLst>
          </c:dPt>
          <c:dPt>
            <c:idx val="1"/>
            <c:bubble3D val="0"/>
            <c:spPr>
              <a:solidFill>
                <a:schemeClr val="accent4">
                  <a:lumMod val="60000"/>
                  <a:lumOff val="40000"/>
                </a:schemeClr>
              </a:solidFill>
              <a:ln w="19050">
                <a:solidFill>
                  <a:schemeClr val="lt1"/>
                </a:solidFill>
              </a:ln>
              <a:effectLst/>
            </c:spPr>
            <c:extLst>
              <c:ext xmlns:c16="http://schemas.microsoft.com/office/drawing/2014/chart" uri="{C3380CC4-5D6E-409C-BE32-E72D297353CC}">
                <c16:uniqueId val="{00000003-9CCC-4C25-8165-CF320441112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val>
            <c:numRef>
              <c:f>Ղեկավարներ_raw!$K$21:$L$21</c:f>
              <c:numCache>
                <c:formatCode>0%</c:formatCode>
                <c:ptCount val="2"/>
                <c:pt idx="0">
                  <c:v>0.7036199095022625</c:v>
                </c:pt>
                <c:pt idx="1">
                  <c:v>0.29638009049773756</c:v>
                </c:pt>
              </c:numCache>
            </c:numRef>
          </c:val>
          <c:extLst>
            <c:ext xmlns:c16="http://schemas.microsoft.com/office/drawing/2014/chart" uri="{C3380CC4-5D6E-409C-BE32-E72D297353CC}">
              <c16:uniqueId val="{00000004-9CCC-4C25-8165-CF3204411122}"/>
            </c:ext>
          </c:extLst>
        </c:ser>
        <c:dLbls>
          <c:showLegendKey val="0"/>
          <c:showVal val="0"/>
          <c:showCatName val="0"/>
          <c:showSerName val="0"/>
          <c:showPercent val="0"/>
          <c:showBubbleSize val="0"/>
          <c:showLeaderLines val="1"/>
        </c:dLbls>
        <c:firstSliceAng val="0"/>
      </c:pie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a:softEdge rad="317500"/>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3.8592600780436588E-2"/>
          <c:y val="6.2267416490569182E-2"/>
          <c:w val="0.9276388735366814"/>
          <c:h val="0.89103202114150393"/>
        </c:manualLayout>
      </c:layout>
      <c:barChart>
        <c:barDir val="col"/>
        <c:grouping val="clustered"/>
        <c:varyColors val="0"/>
        <c:ser>
          <c:idx val="0"/>
          <c:order val="0"/>
          <c:spPr>
            <a:solidFill>
              <a:schemeClr val="accent1">
                <a:lumMod val="60000"/>
                <a:lumOff val="40000"/>
              </a:schemeClr>
            </a:solidFill>
            <a:ln>
              <a:noFill/>
            </a:ln>
            <a:effectLst/>
          </c:spPr>
          <c:invertIfNegative val="0"/>
          <c:cat>
            <c:strRef>
              <c:f>Ղեկավարներ_raw!$A$5:$A$17</c:f>
              <c:strCache>
                <c:ptCount val="13"/>
                <c:pt idx="0">
                  <c:v>30-34</c:v>
                </c:pt>
                <c:pt idx="1">
                  <c:v>35-39</c:v>
                </c:pt>
                <c:pt idx="2">
                  <c:v>40-44</c:v>
                </c:pt>
                <c:pt idx="3">
                  <c:v>45-49</c:v>
                </c:pt>
                <c:pt idx="4">
                  <c:v>50-54</c:v>
                </c:pt>
                <c:pt idx="5">
                  <c:v>55-59</c:v>
                </c:pt>
                <c:pt idx="6">
                  <c:v>60-64</c:v>
                </c:pt>
                <c:pt idx="7">
                  <c:v>65-69</c:v>
                </c:pt>
                <c:pt idx="8">
                  <c:v>70-74</c:v>
                </c:pt>
                <c:pt idx="9">
                  <c:v>75-79</c:v>
                </c:pt>
                <c:pt idx="10">
                  <c:v>80-84</c:v>
                </c:pt>
                <c:pt idx="11">
                  <c:v>85-89</c:v>
                </c:pt>
                <c:pt idx="12">
                  <c:v>≥90</c:v>
                </c:pt>
              </c:strCache>
            </c:strRef>
          </c:cat>
          <c:val>
            <c:numRef>
              <c:f>Ղեկավարներ_raw!$K$5:$K$17</c:f>
              <c:numCache>
                <c:formatCode>General</c:formatCode>
                <c:ptCount val="13"/>
                <c:pt idx="0">
                  <c:v>5</c:v>
                </c:pt>
                <c:pt idx="1">
                  <c:v>26</c:v>
                </c:pt>
                <c:pt idx="2">
                  <c:v>35</c:v>
                </c:pt>
                <c:pt idx="3">
                  <c:v>28</c:v>
                </c:pt>
                <c:pt idx="4">
                  <c:v>19</c:v>
                </c:pt>
                <c:pt idx="5">
                  <c:v>10</c:v>
                </c:pt>
                <c:pt idx="6">
                  <c:v>27</c:v>
                </c:pt>
                <c:pt idx="7">
                  <c:v>35</c:v>
                </c:pt>
                <c:pt idx="8">
                  <c:v>54</c:v>
                </c:pt>
                <c:pt idx="9">
                  <c:v>44</c:v>
                </c:pt>
                <c:pt idx="10">
                  <c:v>12</c:v>
                </c:pt>
                <c:pt idx="11">
                  <c:v>14</c:v>
                </c:pt>
                <c:pt idx="12">
                  <c:v>2</c:v>
                </c:pt>
              </c:numCache>
            </c:numRef>
          </c:val>
          <c:extLst>
            <c:ext xmlns:c16="http://schemas.microsoft.com/office/drawing/2014/chart" uri="{C3380CC4-5D6E-409C-BE32-E72D297353CC}">
              <c16:uniqueId val="{00000000-AD95-4FCA-A56C-405ED4591DB3}"/>
            </c:ext>
          </c:extLst>
        </c:ser>
        <c:ser>
          <c:idx val="1"/>
          <c:order val="1"/>
          <c:spPr>
            <a:solidFill>
              <a:schemeClr val="accent4">
                <a:lumMod val="60000"/>
                <a:lumOff val="40000"/>
              </a:schemeClr>
            </a:solidFill>
            <a:ln>
              <a:noFill/>
            </a:ln>
            <a:effectLst/>
          </c:spPr>
          <c:invertIfNegative val="0"/>
          <c:cat>
            <c:strRef>
              <c:f>Ղեկավարներ_raw!$A$5:$A$17</c:f>
              <c:strCache>
                <c:ptCount val="13"/>
                <c:pt idx="0">
                  <c:v>30-34</c:v>
                </c:pt>
                <c:pt idx="1">
                  <c:v>35-39</c:v>
                </c:pt>
                <c:pt idx="2">
                  <c:v>40-44</c:v>
                </c:pt>
                <c:pt idx="3">
                  <c:v>45-49</c:v>
                </c:pt>
                <c:pt idx="4">
                  <c:v>50-54</c:v>
                </c:pt>
                <c:pt idx="5">
                  <c:v>55-59</c:v>
                </c:pt>
                <c:pt idx="6">
                  <c:v>60-64</c:v>
                </c:pt>
                <c:pt idx="7">
                  <c:v>65-69</c:v>
                </c:pt>
                <c:pt idx="8">
                  <c:v>70-74</c:v>
                </c:pt>
                <c:pt idx="9">
                  <c:v>75-79</c:v>
                </c:pt>
                <c:pt idx="10">
                  <c:v>80-84</c:v>
                </c:pt>
                <c:pt idx="11">
                  <c:v>85-89</c:v>
                </c:pt>
                <c:pt idx="12">
                  <c:v>≥90</c:v>
                </c:pt>
              </c:strCache>
            </c:strRef>
          </c:cat>
          <c:val>
            <c:numRef>
              <c:f>Ղեկավարներ_raw!$L$5:$L$17</c:f>
              <c:numCache>
                <c:formatCode>General</c:formatCode>
                <c:ptCount val="13"/>
                <c:pt idx="0">
                  <c:v>1</c:v>
                </c:pt>
                <c:pt idx="1">
                  <c:v>15</c:v>
                </c:pt>
                <c:pt idx="2">
                  <c:v>20</c:v>
                </c:pt>
                <c:pt idx="3">
                  <c:v>22</c:v>
                </c:pt>
                <c:pt idx="4">
                  <c:v>13</c:v>
                </c:pt>
                <c:pt idx="5">
                  <c:v>11</c:v>
                </c:pt>
                <c:pt idx="6">
                  <c:v>16</c:v>
                </c:pt>
                <c:pt idx="7">
                  <c:v>11</c:v>
                </c:pt>
                <c:pt idx="8">
                  <c:v>9</c:v>
                </c:pt>
                <c:pt idx="9">
                  <c:v>8</c:v>
                </c:pt>
                <c:pt idx="10">
                  <c:v>3</c:v>
                </c:pt>
                <c:pt idx="11">
                  <c:v>1</c:v>
                </c:pt>
                <c:pt idx="12">
                  <c:v>1</c:v>
                </c:pt>
              </c:numCache>
            </c:numRef>
          </c:val>
          <c:extLst>
            <c:ext xmlns:c16="http://schemas.microsoft.com/office/drawing/2014/chart" uri="{C3380CC4-5D6E-409C-BE32-E72D297353CC}">
              <c16:uniqueId val="{00000001-AD95-4FCA-A56C-405ED4591DB3}"/>
            </c:ext>
          </c:extLst>
        </c:ser>
        <c:dLbls>
          <c:showLegendKey val="0"/>
          <c:showVal val="0"/>
          <c:showCatName val="0"/>
          <c:showSerName val="0"/>
          <c:showPercent val="0"/>
          <c:showBubbleSize val="0"/>
        </c:dLbls>
        <c:gapWidth val="75"/>
        <c:overlap val="-27"/>
        <c:axId val="458066712"/>
        <c:axId val="462261176"/>
      </c:barChart>
      <c:catAx>
        <c:axId val="458066712"/>
        <c:scaling>
          <c:orientation val="minMax"/>
        </c:scaling>
        <c:delete val="1"/>
        <c:axPos val="b"/>
        <c:numFmt formatCode="General" sourceLinked="1"/>
        <c:majorTickMark val="none"/>
        <c:minorTickMark val="none"/>
        <c:tickLblPos val="nextTo"/>
        <c:crossAx val="462261176"/>
        <c:crosses val="autoZero"/>
        <c:auto val="1"/>
        <c:lblAlgn val="ctr"/>
        <c:lblOffset val="100"/>
        <c:noMultiLvlLbl val="0"/>
      </c:catAx>
      <c:valAx>
        <c:axId val="462261176"/>
        <c:scaling>
          <c:orientation val="minMax"/>
          <c:max val="55"/>
          <c:min val="0"/>
        </c:scaling>
        <c:delete val="1"/>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crossAx val="4580667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bg2">
          <a:lumMod val="90000"/>
        </a:schemeClr>
      </a:solidFill>
      <a:round/>
    </a:ln>
    <a:effectLst>
      <a:outerShdw blurRad="50800" dist="38100" dir="2700000" algn="tl" rotWithShape="0">
        <a:prstClr val="black">
          <a:alpha val="40000"/>
        </a:prstClr>
      </a:outerShdw>
    </a:effectLst>
  </c:spPr>
  <c:txPr>
    <a:bodyPr/>
    <a:lstStyle/>
    <a:p>
      <a:pPr>
        <a:defRPr/>
      </a:pPr>
      <a:endParaRPr lang="en-US"/>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5.8013774012398094E-2"/>
          <c:y val="4.5191296240508522E-2"/>
          <c:w val="0.91782361126204037"/>
          <c:h val="0.79661495612571109"/>
        </c:manualLayout>
      </c:layout>
      <c:barChart>
        <c:barDir val="col"/>
        <c:grouping val="stacked"/>
        <c:varyColors val="0"/>
        <c:ser>
          <c:idx val="1"/>
          <c:order val="0"/>
          <c:tx>
            <c:strRef>
              <c:f>Ղեկավարներ_raw!$I$2</c:f>
              <c:strCache>
                <c:ptCount val="1"/>
                <c:pt idx="0">
                  <c:v>Կ</c:v>
                </c:pt>
              </c:strCache>
            </c:strRef>
          </c:tx>
          <c:spPr>
            <a:solidFill>
              <a:schemeClr val="accent4">
                <a:lumMod val="60000"/>
                <a:lumOff val="40000"/>
              </a:schemeClr>
            </a:solidFill>
            <a:ln>
              <a:noFill/>
            </a:ln>
            <a:effectLst/>
          </c:spPr>
          <c:invertIfNegative val="0"/>
          <c:dLbls>
            <c:dLbl>
              <c:idx val="0"/>
              <c:delete val="1"/>
              <c:extLst>
                <c:ext xmlns:c15="http://schemas.microsoft.com/office/drawing/2012/chart" uri="{CE6537A1-D6FC-4f65-9D91-7224C49458BB}"/>
                <c:ext xmlns:c16="http://schemas.microsoft.com/office/drawing/2014/chart" uri="{C3380CC4-5D6E-409C-BE32-E72D297353CC}">
                  <c16:uniqueId val="{00000000-7B1D-421F-A833-6B61ABA464D5}"/>
                </c:ext>
              </c:extLst>
            </c:dLbl>
            <c:dLbl>
              <c:idx val="1"/>
              <c:delete val="1"/>
              <c:extLst>
                <c:ext xmlns:c15="http://schemas.microsoft.com/office/drawing/2012/chart" uri="{CE6537A1-D6FC-4f65-9D91-7224C49458BB}"/>
                <c:ext xmlns:c16="http://schemas.microsoft.com/office/drawing/2014/chart" uri="{C3380CC4-5D6E-409C-BE32-E72D297353CC}">
                  <c16:uniqueId val="{00000001-7B1D-421F-A833-6B61ABA464D5}"/>
                </c:ext>
              </c:extLst>
            </c:dLbl>
            <c:dLbl>
              <c:idx val="2"/>
              <c:delete val="1"/>
              <c:extLst>
                <c:ext xmlns:c15="http://schemas.microsoft.com/office/drawing/2012/chart" uri="{CE6537A1-D6FC-4f65-9D91-7224C49458BB}"/>
                <c:ext xmlns:c16="http://schemas.microsoft.com/office/drawing/2014/chart" uri="{C3380CC4-5D6E-409C-BE32-E72D297353CC}">
                  <c16:uniqueId val="{00000002-7B1D-421F-A833-6B61ABA464D5}"/>
                </c:ext>
              </c:extLst>
            </c:dLbl>
            <c:dLbl>
              <c:idx val="13"/>
              <c:delete val="1"/>
              <c:extLst>
                <c:ext xmlns:c15="http://schemas.microsoft.com/office/drawing/2012/chart" uri="{CE6537A1-D6FC-4f65-9D91-7224C49458BB}"/>
                <c:ext xmlns:c16="http://schemas.microsoft.com/office/drawing/2014/chart" uri="{C3380CC4-5D6E-409C-BE32-E72D297353CC}">
                  <c16:uniqueId val="{00000003-7B1D-421F-A833-6B61ABA464D5}"/>
                </c:ext>
              </c:extLst>
            </c:dLbl>
            <c:dLbl>
              <c:idx val="14"/>
              <c:delete val="1"/>
              <c:extLst>
                <c:ext xmlns:c15="http://schemas.microsoft.com/office/drawing/2012/chart" uri="{CE6537A1-D6FC-4f65-9D91-7224C49458BB}"/>
                <c:ext xmlns:c16="http://schemas.microsoft.com/office/drawing/2014/chart" uri="{C3380CC4-5D6E-409C-BE32-E72D297353CC}">
                  <c16:uniqueId val="{00000004-7B1D-421F-A833-6B61ABA464D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Ղեկավարներ_raw!$A$3:$A$17</c:f>
              <c:strCache>
                <c:ptCount val="15"/>
                <c:pt idx="0">
                  <c:v>≤24</c:v>
                </c:pt>
                <c:pt idx="1">
                  <c:v>25-29</c:v>
                </c:pt>
                <c:pt idx="2">
                  <c:v>30-34</c:v>
                </c:pt>
                <c:pt idx="3">
                  <c:v>35-39</c:v>
                </c:pt>
                <c:pt idx="4">
                  <c:v>40-44</c:v>
                </c:pt>
                <c:pt idx="5">
                  <c:v>45-49</c:v>
                </c:pt>
                <c:pt idx="6">
                  <c:v>50-54</c:v>
                </c:pt>
                <c:pt idx="7">
                  <c:v>55-59</c:v>
                </c:pt>
                <c:pt idx="8">
                  <c:v>60-64</c:v>
                </c:pt>
                <c:pt idx="9">
                  <c:v>65-69</c:v>
                </c:pt>
                <c:pt idx="10">
                  <c:v>70-74</c:v>
                </c:pt>
                <c:pt idx="11">
                  <c:v>75-79</c:v>
                </c:pt>
                <c:pt idx="12">
                  <c:v>80-84</c:v>
                </c:pt>
                <c:pt idx="13">
                  <c:v>85-89</c:v>
                </c:pt>
                <c:pt idx="14">
                  <c:v>≥90</c:v>
                </c:pt>
              </c:strCache>
            </c:strRef>
          </c:cat>
          <c:val>
            <c:numRef>
              <c:f>Ղեկավարներ_raw!$L$3:$L$17</c:f>
              <c:numCache>
                <c:formatCode>General</c:formatCode>
                <c:ptCount val="15"/>
                <c:pt idx="0">
                  <c:v>0</c:v>
                </c:pt>
                <c:pt idx="1">
                  <c:v>0</c:v>
                </c:pt>
                <c:pt idx="2">
                  <c:v>1</c:v>
                </c:pt>
                <c:pt idx="3">
                  <c:v>15</c:v>
                </c:pt>
                <c:pt idx="4">
                  <c:v>20</c:v>
                </c:pt>
                <c:pt idx="5">
                  <c:v>22</c:v>
                </c:pt>
                <c:pt idx="6">
                  <c:v>13</c:v>
                </c:pt>
                <c:pt idx="7">
                  <c:v>11</c:v>
                </c:pt>
                <c:pt idx="8">
                  <c:v>16</c:v>
                </c:pt>
                <c:pt idx="9">
                  <c:v>11</c:v>
                </c:pt>
                <c:pt idx="10">
                  <c:v>9</c:v>
                </c:pt>
                <c:pt idx="11">
                  <c:v>8</c:v>
                </c:pt>
                <c:pt idx="12">
                  <c:v>3</c:v>
                </c:pt>
                <c:pt idx="13">
                  <c:v>1</c:v>
                </c:pt>
                <c:pt idx="14">
                  <c:v>1</c:v>
                </c:pt>
              </c:numCache>
            </c:numRef>
          </c:val>
          <c:extLst>
            <c:ext xmlns:c16="http://schemas.microsoft.com/office/drawing/2014/chart" uri="{C3380CC4-5D6E-409C-BE32-E72D297353CC}">
              <c16:uniqueId val="{00000005-7B1D-421F-A833-6B61ABA464D5}"/>
            </c:ext>
          </c:extLst>
        </c:ser>
        <c:ser>
          <c:idx val="0"/>
          <c:order val="1"/>
          <c:tx>
            <c:strRef>
              <c:f>Ղեկավարներ_raw!$H$2</c:f>
              <c:strCache>
                <c:ptCount val="1"/>
                <c:pt idx="0">
                  <c:v>Տ</c:v>
                </c:pt>
              </c:strCache>
            </c:strRef>
          </c:tx>
          <c:spPr>
            <a:solidFill>
              <a:schemeClr val="accent1">
                <a:lumMod val="60000"/>
                <a:lumOff val="40000"/>
              </a:schemeClr>
            </a:solidFill>
            <a:ln>
              <a:noFill/>
            </a:ln>
            <a:effectLst/>
          </c:spPr>
          <c:invertIfNegative val="0"/>
          <c:dLbls>
            <c:dLbl>
              <c:idx val="0"/>
              <c:delete val="1"/>
              <c:extLst>
                <c:ext xmlns:c15="http://schemas.microsoft.com/office/drawing/2012/chart" uri="{CE6537A1-D6FC-4f65-9D91-7224C49458BB}"/>
                <c:ext xmlns:c16="http://schemas.microsoft.com/office/drawing/2014/chart" uri="{C3380CC4-5D6E-409C-BE32-E72D297353CC}">
                  <c16:uniqueId val="{00000006-7B1D-421F-A833-6B61ABA464D5}"/>
                </c:ext>
              </c:extLst>
            </c:dLbl>
            <c:dLbl>
              <c:idx val="1"/>
              <c:delete val="1"/>
              <c:extLst>
                <c:ext xmlns:c15="http://schemas.microsoft.com/office/drawing/2012/chart" uri="{CE6537A1-D6FC-4f65-9D91-7224C49458BB}"/>
                <c:ext xmlns:c16="http://schemas.microsoft.com/office/drawing/2014/chart" uri="{C3380CC4-5D6E-409C-BE32-E72D297353CC}">
                  <c16:uniqueId val="{00000007-7B1D-421F-A833-6B61ABA464D5}"/>
                </c:ext>
              </c:extLst>
            </c:dLbl>
            <c:dLbl>
              <c:idx val="3"/>
              <c:layout>
                <c:manualLayout>
                  <c:x val="3.7839370852741276E-17"/>
                  <c:y val="-4.6936589574634216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7B1D-421F-A833-6B61ABA464D5}"/>
                </c:ext>
              </c:extLst>
            </c:dLbl>
            <c:dLbl>
              <c:idx val="4"/>
              <c:layout>
                <c:manualLayout>
                  <c:x val="2.0639895259844904E-3"/>
                  <c:y val="-5.547051495184043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7B1D-421F-A833-6B61ABA464D5}"/>
                </c:ext>
              </c:extLst>
            </c:dLbl>
            <c:dLbl>
              <c:idx val="5"/>
              <c:layout>
                <c:manualLayout>
                  <c:x val="0"/>
                  <c:y val="-5.973747764044355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7B1D-421F-A833-6B61ABA464D5}"/>
                </c:ext>
              </c:extLst>
            </c:dLbl>
            <c:dLbl>
              <c:idx val="6"/>
              <c:layout>
                <c:manualLayout>
                  <c:x val="0"/>
                  <c:y val="6.8271403017649765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7B1D-421F-A833-6B61ABA464D5}"/>
                </c:ext>
              </c:extLst>
            </c:dLbl>
            <c:dLbl>
              <c:idx val="11"/>
              <c:layout>
                <c:manualLayout>
                  <c:x val="0"/>
                  <c:y val="7.2538365706252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7B1D-421F-A833-6B61ABA464D5}"/>
                </c:ext>
              </c:extLst>
            </c:dLbl>
            <c:dLbl>
              <c:idx val="13"/>
              <c:layout>
                <c:manualLayout>
                  <c:x val="-1.513574834109651E-16"/>
                  <c:y val="3.413570150882488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7B1D-421F-A833-6B61ABA464D5}"/>
                </c:ext>
              </c:extLst>
            </c:dLbl>
            <c:dLbl>
              <c:idx val="14"/>
              <c:delete val="1"/>
              <c:extLst>
                <c:ext xmlns:c15="http://schemas.microsoft.com/office/drawing/2012/chart" uri="{CE6537A1-D6FC-4f65-9D91-7224C49458BB}"/>
                <c:ext xmlns:c16="http://schemas.microsoft.com/office/drawing/2014/chart" uri="{C3380CC4-5D6E-409C-BE32-E72D297353CC}">
                  <c16:uniqueId val="{0000000E-7B1D-421F-A833-6B61ABA464D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Ղեկավարներ_raw!$A$3:$A$17</c:f>
              <c:strCache>
                <c:ptCount val="15"/>
                <c:pt idx="0">
                  <c:v>≤24</c:v>
                </c:pt>
                <c:pt idx="1">
                  <c:v>25-29</c:v>
                </c:pt>
                <c:pt idx="2">
                  <c:v>30-34</c:v>
                </c:pt>
                <c:pt idx="3">
                  <c:v>35-39</c:v>
                </c:pt>
                <c:pt idx="4">
                  <c:v>40-44</c:v>
                </c:pt>
                <c:pt idx="5">
                  <c:v>45-49</c:v>
                </c:pt>
                <c:pt idx="6">
                  <c:v>50-54</c:v>
                </c:pt>
                <c:pt idx="7">
                  <c:v>55-59</c:v>
                </c:pt>
                <c:pt idx="8">
                  <c:v>60-64</c:v>
                </c:pt>
                <c:pt idx="9">
                  <c:v>65-69</c:v>
                </c:pt>
                <c:pt idx="10">
                  <c:v>70-74</c:v>
                </c:pt>
                <c:pt idx="11">
                  <c:v>75-79</c:v>
                </c:pt>
                <c:pt idx="12">
                  <c:v>80-84</c:v>
                </c:pt>
                <c:pt idx="13">
                  <c:v>85-89</c:v>
                </c:pt>
                <c:pt idx="14">
                  <c:v>≥90</c:v>
                </c:pt>
              </c:strCache>
            </c:strRef>
          </c:cat>
          <c:val>
            <c:numRef>
              <c:f>Ղեկավարներ_raw!$K$3:$K$17</c:f>
              <c:numCache>
                <c:formatCode>General</c:formatCode>
                <c:ptCount val="15"/>
                <c:pt idx="0">
                  <c:v>0</c:v>
                </c:pt>
                <c:pt idx="1">
                  <c:v>0</c:v>
                </c:pt>
                <c:pt idx="2">
                  <c:v>5</c:v>
                </c:pt>
                <c:pt idx="3">
                  <c:v>26</c:v>
                </c:pt>
                <c:pt idx="4">
                  <c:v>35</c:v>
                </c:pt>
                <c:pt idx="5">
                  <c:v>28</c:v>
                </c:pt>
                <c:pt idx="6">
                  <c:v>19</c:v>
                </c:pt>
                <c:pt idx="7">
                  <c:v>10</c:v>
                </c:pt>
                <c:pt idx="8">
                  <c:v>27</c:v>
                </c:pt>
                <c:pt idx="9">
                  <c:v>35</c:v>
                </c:pt>
                <c:pt idx="10">
                  <c:v>54</c:v>
                </c:pt>
                <c:pt idx="11">
                  <c:v>44</c:v>
                </c:pt>
                <c:pt idx="12">
                  <c:v>12</c:v>
                </c:pt>
                <c:pt idx="13">
                  <c:v>14</c:v>
                </c:pt>
                <c:pt idx="14">
                  <c:v>2</c:v>
                </c:pt>
              </c:numCache>
            </c:numRef>
          </c:val>
          <c:extLst>
            <c:ext xmlns:c16="http://schemas.microsoft.com/office/drawing/2014/chart" uri="{C3380CC4-5D6E-409C-BE32-E72D297353CC}">
              <c16:uniqueId val="{0000000F-7B1D-421F-A833-6B61ABA464D5}"/>
            </c:ext>
          </c:extLst>
        </c:ser>
        <c:dLbls>
          <c:showLegendKey val="0"/>
          <c:showVal val="0"/>
          <c:showCatName val="0"/>
          <c:showSerName val="0"/>
          <c:showPercent val="0"/>
          <c:showBubbleSize val="0"/>
        </c:dLbls>
        <c:gapWidth val="50"/>
        <c:overlap val="100"/>
        <c:axId val="506116808"/>
        <c:axId val="506111888"/>
      </c:barChart>
      <c:lineChart>
        <c:grouping val="standard"/>
        <c:varyColors val="0"/>
        <c:ser>
          <c:idx val="2"/>
          <c:order val="2"/>
          <c:tx>
            <c:strRef>
              <c:f>Ղեկավարներ_raw!$M$2</c:f>
              <c:strCache>
                <c:ptCount val="1"/>
                <c:pt idx="0">
                  <c:v>Ընդհանուր</c:v>
                </c:pt>
              </c:strCache>
            </c:strRef>
          </c:tx>
          <c:spPr>
            <a:ln w="25400" cap="rnd">
              <a:noFill/>
              <a:round/>
            </a:ln>
            <a:effectLst/>
          </c:spPr>
          <c:marker>
            <c:symbol val="triangle"/>
            <c:size val="3"/>
            <c:spPr>
              <a:solidFill>
                <a:schemeClr val="tx1"/>
              </a:solidFill>
              <a:ln w="9525">
                <a:solidFill>
                  <a:schemeClr val="tx1"/>
                </a:solidFill>
              </a:ln>
              <a:effectLst/>
            </c:spPr>
          </c:marker>
          <c:dLbls>
            <c:dLbl>
              <c:idx val="2"/>
              <c:layout>
                <c:manualLayout>
                  <c:x val="-7.801880408221374E-3"/>
                  <c:y val="-2.770333925108421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7B1D-421F-A833-6B61ABA464D5}"/>
                </c:ext>
              </c:extLst>
            </c:dLbl>
            <c:dLbl>
              <c:idx val="4"/>
              <c:layout>
                <c:manualLayout>
                  <c:x val="-2.9019692735341975E-2"/>
                  <c:y val="-2.770333925108425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7B1D-421F-A833-6B61ABA464D5}"/>
                </c:ext>
              </c:extLst>
            </c:dLbl>
            <c:dLbl>
              <c:idx val="7"/>
              <c:layout>
                <c:manualLayout>
                  <c:x val="-2.076373463140405E-2"/>
                  <c:y val="-3.623726462829050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2-7B1D-421F-A833-6B61ABA464D5}"/>
                </c:ext>
              </c:extLst>
            </c:dLbl>
            <c:dLbl>
              <c:idx val="10"/>
              <c:layout>
                <c:manualLayout>
                  <c:x val="-6.2043525151093785E-2"/>
                  <c:y val="2.1653995691375627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3-7B1D-421F-A833-6B61ABA464D5}"/>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Ղեկավարներ_raw!$A$3:$A$17</c:f>
              <c:strCache>
                <c:ptCount val="15"/>
                <c:pt idx="0">
                  <c:v>≤24</c:v>
                </c:pt>
                <c:pt idx="1">
                  <c:v>25-29</c:v>
                </c:pt>
                <c:pt idx="2">
                  <c:v>30-34</c:v>
                </c:pt>
                <c:pt idx="3">
                  <c:v>35-39</c:v>
                </c:pt>
                <c:pt idx="4">
                  <c:v>40-44</c:v>
                </c:pt>
                <c:pt idx="5">
                  <c:v>45-49</c:v>
                </c:pt>
                <c:pt idx="6">
                  <c:v>50-54</c:v>
                </c:pt>
                <c:pt idx="7">
                  <c:v>55-59</c:v>
                </c:pt>
                <c:pt idx="8">
                  <c:v>60-64</c:v>
                </c:pt>
                <c:pt idx="9">
                  <c:v>65-69</c:v>
                </c:pt>
                <c:pt idx="10">
                  <c:v>70-74</c:v>
                </c:pt>
                <c:pt idx="11">
                  <c:v>75-79</c:v>
                </c:pt>
                <c:pt idx="12">
                  <c:v>80-84</c:v>
                </c:pt>
                <c:pt idx="13">
                  <c:v>85-89</c:v>
                </c:pt>
                <c:pt idx="14">
                  <c:v>≥90</c:v>
                </c:pt>
              </c:strCache>
            </c:strRef>
          </c:cat>
          <c:val>
            <c:numRef>
              <c:f>Ղեկավարներ_raw!$M$3:$M$17</c:f>
              <c:numCache>
                <c:formatCode>General</c:formatCode>
                <c:ptCount val="15"/>
                <c:pt idx="0">
                  <c:v>0</c:v>
                </c:pt>
                <c:pt idx="1">
                  <c:v>0</c:v>
                </c:pt>
                <c:pt idx="2">
                  <c:v>6</c:v>
                </c:pt>
                <c:pt idx="3">
                  <c:v>41</c:v>
                </c:pt>
                <c:pt idx="4">
                  <c:v>55</c:v>
                </c:pt>
                <c:pt idx="5">
                  <c:v>50</c:v>
                </c:pt>
                <c:pt idx="6">
                  <c:v>32</c:v>
                </c:pt>
                <c:pt idx="7">
                  <c:v>21</c:v>
                </c:pt>
                <c:pt idx="8">
                  <c:v>43</c:v>
                </c:pt>
                <c:pt idx="9">
                  <c:v>46</c:v>
                </c:pt>
                <c:pt idx="10">
                  <c:v>63</c:v>
                </c:pt>
                <c:pt idx="11">
                  <c:v>52</c:v>
                </c:pt>
                <c:pt idx="12">
                  <c:v>15</c:v>
                </c:pt>
                <c:pt idx="13">
                  <c:v>15</c:v>
                </c:pt>
                <c:pt idx="14">
                  <c:v>3</c:v>
                </c:pt>
              </c:numCache>
            </c:numRef>
          </c:val>
          <c:smooth val="0"/>
          <c:extLst>
            <c:ext xmlns:c16="http://schemas.microsoft.com/office/drawing/2014/chart" uri="{C3380CC4-5D6E-409C-BE32-E72D297353CC}">
              <c16:uniqueId val="{00000014-7B1D-421F-A833-6B61ABA464D5}"/>
            </c:ext>
          </c:extLst>
        </c:ser>
        <c:ser>
          <c:idx val="3"/>
          <c:order val="3"/>
          <c:tx>
            <c:strRef>
              <c:f>Ղեկավարներ_raw!$B$1</c:f>
              <c:strCache>
                <c:ptCount val="1"/>
                <c:pt idx="0">
                  <c:v>2020</c:v>
                </c:pt>
              </c:strCache>
            </c:strRef>
          </c:tx>
          <c:spPr>
            <a:ln w="12700" cap="rnd">
              <a:solidFill>
                <a:schemeClr val="accent6">
                  <a:lumMod val="75000"/>
                </a:schemeClr>
              </a:solidFill>
              <a:round/>
            </a:ln>
            <a:effectLst/>
          </c:spPr>
          <c:marker>
            <c:symbol val="circle"/>
            <c:size val="3"/>
            <c:spPr>
              <a:solidFill>
                <a:schemeClr val="accent6">
                  <a:lumMod val="75000"/>
                </a:schemeClr>
              </a:solidFill>
              <a:ln w="9525">
                <a:noFill/>
              </a:ln>
              <a:effectLst/>
            </c:spPr>
          </c:marker>
          <c:dLbls>
            <c:dLbl>
              <c:idx val="0"/>
              <c:delete val="1"/>
              <c:extLst>
                <c:ext xmlns:c15="http://schemas.microsoft.com/office/drawing/2012/chart" uri="{CE6537A1-D6FC-4f65-9D91-7224C49458BB}"/>
                <c:ext xmlns:c16="http://schemas.microsoft.com/office/drawing/2014/chart" uri="{C3380CC4-5D6E-409C-BE32-E72D297353CC}">
                  <c16:uniqueId val="{00000015-7B1D-421F-A833-6B61ABA464D5}"/>
                </c:ext>
              </c:extLst>
            </c:dLbl>
            <c:dLbl>
              <c:idx val="1"/>
              <c:delete val="1"/>
              <c:extLst>
                <c:ext xmlns:c15="http://schemas.microsoft.com/office/drawing/2012/chart" uri="{CE6537A1-D6FC-4f65-9D91-7224C49458BB}"/>
                <c:ext xmlns:c16="http://schemas.microsoft.com/office/drawing/2014/chart" uri="{C3380CC4-5D6E-409C-BE32-E72D297353CC}">
                  <c16:uniqueId val="{00000016-7B1D-421F-A833-6B61ABA464D5}"/>
                </c:ext>
              </c:extLst>
            </c:dLbl>
            <c:dLbl>
              <c:idx val="2"/>
              <c:layout>
                <c:manualLayout>
                  <c:x val="-5.3787567047155822E-2"/>
                  <c:y val="-4.903815269409976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7B1D-421F-A833-6B61ABA464D5}"/>
                </c:ext>
              </c:extLst>
            </c:dLbl>
            <c:dLbl>
              <c:idx val="3"/>
              <c:layout>
                <c:manualLayout>
                  <c:x val="-5.585155657314031E-2"/>
                  <c:y val="-4.903815269409976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7B1D-421F-A833-6B61ABA464D5}"/>
                </c:ext>
              </c:extLst>
            </c:dLbl>
            <c:dLbl>
              <c:idx val="8"/>
              <c:layout>
                <c:manualLayout>
                  <c:x val="-6.2043525151093862E-2"/>
                  <c:y val="-4.47711900054967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7B1D-421F-A833-6B61ABA464D5}"/>
                </c:ext>
              </c:extLst>
            </c:dLbl>
            <c:dLbl>
              <c:idx val="10"/>
              <c:layout>
                <c:manualLayout>
                  <c:x val="6.0681292063944018E-3"/>
                  <c:y val="-4.903815269409976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7B1D-421F-A833-6B61ABA464D5}"/>
                </c:ext>
              </c:extLst>
            </c:dLbl>
            <c:dLbl>
              <c:idx val="11"/>
              <c:layout>
                <c:manualLayout>
                  <c:x val="-1.2383937155906942E-4"/>
                  <c:y val="-6.183904075990917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7B1D-421F-A833-6B61ABA464D5}"/>
                </c:ext>
              </c:extLst>
            </c:dLbl>
            <c:dLbl>
              <c:idx val="13"/>
              <c:layout>
                <c:manualLayout>
                  <c:x val="4.5407769571658791E-4"/>
                  <c:y val="-3.197030193968732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7B1D-421F-A833-6B61ABA464D5}"/>
                </c:ext>
              </c:extLst>
            </c:dLbl>
            <c:dLbl>
              <c:idx val="14"/>
              <c:delete val="1"/>
              <c:extLst>
                <c:ext xmlns:c15="http://schemas.microsoft.com/office/drawing/2012/chart" uri="{CE6537A1-D6FC-4f65-9D91-7224C49458BB}"/>
                <c:ext xmlns:c16="http://schemas.microsoft.com/office/drawing/2014/chart" uri="{C3380CC4-5D6E-409C-BE32-E72D297353CC}">
                  <c16:uniqueId val="{0000001D-7B1D-421F-A833-6B61ABA464D5}"/>
                </c:ext>
              </c:extLst>
            </c:dLbl>
            <c:spPr>
              <a:noFill/>
              <a:ln>
                <a:noFill/>
              </a:ln>
              <a:effectLst/>
            </c:spPr>
            <c:txPr>
              <a:bodyPr rot="0" spcFirstLastPara="1" vertOverflow="ellipsis" vert="horz" wrap="square" lIns="38100" tIns="19050" rIns="38100" bIns="19050" anchor="ctr" anchorCtr="1">
                <a:spAutoFit/>
              </a:bodyPr>
              <a:lstStyle/>
              <a:p>
                <a:pPr>
                  <a:defRPr sz="700" b="0" i="1" u="none" strike="noStrike" kern="1200" baseline="0">
                    <a:solidFill>
                      <a:sysClr val="windowText" lastClr="000000"/>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Ղեկավարներ_raw!$D$3:$D$17</c:f>
              <c:numCache>
                <c:formatCode>General</c:formatCode>
                <c:ptCount val="15"/>
                <c:pt idx="0">
                  <c:v>0</c:v>
                </c:pt>
                <c:pt idx="1">
                  <c:v>2</c:v>
                </c:pt>
                <c:pt idx="2">
                  <c:v>13</c:v>
                </c:pt>
                <c:pt idx="3">
                  <c:v>21</c:v>
                </c:pt>
                <c:pt idx="4">
                  <c:v>26</c:v>
                </c:pt>
                <c:pt idx="5">
                  <c:v>25</c:v>
                </c:pt>
                <c:pt idx="6">
                  <c:v>20</c:v>
                </c:pt>
                <c:pt idx="7">
                  <c:v>28</c:v>
                </c:pt>
                <c:pt idx="8">
                  <c:v>44</c:v>
                </c:pt>
                <c:pt idx="9">
                  <c:v>69</c:v>
                </c:pt>
                <c:pt idx="10">
                  <c:v>66</c:v>
                </c:pt>
                <c:pt idx="11">
                  <c:v>32</c:v>
                </c:pt>
                <c:pt idx="12">
                  <c:v>28</c:v>
                </c:pt>
                <c:pt idx="13">
                  <c:v>8</c:v>
                </c:pt>
                <c:pt idx="14">
                  <c:v>3</c:v>
                </c:pt>
              </c:numCache>
            </c:numRef>
          </c:val>
          <c:smooth val="0"/>
          <c:extLst>
            <c:ext xmlns:c16="http://schemas.microsoft.com/office/drawing/2014/chart" uri="{C3380CC4-5D6E-409C-BE32-E72D297353CC}">
              <c16:uniqueId val="{0000001E-7B1D-421F-A833-6B61ABA464D5}"/>
            </c:ext>
          </c:extLst>
        </c:ser>
        <c:dLbls>
          <c:showLegendKey val="0"/>
          <c:showVal val="0"/>
          <c:showCatName val="0"/>
          <c:showSerName val="0"/>
          <c:showPercent val="0"/>
          <c:showBubbleSize val="0"/>
        </c:dLbls>
        <c:marker val="1"/>
        <c:smooth val="0"/>
        <c:axId val="506116808"/>
        <c:axId val="506111888"/>
      </c:lineChart>
      <c:catAx>
        <c:axId val="5061168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en-US"/>
          </a:p>
        </c:txPr>
        <c:crossAx val="506111888"/>
        <c:crosses val="autoZero"/>
        <c:auto val="1"/>
        <c:lblAlgn val="ctr"/>
        <c:lblOffset val="100"/>
        <c:noMultiLvlLbl val="0"/>
      </c:catAx>
      <c:valAx>
        <c:axId val="506111888"/>
        <c:scaling>
          <c:orientation val="minMax"/>
          <c:max val="9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506116808"/>
        <c:crosses val="autoZero"/>
        <c:crossBetween val="between"/>
      </c:valAx>
      <c:spPr>
        <a:noFill/>
        <a:ln>
          <a:noFill/>
        </a:ln>
        <a:effectLst/>
      </c:spPr>
    </c:plotArea>
    <c:legend>
      <c:legendPos val="b"/>
      <c:layout>
        <c:manualLayout>
          <c:xMode val="edge"/>
          <c:yMode val="edge"/>
          <c:x val="0.32732973856209152"/>
          <c:y val="0.92924365435906031"/>
          <c:w val="0.4407690262454958"/>
          <c:h val="7.0756320816461465E-2"/>
        </c:manualLayout>
      </c:layou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defRPr>
      </a:pPr>
      <a:endParaRPr lang="en-US"/>
    </a:p>
  </c:txPr>
  <c:externalData r:id="rId4">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7.0372875816993474E-2"/>
          <c:y val="0.11918141289437585"/>
          <c:w val="0.90953584157971579"/>
          <c:h val="0.7773179012345679"/>
        </c:manualLayout>
      </c:layout>
      <c:barChart>
        <c:barDir val="col"/>
        <c:grouping val="stacked"/>
        <c:varyColors val="0"/>
        <c:ser>
          <c:idx val="0"/>
          <c:order val="0"/>
          <c:tx>
            <c:strRef>
              <c:f>'Ընդհանուր թեկնածուներ'!$B$15</c:f>
              <c:strCache>
                <c:ptCount val="1"/>
                <c:pt idx="0">
                  <c:v>Բնագիտական և ճարտարագիտական</c:v>
                </c:pt>
              </c:strCache>
            </c:strRef>
          </c:tx>
          <c:spPr>
            <a:solidFill>
              <a:schemeClr val="accent6">
                <a:lumMod val="75000"/>
              </a:schemeClr>
            </a:solidFill>
            <a:ln>
              <a:noFill/>
            </a:ln>
            <a:effectLst/>
          </c:spPr>
          <c:invertIfNegative val="0"/>
          <c:dLbls>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'Ընդհանուր թեկնածուներ'!$L$14:$Z$14</c:f>
              <c:numCache>
                <c:formatCode>General</c:formatCode>
                <c:ptCount val="15"/>
                <c:pt idx="0">
                  <c:v>2010</c:v>
                </c:pt>
                <c:pt idx="1">
                  <c:v>2011</c:v>
                </c:pt>
                <c:pt idx="2">
                  <c:v>2012</c:v>
                </c:pt>
                <c:pt idx="3">
                  <c:v>2013</c:v>
                </c:pt>
                <c:pt idx="4">
                  <c:v>2014</c:v>
                </c:pt>
                <c:pt idx="5">
                  <c:v>2015</c:v>
                </c:pt>
                <c:pt idx="6">
                  <c:v>2016</c:v>
                </c:pt>
                <c:pt idx="7">
                  <c:v>2017</c:v>
                </c:pt>
                <c:pt idx="8">
                  <c:v>2018</c:v>
                </c:pt>
                <c:pt idx="9">
                  <c:v>2019</c:v>
                </c:pt>
                <c:pt idx="10">
                  <c:v>2020</c:v>
                </c:pt>
                <c:pt idx="11">
                  <c:v>2021</c:v>
                </c:pt>
                <c:pt idx="12">
                  <c:v>2022</c:v>
                </c:pt>
                <c:pt idx="13">
                  <c:v>2023</c:v>
                </c:pt>
                <c:pt idx="14">
                  <c:v>2024</c:v>
                </c:pt>
              </c:numCache>
            </c:numRef>
          </c:cat>
          <c:val>
            <c:numRef>
              <c:f>'Ընդհանուր թեկնածուներ'!$L$15:$Z$15</c:f>
              <c:numCache>
                <c:formatCode>General</c:formatCode>
                <c:ptCount val="15"/>
                <c:pt idx="0">
                  <c:v>235</c:v>
                </c:pt>
                <c:pt idx="1">
                  <c:v>231</c:v>
                </c:pt>
                <c:pt idx="2">
                  <c:v>209</c:v>
                </c:pt>
                <c:pt idx="3">
                  <c:v>273</c:v>
                </c:pt>
                <c:pt idx="4">
                  <c:v>262</c:v>
                </c:pt>
                <c:pt idx="5">
                  <c:v>235</c:v>
                </c:pt>
                <c:pt idx="6">
                  <c:v>189</c:v>
                </c:pt>
                <c:pt idx="7">
                  <c:v>157</c:v>
                </c:pt>
                <c:pt idx="8">
                  <c:v>132</c:v>
                </c:pt>
                <c:pt idx="9">
                  <c:v>104</c:v>
                </c:pt>
                <c:pt idx="10">
                  <c:v>64</c:v>
                </c:pt>
                <c:pt idx="11">
                  <c:v>64</c:v>
                </c:pt>
                <c:pt idx="12">
                  <c:v>82</c:v>
                </c:pt>
                <c:pt idx="13">
                  <c:v>58</c:v>
                </c:pt>
                <c:pt idx="14">
                  <c:v>82</c:v>
                </c:pt>
              </c:numCache>
            </c:numRef>
          </c:val>
          <c:extLst>
            <c:ext xmlns:c16="http://schemas.microsoft.com/office/drawing/2014/chart" uri="{C3380CC4-5D6E-409C-BE32-E72D297353CC}">
              <c16:uniqueId val="{00000000-2D86-44FA-AB4F-E2B47AB26508}"/>
            </c:ext>
          </c:extLst>
        </c:ser>
        <c:ser>
          <c:idx val="1"/>
          <c:order val="1"/>
          <c:tx>
            <c:strRef>
              <c:f>'Ընդհանուր թեկնածուներ'!$B$16</c:f>
              <c:strCache>
                <c:ptCount val="1"/>
                <c:pt idx="0">
                  <c:v>Հասարակական և հումանիտար</c:v>
                </c:pt>
              </c:strCache>
            </c:strRef>
          </c:tx>
          <c:spPr>
            <a:solidFill>
              <a:schemeClr val="accent3">
                <a:lumMod val="60000"/>
                <a:lumOff val="40000"/>
              </a:schemeClr>
            </a:solidFill>
            <a:ln>
              <a:noFill/>
            </a:ln>
            <a:effectLst/>
          </c:spPr>
          <c:invertIfNegative val="0"/>
          <c:dLbls>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'Ընդհանուր թեկնածուներ'!$L$14:$Z$14</c:f>
              <c:numCache>
                <c:formatCode>General</c:formatCode>
                <c:ptCount val="15"/>
                <c:pt idx="0">
                  <c:v>2010</c:v>
                </c:pt>
                <c:pt idx="1">
                  <c:v>2011</c:v>
                </c:pt>
                <c:pt idx="2">
                  <c:v>2012</c:v>
                </c:pt>
                <c:pt idx="3">
                  <c:v>2013</c:v>
                </c:pt>
                <c:pt idx="4">
                  <c:v>2014</c:v>
                </c:pt>
                <c:pt idx="5">
                  <c:v>2015</c:v>
                </c:pt>
                <c:pt idx="6">
                  <c:v>2016</c:v>
                </c:pt>
                <c:pt idx="7">
                  <c:v>2017</c:v>
                </c:pt>
                <c:pt idx="8">
                  <c:v>2018</c:v>
                </c:pt>
                <c:pt idx="9">
                  <c:v>2019</c:v>
                </c:pt>
                <c:pt idx="10">
                  <c:v>2020</c:v>
                </c:pt>
                <c:pt idx="11">
                  <c:v>2021</c:v>
                </c:pt>
                <c:pt idx="12">
                  <c:v>2022</c:v>
                </c:pt>
                <c:pt idx="13">
                  <c:v>2023</c:v>
                </c:pt>
                <c:pt idx="14">
                  <c:v>2024</c:v>
                </c:pt>
              </c:numCache>
            </c:numRef>
          </c:cat>
          <c:val>
            <c:numRef>
              <c:f>'Ընդհանուր թեկնածուներ'!$L$16:$Z$16</c:f>
              <c:numCache>
                <c:formatCode>General</c:formatCode>
                <c:ptCount val="15"/>
                <c:pt idx="0">
                  <c:v>261</c:v>
                </c:pt>
                <c:pt idx="1">
                  <c:v>240</c:v>
                </c:pt>
                <c:pt idx="2">
                  <c:v>234</c:v>
                </c:pt>
                <c:pt idx="3">
                  <c:v>291</c:v>
                </c:pt>
                <c:pt idx="4">
                  <c:v>295</c:v>
                </c:pt>
                <c:pt idx="5">
                  <c:v>320</c:v>
                </c:pt>
                <c:pt idx="6">
                  <c:v>242</c:v>
                </c:pt>
                <c:pt idx="7">
                  <c:v>196</c:v>
                </c:pt>
                <c:pt idx="8">
                  <c:v>185</c:v>
                </c:pt>
                <c:pt idx="9">
                  <c:v>113</c:v>
                </c:pt>
                <c:pt idx="10">
                  <c:v>83</c:v>
                </c:pt>
                <c:pt idx="11">
                  <c:v>95</c:v>
                </c:pt>
                <c:pt idx="12">
                  <c:v>84</c:v>
                </c:pt>
                <c:pt idx="13">
                  <c:v>98</c:v>
                </c:pt>
                <c:pt idx="14">
                  <c:v>112</c:v>
                </c:pt>
              </c:numCache>
            </c:numRef>
          </c:val>
          <c:extLst>
            <c:ext xmlns:c16="http://schemas.microsoft.com/office/drawing/2014/chart" uri="{C3380CC4-5D6E-409C-BE32-E72D297353CC}">
              <c16:uniqueId val="{00000001-2D86-44FA-AB4F-E2B47AB26508}"/>
            </c:ext>
          </c:extLst>
        </c:ser>
        <c:dLbls>
          <c:showLegendKey val="0"/>
          <c:showVal val="0"/>
          <c:showCatName val="0"/>
          <c:showSerName val="0"/>
          <c:showPercent val="0"/>
          <c:showBubbleSize val="0"/>
        </c:dLbls>
        <c:gapWidth val="100"/>
        <c:overlap val="100"/>
        <c:axId val="466983232"/>
        <c:axId val="466982576"/>
      </c:barChart>
      <c:lineChart>
        <c:grouping val="standard"/>
        <c:varyColors val="0"/>
        <c:ser>
          <c:idx val="2"/>
          <c:order val="2"/>
          <c:tx>
            <c:strRef>
              <c:f>'Ընդհանուր թեկնածուներ'!$B$17</c:f>
              <c:strCache>
                <c:ptCount val="1"/>
                <c:pt idx="0">
                  <c:v>Ընդհանուր թեկնածուներ</c:v>
                </c:pt>
              </c:strCache>
            </c:strRef>
          </c:tx>
          <c:spPr>
            <a:ln w="19050" cap="rnd">
              <a:solidFill>
                <a:srgbClr val="7030A0"/>
              </a:solidFill>
              <a:round/>
            </a:ln>
            <a:effectLst/>
          </c:spPr>
          <c:marker>
            <c:symbol val="circle"/>
            <c:size val="5"/>
            <c:spPr>
              <a:solidFill>
                <a:schemeClr val="tx2">
                  <a:lumMod val="75000"/>
                </a:schemeClr>
              </a:solidFill>
              <a:ln w="9525">
                <a:solidFill>
                  <a:schemeClr val="accent3"/>
                </a:solidFill>
              </a:ln>
              <a:effectLst/>
            </c:spPr>
          </c:marker>
          <c:dLbls>
            <c:dLbl>
              <c:idx val="0"/>
              <c:tx>
                <c:rich>
                  <a:bodyPr/>
                  <a:lstStyle/>
                  <a:p>
                    <a:fld id="{2A490FA6-40F4-4BF1-9210-6BF82AA50AAB}" type="CELLRANGE">
                      <a:rPr lang="en-US"/>
                      <a:pPr/>
                      <a:t>[CELLRANGE]</a:t>
                    </a:fld>
                    <a:endParaRPr lang="en-US"/>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2-2D86-44FA-AB4F-E2B47AB26508}"/>
                </c:ext>
              </c:extLst>
            </c:dLbl>
            <c:dLbl>
              <c:idx val="1"/>
              <c:tx>
                <c:rich>
                  <a:bodyPr/>
                  <a:lstStyle/>
                  <a:p>
                    <a:fld id="{438F44A4-8732-4794-87B6-9366BBF0BC7D}" type="CELLRANGE">
                      <a:rPr lang="en-US"/>
                      <a:pPr/>
                      <a:t>[CELLRANGE]</a:t>
                    </a:fld>
                    <a:endParaRPr lang="en-US"/>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3-2D86-44FA-AB4F-E2B47AB26508}"/>
                </c:ext>
              </c:extLst>
            </c:dLbl>
            <c:dLbl>
              <c:idx val="2"/>
              <c:tx>
                <c:rich>
                  <a:bodyPr/>
                  <a:lstStyle/>
                  <a:p>
                    <a:fld id="{04C2BD15-98EF-45BF-B7AB-6D26517BCC4C}" type="CELLRANGE">
                      <a:rPr lang="en-US"/>
                      <a:pPr/>
                      <a:t>[CELLRANGE]</a:t>
                    </a:fld>
                    <a:endParaRPr lang="en-US"/>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4-2D86-44FA-AB4F-E2B47AB26508}"/>
                </c:ext>
              </c:extLst>
            </c:dLbl>
            <c:dLbl>
              <c:idx val="3"/>
              <c:tx>
                <c:rich>
                  <a:bodyPr/>
                  <a:lstStyle/>
                  <a:p>
                    <a:fld id="{B69A06D9-00A3-4221-BBFF-83C3D51594DA}" type="CELLRANGE">
                      <a:rPr lang="en-US"/>
                      <a:pPr/>
                      <a:t>[CELLRANGE]</a:t>
                    </a:fld>
                    <a:endParaRPr lang="en-US"/>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5-2D86-44FA-AB4F-E2B47AB26508}"/>
                </c:ext>
              </c:extLst>
            </c:dLbl>
            <c:dLbl>
              <c:idx val="4"/>
              <c:tx>
                <c:rich>
                  <a:bodyPr/>
                  <a:lstStyle/>
                  <a:p>
                    <a:fld id="{EEF8533C-1921-4189-AB55-1B9AA33B6240}" type="CELLRANGE">
                      <a:rPr lang="en-US"/>
                      <a:pPr/>
                      <a:t>[CELLRANGE]</a:t>
                    </a:fld>
                    <a:endParaRPr lang="en-US"/>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6-2D86-44FA-AB4F-E2B47AB26508}"/>
                </c:ext>
              </c:extLst>
            </c:dLbl>
            <c:dLbl>
              <c:idx val="5"/>
              <c:tx>
                <c:rich>
                  <a:bodyPr/>
                  <a:lstStyle/>
                  <a:p>
                    <a:fld id="{2F75FD6E-BCA4-4C65-90B1-6D7032FF35BB}" type="CELLRANGE">
                      <a:rPr lang="en-US"/>
                      <a:pPr/>
                      <a:t>[CELLRANGE]</a:t>
                    </a:fld>
                    <a:endParaRPr lang="en-US"/>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7-2D86-44FA-AB4F-E2B47AB26508}"/>
                </c:ext>
              </c:extLst>
            </c:dLbl>
            <c:dLbl>
              <c:idx val="6"/>
              <c:tx>
                <c:rich>
                  <a:bodyPr/>
                  <a:lstStyle/>
                  <a:p>
                    <a:fld id="{4533B49F-33B2-44A4-A7D2-F103EFFEA061}" type="CELLRANGE">
                      <a:rPr lang="en-US"/>
                      <a:pPr/>
                      <a:t>[CELLRANGE]</a:t>
                    </a:fld>
                    <a:endParaRPr lang="en-US"/>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8-2D86-44FA-AB4F-E2B47AB26508}"/>
                </c:ext>
              </c:extLst>
            </c:dLbl>
            <c:dLbl>
              <c:idx val="7"/>
              <c:tx>
                <c:rich>
                  <a:bodyPr/>
                  <a:lstStyle/>
                  <a:p>
                    <a:fld id="{6E634EA4-AECE-4FF6-9753-72B2185090A0}" type="CELLRANGE">
                      <a:rPr lang="en-US"/>
                      <a:pPr/>
                      <a:t>[CELLRANGE]</a:t>
                    </a:fld>
                    <a:endParaRPr lang="en-US"/>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9-2D86-44FA-AB4F-E2B47AB26508}"/>
                </c:ext>
              </c:extLst>
            </c:dLbl>
            <c:dLbl>
              <c:idx val="8"/>
              <c:tx>
                <c:rich>
                  <a:bodyPr/>
                  <a:lstStyle/>
                  <a:p>
                    <a:fld id="{BF0D354C-5812-4CEB-83D3-A39F29F1387B}" type="CELLRANGE">
                      <a:rPr lang="en-US"/>
                      <a:pPr/>
                      <a:t>[CELLRANGE]</a:t>
                    </a:fld>
                    <a:endParaRPr lang="en-US"/>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A-2D86-44FA-AB4F-E2B47AB26508}"/>
                </c:ext>
              </c:extLst>
            </c:dLbl>
            <c:dLbl>
              <c:idx val="9"/>
              <c:tx>
                <c:rich>
                  <a:bodyPr/>
                  <a:lstStyle/>
                  <a:p>
                    <a:fld id="{F7068F44-7243-4103-8F4F-80CF42EA41C6}" type="CELLRANGE">
                      <a:rPr lang="en-US"/>
                      <a:pPr/>
                      <a:t>[CELLRANGE]</a:t>
                    </a:fld>
                    <a:endParaRPr lang="en-US"/>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B-2D86-44FA-AB4F-E2B47AB26508}"/>
                </c:ext>
              </c:extLst>
            </c:dLbl>
            <c:dLbl>
              <c:idx val="10"/>
              <c:tx>
                <c:rich>
                  <a:bodyPr/>
                  <a:lstStyle/>
                  <a:p>
                    <a:fld id="{53A0913A-718F-49EB-9286-9832DD941F61}" type="CELLRANGE">
                      <a:rPr lang="en-US"/>
                      <a:pPr/>
                      <a:t>[CELLRANGE]</a:t>
                    </a:fld>
                    <a:endParaRPr lang="en-US"/>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C-2D86-44FA-AB4F-E2B47AB26508}"/>
                </c:ext>
              </c:extLst>
            </c:dLbl>
            <c:dLbl>
              <c:idx val="11"/>
              <c:tx>
                <c:rich>
                  <a:bodyPr/>
                  <a:lstStyle/>
                  <a:p>
                    <a:fld id="{5807FD03-6387-495A-B3CC-EDE537263E08}" type="CELLRANGE">
                      <a:rPr lang="en-US"/>
                      <a:pPr/>
                      <a:t>[CELLRANGE]</a:t>
                    </a:fld>
                    <a:endParaRPr lang="en-US"/>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D-2D86-44FA-AB4F-E2B47AB26508}"/>
                </c:ext>
              </c:extLst>
            </c:dLbl>
            <c:dLbl>
              <c:idx val="12"/>
              <c:tx>
                <c:rich>
                  <a:bodyPr/>
                  <a:lstStyle/>
                  <a:p>
                    <a:fld id="{6CE39031-6A93-412C-973F-0C154FCBC678}" type="CELLRANGE">
                      <a:rPr lang="en-US"/>
                      <a:pPr/>
                      <a:t>[CELLRANGE]</a:t>
                    </a:fld>
                    <a:endParaRPr lang="en-US"/>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E-2D86-44FA-AB4F-E2B47AB26508}"/>
                </c:ext>
              </c:extLst>
            </c:dLbl>
            <c:dLbl>
              <c:idx val="13"/>
              <c:tx>
                <c:rich>
                  <a:bodyPr/>
                  <a:lstStyle/>
                  <a:p>
                    <a:fld id="{FE0397FC-6ADC-4F5A-BD6E-F3A6F4604574}" type="CELLRANGE">
                      <a:rPr lang="en-US"/>
                      <a:pPr/>
                      <a:t>[CELLRANGE]</a:t>
                    </a:fld>
                    <a:endParaRPr lang="en-US"/>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F-2D86-44FA-AB4F-E2B47AB26508}"/>
                </c:ext>
              </c:extLst>
            </c:dLbl>
            <c:dLbl>
              <c:idx val="14"/>
              <c:tx>
                <c:rich>
                  <a:bodyPr/>
                  <a:lstStyle/>
                  <a:p>
                    <a:fld id="{FD2ED77A-7A8D-4EB0-BBF9-0EC28AC6E886}" type="CELLRANGE">
                      <a:rPr lang="en-US"/>
                      <a:pPr/>
                      <a:t>[CELLRANGE]</a:t>
                    </a:fld>
                    <a:endParaRPr lang="en-US"/>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10-2D86-44FA-AB4F-E2B47AB26508}"/>
                </c:ext>
              </c:extLst>
            </c:dLbl>
            <c:spPr>
              <a:no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chemeClr val="tx1"/>
                    </a:solidFill>
                    <a:latin typeface="+mn-lt"/>
                    <a:ea typeface="+mn-ea"/>
                    <a:cs typeface="+mn-cs"/>
                  </a:defRPr>
                </a:pPr>
                <a:endParaRPr lang="en-US"/>
              </a:p>
            </c:txPr>
            <c:dLblPos val="t"/>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cat>
            <c:numRef>
              <c:f>'Ընդհանուր թեկնածուներ'!$L$14:$Z$14</c:f>
              <c:numCache>
                <c:formatCode>General</c:formatCode>
                <c:ptCount val="15"/>
                <c:pt idx="0">
                  <c:v>2010</c:v>
                </c:pt>
                <c:pt idx="1">
                  <c:v>2011</c:v>
                </c:pt>
                <c:pt idx="2">
                  <c:v>2012</c:v>
                </c:pt>
                <c:pt idx="3">
                  <c:v>2013</c:v>
                </c:pt>
                <c:pt idx="4">
                  <c:v>2014</c:v>
                </c:pt>
                <c:pt idx="5">
                  <c:v>2015</c:v>
                </c:pt>
                <c:pt idx="6">
                  <c:v>2016</c:v>
                </c:pt>
                <c:pt idx="7">
                  <c:v>2017</c:v>
                </c:pt>
                <c:pt idx="8">
                  <c:v>2018</c:v>
                </c:pt>
                <c:pt idx="9">
                  <c:v>2019</c:v>
                </c:pt>
                <c:pt idx="10">
                  <c:v>2020</c:v>
                </c:pt>
                <c:pt idx="11">
                  <c:v>2021</c:v>
                </c:pt>
                <c:pt idx="12">
                  <c:v>2022</c:v>
                </c:pt>
                <c:pt idx="13">
                  <c:v>2023</c:v>
                </c:pt>
                <c:pt idx="14">
                  <c:v>2024</c:v>
                </c:pt>
              </c:numCache>
            </c:numRef>
          </c:cat>
          <c:val>
            <c:numRef>
              <c:f>'Ընդհանուր թեկնածուներ'!$L$17:$Z$17</c:f>
              <c:numCache>
                <c:formatCode>General</c:formatCode>
                <c:ptCount val="15"/>
                <c:pt idx="0">
                  <c:v>496</c:v>
                </c:pt>
                <c:pt idx="1">
                  <c:v>471</c:v>
                </c:pt>
                <c:pt idx="2">
                  <c:v>443</c:v>
                </c:pt>
                <c:pt idx="3">
                  <c:v>564</c:v>
                </c:pt>
                <c:pt idx="4">
                  <c:v>557</c:v>
                </c:pt>
                <c:pt idx="5">
                  <c:v>555</c:v>
                </c:pt>
                <c:pt idx="6">
                  <c:v>431</c:v>
                </c:pt>
                <c:pt idx="7">
                  <c:v>353</c:v>
                </c:pt>
                <c:pt idx="8">
                  <c:v>317</c:v>
                </c:pt>
                <c:pt idx="9">
                  <c:v>217</c:v>
                </c:pt>
                <c:pt idx="10">
                  <c:v>147</c:v>
                </c:pt>
                <c:pt idx="11">
                  <c:v>159</c:v>
                </c:pt>
                <c:pt idx="12">
                  <c:v>166</c:v>
                </c:pt>
                <c:pt idx="13">
                  <c:v>156</c:v>
                </c:pt>
                <c:pt idx="14">
                  <c:v>194</c:v>
                </c:pt>
              </c:numCache>
            </c:numRef>
          </c:val>
          <c:smooth val="0"/>
          <c:extLst>
            <c:ext xmlns:c15="http://schemas.microsoft.com/office/drawing/2012/chart" uri="{02D57815-91ED-43cb-92C2-25804820EDAC}">
              <c15:datalabelsRange>
                <c15:f>'Ընդհանուր թեկնածուներ'!$L$6:$Z$6</c15:f>
                <c15:dlblRangeCache>
                  <c:ptCount val="15"/>
                  <c:pt idx="0">
                    <c:v>496 
(218)</c:v>
                  </c:pt>
                  <c:pt idx="1">
                    <c:v>471 
(184)</c:v>
                  </c:pt>
                  <c:pt idx="2">
                    <c:v>443 
(161)</c:v>
                  </c:pt>
                  <c:pt idx="3">
                    <c:v>564 
(297)</c:v>
                  </c:pt>
                  <c:pt idx="4">
                    <c:v>557 
(261)</c:v>
                  </c:pt>
                  <c:pt idx="5">
                    <c:v>555 
(183)</c:v>
                  </c:pt>
                  <c:pt idx="6">
                    <c:v>431 
(121)</c:v>
                  </c:pt>
                  <c:pt idx="7">
                    <c:v>353 
(149)</c:v>
                  </c:pt>
                  <c:pt idx="8">
                    <c:v>317 
(102)</c:v>
                  </c:pt>
                  <c:pt idx="9">
                    <c:v>217 
(80)</c:v>
                  </c:pt>
                  <c:pt idx="10">
                    <c:v>147 
(68)</c:v>
                  </c:pt>
                  <c:pt idx="11">
                    <c:v>159 
(82)</c:v>
                  </c:pt>
                  <c:pt idx="12">
                    <c:v>166 
(64)</c:v>
                  </c:pt>
                  <c:pt idx="13">
                    <c:v>156 
(80)</c:v>
                  </c:pt>
                  <c:pt idx="14">
                    <c:v>194 
(87)</c:v>
                  </c:pt>
                </c15:dlblRangeCache>
              </c15:datalabelsRange>
            </c:ext>
            <c:ext xmlns:c16="http://schemas.microsoft.com/office/drawing/2014/chart" uri="{C3380CC4-5D6E-409C-BE32-E72D297353CC}">
              <c16:uniqueId val="{00000011-2D86-44FA-AB4F-E2B47AB26508}"/>
            </c:ext>
          </c:extLst>
        </c:ser>
        <c:dLbls>
          <c:showLegendKey val="0"/>
          <c:showVal val="0"/>
          <c:showCatName val="0"/>
          <c:showSerName val="0"/>
          <c:showPercent val="0"/>
          <c:showBubbleSize val="0"/>
        </c:dLbls>
        <c:marker val="1"/>
        <c:smooth val="0"/>
        <c:axId val="466983232"/>
        <c:axId val="466982576"/>
      </c:lineChart>
      <c:catAx>
        <c:axId val="4669832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crossAx val="466982576"/>
        <c:crosses val="autoZero"/>
        <c:auto val="1"/>
        <c:lblAlgn val="ctr"/>
        <c:lblOffset val="100"/>
        <c:noMultiLvlLbl val="0"/>
      </c:catAx>
      <c:valAx>
        <c:axId val="466982576"/>
        <c:scaling>
          <c:orientation val="minMax"/>
          <c:max val="650"/>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466983232"/>
        <c:crosses val="autoZero"/>
        <c:crossBetween val="between"/>
      </c:valAx>
      <c:spPr>
        <a:noFill/>
        <a:ln>
          <a:noFill/>
        </a:ln>
        <a:effectLst/>
      </c:spPr>
    </c:plotArea>
    <c:legend>
      <c:legendPos val="b"/>
      <c:layout>
        <c:manualLayout>
          <c:xMode val="edge"/>
          <c:yMode val="edge"/>
          <c:x val="0.57750326797385609"/>
          <c:y val="3.8457475994513032E-2"/>
          <c:w val="0.40777450980392155"/>
          <c:h val="0.17011625514403292"/>
        </c:manualLayout>
      </c:layout>
      <c:overlay val="0"/>
      <c:spPr>
        <a:solidFill>
          <a:schemeClr val="bg1"/>
        </a:solidFill>
        <a:ln>
          <a:noFill/>
        </a:ln>
        <a:effectLst/>
      </c:spPr>
      <c:txPr>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solidFill>
            <a:schemeClr val="tx1"/>
          </a:solidFill>
        </a:defRPr>
      </a:pPr>
      <a:endParaRPr lang="en-US"/>
    </a:p>
  </c:txPr>
  <c:externalData r:id="rId4">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5.6564619916640434E-2"/>
          <c:y val="8.4848484848484854E-2"/>
          <c:w val="0.92334405877193282"/>
          <c:h val="0.79902999625046867"/>
        </c:manualLayout>
      </c:layout>
      <c:barChart>
        <c:barDir val="col"/>
        <c:grouping val="stacked"/>
        <c:varyColors val="0"/>
        <c:ser>
          <c:idx val="0"/>
          <c:order val="0"/>
          <c:tx>
            <c:strRef>
              <c:f>'Ընդհանուր դոկտորներ'!$B$15</c:f>
              <c:strCache>
                <c:ptCount val="1"/>
                <c:pt idx="0">
                  <c:v>Բնագիտական և ճարտարագիտական</c:v>
                </c:pt>
              </c:strCache>
            </c:strRef>
          </c:tx>
          <c:spPr>
            <a:solidFill>
              <a:schemeClr val="accent6">
                <a:lumMod val="75000"/>
              </a:schemeClr>
            </a:solidFill>
            <a:ln>
              <a:noFill/>
            </a:ln>
            <a:effectLst/>
          </c:spPr>
          <c:invertIfNegative val="0"/>
          <c:dLbls>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'Ընդհանուր դոկտորներ'!$C$14:$Q$14</c:f>
              <c:numCache>
                <c:formatCode>General</c:formatCode>
                <c:ptCount val="15"/>
                <c:pt idx="0">
                  <c:v>2010</c:v>
                </c:pt>
                <c:pt idx="1">
                  <c:v>2011</c:v>
                </c:pt>
                <c:pt idx="2">
                  <c:v>2012</c:v>
                </c:pt>
                <c:pt idx="3">
                  <c:v>2013</c:v>
                </c:pt>
                <c:pt idx="4">
                  <c:v>2014</c:v>
                </c:pt>
                <c:pt idx="5">
                  <c:v>2015</c:v>
                </c:pt>
                <c:pt idx="6">
                  <c:v>2016</c:v>
                </c:pt>
                <c:pt idx="7">
                  <c:v>2017</c:v>
                </c:pt>
                <c:pt idx="8">
                  <c:v>2018</c:v>
                </c:pt>
                <c:pt idx="9">
                  <c:v>2019</c:v>
                </c:pt>
                <c:pt idx="10">
                  <c:v>2020</c:v>
                </c:pt>
                <c:pt idx="11">
                  <c:v>2021</c:v>
                </c:pt>
                <c:pt idx="12">
                  <c:v>2022</c:v>
                </c:pt>
                <c:pt idx="13">
                  <c:v>2023</c:v>
                </c:pt>
                <c:pt idx="14">
                  <c:v>2024</c:v>
                </c:pt>
              </c:numCache>
            </c:numRef>
          </c:cat>
          <c:val>
            <c:numRef>
              <c:f>'Ընդհանուր դոկտորներ'!$C$15:$Q$15</c:f>
              <c:numCache>
                <c:formatCode>General</c:formatCode>
                <c:ptCount val="15"/>
                <c:pt idx="0">
                  <c:v>27</c:v>
                </c:pt>
                <c:pt idx="1">
                  <c:v>35</c:v>
                </c:pt>
                <c:pt idx="2">
                  <c:v>27</c:v>
                </c:pt>
                <c:pt idx="3">
                  <c:v>32</c:v>
                </c:pt>
                <c:pt idx="4">
                  <c:v>24</c:v>
                </c:pt>
                <c:pt idx="5">
                  <c:v>20</c:v>
                </c:pt>
                <c:pt idx="6">
                  <c:v>20</c:v>
                </c:pt>
                <c:pt idx="7">
                  <c:v>22</c:v>
                </c:pt>
                <c:pt idx="8">
                  <c:v>22</c:v>
                </c:pt>
                <c:pt idx="9">
                  <c:v>4</c:v>
                </c:pt>
                <c:pt idx="10">
                  <c:v>4</c:v>
                </c:pt>
                <c:pt idx="11">
                  <c:v>12</c:v>
                </c:pt>
                <c:pt idx="12">
                  <c:v>6</c:v>
                </c:pt>
                <c:pt idx="13">
                  <c:v>6</c:v>
                </c:pt>
                <c:pt idx="14">
                  <c:v>1</c:v>
                </c:pt>
              </c:numCache>
            </c:numRef>
          </c:val>
          <c:extLst>
            <c:ext xmlns:c16="http://schemas.microsoft.com/office/drawing/2014/chart" uri="{C3380CC4-5D6E-409C-BE32-E72D297353CC}">
              <c16:uniqueId val="{00000000-DD6C-41BE-B9BF-25662D7102A5}"/>
            </c:ext>
          </c:extLst>
        </c:ser>
        <c:ser>
          <c:idx val="1"/>
          <c:order val="1"/>
          <c:tx>
            <c:strRef>
              <c:f>'Ընդհանուր դոկտորներ'!$B$16</c:f>
              <c:strCache>
                <c:ptCount val="1"/>
                <c:pt idx="0">
                  <c:v>Հասարակական և հումանիտար</c:v>
                </c:pt>
              </c:strCache>
            </c:strRef>
          </c:tx>
          <c:spPr>
            <a:solidFill>
              <a:schemeClr val="accent3">
                <a:lumMod val="60000"/>
                <a:lumOff val="40000"/>
              </a:schemeClr>
            </a:solidFill>
            <a:ln>
              <a:noFill/>
            </a:ln>
            <a:effectLst/>
          </c:spPr>
          <c:invertIfNegative val="0"/>
          <c:dLbls>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'Ընդհանուր դոկտորներ'!$C$14:$Q$14</c:f>
              <c:numCache>
                <c:formatCode>General</c:formatCode>
                <c:ptCount val="15"/>
                <c:pt idx="0">
                  <c:v>2010</c:v>
                </c:pt>
                <c:pt idx="1">
                  <c:v>2011</c:v>
                </c:pt>
                <c:pt idx="2">
                  <c:v>2012</c:v>
                </c:pt>
                <c:pt idx="3">
                  <c:v>2013</c:v>
                </c:pt>
                <c:pt idx="4">
                  <c:v>2014</c:v>
                </c:pt>
                <c:pt idx="5">
                  <c:v>2015</c:v>
                </c:pt>
                <c:pt idx="6">
                  <c:v>2016</c:v>
                </c:pt>
                <c:pt idx="7">
                  <c:v>2017</c:v>
                </c:pt>
                <c:pt idx="8">
                  <c:v>2018</c:v>
                </c:pt>
                <c:pt idx="9">
                  <c:v>2019</c:v>
                </c:pt>
                <c:pt idx="10">
                  <c:v>2020</c:v>
                </c:pt>
                <c:pt idx="11">
                  <c:v>2021</c:v>
                </c:pt>
                <c:pt idx="12">
                  <c:v>2022</c:v>
                </c:pt>
                <c:pt idx="13">
                  <c:v>2023</c:v>
                </c:pt>
                <c:pt idx="14">
                  <c:v>2024</c:v>
                </c:pt>
              </c:numCache>
            </c:numRef>
          </c:cat>
          <c:val>
            <c:numRef>
              <c:f>'Ընդհանուր դոկտորներ'!$C$16:$Q$16</c:f>
              <c:numCache>
                <c:formatCode>General</c:formatCode>
                <c:ptCount val="15"/>
                <c:pt idx="0">
                  <c:v>16</c:v>
                </c:pt>
                <c:pt idx="1">
                  <c:v>11</c:v>
                </c:pt>
                <c:pt idx="2">
                  <c:v>25</c:v>
                </c:pt>
                <c:pt idx="3">
                  <c:v>14</c:v>
                </c:pt>
                <c:pt idx="4">
                  <c:v>14</c:v>
                </c:pt>
                <c:pt idx="5">
                  <c:v>19</c:v>
                </c:pt>
                <c:pt idx="6">
                  <c:v>14</c:v>
                </c:pt>
                <c:pt idx="7">
                  <c:v>19</c:v>
                </c:pt>
                <c:pt idx="8">
                  <c:v>20</c:v>
                </c:pt>
                <c:pt idx="9">
                  <c:v>2</c:v>
                </c:pt>
                <c:pt idx="10">
                  <c:v>6</c:v>
                </c:pt>
                <c:pt idx="11">
                  <c:v>5</c:v>
                </c:pt>
                <c:pt idx="12">
                  <c:v>5</c:v>
                </c:pt>
                <c:pt idx="13">
                  <c:v>1</c:v>
                </c:pt>
                <c:pt idx="14">
                  <c:v>2</c:v>
                </c:pt>
              </c:numCache>
            </c:numRef>
          </c:val>
          <c:extLst>
            <c:ext xmlns:c16="http://schemas.microsoft.com/office/drawing/2014/chart" uri="{C3380CC4-5D6E-409C-BE32-E72D297353CC}">
              <c16:uniqueId val="{00000001-DD6C-41BE-B9BF-25662D7102A5}"/>
            </c:ext>
          </c:extLst>
        </c:ser>
        <c:dLbls>
          <c:showLegendKey val="0"/>
          <c:showVal val="0"/>
          <c:showCatName val="0"/>
          <c:showSerName val="0"/>
          <c:showPercent val="0"/>
          <c:showBubbleSize val="0"/>
        </c:dLbls>
        <c:gapWidth val="100"/>
        <c:overlap val="100"/>
        <c:axId val="466983232"/>
        <c:axId val="466982576"/>
      </c:barChart>
      <c:lineChart>
        <c:grouping val="standard"/>
        <c:varyColors val="0"/>
        <c:ser>
          <c:idx val="2"/>
          <c:order val="2"/>
          <c:tx>
            <c:strRef>
              <c:f>'Ընդհանուր դոկտորներ'!$B$17</c:f>
              <c:strCache>
                <c:ptCount val="1"/>
                <c:pt idx="0">
                  <c:v>Ընդհանուր դոկտորներ</c:v>
                </c:pt>
              </c:strCache>
            </c:strRef>
          </c:tx>
          <c:spPr>
            <a:ln w="19050" cap="rnd">
              <a:solidFill>
                <a:srgbClr val="7030A0"/>
              </a:solidFill>
              <a:round/>
            </a:ln>
            <a:effectLst/>
          </c:spPr>
          <c:marker>
            <c:symbol val="circle"/>
            <c:size val="5"/>
            <c:spPr>
              <a:solidFill>
                <a:schemeClr val="tx2">
                  <a:lumMod val="75000"/>
                </a:schemeClr>
              </a:solidFill>
              <a:ln w="9525">
                <a:solidFill>
                  <a:schemeClr val="accent3"/>
                </a:solidFill>
              </a:ln>
              <a:effectLst/>
            </c:spPr>
          </c:marker>
          <c:dLbls>
            <c:spPr>
              <a:noFill/>
              <a:ln>
                <a:noFill/>
              </a:ln>
              <a:effectLst/>
            </c:spPr>
            <c:txPr>
              <a:bodyPr rot="0" spcFirstLastPara="1" vertOverflow="ellipsis" vert="horz" wrap="square" anchor="ctr" anchorCtr="1"/>
              <a:lstStyle/>
              <a:p>
                <a:pPr>
                  <a:defRPr sz="1050" b="1" i="0" u="none" strike="noStrike" kern="1200" baseline="0">
                    <a:solidFill>
                      <a:schemeClr val="tx1"/>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'Ընդհանուր դոկտորներ'!$C$14:$Q$14</c:f>
              <c:numCache>
                <c:formatCode>General</c:formatCode>
                <c:ptCount val="15"/>
                <c:pt idx="0">
                  <c:v>2010</c:v>
                </c:pt>
                <c:pt idx="1">
                  <c:v>2011</c:v>
                </c:pt>
                <c:pt idx="2">
                  <c:v>2012</c:v>
                </c:pt>
                <c:pt idx="3">
                  <c:v>2013</c:v>
                </c:pt>
                <c:pt idx="4">
                  <c:v>2014</c:v>
                </c:pt>
                <c:pt idx="5">
                  <c:v>2015</c:v>
                </c:pt>
                <c:pt idx="6">
                  <c:v>2016</c:v>
                </c:pt>
                <c:pt idx="7">
                  <c:v>2017</c:v>
                </c:pt>
                <c:pt idx="8">
                  <c:v>2018</c:v>
                </c:pt>
                <c:pt idx="9">
                  <c:v>2019</c:v>
                </c:pt>
                <c:pt idx="10">
                  <c:v>2020</c:v>
                </c:pt>
                <c:pt idx="11">
                  <c:v>2021</c:v>
                </c:pt>
                <c:pt idx="12">
                  <c:v>2022</c:v>
                </c:pt>
                <c:pt idx="13">
                  <c:v>2023</c:v>
                </c:pt>
                <c:pt idx="14">
                  <c:v>2024</c:v>
                </c:pt>
              </c:numCache>
            </c:numRef>
          </c:cat>
          <c:val>
            <c:numRef>
              <c:f>'Ընդհանուր դոկտորներ'!$C$17:$Q$17</c:f>
              <c:numCache>
                <c:formatCode>General</c:formatCode>
                <c:ptCount val="15"/>
                <c:pt idx="0">
                  <c:v>43</c:v>
                </c:pt>
                <c:pt idx="1">
                  <c:v>46</c:v>
                </c:pt>
                <c:pt idx="2">
                  <c:v>52</c:v>
                </c:pt>
                <c:pt idx="3">
                  <c:v>46</c:v>
                </c:pt>
                <c:pt idx="4">
                  <c:v>38</c:v>
                </c:pt>
                <c:pt idx="5">
                  <c:v>39</c:v>
                </c:pt>
                <c:pt idx="6">
                  <c:v>34</c:v>
                </c:pt>
                <c:pt idx="7">
                  <c:v>41</c:v>
                </c:pt>
                <c:pt idx="8">
                  <c:v>42</c:v>
                </c:pt>
                <c:pt idx="9">
                  <c:v>6</c:v>
                </c:pt>
                <c:pt idx="10">
                  <c:v>10</c:v>
                </c:pt>
                <c:pt idx="11">
                  <c:v>17</c:v>
                </c:pt>
                <c:pt idx="12">
                  <c:v>11</c:v>
                </c:pt>
                <c:pt idx="13">
                  <c:v>7</c:v>
                </c:pt>
                <c:pt idx="14">
                  <c:v>3</c:v>
                </c:pt>
              </c:numCache>
            </c:numRef>
          </c:val>
          <c:smooth val="0"/>
          <c:extLst>
            <c:ext xmlns:c16="http://schemas.microsoft.com/office/drawing/2014/chart" uri="{C3380CC4-5D6E-409C-BE32-E72D297353CC}">
              <c16:uniqueId val="{00000002-DD6C-41BE-B9BF-25662D7102A5}"/>
            </c:ext>
          </c:extLst>
        </c:ser>
        <c:dLbls>
          <c:showLegendKey val="0"/>
          <c:showVal val="0"/>
          <c:showCatName val="0"/>
          <c:showSerName val="0"/>
          <c:showPercent val="0"/>
          <c:showBubbleSize val="0"/>
        </c:dLbls>
        <c:marker val="1"/>
        <c:smooth val="0"/>
        <c:axId val="466983232"/>
        <c:axId val="466982576"/>
      </c:lineChart>
      <c:catAx>
        <c:axId val="4669832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crossAx val="466982576"/>
        <c:crosses val="autoZero"/>
        <c:auto val="1"/>
        <c:lblAlgn val="ctr"/>
        <c:lblOffset val="100"/>
        <c:noMultiLvlLbl val="0"/>
      </c:catAx>
      <c:valAx>
        <c:axId val="466982576"/>
        <c:scaling>
          <c:orientation val="minMax"/>
          <c:max val="55"/>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466983232"/>
        <c:crosses val="autoZero"/>
        <c:crossBetween val="between"/>
      </c:valAx>
      <c:spPr>
        <a:noFill/>
        <a:ln>
          <a:noFill/>
        </a:ln>
        <a:effectLst/>
      </c:spPr>
    </c:plotArea>
    <c:legend>
      <c:legendPos val="b"/>
      <c:layout>
        <c:manualLayout>
          <c:xMode val="edge"/>
          <c:yMode val="edge"/>
          <c:x val="0.60465179738562103"/>
          <c:y val="0.10737870266216723"/>
          <c:w val="0.37978562091503271"/>
          <c:h val="0.15610461192350955"/>
        </c:manualLayout>
      </c:layout>
      <c:overlay val="0"/>
      <c:spPr>
        <a:solidFill>
          <a:schemeClr val="bg1"/>
        </a:solid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solidFill>
            <a:schemeClr val="tx1"/>
          </a:solidFill>
        </a:defRPr>
      </a:pPr>
      <a:endParaRPr lang="en-US"/>
    </a:p>
  </c:txPr>
  <c:externalData r:id="rId4">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stacked"/>
        <c:varyColors val="0"/>
        <c:ser>
          <c:idx val="1"/>
          <c:order val="0"/>
          <c:tx>
            <c:strRef>
              <c:f>'Բազային կամ դրամաշնորհային ընդգ'!$I$10</c:f>
              <c:strCache>
                <c:ptCount val="1"/>
                <c:pt idx="0">
                  <c:v>Ընդգրկված</c:v>
                </c:pt>
              </c:strCache>
            </c:strRef>
          </c:tx>
          <c:spPr>
            <a:solidFill>
              <a:schemeClr val="accent2">
                <a:lumMod val="60000"/>
                <a:lumOff val="40000"/>
              </a:schemeClr>
            </a:solidFill>
            <a:ln>
              <a:noFill/>
            </a:ln>
            <a:effectLst/>
          </c:spPr>
          <c:invertIfNegative val="0"/>
          <c:dLbls>
            <c:dLbl>
              <c:idx val="0"/>
              <c:tx>
                <c:rich>
                  <a:bodyPr/>
                  <a:lstStyle/>
                  <a:p>
                    <a:fld id="{3ECC4760-7D9F-4BCA-A1AC-79BF891D1B83}" type="CELLRANGE">
                      <a:rPr lang="en-US"/>
                      <a:pPr/>
                      <a:t>[CELLRANGE]</a:t>
                    </a:fld>
                    <a:endParaRPr lang="en-US"/>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E504-4465-857E-7B9C04348AF9}"/>
                </c:ext>
              </c:extLst>
            </c:dLbl>
            <c:dLbl>
              <c:idx val="1"/>
              <c:tx>
                <c:rich>
                  <a:bodyPr/>
                  <a:lstStyle/>
                  <a:p>
                    <a:fld id="{A3B3BA74-2F4A-484E-AB23-77BBDDF90B7B}" type="CELLRANGE">
                      <a:rPr lang="en-US"/>
                      <a:pPr/>
                      <a:t>[CELLRANGE]</a:t>
                    </a:fld>
                    <a:endParaRPr lang="en-US"/>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E504-4465-857E-7B9C04348AF9}"/>
                </c:ext>
              </c:extLst>
            </c:dLbl>
            <c:dLbl>
              <c:idx val="2"/>
              <c:tx>
                <c:rich>
                  <a:bodyPr/>
                  <a:lstStyle/>
                  <a:p>
                    <a:fld id="{E528DEAC-198A-40AE-A19E-88357F9FB21F}" type="CELLRANGE">
                      <a:rPr lang="en-US"/>
                      <a:pPr/>
                      <a:t>[CELLRANGE]</a:t>
                    </a:fld>
                    <a:endParaRPr lang="en-US"/>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2-E504-4465-857E-7B9C04348AF9}"/>
                </c:ext>
              </c:extLst>
            </c:dLbl>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en-US"/>
              </a:p>
            </c:txPr>
            <c:dLblPos val="ct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1"/>
                <c15:leaderLines>
                  <c:spPr>
                    <a:ln w="9525" cap="flat" cmpd="sng" algn="ctr">
                      <a:solidFill>
                        <a:schemeClr val="tx1">
                          <a:lumMod val="35000"/>
                          <a:lumOff val="65000"/>
                        </a:schemeClr>
                      </a:solidFill>
                      <a:round/>
                    </a:ln>
                    <a:effectLst/>
                  </c:spPr>
                </c15:leaderLines>
              </c:ext>
            </c:extLst>
          </c:dLbls>
          <c:cat>
            <c:strRef>
              <c:f>'Բազային կամ դրամաշնորհային ընդգ'!$G$11:$G$13</c:f>
              <c:strCache>
                <c:ptCount val="3"/>
                <c:pt idx="0">
                  <c:v>ԲՏՃՄ</c:v>
                </c:pt>
                <c:pt idx="1">
                  <c:v>Հասարակական</c:v>
                </c:pt>
                <c:pt idx="2">
                  <c:v>Հումանիտար</c:v>
                </c:pt>
              </c:strCache>
            </c:strRef>
          </c:cat>
          <c:val>
            <c:numRef>
              <c:f>'Բազային կամ դրամաշնորհային ընդգ'!$I$11:$I$13</c:f>
              <c:numCache>
                <c:formatCode>General</c:formatCode>
                <c:ptCount val="3"/>
                <c:pt idx="0">
                  <c:v>80</c:v>
                </c:pt>
                <c:pt idx="1">
                  <c:v>9</c:v>
                </c:pt>
                <c:pt idx="2">
                  <c:v>18</c:v>
                </c:pt>
              </c:numCache>
            </c:numRef>
          </c:val>
          <c:extLst>
            <c:ext xmlns:c15="http://schemas.microsoft.com/office/drawing/2012/chart" uri="{02D57815-91ED-43cb-92C2-25804820EDAC}">
              <c15:datalabelsRange>
                <c15:f>'Բազային կամ դրամաշնորհային ընդգ'!$I$14:$I$16</c15:f>
                <c15:dlblRangeCache>
                  <c:ptCount val="3"/>
                  <c:pt idx="0">
                    <c:v>80 (57.1%)</c:v>
                  </c:pt>
                  <c:pt idx="1">
                    <c:v>9 (6.6%)</c:v>
                  </c:pt>
                  <c:pt idx="2">
                    <c:v>18 (24.7%)</c:v>
                  </c:pt>
                </c15:dlblRangeCache>
              </c15:datalabelsRange>
            </c:ext>
            <c:ext xmlns:c16="http://schemas.microsoft.com/office/drawing/2014/chart" uri="{C3380CC4-5D6E-409C-BE32-E72D297353CC}">
              <c16:uniqueId val="{00000003-E504-4465-857E-7B9C04348AF9}"/>
            </c:ext>
          </c:extLst>
        </c:ser>
        <c:ser>
          <c:idx val="0"/>
          <c:order val="1"/>
          <c:tx>
            <c:strRef>
              <c:f>'Բազային կամ դրամաշնորհային ընդգ'!$H$10</c:f>
              <c:strCache>
                <c:ptCount val="1"/>
                <c:pt idx="0">
                  <c:v>Չընդգրկված</c:v>
                </c:pt>
              </c:strCache>
            </c:strRef>
          </c:tx>
          <c:spPr>
            <a:solidFill>
              <a:schemeClr val="accent3">
                <a:lumMod val="60000"/>
                <a:lumOff val="40000"/>
              </a:schemeClr>
            </a:solidFill>
            <a:ln>
              <a:noFill/>
            </a:ln>
            <a:effectLst/>
          </c:spPr>
          <c:invertIfNegative val="0"/>
          <c:cat>
            <c:strRef>
              <c:f>'Բազային կամ դրամաշնորհային ընդգ'!$G$11:$G$13</c:f>
              <c:strCache>
                <c:ptCount val="3"/>
                <c:pt idx="0">
                  <c:v>ԲՏՃՄ</c:v>
                </c:pt>
                <c:pt idx="1">
                  <c:v>Հասարակական</c:v>
                </c:pt>
                <c:pt idx="2">
                  <c:v>Հումանիտար</c:v>
                </c:pt>
              </c:strCache>
            </c:strRef>
          </c:cat>
          <c:val>
            <c:numRef>
              <c:f>'Բազային կամ դրամաշնորհային ընդգ'!$H$11:$H$13</c:f>
              <c:numCache>
                <c:formatCode>General</c:formatCode>
                <c:ptCount val="3"/>
                <c:pt idx="0">
                  <c:v>60</c:v>
                </c:pt>
                <c:pt idx="1">
                  <c:v>128</c:v>
                </c:pt>
                <c:pt idx="2">
                  <c:v>55</c:v>
                </c:pt>
              </c:numCache>
            </c:numRef>
          </c:val>
          <c:extLst>
            <c:ext xmlns:c16="http://schemas.microsoft.com/office/drawing/2014/chart" uri="{C3380CC4-5D6E-409C-BE32-E72D297353CC}">
              <c16:uniqueId val="{00000004-E504-4465-857E-7B9C04348AF9}"/>
            </c:ext>
          </c:extLst>
        </c:ser>
        <c:dLbls>
          <c:showLegendKey val="0"/>
          <c:showVal val="0"/>
          <c:showCatName val="0"/>
          <c:showSerName val="0"/>
          <c:showPercent val="0"/>
          <c:showBubbleSize val="0"/>
        </c:dLbls>
        <c:gapWidth val="100"/>
        <c:overlap val="100"/>
        <c:axId val="992550096"/>
        <c:axId val="992542896"/>
      </c:barChart>
      <c:scatterChart>
        <c:scatterStyle val="lineMarker"/>
        <c:varyColors val="0"/>
        <c:ser>
          <c:idx val="2"/>
          <c:order val="2"/>
          <c:spPr>
            <a:ln w="25400" cap="rnd">
              <a:no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ysClr val="windowText" lastClr="000000"/>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yVal>
            <c:numRef>
              <c:f>'Բազային կամ դրամաշնորհային ընդգ'!$J$11:$J$13</c:f>
              <c:numCache>
                <c:formatCode>General</c:formatCode>
                <c:ptCount val="3"/>
                <c:pt idx="0">
                  <c:v>140</c:v>
                </c:pt>
                <c:pt idx="1">
                  <c:v>137</c:v>
                </c:pt>
                <c:pt idx="2">
                  <c:v>73</c:v>
                </c:pt>
              </c:numCache>
            </c:numRef>
          </c:yVal>
          <c:smooth val="0"/>
          <c:extLst>
            <c:ext xmlns:c16="http://schemas.microsoft.com/office/drawing/2014/chart" uri="{C3380CC4-5D6E-409C-BE32-E72D297353CC}">
              <c16:uniqueId val="{00000005-E504-4465-857E-7B9C04348AF9}"/>
            </c:ext>
          </c:extLst>
        </c:ser>
        <c:dLbls>
          <c:showLegendKey val="0"/>
          <c:showVal val="0"/>
          <c:showCatName val="0"/>
          <c:showSerName val="0"/>
          <c:showPercent val="0"/>
          <c:showBubbleSize val="0"/>
        </c:dLbls>
        <c:axId val="992550096"/>
        <c:axId val="992542896"/>
      </c:scatterChart>
      <c:catAx>
        <c:axId val="9925500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992542896"/>
        <c:crosses val="autoZero"/>
        <c:auto val="1"/>
        <c:lblAlgn val="ctr"/>
        <c:lblOffset val="100"/>
        <c:noMultiLvlLbl val="0"/>
      </c:catAx>
      <c:valAx>
        <c:axId val="9925428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992550096"/>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defRPr>
      </a:pPr>
      <a:endParaRPr lang="en-US"/>
    </a:p>
  </c:txPr>
  <c:externalData r:id="rId4">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1.0569716033172609E-2"/>
          <c:y val="3.5256326349934669E-2"/>
          <c:w val="0.97595635209951448"/>
          <c:h val="0.71611508685418634"/>
        </c:manualLayout>
      </c:layout>
      <c:ofPieChart>
        <c:ofPieType val="bar"/>
        <c:varyColors val="1"/>
        <c:ser>
          <c:idx val="0"/>
          <c:order val="0"/>
          <c:dPt>
            <c:idx val="0"/>
            <c:bubble3D val="0"/>
            <c:spPr>
              <a:solidFill>
                <a:schemeClr val="accent3">
                  <a:lumMod val="20000"/>
                  <a:lumOff val="80000"/>
                </a:schemeClr>
              </a:solidFill>
              <a:ln w="19050">
                <a:noFill/>
              </a:ln>
              <a:effectLst/>
            </c:spPr>
            <c:extLst>
              <c:ext xmlns:c16="http://schemas.microsoft.com/office/drawing/2014/chart" uri="{C3380CC4-5D6E-409C-BE32-E72D297353CC}">
                <c16:uniqueId val="{00000001-515B-41C8-B2D5-B37355BB6C98}"/>
              </c:ext>
            </c:extLst>
          </c:dPt>
          <c:dPt>
            <c:idx val="1"/>
            <c:bubble3D val="0"/>
            <c:spPr>
              <a:solidFill>
                <a:schemeClr val="accent3">
                  <a:lumMod val="40000"/>
                  <a:lumOff val="60000"/>
                </a:schemeClr>
              </a:solidFill>
              <a:ln w="19050">
                <a:noFill/>
              </a:ln>
              <a:effectLst/>
            </c:spPr>
            <c:extLst>
              <c:ext xmlns:c16="http://schemas.microsoft.com/office/drawing/2014/chart" uri="{C3380CC4-5D6E-409C-BE32-E72D297353CC}">
                <c16:uniqueId val="{00000003-515B-41C8-B2D5-B37355BB6C98}"/>
              </c:ext>
            </c:extLst>
          </c:dPt>
          <c:dPt>
            <c:idx val="2"/>
            <c:bubble3D val="0"/>
            <c:spPr>
              <a:solidFill>
                <a:schemeClr val="accent3">
                  <a:lumMod val="60000"/>
                  <a:lumOff val="40000"/>
                </a:schemeClr>
              </a:solidFill>
              <a:ln w="19050">
                <a:noFill/>
              </a:ln>
              <a:effectLst/>
            </c:spPr>
            <c:extLst>
              <c:ext xmlns:c16="http://schemas.microsoft.com/office/drawing/2014/chart" uri="{C3380CC4-5D6E-409C-BE32-E72D297353CC}">
                <c16:uniqueId val="{00000005-515B-41C8-B2D5-B37355BB6C98}"/>
              </c:ext>
            </c:extLst>
          </c:dPt>
          <c:dPt>
            <c:idx val="3"/>
            <c:bubble3D val="0"/>
            <c:spPr>
              <a:solidFill>
                <a:schemeClr val="accent3">
                  <a:lumMod val="75000"/>
                </a:schemeClr>
              </a:solidFill>
              <a:ln w="19050">
                <a:noFill/>
              </a:ln>
              <a:effectLst/>
            </c:spPr>
            <c:extLst>
              <c:ext xmlns:c16="http://schemas.microsoft.com/office/drawing/2014/chart" uri="{C3380CC4-5D6E-409C-BE32-E72D297353CC}">
                <c16:uniqueId val="{00000007-515B-41C8-B2D5-B37355BB6C98}"/>
              </c:ext>
            </c:extLst>
          </c:dPt>
          <c:dPt>
            <c:idx val="4"/>
            <c:bubble3D val="0"/>
            <c:spPr>
              <a:solidFill>
                <a:schemeClr val="accent3">
                  <a:lumMod val="60000"/>
                </a:schemeClr>
              </a:solidFill>
              <a:ln w="19050">
                <a:noFill/>
              </a:ln>
              <a:effectLst/>
            </c:spPr>
            <c:extLst>
              <c:ext xmlns:c16="http://schemas.microsoft.com/office/drawing/2014/chart" uri="{C3380CC4-5D6E-409C-BE32-E72D297353CC}">
                <c16:uniqueId val="{00000009-515B-41C8-B2D5-B37355BB6C98}"/>
              </c:ext>
            </c:extLst>
          </c:dPt>
          <c:dPt>
            <c:idx val="5"/>
            <c:bubble3D val="0"/>
            <c:spPr>
              <a:solidFill>
                <a:schemeClr val="bg2">
                  <a:lumMod val="50000"/>
                </a:schemeClr>
              </a:solidFill>
              <a:ln w="19050">
                <a:noFill/>
              </a:ln>
              <a:effectLst/>
            </c:spPr>
            <c:extLst>
              <c:ext xmlns:c16="http://schemas.microsoft.com/office/drawing/2014/chart" uri="{C3380CC4-5D6E-409C-BE32-E72D297353CC}">
                <c16:uniqueId val="{0000000B-515B-41C8-B2D5-B37355BB6C98}"/>
              </c:ext>
            </c:extLst>
          </c:dPt>
          <c:dPt>
            <c:idx val="6"/>
            <c:bubble3D val="0"/>
            <c:spPr>
              <a:solidFill>
                <a:schemeClr val="bg2">
                  <a:lumMod val="25000"/>
                </a:schemeClr>
              </a:solidFill>
              <a:ln w="19050">
                <a:noFill/>
              </a:ln>
              <a:effectLst/>
            </c:spPr>
            <c:extLst>
              <c:ext xmlns:c16="http://schemas.microsoft.com/office/drawing/2014/chart" uri="{C3380CC4-5D6E-409C-BE32-E72D297353CC}">
                <c16:uniqueId val="{0000000D-515B-41C8-B2D5-B37355BB6C98}"/>
              </c:ext>
            </c:extLst>
          </c:dPt>
          <c:dPt>
            <c:idx val="7"/>
            <c:bubble3D val="0"/>
            <c:spPr>
              <a:solidFill>
                <a:schemeClr val="accent3">
                  <a:lumMod val="80000"/>
                  <a:lumOff val="20000"/>
                </a:schemeClr>
              </a:solidFill>
              <a:ln w="19050">
                <a:solidFill>
                  <a:schemeClr val="lt1"/>
                </a:solidFill>
              </a:ln>
              <a:effectLst/>
            </c:spPr>
            <c:extLst>
              <c:ext xmlns:c16="http://schemas.microsoft.com/office/drawing/2014/chart" uri="{C3380CC4-5D6E-409C-BE32-E72D297353CC}">
                <c16:uniqueId val="{0000000F-515B-41C8-B2D5-B37355BB6C98}"/>
              </c:ext>
            </c:extLst>
          </c:dPt>
          <c:dPt>
            <c:idx val="8"/>
            <c:bubble3D val="0"/>
            <c:spPr>
              <a:solidFill>
                <a:schemeClr val="bg2">
                  <a:lumMod val="75000"/>
                </a:schemeClr>
              </a:solidFill>
              <a:ln w="19050">
                <a:noFill/>
              </a:ln>
              <a:effectLst/>
            </c:spPr>
            <c:extLst>
              <c:ext xmlns:c16="http://schemas.microsoft.com/office/drawing/2014/chart" uri="{C3380CC4-5D6E-409C-BE32-E72D297353CC}">
                <c16:uniqueId val="{00000011-515B-41C8-B2D5-B37355BB6C98}"/>
              </c:ext>
            </c:extLst>
          </c:dPt>
          <c:dPt>
            <c:idx val="9"/>
            <c:bubble3D val="0"/>
            <c:spPr>
              <a:solidFill>
                <a:schemeClr val="accent3">
                  <a:lumMod val="60000"/>
                  <a:lumOff val="40000"/>
                </a:schemeClr>
              </a:solidFill>
              <a:ln w="19050">
                <a:noFill/>
              </a:ln>
              <a:effectLst/>
            </c:spPr>
            <c:extLst>
              <c:ext xmlns:c16="http://schemas.microsoft.com/office/drawing/2014/chart" uri="{C3380CC4-5D6E-409C-BE32-E72D297353CC}">
                <c16:uniqueId val="{00000013-515B-41C8-B2D5-B37355BB6C98}"/>
              </c:ext>
            </c:extLst>
          </c:dPt>
          <c:dLbls>
            <c:dLbl>
              <c:idx val="0"/>
              <c:spPr>
                <a:noFill/>
                <a:ln>
                  <a:noFill/>
                </a:ln>
                <a:effectLst/>
              </c:spPr>
              <c:txPr>
                <a:bodyPr rot="0" spcFirstLastPara="1" vertOverflow="ellipsis" vert="horz" wrap="square" anchor="ctr" anchorCtr="1"/>
                <a:lstStyle/>
                <a:p>
                  <a:pPr>
                    <a:defRPr sz="1050" b="1" i="0" u="none" strike="noStrike" kern="1200" baseline="0">
                      <a:solidFill>
                        <a:schemeClr val="tx1">
                          <a:lumMod val="95000"/>
                          <a:lumOff val="5000"/>
                        </a:schemeClr>
                      </a:solidFill>
                      <a:latin typeface="+mn-lt"/>
                      <a:ea typeface="+mn-ea"/>
                      <a:cs typeface="+mn-cs"/>
                    </a:defRPr>
                  </a:pPr>
                  <a:endParaRPr lang="en-US"/>
                </a:p>
              </c:txPr>
              <c:dLblPos val="ctr"/>
              <c:showLegendKey val="0"/>
              <c:showVal val="1"/>
              <c:showCatName val="0"/>
              <c:showSerName val="0"/>
              <c:showPercent val="0"/>
              <c:showBubbleSize val="0"/>
              <c:extLst>
                <c:ext xmlns:c16="http://schemas.microsoft.com/office/drawing/2014/chart" uri="{C3380CC4-5D6E-409C-BE32-E72D297353CC}">
                  <c16:uniqueId val="{00000001-515B-41C8-B2D5-B37355BB6C98}"/>
                </c:ext>
              </c:extLst>
            </c:dLbl>
            <c:dLbl>
              <c:idx val="1"/>
              <c:spPr>
                <a:noFill/>
                <a:ln>
                  <a:noFill/>
                </a:ln>
                <a:effectLst/>
              </c:spPr>
              <c:txPr>
                <a:bodyPr rot="0" spcFirstLastPara="1" vertOverflow="ellipsis" vert="horz" wrap="square" anchor="ctr" anchorCtr="1"/>
                <a:lstStyle/>
                <a:p>
                  <a:pPr>
                    <a:defRPr sz="1050" b="1" i="0" u="none" strike="noStrike" kern="1200" baseline="0">
                      <a:solidFill>
                        <a:schemeClr val="tx1">
                          <a:lumMod val="95000"/>
                          <a:lumOff val="5000"/>
                        </a:schemeClr>
                      </a:solidFill>
                      <a:latin typeface="+mn-lt"/>
                      <a:ea typeface="+mn-ea"/>
                      <a:cs typeface="+mn-cs"/>
                    </a:defRPr>
                  </a:pPr>
                  <a:endParaRPr lang="en-US"/>
                </a:p>
              </c:txPr>
              <c:dLblPos val="ctr"/>
              <c:showLegendKey val="0"/>
              <c:showVal val="1"/>
              <c:showCatName val="0"/>
              <c:showSerName val="0"/>
              <c:showPercent val="0"/>
              <c:showBubbleSize val="0"/>
              <c:extLst>
                <c:ext xmlns:c16="http://schemas.microsoft.com/office/drawing/2014/chart" uri="{C3380CC4-5D6E-409C-BE32-E72D297353CC}">
                  <c16:uniqueId val="{00000003-515B-41C8-B2D5-B37355BB6C98}"/>
                </c:ext>
              </c:extLst>
            </c:dLbl>
            <c:dLbl>
              <c:idx val="2"/>
              <c:spPr>
                <a:noFill/>
                <a:ln>
                  <a:noFill/>
                </a:ln>
                <a:effectLst/>
              </c:spPr>
              <c:txPr>
                <a:bodyPr rot="0" spcFirstLastPara="1" vertOverflow="ellipsis" vert="horz" wrap="square" anchor="ctr" anchorCtr="1"/>
                <a:lstStyle/>
                <a:p>
                  <a:pPr>
                    <a:defRPr sz="1050" b="1" i="0" u="none" strike="noStrike" kern="1200" baseline="0">
                      <a:solidFill>
                        <a:schemeClr val="tx1">
                          <a:lumMod val="95000"/>
                          <a:lumOff val="5000"/>
                        </a:schemeClr>
                      </a:solidFill>
                      <a:latin typeface="+mn-lt"/>
                      <a:ea typeface="+mn-ea"/>
                      <a:cs typeface="+mn-cs"/>
                    </a:defRPr>
                  </a:pPr>
                  <a:endParaRPr lang="en-US"/>
                </a:p>
              </c:txPr>
              <c:dLblPos val="ctr"/>
              <c:showLegendKey val="0"/>
              <c:showVal val="1"/>
              <c:showCatName val="0"/>
              <c:showSerName val="0"/>
              <c:showPercent val="0"/>
              <c:showBubbleSize val="0"/>
              <c:extLst>
                <c:ext xmlns:c16="http://schemas.microsoft.com/office/drawing/2014/chart" uri="{C3380CC4-5D6E-409C-BE32-E72D297353CC}">
                  <c16:uniqueId val="{00000005-515B-41C8-B2D5-B37355BB6C98}"/>
                </c:ext>
              </c:extLst>
            </c:dLbl>
            <c:dLbl>
              <c:idx val="3"/>
              <c:spPr>
                <a:noFill/>
                <a:ln>
                  <a:noFill/>
                </a:ln>
                <a:effectLst/>
              </c:spPr>
              <c:txPr>
                <a:bodyPr rot="0" spcFirstLastPara="1" vertOverflow="ellipsis" vert="horz" wrap="square" anchor="ctr" anchorCtr="1"/>
                <a:lstStyle/>
                <a:p>
                  <a:pPr>
                    <a:defRPr sz="900" b="1" i="0" u="none" strike="noStrike" kern="1200" baseline="0">
                      <a:solidFill>
                        <a:schemeClr val="tx1">
                          <a:lumMod val="95000"/>
                          <a:lumOff val="5000"/>
                        </a:schemeClr>
                      </a:solidFill>
                      <a:latin typeface="+mn-lt"/>
                      <a:ea typeface="+mn-ea"/>
                      <a:cs typeface="+mn-cs"/>
                    </a:defRPr>
                  </a:pPr>
                  <a:endParaRPr lang="en-US"/>
                </a:p>
              </c:txPr>
              <c:dLblPos val="ctr"/>
              <c:showLegendKey val="0"/>
              <c:showVal val="1"/>
              <c:showCatName val="0"/>
              <c:showSerName val="0"/>
              <c:showPercent val="0"/>
              <c:showBubbleSize val="0"/>
              <c:extLst>
                <c:ext xmlns:c16="http://schemas.microsoft.com/office/drawing/2014/chart" uri="{C3380CC4-5D6E-409C-BE32-E72D297353CC}">
                  <c16:uniqueId val="{00000007-515B-41C8-B2D5-B37355BB6C98}"/>
                </c:ext>
              </c:extLst>
            </c:dLbl>
            <c:dLbl>
              <c:idx val="4"/>
              <c:spPr>
                <a:noFill/>
                <a:ln>
                  <a:noFill/>
                </a:ln>
                <a:effectLst/>
              </c:spPr>
              <c:txPr>
                <a:bodyPr rot="0" spcFirstLastPara="1" vertOverflow="ellipsis" vert="horz" wrap="square" anchor="ctr" anchorCtr="1"/>
                <a:lstStyle/>
                <a:p>
                  <a:pPr>
                    <a:defRPr sz="900" b="1" i="0" u="none" strike="noStrike" kern="1200" baseline="0">
                      <a:solidFill>
                        <a:schemeClr val="tx1">
                          <a:lumMod val="95000"/>
                          <a:lumOff val="5000"/>
                        </a:schemeClr>
                      </a:solidFill>
                      <a:latin typeface="+mn-lt"/>
                      <a:ea typeface="+mn-ea"/>
                      <a:cs typeface="+mn-cs"/>
                    </a:defRPr>
                  </a:pPr>
                  <a:endParaRPr lang="en-US"/>
                </a:p>
              </c:txPr>
              <c:dLblPos val="ctr"/>
              <c:showLegendKey val="0"/>
              <c:showVal val="1"/>
              <c:showCatName val="0"/>
              <c:showSerName val="0"/>
              <c:showPercent val="0"/>
              <c:showBubbleSize val="0"/>
              <c:extLst>
                <c:ext xmlns:c16="http://schemas.microsoft.com/office/drawing/2014/chart" uri="{C3380CC4-5D6E-409C-BE32-E72D297353CC}">
                  <c16:uniqueId val="{00000009-515B-41C8-B2D5-B37355BB6C98}"/>
                </c:ext>
              </c:extLst>
            </c:dLbl>
            <c:dLbl>
              <c:idx val="5"/>
              <c:delete val="1"/>
              <c:extLst>
                <c:ext xmlns:c15="http://schemas.microsoft.com/office/drawing/2012/chart" uri="{CE6537A1-D6FC-4f65-9D91-7224C49458BB}"/>
                <c:ext xmlns:c16="http://schemas.microsoft.com/office/drawing/2014/chart" uri="{C3380CC4-5D6E-409C-BE32-E72D297353CC}">
                  <c16:uniqueId val="{0000000B-515B-41C8-B2D5-B37355BB6C98}"/>
                </c:ext>
              </c:extLst>
            </c:dLbl>
            <c:dLbl>
              <c:idx val="6"/>
              <c:delete val="1"/>
              <c:extLst>
                <c:ext xmlns:c15="http://schemas.microsoft.com/office/drawing/2012/chart" uri="{CE6537A1-D6FC-4f65-9D91-7224C49458BB}"/>
                <c:ext xmlns:c16="http://schemas.microsoft.com/office/drawing/2014/chart" uri="{C3380CC4-5D6E-409C-BE32-E72D297353CC}">
                  <c16:uniqueId val="{0000000D-515B-41C8-B2D5-B37355BB6C98}"/>
                </c:ext>
              </c:extLst>
            </c:dLbl>
            <c:dLbl>
              <c:idx val="8"/>
              <c:spPr>
                <a:noFill/>
                <a:ln>
                  <a:noFill/>
                </a:ln>
                <a:effectLst/>
              </c:spPr>
              <c:txPr>
                <a:bodyPr rot="0" spcFirstLastPara="1" vertOverflow="ellipsis" vert="horz" wrap="square" anchor="ctr" anchorCtr="1"/>
                <a:lstStyle/>
                <a:p>
                  <a:pPr>
                    <a:defRPr sz="1100" b="1" i="0" u="none" strike="noStrike" kern="1200" baseline="0">
                      <a:solidFill>
                        <a:schemeClr val="tx1">
                          <a:lumMod val="95000"/>
                          <a:lumOff val="5000"/>
                        </a:schemeClr>
                      </a:solidFill>
                      <a:latin typeface="+mn-lt"/>
                      <a:ea typeface="+mn-ea"/>
                      <a:cs typeface="+mn-cs"/>
                    </a:defRPr>
                  </a:pPr>
                  <a:endParaRPr lang="en-US"/>
                </a:p>
              </c:txPr>
              <c:dLblPos val="ctr"/>
              <c:showLegendKey val="0"/>
              <c:showVal val="1"/>
              <c:showCatName val="0"/>
              <c:showSerName val="0"/>
              <c:showPercent val="0"/>
              <c:showBubbleSize val="0"/>
              <c:extLst>
                <c:ext xmlns:c16="http://schemas.microsoft.com/office/drawing/2014/chart" uri="{C3380CC4-5D6E-409C-BE32-E72D297353CC}">
                  <c16:uniqueId val="{00000011-515B-41C8-B2D5-B37355BB6C98}"/>
                </c:ext>
              </c:extLst>
            </c:dLbl>
            <c:dLbl>
              <c:idx val="9"/>
              <c:spPr>
                <a:noFill/>
                <a:ln>
                  <a:noFill/>
                </a:ln>
                <a:effectLst/>
              </c:spPr>
              <c:txPr>
                <a:bodyPr rot="0" spcFirstLastPara="1" vertOverflow="ellipsis" vert="horz" wrap="square" anchor="ctr" anchorCtr="1"/>
                <a:lstStyle/>
                <a:p>
                  <a:pPr>
                    <a:defRPr sz="1100" b="1" i="0" u="none" strike="noStrike" kern="1200" baseline="0">
                      <a:solidFill>
                        <a:schemeClr val="tx1">
                          <a:lumMod val="95000"/>
                          <a:lumOff val="5000"/>
                        </a:schemeClr>
                      </a:solidFill>
                      <a:latin typeface="+mn-lt"/>
                      <a:ea typeface="+mn-ea"/>
                      <a:cs typeface="+mn-cs"/>
                    </a:defRPr>
                  </a:pPr>
                  <a:endParaRPr lang="en-US"/>
                </a:p>
              </c:txPr>
              <c:dLblPos val="ctr"/>
              <c:showLegendKey val="0"/>
              <c:showVal val="1"/>
              <c:showCatName val="0"/>
              <c:showSerName val="0"/>
              <c:showPercent val="0"/>
              <c:showBubbleSize val="0"/>
              <c:extLst>
                <c:ext xmlns:c16="http://schemas.microsoft.com/office/drawing/2014/chart" uri="{C3380CC4-5D6E-409C-BE32-E72D297353CC}">
                  <c16:uniqueId val="{00000013-515B-41C8-B2D5-B37355BB6C98}"/>
                </c:ext>
              </c:extLst>
            </c:dLbl>
            <c:spPr>
              <a:noFill/>
              <a:ln>
                <a:noFill/>
              </a:ln>
              <a:effectLst/>
            </c:spPr>
            <c:txPr>
              <a:bodyPr rot="0" spcFirstLastPara="1" vertOverflow="ellipsis" vert="horz" wrap="square" anchor="ctr" anchorCtr="1"/>
              <a:lstStyle/>
              <a:p>
                <a:pPr>
                  <a:defRPr sz="900" b="0" i="0" u="none" strike="noStrike" kern="1200" baseline="0">
                    <a:solidFill>
                      <a:schemeClr val="tx1">
                        <a:lumMod val="95000"/>
                        <a:lumOff val="5000"/>
                      </a:schemeClr>
                    </a:solidFill>
                    <a:latin typeface="+mn-lt"/>
                    <a:ea typeface="+mn-ea"/>
                    <a:cs typeface="+mn-cs"/>
                  </a:defRPr>
                </a:pPr>
                <a:endParaRPr lang="en-US"/>
              </a:p>
            </c:txPr>
            <c:dLblPos val="ct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'2024 հոդվ. ըստ դասիչի'!$F$3:$F$11</c:f>
              <c:strCache>
                <c:ptCount val="9"/>
                <c:pt idx="0">
                  <c:v>1 ՄԳՇ</c:v>
                </c:pt>
                <c:pt idx="1">
                  <c:v>2 ՄԳՇ</c:v>
                </c:pt>
                <c:pt idx="2">
                  <c:v>3 ՄԳՇ</c:v>
                </c:pt>
                <c:pt idx="3">
                  <c:v>4 ՄԳՇ</c:v>
                </c:pt>
                <c:pt idx="4">
                  <c:v>5 ՄԳՇ</c:v>
                </c:pt>
                <c:pt idx="5">
                  <c:v>7 ՄԳՇ</c:v>
                </c:pt>
                <c:pt idx="6">
                  <c:v>13 ՄԳՇ</c:v>
                </c:pt>
                <c:pt idx="7">
                  <c:v>Ընդամենը ՄԳՇ պաշտպանածներ</c:v>
                </c:pt>
                <c:pt idx="8">
                  <c:v>Առանց ՄԳՇ պաշտպանածներ</c:v>
                </c:pt>
              </c:strCache>
            </c:strRef>
          </c:cat>
          <c:val>
            <c:numRef>
              <c:f>'2024 հոդվ. ըստ դասիչի'!$G$3:$G$11</c:f>
              <c:numCache>
                <c:formatCode>General</c:formatCode>
                <c:ptCount val="9"/>
                <c:pt idx="0">
                  <c:v>30</c:v>
                </c:pt>
                <c:pt idx="1">
                  <c:v>23</c:v>
                </c:pt>
                <c:pt idx="2">
                  <c:v>15</c:v>
                </c:pt>
                <c:pt idx="3">
                  <c:v>14</c:v>
                </c:pt>
                <c:pt idx="4">
                  <c:v>3</c:v>
                </c:pt>
                <c:pt idx="5">
                  <c:v>1</c:v>
                </c:pt>
                <c:pt idx="6">
                  <c:v>1</c:v>
                </c:pt>
                <c:pt idx="8">
                  <c:v>107</c:v>
                </c:pt>
              </c:numCache>
            </c:numRef>
          </c:val>
          <c:extLst>
            <c:ext xmlns:c16="http://schemas.microsoft.com/office/drawing/2014/chart" uri="{C3380CC4-5D6E-409C-BE32-E72D297353CC}">
              <c16:uniqueId val="{00000014-515B-41C8-B2D5-B37355BB6C98}"/>
            </c:ext>
          </c:extLst>
        </c:ser>
        <c:dLbls>
          <c:showLegendKey val="0"/>
          <c:showVal val="0"/>
          <c:showCatName val="0"/>
          <c:showSerName val="0"/>
          <c:showPercent val="0"/>
          <c:showBubbleSize val="0"/>
          <c:showLeaderLines val="1"/>
        </c:dLbls>
        <c:gapWidth val="66"/>
        <c:splitType val="cust"/>
        <c:custSplit>
          <c:secondPiePt val="0"/>
          <c:secondPiePt val="1"/>
          <c:secondPiePt val="2"/>
          <c:secondPiePt val="3"/>
          <c:secondPiePt val="4"/>
          <c:secondPiePt val="5"/>
          <c:secondPiePt val="6"/>
        </c:custSplit>
        <c:secondPieSize val="75"/>
        <c:serLines>
          <c:spPr>
            <a:ln w="9525" cap="flat" cmpd="sng" algn="ctr">
              <a:solidFill>
                <a:schemeClr val="tx1">
                  <a:lumMod val="35000"/>
                  <a:lumOff val="65000"/>
                </a:schemeClr>
              </a:solidFill>
              <a:round/>
            </a:ln>
            <a:effectLst/>
          </c:spPr>
        </c:serLines>
      </c:ofPieChart>
      <c:spPr>
        <a:noFill/>
        <a:ln>
          <a:noFill/>
        </a:ln>
        <a:effectLst/>
      </c:spPr>
    </c:plotArea>
    <c:legend>
      <c:legendPos val="b"/>
      <c:layout>
        <c:manualLayout>
          <c:xMode val="edge"/>
          <c:yMode val="edge"/>
          <c:x val="1.5228321781293998E-2"/>
          <c:y val="0.77775733051698004"/>
          <c:w val="0.97493314244810303"/>
          <c:h val="0.2026897526514414"/>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95000"/>
                  <a:lumOff val="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solidFill>
            <a:schemeClr val="tx1">
              <a:lumMod val="95000"/>
              <a:lumOff val="5000"/>
            </a:schemeClr>
          </a:solidFill>
        </a:defRPr>
      </a:pPr>
      <a:endParaRPr lang="en-US"/>
    </a:p>
  </c:txPr>
  <c:externalData r:id="rId4">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7.8128104575163393E-2"/>
          <c:y val="0.15812731021079116"/>
          <c:w val="0.89904509803921573"/>
          <c:h val="0.5821052098217453"/>
        </c:manualLayout>
      </c:layout>
      <c:lineChart>
        <c:grouping val="standard"/>
        <c:varyColors val="0"/>
        <c:ser>
          <c:idx val="0"/>
          <c:order val="0"/>
          <c:tx>
            <c:strRef>
              <c:f>'Top10'!$C$1</c:f>
              <c:strCache>
                <c:ptCount val="1"/>
                <c:pt idx="0">
                  <c:v>Հոդվածներ</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anchor="ctr" anchorCtr="1"/>
              <a:lstStyle/>
              <a:p>
                <a:pPr>
                  <a:defRPr sz="1000" b="1" i="0" u="none" strike="noStrike" kern="1200" baseline="0">
                    <a:solidFill>
                      <a:sysClr val="windowText" lastClr="000000"/>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'Top10'!$B$2:$B$11</c:f>
              <c:strCache>
                <c:ptCount val="10"/>
                <c:pt idx="0">
                  <c:v>ՌԴ</c:v>
                </c:pt>
                <c:pt idx="1">
                  <c:v>ԱՄՆ</c:v>
                </c:pt>
                <c:pt idx="2">
                  <c:v>Գերմանիա</c:v>
                </c:pt>
                <c:pt idx="3">
                  <c:v>Իտալիա</c:v>
                </c:pt>
                <c:pt idx="4">
                  <c:v>Ֆրանսիա</c:v>
                </c:pt>
                <c:pt idx="5">
                  <c:v>ՄԹ</c:v>
                </c:pt>
                <c:pt idx="6">
                  <c:v>Շվեյցարիա</c:v>
                </c:pt>
                <c:pt idx="7">
                  <c:v>Հնդկաստան</c:v>
                </c:pt>
                <c:pt idx="8">
                  <c:v>Լեհաստան</c:v>
                </c:pt>
                <c:pt idx="9">
                  <c:v>ՉԺՀ</c:v>
                </c:pt>
              </c:strCache>
            </c:strRef>
          </c:cat>
          <c:val>
            <c:numRef>
              <c:f>'Top10'!$C$2:$C$11</c:f>
              <c:numCache>
                <c:formatCode>General</c:formatCode>
                <c:ptCount val="10"/>
                <c:pt idx="0">
                  <c:v>1750</c:v>
                </c:pt>
                <c:pt idx="1">
                  <c:v>1354</c:v>
                </c:pt>
                <c:pt idx="2">
                  <c:v>848</c:v>
                </c:pt>
                <c:pt idx="3">
                  <c:v>645</c:v>
                </c:pt>
                <c:pt idx="4">
                  <c:v>608</c:v>
                </c:pt>
                <c:pt idx="5">
                  <c:v>542</c:v>
                </c:pt>
                <c:pt idx="6">
                  <c:v>348</c:v>
                </c:pt>
                <c:pt idx="7">
                  <c:v>334</c:v>
                </c:pt>
                <c:pt idx="8">
                  <c:v>321</c:v>
                </c:pt>
                <c:pt idx="9">
                  <c:v>311</c:v>
                </c:pt>
              </c:numCache>
            </c:numRef>
          </c:val>
          <c:smooth val="0"/>
          <c:extLst>
            <c:ext xmlns:c16="http://schemas.microsoft.com/office/drawing/2014/chart" uri="{C3380CC4-5D6E-409C-BE32-E72D297353CC}">
              <c16:uniqueId val="{00000000-81D9-4A6F-BA86-27882B344B2A}"/>
            </c:ext>
          </c:extLst>
        </c:ser>
        <c:ser>
          <c:idx val="1"/>
          <c:order val="1"/>
          <c:tx>
            <c:strRef>
              <c:f>'Top10'!$D$1</c:f>
              <c:strCache>
                <c:ptCount val="1"/>
                <c:pt idx="0">
                  <c:v>Հղումներ</c:v>
                </c:pt>
              </c:strCache>
            </c:strRef>
          </c:tx>
          <c:spPr>
            <a:ln w="28575" cap="rnd">
              <a:solidFill>
                <a:srgbClr val="FF0000"/>
              </a:solidFill>
              <a:round/>
            </a:ln>
            <a:effectLst/>
          </c:spPr>
          <c:marker>
            <c:symbol val="circle"/>
            <c:size val="5"/>
            <c:spPr>
              <a:solidFill>
                <a:srgbClr val="FF0000"/>
              </a:solidFill>
              <a:ln w="9525">
                <a:noFill/>
              </a:ln>
              <a:effectLst/>
            </c:spPr>
          </c:marker>
          <c:dLbls>
            <c:spPr>
              <a:noFill/>
              <a:ln>
                <a:noFill/>
              </a:ln>
              <a:effectLst/>
            </c:spPr>
            <c:txPr>
              <a:bodyPr rot="0" spcFirstLastPara="1" vertOverflow="ellipsis" vert="horz" wrap="square" anchor="ctr" anchorCtr="1"/>
              <a:lstStyle/>
              <a:p>
                <a:pPr>
                  <a:defRPr sz="1000" b="1" i="0" u="none" strike="noStrike" kern="1200" baseline="0">
                    <a:solidFill>
                      <a:sysClr val="windowText" lastClr="000000"/>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'Top10'!$B$2:$B$11</c:f>
              <c:strCache>
                <c:ptCount val="10"/>
                <c:pt idx="0">
                  <c:v>ՌԴ</c:v>
                </c:pt>
                <c:pt idx="1">
                  <c:v>ԱՄՆ</c:v>
                </c:pt>
                <c:pt idx="2">
                  <c:v>Գերմանիա</c:v>
                </c:pt>
                <c:pt idx="3">
                  <c:v>Իտալիա</c:v>
                </c:pt>
                <c:pt idx="4">
                  <c:v>Ֆրանսիա</c:v>
                </c:pt>
                <c:pt idx="5">
                  <c:v>ՄԹ</c:v>
                </c:pt>
                <c:pt idx="6">
                  <c:v>Շվեյցարիա</c:v>
                </c:pt>
                <c:pt idx="7">
                  <c:v>Հնդկաստան</c:v>
                </c:pt>
                <c:pt idx="8">
                  <c:v>Լեհաստան</c:v>
                </c:pt>
                <c:pt idx="9">
                  <c:v>ՉԺՀ</c:v>
                </c:pt>
              </c:strCache>
            </c:strRef>
          </c:cat>
          <c:val>
            <c:numRef>
              <c:f>'Top10'!$D$2:$D$11</c:f>
              <c:numCache>
                <c:formatCode>General</c:formatCode>
                <c:ptCount val="10"/>
                <c:pt idx="0">
                  <c:v>13818</c:v>
                </c:pt>
                <c:pt idx="1">
                  <c:v>18930</c:v>
                </c:pt>
                <c:pt idx="2">
                  <c:v>12292</c:v>
                </c:pt>
                <c:pt idx="3">
                  <c:v>9264</c:v>
                </c:pt>
                <c:pt idx="4">
                  <c:v>8762</c:v>
                </c:pt>
                <c:pt idx="5">
                  <c:v>12144</c:v>
                </c:pt>
                <c:pt idx="6">
                  <c:v>6272</c:v>
                </c:pt>
                <c:pt idx="7">
                  <c:v>4414</c:v>
                </c:pt>
                <c:pt idx="8">
                  <c:v>5157</c:v>
                </c:pt>
                <c:pt idx="9">
                  <c:v>4346</c:v>
                </c:pt>
              </c:numCache>
            </c:numRef>
          </c:val>
          <c:smooth val="0"/>
          <c:extLst>
            <c:ext xmlns:c16="http://schemas.microsoft.com/office/drawing/2014/chart" uri="{C3380CC4-5D6E-409C-BE32-E72D297353CC}">
              <c16:uniqueId val="{00000001-81D9-4A6F-BA86-27882B344B2A}"/>
            </c:ext>
          </c:extLst>
        </c:ser>
        <c:ser>
          <c:idx val="2"/>
          <c:order val="2"/>
          <c:tx>
            <c:strRef>
              <c:f>'Top10'!$J$1</c:f>
              <c:strCache>
                <c:ptCount val="1"/>
                <c:pt idx="0">
                  <c:v>%Q1</c:v>
                </c:pt>
              </c:strCache>
            </c:strRef>
          </c:tx>
          <c:spPr>
            <a:ln w="28575" cap="rnd">
              <a:solidFill>
                <a:srgbClr val="FFC000"/>
              </a:solidFill>
              <a:round/>
            </a:ln>
            <a:effectLst/>
          </c:spPr>
          <c:marker>
            <c:symbol val="circle"/>
            <c:size val="5"/>
            <c:spPr>
              <a:solidFill>
                <a:srgbClr val="FFC000"/>
              </a:solidFill>
              <a:ln w="9525">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'Top10'!$B$2:$B$11</c:f>
              <c:strCache>
                <c:ptCount val="10"/>
                <c:pt idx="0">
                  <c:v>ՌԴ</c:v>
                </c:pt>
                <c:pt idx="1">
                  <c:v>ԱՄՆ</c:v>
                </c:pt>
                <c:pt idx="2">
                  <c:v>Գերմանիա</c:v>
                </c:pt>
                <c:pt idx="3">
                  <c:v>Իտալիա</c:v>
                </c:pt>
                <c:pt idx="4">
                  <c:v>Ֆրանսիա</c:v>
                </c:pt>
                <c:pt idx="5">
                  <c:v>ՄԹ</c:v>
                </c:pt>
                <c:pt idx="6">
                  <c:v>Շվեյցարիա</c:v>
                </c:pt>
                <c:pt idx="7">
                  <c:v>Հնդկաստան</c:v>
                </c:pt>
                <c:pt idx="8">
                  <c:v>Լեհաստան</c:v>
                </c:pt>
                <c:pt idx="9">
                  <c:v>ՉԺՀ</c:v>
                </c:pt>
              </c:strCache>
            </c:strRef>
          </c:cat>
          <c:val>
            <c:numRef>
              <c:f>'Top10'!$J$2:$J$11</c:f>
              <c:numCache>
                <c:formatCode>0</c:formatCode>
                <c:ptCount val="10"/>
                <c:pt idx="0">
                  <c:v>24</c:v>
                </c:pt>
                <c:pt idx="1">
                  <c:v>36.632200886262922</c:v>
                </c:pt>
                <c:pt idx="2">
                  <c:v>38.797169811320757</c:v>
                </c:pt>
                <c:pt idx="3">
                  <c:v>43.100775193798455</c:v>
                </c:pt>
                <c:pt idx="4">
                  <c:v>37.335526315789473</c:v>
                </c:pt>
                <c:pt idx="5">
                  <c:v>48.708487084870846</c:v>
                </c:pt>
                <c:pt idx="6">
                  <c:v>43.103448275862064</c:v>
                </c:pt>
                <c:pt idx="7">
                  <c:v>41.616766467065872</c:v>
                </c:pt>
                <c:pt idx="8">
                  <c:v>34.890965732087224</c:v>
                </c:pt>
                <c:pt idx="9">
                  <c:v>53.697749196141473</c:v>
                </c:pt>
              </c:numCache>
            </c:numRef>
          </c:val>
          <c:smooth val="0"/>
          <c:extLst>
            <c:ext xmlns:c16="http://schemas.microsoft.com/office/drawing/2014/chart" uri="{C3380CC4-5D6E-409C-BE32-E72D297353CC}">
              <c16:uniqueId val="{00000002-81D9-4A6F-BA86-27882B344B2A}"/>
            </c:ext>
          </c:extLst>
        </c:ser>
        <c:dLbls>
          <c:showLegendKey val="0"/>
          <c:showVal val="0"/>
          <c:showCatName val="0"/>
          <c:showSerName val="0"/>
          <c:showPercent val="0"/>
          <c:showBubbleSize val="0"/>
        </c:dLbls>
        <c:marker val="1"/>
        <c:smooth val="0"/>
        <c:axId val="506790864"/>
        <c:axId val="506789880"/>
      </c:lineChart>
      <c:catAx>
        <c:axId val="5067908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en-US"/>
          </a:p>
        </c:txPr>
        <c:crossAx val="506789880"/>
        <c:crosses val="autoZero"/>
        <c:auto val="1"/>
        <c:lblAlgn val="ctr"/>
        <c:lblOffset val="100"/>
        <c:noMultiLvlLbl val="0"/>
      </c:catAx>
      <c:valAx>
        <c:axId val="506789880"/>
        <c:scaling>
          <c:logBase val="10"/>
          <c:orientation val="minMax"/>
          <c:max val="50000"/>
          <c:min val="1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506790864"/>
        <c:crosses val="autoZero"/>
        <c:crossBetween val="between"/>
      </c:valAx>
      <c:spPr>
        <a:noFill/>
        <a:ln>
          <a:noFill/>
        </a:ln>
        <a:effectLst/>
      </c:spPr>
    </c:plotArea>
    <c:legend>
      <c:legendPos val="b"/>
      <c:layout>
        <c:manualLayout>
          <c:xMode val="edge"/>
          <c:yMode val="edge"/>
          <c:x val="0.52264934640522887"/>
          <c:y val="3.0765150895930397E-2"/>
          <c:w val="0.4672980392156863"/>
          <c:h val="8.6236365782996857E-2"/>
        </c:manualLayout>
      </c:layout>
      <c:overlay val="0"/>
      <c:spPr>
        <a:noFill/>
        <a:ln>
          <a:noFill/>
        </a:ln>
        <a:effectLst/>
      </c:spPr>
      <c:txPr>
        <a:bodyPr rot="0" spcFirstLastPara="1" vertOverflow="ellipsis" vert="horz" wrap="square" anchor="ctr" anchorCtr="1"/>
        <a:lstStyle/>
        <a:p>
          <a:pPr>
            <a:defRPr sz="1050" b="0" i="0" u="none" strike="noStrike" kern="1200" baseline="0">
              <a:solidFill>
                <a:sysClr val="windowText" lastClr="000000"/>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4"/>
          <c:order val="0"/>
          <c:tx>
            <c:strRef>
              <c:f>'Armenia 2015-2024_publication'!$J$1</c:f>
              <c:strCache>
                <c:ptCount val="1"/>
                <c:pt idx="0">
                  <c:v>ԱԳ չունեցող</c:v>
                </c:pt>
              </c:strCache>
            </c:strRef>
          </c:tx>
          <c:spPr>
            <a:solidFill>
              <a:schemeClr val="accent5"/>
            </a:solidFill>
            <a:ln>
              <a:noFill/>
            </a:ln>
            <a:effectLst/>
          </c:spPr>
          <c:invertIfNegative val="0"/>
          <c:dLbls>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'Armenia 2015-2024_publication'!$B$2:$B$11</c:f>
              <c:numCache>
                <c:formatCode>General</c:formatCode>
                <c:ptCount val="10"/>
                <c:pt idx="0">
                  <c:v>2015</c:v>
                </c:pt>
                <c:pt idx="1">
                  <c:v>2016</c:v>
                </c:pt>
                <c:pt idx="2">
                  <c:v>2017</c:v>
                </c:pt>
                <c:pt idx="3">
                  <c:v>2018</c:v>
                </c:pt>
                <c:pt idx="4">
                  <c:v>2019</c:v>
                </c:pt>
                <c:pt idx="5">
                  <c:v>2020</c:v>
                </c:pt>
                <c:pt idx="6">
                  <c:v>2021</c:v>
                </c:pt>
                <c:pt idx="7">
                  <c:v>2022</c:v>
                </c:pt>
                <c:pt idx="8">
                  <c:v>2023</c:v>
                </c:pt>
                <c:pt idx="9">
                  <c:v>2024</c:v>
                </c:pt>
              </c:numCache>
            </c:numRef>
          </c:cat>
          <c:val>
            <c:numRef>
              <c:f>'Armenia 2015-2024_publication'!$J$37:$J$46</c:f>
              <c:numCache>
                <c:formatCode>General</c:formatCode>
                <c:ptCount val="10"/>
                <c:pt idx="0">
                  <c:v>284</c:v>
                </c:pt>
                <c:pt idx="1">
                  <c:v>348</c:v>
                </c:pt>
                <c:pt idx="2">
                  <c:v>339</c:v>
                </c:pt>
                <c:pt idx="3">
                  <c:v>254</c:v>
                </c:pt>
                <c:pt idx="4">
                  <c:v>365</c:v>
                </c:pt>
                <c:pt idx="5">
                  <c:v>261</c:v>
                </c:pt>
                <c:pt idx="6">
                  <c:v>218</c:v>
                </c:pt>
                <c:pt idx="7">
                  <c:v>305</c:v>
                </c:pt>
                <c:pt idx="8">
                  <c:v>115</c:v>
                </c:pt>
                <c:pt idx="9">
                  <c:v>130</c:v>
                </c:pt>
              </c:numCache>
            </c:numRef>
          </c:val>
          <c:extLst>
            <c:ext xmlns:c16="http://schemas.microsoft.com/office/drawing/2014/chart" uri="{C3380CC4-5D6E-409C-BE32-E72D297353CC}">
              <c16:uniqueId val="{00000000-E373-4CFB-BD00-FAD3F7345985}"/>
            </c:ext>
          </c:extLst>
        </c:ser>
        <c:ser>
          <c:idx val="3"/>
          <c:order val="1"/>
          <c:tx>
            <c:strRef>
              <c:f>'Armenia 2015-2024_publication'!$I$1</c:f>
              <c:strCache>
                <c:ptCount val="1"/>
                <c:pt idx="0">
                  <c:v>Q4</c:v>
                </c:pt>
              </c:strCache>
            </c:strRef>
          </c:tx>
          <c:spPr>
            <a:solidFill>
              <a:schemeClr val="accent4"/>
            </a:solidFill>
            <a:ln>
              <a:noFill/>
            </a:ln>
            <a:effectLst/>
          </c:spPr>
          <c:invertIfNegative val="0"/>
          <c:dLbls>
            <c:dLbl>
              <c:idx val="0"/>
              <c:tx>
                <c:rich>
                  <a:bodyPr/>
                  <a:lstStyle/>
                  <a:p>
                    <a:fld id="{FDF35D97-CE77-4DC9-92A7-726DBB535F2B}" type="CELLRANGE">
                      <a:rPr lang="en-US"/>
                      <a:pPr/>
                      <a:t>[CELLRANGE]</a:t>
                    </a:fld>
                    <a:endParaRPr lang="en-US"/>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E373-4CFB-BD00-FAD3F7345985}"/>
                </c:ext>
              </c:extLst>
            </c:dLbl>
            <c:dLbl>
              <c:idx val="1"/>
              <c:tx>
                <c:rich>
                  <a:bodyPr/>
                  <a:lstStyle/>
                  <a:p>
                    <a:fld id="{99EF834E-027E-43FD-8004-F03D0803C17C}" type="CELLRANGE">
                      <a:rPr lang="en-US"/>
                      <a:pPr/>
                      <a:t>[CELLRANGE]</a:t>
                    </a:fld>
                    <a:endParaRPr lang="en-US"/>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2-E373-4CFB-BD00-FAD3F7345985}"/>
                </c:ext>
              </c:extLst>
            </c:dLbl>
            <c:dLbl>
              <c:idx val="2"/>
              <c:tx>
                <c:rich>
                  <a:bodyPr/>
                  <a:lstStyle/>
                  <a:p>
                    <a:fld id="{308297F0-E313-47C7-A988-7E935C23CBCA}" type="CELLRANGE">
                      <a:rPr lang="en-US"/>
                      <a:pPr/>
                      <a:t>[CELLRANGE]</a:t>
                    </a:fld>
                    <a:endParaRPr lang="en-US"/>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3-E373-4CFB-BD00-FAD3F7345985}"/>
                </c:ext>
              </c:extLst>
            </c:dLbl>
            <c:dLbl>
              <c:idx val="3"/>
              <c:tx>
                <c:rich>
                  <a:bodyPr/>
                  <a:lstStyle/>
                  <a:p>
                    <a:fld id="{36B7E953-4929-467A-AC66-5C56F66B3096}" type="CELLRANGE">
                      <a:rPr lang="en-US"/>
                      <a:pPr/>
                      <a:t>[CELLRANGE]</a:t>
                    </a:fld>
                    <a:endParaRPr lang="en-US"/>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4-E373-4CFB-BD00-FAD3F7345985}"/>
                </c:ext>
              </c:extLst>
            </c:dLbl>
            <c:dLbl>
              <c:idx val="4"/>
              <c:tx>
                <c:rich>
                  <a:bodyPr/>
                  <a:lstStyle/>
                  <a:p>
                    <a:fld id="{8C2298AD-E4BC-41B6-A13C-CE4E1E39C94F}" type="CELLRANGE">
                      <a:rPr lang="en-US"/>
                      <a:pPr/>
                      <a:t>[CELLRANGE]</a:t>
                    </a:fld>
                    <a:endParaRPr lang="en-US"/>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5-E373-4CFB-BD00-FAD3F7345985}"/>
                </c:ext>
              </c:extLst>
            </c:dLbl>
            <c:dLbl>
              <c:idx val="5"/>
              <c:tx>
                <c:rich>
                  <a:bodyPr/>
                  <a:lstStyle/>
                  <a:p>
                    <a:fld id="{D6AC2960-C494-4FFA-A992-A2063CF9C892}" type="CELLRANGE">
                      <a:rPr lang="en-US"/>
                      <a:pPr/>
                      <a:t>[CELLRANGE]</a:t>
                    </a:fld>
                    <a:endParaRPr lang="en-US"/>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6-E373-4CFB-BD00-FAD3F7345985}"/>
                </c:ext>
              </c:extLst>
            </c:dLbl>
            <c:dLbl>
              <c:idx val="6"/>
              <c:tx>
                <c:rich>
                  <a:bodyPr/>
                  <a:lstStyle/>
                  <a:p>
                    <a:fld id="{AD320EFD-CECA-462E-AF7A-7050C8F5B689}" type="CELLRANGE">
                      <a:rPr lang="en-US"/>
                      <a:pPr/>
                      <a:t>[CELLRANGE]</a:t>
                    </a:fld>
                    <a:endParaRPr lang="en-US"/>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7-E373-4CFB-BD00-FAD3F7345985}"/>
                </c:ext>
              </c:extLst>
            </c:dLbl>
            <c:dLbl>
              <c:idx val="7"/>
              <c:tx>
                <c:rich>
                  <a:bodyPr/>
                  <a:lstStyle/>
                  <a:p>
                    <a:fld id="{80A76C7A-2D56-414F-82B5-3FA061E248B1}" type="CELLRANGE">
                      <a:rPr lang="en-US"/>
                      <a:pPr/>
                      <a:t>[CELLRANGE]</a:t>
                    </a:fld>
                    <a:endParaRPr lang="en-US"/>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8-E373-4CFB-BD00-FAD3F7345985}"/>
                </c:ext>
              </c:extLst>
            </c:dLbl>
            <c:dLbl>
              <c:idx val="8"/>
              <c:tx>
                <c:rich>
                  <a:bodyPr/>
                  <a:lstStyle/>
                  <a:p>
                    <a:fld id="{135E7F23-19E6-42D4-9121-28C21B6F7E65}" type="CELLRANGE">
                      <a:rPr lang="en-US"/>
                      <a:pPr/>
                      <a:t>[CELLRANGE]</a:t>
                    </a:fld>
                    <a:endParaRPr lang="en-US"/>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9-E373-4CFB-BD00-FAD3F7345985}"/>
                </c:ext>
              </c:extLst>
            </c:dLbl>
            <c:dLbl>
              <c:idx val="9"/>
              <c:tx>
                <c:rich>
                  <a:bodyPr/>
                  <a:lstStyle/>
                  <a:p>
                    <a:fld id="{F9D160AE-2EFB-4C23-8F51-9C7AD9C8ED2C}" type="CELLRANGE">
                      <a:rPr lang="en-US"/>
                      <a:pPr/>
                      <a:t>[CELLRANGE]</a:t>
                    </a:fld>
                    <a:endParaRPr lang="en-US"/>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A-E373-4CFB-BD00-FAD3F7345985}"/>
                </c:ext>
              </c:extLst>
            </c:dLbl>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en-US"/>
              </a:p>
            </c:txPr>
            <c:dLblPos val="ct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1"/>
                <c15:leaderLines>
                  <c:spPr>
                    <a:ln w="9525" cap="flat" cmpd="sng" algn="ctr">
                      <a:solidFill>
                        <a:schemeClr val="tx1">
                          <a:lumMod val="35000"/>
                          <a:lumOff val="65000"/>
                        </a:schemeClr>
                      </a:solidFill>
                      <a:round/>
                    </a:ln>
                    <a:effectLst/>
                  </c:spPr>
                </c15:leaderLines>
              </c:ext>
            </c:extLst>
          </c:dLbls>
          <c:cat>
            <c:numRef>
              <c:f>'Armenia 2015-2024_publication'!$B$2:$B$11</c:f>
              <c:numCache>
                <c:formatCode>General</c:formatCode>
                <c:ptCount val="10"/>
                <c:pt idx="0">
                  <c:v>2015</c:v>
                </c:pt>
                <c:pt idx="1">
                  <c:v>2016</c:v>
                </c:pt>
                <c:pt idx="2">
                  <c:v>2017</c:v>
                </c:pt>
                <c:pt idx="3">
                  <c:v>2018</c:v>
                </c:pt>
                <c:pt idx="4">
                  <c:v>2019</c:v>
                </c:pt>
                <c:pt idx="5">
                  <c:v>2020</c:v>
                </c:pt>
                <c:pt idx="6">
                  <c:v>2021</c:v>
                </c:pt>
                <c:pt idx="7">
                  <c:v>2022</c:v>
                </c:pt>
                <c:pt idx="8">
                  <c:v>2023</c:v>
                </c:pt>
                <c:pt idx="9">
                  <c:v>2024</c:v>
                </c:pt>
              </c:numCache>
            </c:numRef>
          </c:cat>
          <c:val>
            <c:numRef>
              <c:f>'Armenia 2015-2024_publication'!$I$37:$I$46</c:f>
              <c:numCache>
                <c:formatCode>General</c:formatCode>
                <c:ptCount val="10"/>
                <c:pt idx="0">
                  <c:v>212</c:v>
                </c:pt>
                <c:pt idx="1">
                  <c:v>214</c:v>
                </c:pt>
                <c:pt idx="2">
                  <c:v>218</c:v>
                </c:pt>
                <c:pt idx="3">
                  <c:v>218</c:v>
                </c:pt>
                <c:pt idx="4">
                  <c:v>242</c:v>
                </c:pt>
                <c:pt idx="5">
                  <c:v>265</c:v>
                </c:pt>
                <c:pt idx="6">
                  <c:v>224</c:v>
                </c:pt>
                <c:pt idx="7">
                  <c:v>233</c:v>
                </c:pt>
                <c:pt idx="8">
                  <c:v>338</c:v>
                </c:pt>
                <c:pt idx="9">
                  <c:v>382</c:v>
                </c:pt>
              </c:numCache>
            </c:numRef>
          </c:val>
          <c:extLst>
            <c:ext xmlns:c15="http://schemas.microsoft.com/office/drawing/2012/chart" uri="{02D57815-91ED-43cb-92C2-25804820EDAC}">
              <c15:datalabelsRange>
                <c15:f>'Armenia 2015-2024_publication'!$I$49:$I$58</c15:f>
                <c15:dlblRangeCache>
                  <c:ptCount val="10"/>
                  <c:pt idx="0">
                    <c:v>212
(93%)</c:v>
                  </c:pt>
                  <c:pt idx="1">
                    <c:v>214
(91%)</c:v>
                  </c:pt>
                  <c:pt idx="2">
                    <c:v>218
(93%)</c:v>
                  </c:pt>
                  <c:pt idx="3">
                    <c:v>218
(92%)</c:v>
                  </c:pt>
                  <c:pt idx="4">
                    <c:v>242
(92%)</c:v>
                  </c:pt>
                  <c:pt idx="5">
                    <c:v>265
(86%)</c:v>
                  </c:pt>
                  <c:pt idx="6">
                    <c:v>224
(91%)</c:v>
                  </c:pt>
                  <c:pt idx="7">
                    <c:v>233
(92%)</c:v>
                  </c:pt>
                  <c:pt idx="8">
                    <c:v>338
(93%)</c:v>
                  </c:pt>
                  <c:pt idx="9">
                    <c:v>382
(93%)</c:v>
                  </c:pt>
                </c15:dlblRangeCache>
              </c15:datalabelsRange>
            </c:ext>
            <c:ext xmlns:c16="http://schemas.microsoft.com/office/drawing/2014/chart" uri="{C3380CC4-5D6E-409C-BE32-E72D297353CC}">
              <c16:uniqueId val="{0000000B-E373-4CFB-BD00-FAD3F7345985}"/>
            </c:ext>
          </c:extLst>
        </c:ser>
        <c:ser>
          <c:idx val="2"/>
          <c:order val="2"/>
          <c:tx>
            <c:strRef>
              <c:f>'Armenia 2015-2024_publication'!$H$1</c:f>
              <c:strCache>
                <c:ptCount val="1"/>
                <c:pt idx="0">
                  <c:v>Q3</c:v>
                </c:pt>
              </c:strCache>
            </c:strRef>
          </c:tx>
          <c:spPr>
            <a:solidFill>
              <a:schemeClr val="accent3"/>
            </a:solidFill>
            <a:ln>
              <a:noFill/>
            </a:ln>
            <a:effectLst/>
          </c:spPr>
          <c:invertIfNegative val="0"/>
          <c:dLbls>
            <c:dLbl>
              <c:idx val="4"/>
              <c:tx>
                <c:rich>
                  <a:bodyPr/>
                  <a:lstStyle/>
                  <a:p>
                    <a:fld id="{90D0D360-A3F6-4270-A5AE-615BB486FFAA}" type="CELLRANGE">
                      <a:rPr lang="en-US"/>
                      <a:pPr/>
                      <a:t>[CELLRANGE]</a:t>
                    </a:fld>
                    <a:endParaRPr lang="en-US"/>
                  </a:p>
                </c:rich>
              </c:tx>
              <c:dLblPos val="ctr"/>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C-E373-4CFB-BD00-FAD3F7345985}"/>
                </c:ext>
              </c:extLst>
            </c:dLbl>
            <c:dLbl>
              <c:idx val="8"/>
              <c:tx>
                <c:rich>
                  <a:bodyPr/>
                  <a:lstStyle/>
                  <a:p>
                    <a:fld id="{428DBED3-6323-4F98-AEF2-BCE46C289787}" type="CELLRANGE">
                      <a:rPr lang="en-US"/>
                      <a:pPr/>
                      <a:t>[CELLRANGE]</a:t>
                    </a:fld>
                    <a:endParaRPr lang="en-US"/>
                  </a:p>
                </c:rich>
              </c:tx>
              <c:dLblPos val="ctr"/>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D-E373-4CFB-BD00-FAD3F7345985}"/>
                </c:ext>
              </c:extLst>
            </c:dLbl>
            <c:dLbl>
              <c:idx val="9"/>
              <c:tx>
                <c:rich>
                  <a:bodyPr/>
                  <a:lstStyle/>
                  <a:p>
                    <a:fld id="{27C8637C-7B2A-482D-9807-2E559D537E5E}" type="CELLRANGE">
                      <a:rPr lang="en-US"/>
                      <a:pPr/>
                      <a:t>[CELLRANGE]</a:t>
                    </a:fld>
                    <a:endParaRPr lang="en-US"/>
                  </a:p>
                </c:rich>
              </c:tx>
              <c:dLblPos val="ctr"/>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E-E373-4CFB-BD00-FAD3F7345985}"/>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'Armenia 2015-2024_publication'!$B$2:$B$11</c:f>
              <c:numCache>
                <c:formatCode>General</c:formatCode>
                <c:ptCount val="10"/>
                <c:pt idx="0">
                  <c:v>2015</c:v>
                </c:pt>
                <c:pt idx="1">
                  <c:v>2016</c:v>
                </c:pt>
                <c:pt idx="2">
                  <c:v>2017</c:v>
                </c:pt>
                <c:pt idx="3">
                  <c:v>2018</c:v>
                </c:pt>
                <c:pt idx="4">
                  <c:v>2019</c:v>
                </c:pt>
                <c:pt idx="5">
                  <c:v>2020</c:v>
                </c:pt>
                <c:pt idx="6">
                  <c:v>2021</c:v>
                </c:pt>
                <c:pt idx="7">
                  <c:v>2022</c:v>
                </c:pt>
                <c:pt idx="8">
                  <c:v>2023</c:v>
                </c:pt>
                <c:pt idx="9">
                  <c:v>2024</c:v>
                </c:pt>
              </c:numCache>
            </c:numRef>
          </c:cat>
          <c:val>
            <c:numRef>
              <c:f>'Armenia 2015-2024_publication'!$H$37:$H$46</c:f>
              <c:numCache>
                <c:formatCode>General</c:formatCode>
                <c:ptCount val="10"/>
                <c:pt idx="0">
                  <c:v>115</c:v>
                </c:pt>
                <c:pt idx="1">
                  <c:v>102</c:v>
                </c:pt>
                <c:pt idx="2">
                  <c:v>129</c:v>
                </c:pt>
                <c:pt idx="3">
                  <c:v>127</c:v>
                </c:pt>
                <c:pt idx="4">
                  <c:v>239</c:v>
                </c:pt>
                <c:pt idx="5">
                  <c:v>122</c:v>
                </c:pt>
                <c:pt idx="6">
                  <c:v>117</c:v>
                </c:pt>
                <c:pt idx="7">
                  <c:v>122</c:v>
                </c:pt>
                <c:pt idx="8">
                  <c:v>194</c:v>
                </c:pt>
                <c:pt idx="9">
                  <c:v>225</c:v>
                </c:pt>
              </c:numCache>
            </c:numRef>
          </c:val>
          <c:extLst>
            <c:ext xmlns:c15="http://schemas.microsoft.com/office/drawing/2012/chart" uri="{02D57815-91ED-43cb-92C2-25804820EDAC}">
              <c15:datalabelsRange>
                <c15:f>'Armenia 2015-2024_publication'!$H$49:$H$58</c15:f>
                <c15:dlblRangeCache>
                  <c:ptCount val="10"/>
                  <c:pt idx="0">
                    <c:v>115
(87%)</c:v>
                  </c:pt>
                  <c:pt idx="1">
                    <c:v>102
(75%)</c:v>
                  </c:pt>
                  <c:pt idx="2">
                    <c:v>129
(86%)</c:v>
                  </c:pt>
                  <c:pt idx="3">
                    <c:v>127
(83%)</c:v>
                  </c:pt>
                  <c:pt idx="4">
                    <c:v>239
(66%)</c:v>
                  </c:pt>
                  <c:pt idx="5">
                    <c:v>122
(80%)</c:v>
                  </c:pt>
                  <c:pt idx="6">
                    <c:v>117
(76%)</c:v>
                  </c:pt>
                  <c:pt idx="7">
                    <c:v>122
(81%)</c:v>
                  </c:pt>
                  <c:pt idx="8">
                    <c:v>194
(84%)</c:v>
                  </c:pt>
                  <c:pt idx="9">
                    <c:v>225
(86%)</c:v>
                  </c:pt>
                </c15:dlblRangeCache>
              </c15:datalabelsRange>
            </c:ext>
            <c:ext xmlns:c16="http://schemas.microsoft.com/office/drawing/2014/chart" uri="{C3380CC4-5D6E-409C-BE32-E72D297353CC}">
              <c16:uniqueId val="{0000000F-E373-4CFB-BD00-FAD3F7345985}"/>
            </c:ext>
          </c:extLst>
        </c:ser>
        <c:ser>
          <c:idx val="1"/>
          <c:order val="3"/>
          <c:tx>
            <c:strRef>
              <c:f>'Armenia 2015-2024_publication'!$G$1</c:f>
              <c:strCache>
                <c:ptCount val="1"/>
                <c:pt idx="0">
                  <c:v>Q2</c:v>
                </c:pt>
              </c:strCache>
            </c:strRef>
          </c:tx>
          <c:spPr>
            <a:solidFill>
              <a:schemeClr val="accent2"/>
            </a:solidFill>
            <a:ln>
              <a:noFill/>
            </a:ln>
            <a:effectLst/>
          </c:spPr>
          <c:invertIfNegative val="0"/>
          <c:dLbls>
            <c:dLbl>
              <c:idx val="0"/>
              <c:tx>
                <c:rich>
                  <a:bodyPr/>
                  <a:lstStyle/>
                  <a:p>
                    <a:fld id="{40C5341B-7317-4449-86F1-8D89F61FA808}" type="CELLRANGE">
                      <a:rPr lang="en-US"/>
                      <a:pPr/>
                      <a:t>[CELLRANGE]</a:t>
                    </a:fld>
                    <a:endParaRPr lang="en-US"/>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10-E373-4CFB-BD00-FAD3F7345985}"/>
                </c:ext>
              </c:extLst>
            </c:dLbl>
            <c:dLbl>
              <c:idx val="1"/>
              <c:tx>
                <c:rich>
                  <a:bodyPr/>
                  <a:lstStyle/>
                  <a:p>
                    <a:fld id="{35B94127-C28E-4017-A700-8FA48E03CB68}" type="CELLRANGE">
                      <a:rPr lang="en-US"/>
                      <a:pPr/>
                      <a:t>[CELLRANGE]</a:t>
                    </a:fld>
                    <a:endParaRPr lang="en-US"/>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11-E373-4CFB-BD00-FAD3F7345985}"/>
                </c:ext>
              </c:extLst>
            </c:dLbl>
            <c:dLbl>
              <c:idx val="2"/>
              <c:tx>
                <c:rich>
                  <a:bodyPr/>
                  <a:lstStyle/>
                  <a:p>
                    <a:fld id="{927E9902-0200-452F-BA57-FAA28A5AE140}" type="CELLRANGE">
                      <a:rPr lang="en-US"/>
                      <a:pPr/>
                      <a:t>[CELLRANGE]</a:t>
                    </a:fld>
                    <a:endParaRPr lang="en-US"/>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12-E373-4CFB-BD00-FAD3F7345985}"/>
                </c:ext>
              </c:extLst>
            </c:dLbl>
            <c:dLbl>
              <c:idx val="3"/>
              <c:tx>
                <c:rich>
                  <a:bodyPr/>
                  <a:lstStyle/>
                  <a:p>
                    <a:fld id="{3A970015-CDCA-453F-9D67-BABDA563CFCA}" type="CELLRANGE">
                      <a:rPr lang="en-US"/>
                      <a:pPr/>
                      <a:t>[CELLRANGE]</a:t>
                    </a:fld>
                    <a:endParaRPr lang="en-US"/>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13-E373-4CFB-BD00-FAD3F7345985}"/>
                </c:ext>
              </c:extLst>
            </c:dLbl>
            <c:dLbl>
              <c:idx val="4"/>
              <c:tx>
                <c:rich>
                  <a:bodyPr/>
                  <a:lstStyle/>
                  <a:p>
                    <a:fld id="{BEB90AFF-9732-402C-B950-5C4629BE81A5}" type="CELLRANGE">
                      <a:rPr lang="en-US"/>
                      <a:pPr/>
                      <a:t>[CELLRANGE]</a:t>
                    </a:fld>
                    <a:endParaRPr lang="en-US"/>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14-E373-4CFB-BD00-FAD3F7345985}"/>
                </c:ext>
              </c:extLst>
            </c:dLbl>
            <c:dLbl>
              <c:idx val="5"/>
              <c:tx>
                <c:rich>
                  <a:bodyPr/>
                  <a:lstStyle/>
                  <a:p>
                    <a:fld id="{09007800-4F10-46E9-8FE7-3D982F6642AE}" type="CELLRANGE">
                      <a:rPr lang="en-US"/>
                      <a:pPr/>
                      <a:t>[CELLRANGE]</a:t>
                    </a:fld>
                    <a:endParaRPr lang="en-US"/>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15-E373-4CFB-BD00-FAD3F7345985}"/>
                </c:ext>
              </c:extLst>
            </c:dLbl>
            <c:dLbl>
              <c:idx val="6"/>
              <c:tx>
                <c:rich>
                  <a:bodyPr/>
                  <a:lstStyle/>
                  <a:p>
                    <a:fld id="{34CB0B01-F6BA-4FC4-A261-975B2A942EF7}" type="CELLRANGE">
                      <a:rPr lang="en-US"/>
                      <a:pPr/>
                      <a:t>[CELLRANGE]</a:t>
                    </a:fld>
                    <a:endParaRPr lang="en-US"/>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16-E373-4CFB-BD00-FAD3F7345985}"/>
                </c:ext>
              </c:extLst>
            </c:dLbl>
            <c:dLbl>
              <c:idx val="7"/>
              <c:tx>
                <c:rich>
                  <a:bodyPr/>
                  <a:lstStyle/>
                  <a:p>
                    <a:fld id="{D73510A6-D3A4-4938-9FBC-F041397617CB}" type="CELLRANGE">
                      <a:rPr lang="en-US"/>
                      <a:pPr/>
                      <a:t>[CELLRANGE]</a:t>
                    </a:fld>
                    <a:endParaRPr lang="en-US"/>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17-E373-4CFB-BD00-FAD3F7345985}"/>
                </c:ext>
              </c:extLst>
            </c:dLbl>
            <c:dLbl>
              <c:idx val="8"/>
              <c:tx>
                <c:rich>
                  <a:bodyPr/>
                  <a:lstStyle/>
                  <a:p>
                    <a:fld id="{6B798E45-AD5E-474E-978C-C0CC815C939E}" type="CELLRANGE">
                      <a:rPr lang="en-US"/>
                      <a:pPr/>
                      <a:t>[CELLRANGE]</a:t>
                    </a:fld>
                    <a:endParaRPr lang="en-US"/>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18-E373-4CFB-BD00-FAD3F7345985}"/>
                </c:ext>
              </c:extLst>
            </c:dLbl>
            <c:dLbl>
              <c:idx val="9"/>
              <c:tx>
                <c:rich>
                  <a:bodyPr/>
                  <a:lstStyle/>
                  <a:p>
                    <a:fld id="{3571C912-BFBF-4325-B191-EDC556E411C3}" type="CELLRANGE">
                      <a:rPr lang="en-US"/>
                      <a:pPr/>
                      <a:t>[CELLRANGE]</a:t>
                    </a:fld>
                    <a:endParaRPr lang="en-US"/>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19-E373-4CFB-BD00-FAD3F7345985}"/>
                </c:ext>
              </c:extLst>
            </c:dLbl>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en-US"/>
              </a:p>
            </c:txPr>
            <c:dLblPos val="ct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1"/>
                <c15:leaderLines>
                  <c:spPr>
                    <a:ln w="9525" cap="flat" cmpd="sng" algn="ctr">
                      <a:solidFill>
                        <a:schemeClr val="tx1">
                          <a:lumMod val="35000"/>
                          <a:lumOff val="65000"/>
                        </a:schemeClr>
                      </a:solidFill>
                      <a:round/>
                    </a:ln>
                    <a:effectLst/>
                  </c:spPr>
                </c15:leaderLines>
              </c:ext>
            </c:extLst>
          </c:dLbls>
          <c:cat>
            <c:numRef>
              <c:f>'Armenia 2015-2024_publication'!$B$2:$B$11</c:f>
              <c:numCache>
                <c:formatCode>General</c:formatCode>
                <c:ptCount val="10"/>
                <c:pt idx="0">
                  <c:v>2015</c:v>
                </c:pt>
                <c:pt idx="1">
                  <c:v>2016</c:v>
                </c:pt>
                <c:pt idx="2">
                  <c:v>2017</c:v>
                </c:pt>
                <c:pt idx="3">
                  <c:v>2018</c:v>
                </c:pt>
                <c:pt idx="4">
                  <c:v>2019</c:v>
                </c:pt>
                <c:pt idx="5">
                  <c:v>2020</c:v>
                </c:pt>
                <c:pt idx="6">
                  <c:v>2021</c:v>
                </c:pt>
                <c:pt idx="7">
                  <c:v>2022</c:v>
                </c:pt>
                <c:pt idx="8">
                  <c:v>2023</c:v>
                </c:pt>
                <c:pt idx="9">
                  <c:v>2024</c:v>
                </c:pt>
              </c:numCache>
            </c:numRef>
          </c:cat>
          <c:val>
            <c:numRef>
              <c:f>'Armenia 2015-2024_publication'!$G$37:$G$46</c:f>
              <c:numCache>
                <c:formatCode>General</c:formatCode>
                <c:ptCount val="10"/>
                <c:pt idx="0">
                  <c:v>182</c:v>
                </c:pt>
                <c:pt idx="1">
                  <c:v>156</c:v>
                </c:pt>
                <c:pt idx="2">
                  <c:v>161</c:v>
                </c:pt>
                <c:pt idx="3">
                  <c:v>254</c:v>
                </c:pt>
                <c:pt idx="4">
                  <c:v>201</c:v>
                </c:pt>
                <c:pt idx="5">
                  <c:v>270</c:v>
                </c:pt>
                <c:pt idx="6">
                  <c:v>258</c:v>
                </c:pt>
                <c:pt idx="7">
                  <c:v>302</c:v>
                </c:pt>
                <c:pt idx="8">
                  <c:v>370</c:v>
                </c:pt>
                <c:pt idx="9">
                  <c:v>445</c:v>
                </c:pt>
              </c:numCache>
            </c:numRef>
          </c:val>
          <c:extLst>
            <c:ext xmlns:c15="http://schemas.microsoft.com/office/drawing/2012/chart" uri="{02D57815-91ED-43cb-92C2-25804820EDAC}">
              <c15:datalabelsRange>
                <c15:f>'Armenia 2015-2024_publication'!$G$49:$G$58</c15:f>
                <c15:dlblRangeCache>
                  <c:ptCount val="10"/>
                  <c:pt idx="0">
                    <c:v>182
(61%)</c:v>
                  </c:pt>
                  <c:pt idx="1">
                    <c:v>156
(72%)</c:v>
                  </c:pt>
                  <c:pt idx="2">
                    <c:v>161
(66%)</c:v>
                  </c:pt>
                  <c:pt idx="3">
                    <c:v>254
(65%)</c:v>
                  </c:pt>
                  <c:pt idx="4">
                    <c:v>201
(75%)</c:v>
                  </c:pt>
                  <c:pt idx="5">
                    <c:v>270
(67%)</c:v>
                  </c:pt>
                  <c:pt idx="6">
                    <c:v>258
(66%)</c:v>
                  </c:pt>
                  <c:pt idx="7">
                    <c:v>302
(64%)</c:v>
                  </c:pt>
                  <c:pt idx="8">
                    <c:v>370
(70%)</c:v>
                  </c:pt>
                  <c:pt idx="9">
                    <c:v>445
(74%)</c:v>
                  </c:pt>
                </c15:dlblRangeCache>
              </c15:datalabelsRange>
            </c:ext>
            <c:ext xmlns:c16="http://schemas.microsoft.com/office/drawing/2014/chart" uri="{C3380CC4-5D6E-409C-BE32-E72D297353CC}">
              <c16:uniqueId val="{0000001A-E373-4CFB-BD00-FAD3F7345985}"/>
            </c:ext>
          </c:extLst>
        </c:ser>
        <c:ser>
          <c:idx val="0"/>
          <c:order val="4"/>
          <c:tx>
            <c:strRef>
              <c:f>'Armenia 2015-2024_publication'!$F$1</c:f>
              <c:strCache>
                <c:ptCount val="1"/>
                <c:pt idx="0">
                  <c:v>Q1</c:v>
                </c:pt>
              </c:strCache>
            </c:strRef>
          </c:tx>
          <c:spPr>
            <a:solidFill>
              <a:schemeClr val="accent1"/>
            </a:solidFill>
            <a:ln>
              <a:noFill/>
            </a:ln>
            <a:effectLst/>
          </c:spPr>
          <c:invertIfNegative val="0"/>
          <c:dLbls>
            <c:dLbl>
              <c:idx val="0"/>
              <c:tx>
                <c:rich>
                  <a:bodyPr/>
                  <a:lstStyle/>
                  <a:p>
                    <a:fld id="{28E8AB39-515F-407A-8F5F-D991110D2422}" type="CELLRANGE">
                      <a:rPr lang="en-US"/>
                      <a:pPr/>
                      <a:t>[CELLRANGE]</a:t>
                    </a:fld>
                    <a:endParaRPr lang="en-US"/>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1B-E373-4CFB-BD00-FAD3F7345985}"/>
                </c:ext>
              </c:extLst>
            </c:dLbl>
            <c:dLbl>
              <c:idx val="1"/>
              <c:tx>
                <c:rich>
                  <a:bodyPr/>
                  <a:lstStyle/>
                  <a:p>
                    <a:fld id="{B52730EC-77D6-4775-8E3A-E9DC29739046}" type="CELLRANGE">
                      <a:rPr lang="en-US"/>
                      <a:pPr/>
                      <a:t>[CELLRANGE]</a:t>
                    </a:fld>
                    <a:endParaRPr lang="en-US"/>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1C-E373-4CFB-BD00-FAD3F7345985}"/>
                </c:ext>
              </c:extLst>
            </c:dLbl>
            <c:dLbl>
              <c:idx val="2"/>
              <c:tx>
                <c:rich>
                  <a:bodyPr/>
                  <a:lstStyle/>
                  <a:p>
                    <a:fld id="{BD655026-8C45-4CEA-8623-35DAEE764A84}" type="CELLRANGE">
                      <a:rPr lang="en-US"/>
                      <a:pPr/>
                      <a:t>[CELLRANGE]</a:t>
                    </a:fld>
                    <a:endParaRPr lang="en-US"/>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1D-E373-4CFB-BD00-FAD3F7345985}"/>
                </c:ext>
              </c:extLst>
            </c:dLbl>
            <c:dLbl>
              <c:idx val="3"/>
              <c:tx>
                <c:rich>
                  <a:bodyPr/>
                  <a:lstStyle/>
                  <a:p>
                    <a:fld id="{A68A824E-65D1-40A9-81E1-5D316733E452}" type="CELLRANGE">
                      <a:rPr lang="en-US"/>
                      <a:pPr/>
                      <a:t>[CELLRANGE]</a:t>
                    </a:fld>
                    <a:endParaRPr lang="en-US"/>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1E-E373-4CFB-BD00-FAD3F7345985}"/>
                </c:ext>
              </c:extLst>
            </c:dLbl>
            <c:dLbl>
              <c:idx val="4"/>
              <c:tx>
                <c:rich>
                  <a:bodyPr/>
                  <a:lstStyle/>
                  <a:p>
                    <a:fld id="{DAA1CDB1-C2C6-4F9F-8194-A3227C16272A}" type="CELLRANGE">
                      <a:rPr lang="en-US"/>
                      <a:pPr/>
                      <a:t>[CELLRANGE]</a:t>
                    </a:fld>
                    <a:endParaRPr lang="en-US"/>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1F-E373-4CFB-BD00-FAD3F7345985}"/>
                </c:ext>
              </c:extLst>
            </c:dLbl>
            <c:dLbl>
              <c:idx val="5"/>
              <c:tx>
                <c:rich>
                  <a:bodyPr/>
                  <a:lstStyle/>
                  <a:p>
                    <a:fld id="{0C0992C7-49A8-4368-8788-8FBAA70943A5}" type="CELLRANGE">
                      <a:rPr lang="en-US"/>
                      <a:pPr/>
                      <a:t>[CELLRANGE]</a:t>
                    </a:fld>
                    <a:endParaRPr lang="en-US"/>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20-E373-4CFB-BD00-FAD3F7345985}"/>
                </c:ext>
              </c:extLst>
            </c:dLbl>
            <c:dLbl>
              <c:idx val="6"/>
              <c:tx>
                <c:rich>
                  <a:bodyPr/>
                  <a:lstStyle/>
                  <a:p>
                    <a:fld id="{FEB0E049-F249-4B6C-BF7B-EBC39242C1D4}" type="CELLRANGE">
                      <a:rPr lang="en-US"/>
                      <a:pPr/>
                      <a:t>[CELLRANGE]</a:t>
                    </a:fld>
                    <a:endParaRPr lang="en-US"/>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21-E373-4CFB-BD00-FAD3F7345985}"/>
                </c:ext>
              </c:extLst>
            </c:dLbl>
            <c:dLbl>
              <c:idx val="7"/>
              <c:tx>
                <c:rich>
                  <a:bodyPr/>
                  <a:lstStyle/>
                  <a:p>
                    <a:fld id="{FB4397B0-1C90-4A2E-A6DD-769F77A4420C}" type="CELLRANGE">
                      <a:rPr lang="en-US"/>
                      <a:pPr/>
                      <a:t>[CELLRANGE]</a:t>
                    </a:fld>
                    <a:endParaRPr lang="en-US"/>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22-E373-4CFB-BD00-FAD3F7345985}"/>
                </c:ext>
              </c:extLst>
            </c:dLbl>
            <c:dLbl>
              <c:idx val="8"/>
              <c:tx>
                <c:rich>
                  <a:bodyPr/>
                  <a:lstStyle/>
                  <a:p>
                    <a:fld id="{E93BE746-8A36-4B83-9649-162F5EA738A3}" type="CELLRANGE">
                      <a:rPr lang="en-US"/>
                      <a:pPr/>
                      <a:t>[CELLRANGE]</a:t>
                    </a:fld>
                    <a:endParaRPr lang="en-US"/>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23-E373-4CFB-BD00-FAD3F7345985}"/>
                </c:ext>
              </c:extLst>
            </c:dLbl>
            <c:dLbl>
              <c:idx val="9"/>
              <c:tx>
                <c:rich>
                  <a:bodyPr/>
                  <a:lstStyle/>
                  <a:p>
                    <a:fld id="{E34EB46A-A3F0-4D60-8F4A-BFC76D4EA513}" type="CELLRANGE">
                      <a:rPr lang="en-US"/>
                      <a:pPr/>
                      <a:t>[CELLRANGE]</a:t>
                    </a:fld>
                    <a:endParaRPr lang="en-US"/>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24-E373-4CFB-BD00-FAD3F7345985}"/>
                </c:ext>
              </c:extLst>
            </c:dLbl>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en-US"/>
              </a:p>
            </c:txPr>
            <c:dLblPos val="ct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1"/>
                <c15:leaderLines>
                  <c:spPr>
                    <a:ln w="9525" cap="flat" cmpd="sng" algn="ctr">
                      <a:solidFill>
                        <a:schemeClr val="tx1">
                          <a:lumMod val="35000"/>
                          <a:lumOff val="65000"/>
                        </a:schemeClr>
                      </a:solidFill>
                      <a:round/>
                    </a:ln>
                    <a:effectLst/>
                  </c:spPr>
                </c15:leaderLines>
              </c:ext>
            </c:extLst>
          </c:dLbls>
          <c:cat>
            <c:numRef>
              <c:f>'Armenia 2015-2024_publication'!$B$2:$B$11</c:f>
              <c:numCache>
                <c:formatCode>General</c:formatCode>
                <c:ptCount val="10"/>
                <c:pt idx="0">
                  <c:v>2015</c:v>
                </c:pt>
                <c:pt idx="1">
                  <c:v>2016</c:v>
                </c:pt>
                <c:pt idx="2">
                  <c:v>2017</c:v>
                </c:pt>
                <c:pt idx="3">
                  <c:v>2018</c:v>
                </c:pt>
                <c:pt idx="4">
                  <c:v>2019</c:v>
                </c:pt>
                <c:pt idx="5">
                  <c:v>2020</c:v>
                </c:pt>
                <c:pt idx="6">
                  <c:v>2021</c:v>
                </c:pt>
                <c:pt idx="7">
                  <c:v>2022</c:v>
                </c:pt>
                <c:pt idx="8">
                  <c:v>2023</c:v>
                </c:pt>
                <c:pt idx="9">
                  <c:v>2024</c:v>
                </c:pt>
              </c:numCache>
            </c:numRef>
          </c:cat>
          <c:val>
            <c:numRef>
              <c:f>'Armenia 2015-2024_publication'!$F$37:$F$46</c:f>
              <c:numCache>
                <c:formatCode>General</c:formatCode>
                <c:ptCount val="10"/>
                <c:pt idx="0">
                  <c:v>379</c:v>
                </c:pt>
                <c:pt idx="1">
                  <c:v>457</c:v>
                </c:pt>
                <c:pt idx="2">
                  <c:v>451</c:v>
                </c:pt>
                <c:pt idx="3">
                  <c:v>434</c:v>
                </c:pt>
                <c:pt idx="4">
                  <c:v>486</c:v>
                </c:pt>
                <c:pt idx="5">
                  <c:v>407</c:v>
                </c:pt>
                <c:pt idx="6">
                  <c:v>404</c:v>
                </c:pt>
                <c:pt idx="7">
                  <c:v>345</c:v>
                </c:pt>
                <c:pt idx="8">
                  <c:v>528</c:v>
                </c:pt>
                <c:pt idx="9">
                  <c:v>596</c:v>
                </c:pt>
              </c:numCache>
            </c:numRef>
          </c:val>
          <c:extLst>
            <c:ext xmlns:c15="http://schemas.microsoft.com/office/drawing/2012/chart" uri="{02D57815-91ED-43cb-92C2-25804820EDAC}">
              <c15:datalabelsRange>
                <c15:f>'Armenia 2015-2024_publication'!$F$49:$F$58</c15:f>
                <c15:dlblRangeCache>
                  <c:ptCount val="10"/>
                  <c:pt idx="0">
                    <c:v>379
(55%)</c:v>
                  </c:pt>
                  <c:pt idx="1">
                    <c:v>457
(52%)</c:v>
                  </c:pt>
                  <c:pt idx="2">
                    <c:v>451
(57%)</c:v>
                  </c:pt>
                  <c:pt idx="3">
                    <c:v>434
(49%)</c:v>
                  </c:pt>
                  <c:pt idx="4">
                    <c:v>486
(50%)</c:v>
                  </c:pt>
                  <c:pt idx="5">
                    <c:v>407
(53%)</c:v>
                  </c:pt>
                  <c:pt idx="6">
                    <c:v>404
(50%)</c:v>
                  </c:pt>
                  <c:pt idx="7">
                    <c:v>345
(57%)</c:v>
                  </c:pt>
                  <c:pt idx="8">
                    <c:v>528
(57%)</c:v>
                  </c:pt>
                  <c:pt idx="9">
                    <c:v>596
(59%)</c:v>
                  </c:pt>
                </c15:dlblRangeCache>
              </c15:datalabelsRange>
            </c:ext>
            <c:ext xmlns:c16="http://schemas.microsoft.com/office/drawing/2014/chart" uri="{C3380CC4-5D6E-409C-BE32-E72D297353CC}">
              <c16:uniqueId val="{00000025-E373-4CFB-BD00-FAD3F7345985}"/>
            </c:ext>
          </c:extLst>
        </c:ser>
        <c:dLbls>
          <c:showLegendKey val="0"/>
          <c:showVal val="0"/>
          <c:showCatName val="0"/>
          <c:showSerName val="0"/>
          <c:showPercent val="0"/>
          <c:showBubbleSize val="0"/>
        </c:dLbls>
        <c:gapWidth val="50"/>
        <c:overlap val="100"/>
        <c:axId val="1154035743"/>
        <c:axId val="1154038143"/>
      </c:barChart>
      <c:lineChart>
        <c:grouping val="standard"/>
        <c:varyColors val="0"/>
        <c:ser>
          <c:idx val="5"/>
          <c:order val="5"/>
          <c:tx>
            <c:strRef>
              <c:f>'Armenia 2015-2024_publication'!$C$1</c:f>
              <c:strCache>
                <c:ptCount val="1"/>
                <c:pt idx="0">
                  <c:v>Ընդհանուր</c:v>
                </c:pt>
              </c:strCache>
            </c:strRef>
          </c:tx>
          <c:spPr>
            <a:ln w="19050" cap="rnd">
              <a:solidFill>
                <a:schemeClr val="tx1"/>
              </a:solidFill>
              <a:round/>
            </a:ln>
            <a:effectLst/>
          </c:spPr>
          <c:marker>
            <c:symbol val="triangle"/>
            <c:size val="5"/>
            <c:spPr>
              <a:solidFill>
                <a:schemeClr val="tx1"/>
              </a:solidFill>
              <a:ln w="9525">
                <a:noFill/>
              </a:ln>
              <a:effectLst/>
            </c:spPr>
          </c:marker>
          <c:dLbls>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'Armenia 2015-2024_publication'!$C$37:$C$46</c:f>
              <c:numCache>
                <c:formatCode>General</c:formatCode>
                <c:ptCount val="10"/>
                <c:pt idx="0">
                  <c:v>1172</c:v>
                </c:pt>
                <c:pt idx="1">
                  <c:v>1277</c:v>
                </c:pt>
                <c:pt idx="2">
                  <c:v>1298</c:v>
                </c:pt>
                <c:pt idx="3">
                  <c:v>1287</c:v>
                </c:pt>
                <c:pt idx="4">
                  <c:v>1533</c:v>
                </c:pt>
                <c:pt idx="5">
                  <c:v>1325</c:v>
                </c:pt>
                <c:pt idx="6">
                  <c:v>1221</c:v>
                </c:pt>
                <c:pt idx="7">
                  <c:v>1307</c:v>
                </c:pt>
                <c:pt idx="8">
                  <c:v>1545</c:v>
                </c:pt>
                <c:pt idx="9">
                  <c:v>1778</c:v>
                </c:pt>
              </c:numCache>
            </c:numRef>
          </c:val>
          <c:smooth val="0"/>
          <c:extLst>
            <c:ext xmlns:c16="http://schemas.microsoft.com/office/drawing/2014/chart" uri="{C3380CC4-5D6E-409C-BE32-E72D297353CC}">
              <c16:uniqueId val="{00000026-E373-4CFB-BD00-FAD3F7345985}"/>
            </c:ext>
          </c:extLst>
        </c:ser>
        <c:dLbls>
          <c:showLegendKey val="0"/>
          <c:showVal val="0"/>
          <c:showCatName val="0"/>
          <c:showSerName val="0"/>
          <c:showPercent val="0"/>
          <c:showBubbleSize val="0"/>
        </c:dLbls>
        <c:marker val="1"/>
        <c:smooth val="0"/>
        <c:axId val="1154035743"/>
        <c:axId val="1154038143"/>
      </c:lineChart>
      <c:catAx>
        <c:axId val="115403574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en-US"/>
          </a:p>
        </c:txPr>
        <c:crossAx val="1154038143"/>
        <c:crosses val="autoZero"/>
        <c:auto val="1"/>
        <c:lblAlgn val="ctr"/>
        <c:lblOffset val="100"/>
        <c:noMultiLvlLbl val="0"/>
      </c:catAx>
      <c:valAx>
        <c:axId val="115403814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en-US"/>
          </a:p>
        </c:txPr>
        <c:crossAx val="115403574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b="1">
          <a:solidFill>
            <a:sysClr val="windowText" lastClr="000000"/>
          </a:solidFill>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4"/>
          <c:order val="0"/>
          <c:tx>
            <c:strRef>
              <c:f>'[2015-2024-publications_WOS.xlsx]Armenia 2015-2024_publication'!$J$1</c:f>
              <c:strCache>
                <c:ptCount val="1"/>
                <c:pt idx="0">
                  <c:v>ԱԳ չունեցող</c:v>
                </c:pt>
              </c:strCache>
            </c:strRef>
          </c:tx>
          <c:spPr>
            <a:solidFill>
              <a:schemeClr val="accent5"/>
            </a:solidFill>
            <a:ln>
              <a:noFill/>
            </a:ln>
            <a:effectLst/>
          </c:spPr>
          <c:invertIfNegative val="0"/>
          <c:dLbls>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'[2015-2024-publications_WOS.xlsx]Armenia 2015-2024_publication'!$B$2:$B$11</c:f>
              <c:numCache>
                <c:formatCode>General</c:formatCode>
                <c:ptCount val="10"/>
                <c:pt idx="0">
                  <c:v>2015</c:v>
                </c:pt>
                <c:pt idx="1">
                  <c:v>2016</c:v>
                </c:pt>
                <c:pt idx="2">
                  <c:v>2017</c:v>
                </c:pt>
                <c:pt idx="3">
                  <c:v>2018</c:v>
                </c:pt>
                <c:pt idx="4">
                  <c:v>2019</c:v>
                </c:pt>
                <c:pt idx="5">
                  <c:v>2020</c:v>
                </c:pt>
                <c:pt idx="6">
                  <c:v>2021</c:v>
                </c:pt>
                <c:pt idx="7">
                  <c:v>2022</c:v>
                </c:pt>
                <c:pt idx="8">
                  <c:v>2023</c:v>
                </c:pt>
                <c:pt idx="9">
                  <c:v>2024</c:v>
                </c:pt>
              </c:numCache>
            </c:numRef>
          </c:cat>
          <c:val>
            <c:numRef>
              <c:f>'[2015-2024-publications_WOS.xlsx]Armenia 2015-2024_publication'!$J$2:$J$11</c:f>
              <c:numCache>
                <c:formatCode>General</c:formatCode>
                <c:ptCount val="10"/>
                <c:pt idx="0">
                  <c:v>283</c:v>
                </c:pt>
                <c:pt idx="1">
                  <c:v>346</c:v>
                </c:pt>
                <c:pt idx="2">
                  <c:v>337</c:v>
                </c:pt>
                <c:pt idx="3">
                  <c:v>254</c:v>
                </c:pt>
                <c:pt idx="4">
                  <c:v>365</c:v>
                </c:pt>
                <c:pt idx="5">
                  <c:v>259</c:v>
                </c:pt>
                <c:pt idx="6">
                  <c:v>218</c:v>
                </c:pt>
                <c:pt idx="7">
                  <c:v>305</c:v>
                </c:pt>
                <c:pt idx="8">
                  <c:v>112</c:v>
                </c:pt>
                <c:pt idx="9">
                  <c:v>120</c:v>
                </c:pt>
              </c:numCache>
            </c:numRef>
          </c:val>
          <c:extLst>
            <c:ext xmlns:c16="http://schemas.microsoft.com/office/drawing/2014/chart" uri="{C3380CC4-5D6E-409C-BE32-E72D297353CC}">
              <c16:uniqueId val="{00000000-6465-4CFA-AE84-FF739D2A452D}"/>
            </c:ext>
          </c:extLst>
        </c:ser>
        <c:ser>
          <c:idx val="3"/>
          <c:order val="1"/>
          <c:tx>
            <c:strRef>
              <c:f>'[2015-2024-publications_WOS.xlsx]Armenia 2015-2024_publication'!$I$1</c:f>
              <c:strCache>
                <c:ptCount val="1"/>
                <c:pt idx="0">
                  <c:v>Q4</c:v>
                </c:pt>
              </c:strCache>
            </c:strRef>
          </c:tx>
          <c:spPr>
            <a:solidFill>
              <a:schemeClr val="accent4"/>
            </a:solidFill>
            <a:ln>
              <a:noFill/>
            </a:ln>
            <a:effectLst/>
          </c:spPr>
          <c:invertIfNegative val="0"/>
          <c:dLbls>
            <c:dLbl>
              <c:idx val="0"/>
              <c:tx>
                <c:rich>
                  <a:bodyPr/>
                  <a:lstStyle/>
                  <a:p>
                    <a:fld id="{F146D4DD-60C2-4C7A-B695-461B2ADEDC18}" type="CELLRANGE">
                      <a:rPr lang="en-US"/>
                      <a:pPr/>
                      <a:t>[CELLRANGE]</a:t>
                    </a:fld>
                    <a:endParaRPr lang="en-US"/>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6465-4CFA-AE84-FF739D2A452D}"/>
                </c:ext>
              </c:extLst>
            </c:dLbl>
            <c:dLbl>
              <c:idx val="1"/>
              <c:tx>
                <c:rich>
                  <a:bodyPr/>
                  <a:lstStyle/>
                  <a:p>
                    <a:fld id="{E5983184-3D68-49E1-917F-F1A6511A14D4}" type="CELLRANGE">
                      <a:rPr lang="en-US"/>
                      <a:pPr/>
                      <a:t>[CELLRANGE]</a:t>
                    </a:fld>
                    <a:endParaRPr lang="en-US"/>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2-6465-4CFA-AE84-FF739D2A452D}"/>
                </c:ext>
              </c:extLst>
            </c:dLbl>
            <c:dLbl>
              <c:idx val="2"/>
              <c:tx>
                <c:rich>
                  <a:bodyPr/>
                  <a:lstStyle/>
                  <a:p>
                    <a:fld id="{5FBF435E-B7D3-46F3-8581-D88C8A4028FF}" type="CELLRANGE">
                      <a:rPr lang="en-US"/>
                      <a:pPr/>
                      <a:t>[CELLRANGE]</a:t>
                    </a:fld>
                    <a:endParaRPr lang="en-US"/>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3-6465-4CFA-AE84-FF739D2A452D}"/>
                </c:ext>
              </c:extLst>
            </c:dLbl>
            <c:dLbl>
              <c:idx val="3"/>
              <c:tx>
                <c:rich>
                  <a:bodyPr/>
                  <a:lstStyle/>
                  <a:p>
                    <a:fld id="{B5E13B1C-7410-45C5-8D18-D3884EDA14F7}" type="CELLRANGE">
                      <a:rPr lang="en-US"/>
                      <a:pPr/>
                      <a:t>[CELLRANGE]</a:t>
                    </a:fld>
                    <a:endParaRPr lang="en-US"/>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4-6465-4CFA-AE84-FF739D2A452D}"/>
                </c:ext>
              </c:extLst>
            </c:dLbl>
            <c:dLbl>
              <c:idx val="4"/>
              <c:tx>
                <c:rich>
                  <a:bodyPr/>
                  <a:lstStyle/>
                  <a:p>
                    <a:fld id="{54BD04DF-F1A4-4238-947C-8EE7E78DAA19}" type="CELLRANGE">
                      <a:rPr lang="en-US"/>
                      <a:pPr/>
                      <a:t>[CELLRANGE]</a:t>
                    </a:fld>
                    <a:endParaRPr lang="en-US"/>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5-6465-4CFA-AE84-FF739D2A452D}"/>
                </c:ext>
              </c:extLst>
            </c:dLbl>
            <c:dLbl>
              <c:idx val="5"/>
              <c:tx>
                <c:rich>
                  <a:bodyPr/>
                  <a:lstStyle/>
                  <a:p>
                    <a:fld id="{71C8789B-A089-4968-AFC5-1ED42ADE8A59}" type="CELLRANGE">
                      <a:rPr lang="en-US"/>
                      <a:pPr/>
                      <a:t>[CELLRANGE]</a:t>
                    </a:fld>
                    <a:endParaRPr lang="en-US"/>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6-6465-4CFA-AE84-FF739D2A452D}"/>
                </c:ext>
              </c:extLst>
            </c:dLbl>
            <c:dLbl>
              <c:idx val="6"/>
              <c:tx>
                <c:rich>
                  <a:bodyPr/>
                  <a:lstStyle/>
                  <a:p>
                    <a:fld id="{286FBF7D-73E8-472D-B104-57AD9596F8F6}" type="CELLRANGE">
                      <a:rPr lang="en-US"/>
                      <a:pPr/>
                      <a:t>[CELLRANGE]</a:t>
                    </a:fld>
                    <a:endParaRPr lang="en-US"/>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7-6465-4CFA-AE84-FF739D2A452D}"/>
                </c:ext>
              </c:extLst>
            </c:dLbl>
            <c:dLbl>
              <c:idx val="7"/>
              <c:tx>
                <c:rich>
                  <a:bodyPr/>
                  <a:lstStyle/>
                  <a:p>
                    <a:fld id="{2A640CB3-E14C-4392-B541-8B4AA9EC5710}" type="CELLRANGE">
                      <a:rPr lang="en-US"/>
                      <a:pPr/>
                      <a:t>[CELLRANGE]</a:t>
                    </a:fld>
                    <a:endParaRPr lang="en-US"/>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8-6465-4CFA-AE84-FF739D2A452D}"/>
                </c:ext>
              </c:extLst>
            </c:dLbl>
            <c:dLbl>
              <c:idx val="8"/>
              <c:tx>
                <c:rich>
                  <a:bodyPr/>
                  <a:lstStyle/>
                  <a:p>
                    <a:fld id="{E4755F33-D80B-4B0C-9DA9-6BD7F1500DAE}" type="CELLRANGE">
                      <a:rPr lang="en-US"/>
                      <a:pPr/>
                      <a:t>[CELLRANGE]</a:t>
                    </a:fld>
                    <a:endParaRPr lang="en-US"/>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9-6465-4CFA-AE84-FF739D2A452D}"/>
                </c:ext>
              </c:extLst>
            </c:dLbl>
            <c:dLbl>
              <c:idx val="9"/>
              <c:tx>
                <c:rich>
                  <a:bodyPr/>
                  <a:lstStyle/>
                  <a:p>
                    <a:fld id="{C5ADD4F9-AEB8-470A-820A-CAD0EE45D37D}" type="CELLRANGE">
                      <a:rPr lang="en-US"/>
                      <a:pPr/>
                      <a:t>[CELLRANGE]</a:t>
                    </a:fld>
                    <a:endParaRPr lang="en-US"/>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A-6465-4CFA-AE84-FF739D2A452D}"/>
                </c:ext>
              </c:extLst>
            </c:dLbl>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en-US"/>
              </a:p>
            </c:txPr>
            <c:dLblPos val="ct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1"/>
                <c15:leaderLines>
                  <c:spPr>
                    <a:ln w="9525" cap="flat" cmpd="sng" algn="ctr">
                      <a:solidFill>
                        <a:schemeClr val="tx1">
                          <a:lumMod val="35000"/>
                          <a:lumOff val="65000"/>
                        </a:schemeClr>
                      </a:solidFill>
                      <a:round/>
                    </a:ln>
                    <a:effectLst/>
                  </c:spPr>
                </c15:leaderLines>
              </c:ext>
            </c:extLst>
          </c:dLbls>
          <c:cat>
            <c:numRef>
              <c:f>'[2015-2024-publications_WOS.xlsx]Armenia 2015-2024_publication'!$B$2:$B$11</c:f>
              <c:numCache>
                <c:formatCode>General</c:formatCode>
                <c:ptCount val="10"/>
                <c:pt idx="0">
                  <c:v>2015</c:v>
                </c:pt>
                <c:pt idx="1">
                  <c:v>2016</c:v>
                </c:pt>
                <c:pt idx="2">
                  <c:v>2017</c:v>
                </c:pt>
                <c:pt idx="3">
                  <c:v>2018</c:v>
                </c:pt>
                <c:pt idx="4">
                  <c:v>2019</c:v>
                </c:pt>
                <c:pt idx="5">
                  <c:v>2020</c:v>
                </c:pt>
                <c:pt idx="6">
                  <c:v>2021</c:v>
                </c:pt>
                <c:pt idx="7">
                  <c:v>2022</c:v>
                </c:pt>
                <c:pt idx="8">
                  <c:v>2023</c:v>
                </c:pt>
                <c:pt idx="9">
                  <c:v>2024</c:v>
                </c:pt>
              </c:numCache>
            </c:numRef>
          </c:cat>
          <c:val>
            <c:numRef>
              <c:f>'[2015-2024-publications_WOS.xlsx]Armenia 2015-2024_publication'!$I$2:$I$11</c:f>
              <c:numCache>
                <c:formatCode>General</c:formatCode>
                <c:ptCount val="10"/>
                <c:pt idx="0">
                  <c:v>212</c:v>
                </c:pt>
                <c:pt idx="1">
                  <c:v>214</c:v>
                </c:pt>
                <c:pt idx="2">
                  <c:v>217</c:v>
                </c:pt>
                <c:pt idx="3">
                  <c:v>218</c:v>
                </c:pt>
                <c:pt idx="4">
                  <c:v>241</c:v>
                </c:pt>
                <c:pt idx="5">
                  <c:v>249</c:v>
                </c:pt>
                <c:pt idx="6">
                  <c:v>221</c:v>
                </c:pt>
                <c:pt idx="7">
                  <c:v>227</c:v>
                </c:pt>
                <c:pt idx="8">
                  <c:v>334</c:v>
                </c:pt>
                <c:pt idx="9">
                  <c:v>368</c:v>
                </c:pt>
              </c:numCache>
            </c:numRef>
          </c:val>
          <c:extLst>
            <c:ext xmlns:c15="http://schemas.microsoft.com/office/drawing/2012/chart" uri="{02D57815-91ED-43cb-92C2-25804820EDAC}">
              <c15:datalabelsRange>
                <c15:f>'[2015-2024-publications_WOS.xlsx]Armenia 2015-2024_publication'!$I$32:$I$41</c15:f>
                <c15:dlblRangeCache>
                  <c:ptCount val="10"/>
                  <c:pt idx="0">
                    <c:v>212
(93%)</c:v>
                  </c:pt>
                  <c:pt idx="1">
                    <c:v>214
(91%)</c:v>
                  </c:pt>
                  <c:pt idx="2">
                    <c:v>217
(94%)</c:v>
                  </c:pt>
                  <c:pt idx="3">
                    <c:v>218
(92%)</c:v>
                  </c:pt>
                  <c:pt idx="4">
                    <c:v>241
(93%)</c:v>
                  </c:pt>
                  <c:pt idx="5">
                    <c:v>249
(89%)</c:v>
                  </c:pt>
                  <c:pt idx="6">
                    <c:v>221
(91%)</c:v>
                  </c:pt>
                  <c:pt idx="7">
                    <c:v>227
(93%)</c:v>
                  </c:pt>
                  <c:pt idx="8">
                    <c:v>334
(95%)</c:v>
                  </c:pt>
                  <c:pt idx="9">
                    <c:v>368
(95%)</c:v>
                  </c:pt>
                </c15:dlblRangeCache>
              </c15:datalabelsRange>
            </c:ext>
            <c:ext xmlns:c16="http://schemas.microsoft.com/office/drawing/2014/chart" uri="{C3380CC4-5D6E-409C-BE32-E72D297353CC}">
              <c16:uniqueId val="{0000000B-6465-4CFA-AE84-FF739D2A452D}"/>
            </c:ext>
          </c:extLst>
        </c:ser>
        <c:ser>
          <c:idx val="2"/>
          <c:order val="2"/>
          <c:tx>
            <c:strRef>
              <c:f>'[2015-2024-publications_WOS.xlsx]Armenia 2015-2024_publication'!$H$1</c:f>
              <c:strCache>
                <c:ptCount val="1"/>
                <c:pt idx="0">
                  <c:v>Q3</c:v>
                </c:pt>
              </c:strCache>
            </c:strRef>
          </c:tx>
          <c:spPr>
            <a:solidFill>
              <a:schemeClr val="accent3"/>
            </a:solidFill>
            <a:ln>
              <a:noFill/>
            </a:ln>
            <a:effectLst/>
          </c:spPr>
          <c:invertIfNegative val="0"/>
          <c:dLbls>
            <c:dLbl>
              <c:idx val="4"/>
              <c:tx>
                <c:rich>
                  <a:bodyPr/>
                  <a:lstStyle/>
                  <a:p>
                    <a:fld id="{4BAA8AC1-83C6-4080-B4CB-3E7E50E0EC0A}" type="CELLRANGE">
                      <a:rPr lang="en-US"/>
                      <a:pPr/>
                      <a:t>[CELLRANGE]</a:t>
                    </a:fld>
                    <a:endParaRPr lang="en-US"/>
                  </a:p>
                </c:rich>
              </c:tx>
              <c:dLblPos val="ctr"/>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C-6465-4CFA-AE84-FF739D2A452D}"/>
                </c:ext>
              </c:extLst>
            </c:dLbl>
            <c:dLbl>
              <c:idx val="8"/>
              <c:tx>
                <c:rich>
                  <a:bodyPr/>
                  <a:lstStyle/>
                  <a:p>
                    <a:fld id="{250F8012-1469-47D6-AD42-97188D5B6913}" type="CELLRANGE">
                      <a:rPr lang="en-US"/>
                      <a:pPr/>
                      <a:t>[CELLRANGE]</a:t>
                    </a:fld>
                    <a:endParaRPr lang="en-US"/>
                  </a:p>
                </c:rich>
              </c:tx>
              <c:dLblPos val="ctr"/>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D-6465-4CFA-AE84-FF739D2A452D}"/>
                </c:ext>
              </c:extLst>
            </c:dLbl>
            <c:dLbl>
              <c:idx val="9"/>
              <c:tx>
                <c:rich>
                  <a:bodyPr/>
                  <a:lstStyle/>
                  <a:p>
                    <a:fld id="{5863EF6F-BA99-4662-8F06-3C2F1DC5C639}" type="CELLRANGE">
                      <a:rPr lang="en-US"/>
                      <a:pPr/>
                      <a:t>[CELLRANGE]</a:t>
                    </a:fld>
                    <a:endParaRPr lang="en-US"/>
                  </a:p>
                </c:rich>
              </c:tx>
              <c:dLblPos val="ctr"/>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E-6465-4CFA-AE84-FF739D2A452D}"/>
                </c:ext>
              </c:extLst>
            </c:dLbl>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'[2015-2024-publications_WOS.xlsx]Armenia 2015-2024_publication'!$B$2:$B$11</c:f>
              <c:numCache>
                <c:formatCode>General</c:formatCode>
                <c:ptCount val="10"/>
                <c:pt idx="0">
                  <c:v>2015</c:v>
                </c:pt>
                <c:pt idx="1">
                  <c:v>2016</c:v>
                </c:pt>
                <c:pt idx="2">
                  <c:v>2017</c:v>
                </c:pt>
                <c:pt idx="3">
                  <c:v>2018</c:v>
                </c:pt>
                <c:pt idx="4">
                  <c:v>2019</c:v>
                </c:pt>
                <c:pt idx="5">
                  <c:v>2020</c:v>
                </c:pt>
                <c:pt idx="6">
                  <c:v>2021</c:v>
                </c:pt>
                <c:pt idx="7">
                  <c:v>2022</c:v>
                </c:pt>
                <c:pt idx="8">
                  <c:v>2023</c:v>
                </c:pt>
                <c:pt idx="9">
                  <c:v>2024</c:v>
                </c:pt>
              </c:numCache>
            </c:numRef>
          </c:cat>
          <c:val>
            <c:numRef>
              <c:f>'[2015-2024-publications_WOS.xlsx]Armenia 2015-2024_publication'!$H$2:$H$11</c:f>
              <c:numCache>
                <c:formatCode>General</c:formatCode>
                <c:ptCount val="10"/>
                <c:pt idx="0">
                  <c:v>115</c:v>
                </c:pt>
                <c:pt idx="1">
                  <c:v>96</c:v>
                </c:pt>
                <c:pt idx="2">
                  <c:v>121</c:v>
                </c:pt>
                <c:pt idx="3">
                  <c:v>118</c:v>
                </c:pt>
                <c:pt idx="4">
                  <c:v>175</c:v>
                </c:pt>
                <c:pt idx="5">
                  <c:v>122</c:v>
                </c:pt>
                <c:pt idx="6">
                  <c:v>114</c:v>
                </c:pt>
                <c:pt idx="7">
                  <c:v>117</c:v>
                </c:pt>
                <c:pt idx="8">
                  <c:v>188</c:v>
                </c:pt>
                <c:pt idx="9">
                  <c:v>224</c:v>
                </c:pt>
              </c:numCache>
            </c:numRef>
          </c:val>
          <c:extLst>
            <c:ext xmlns:c15="http://schemas.microsoft.com/office/drawing/2012/chart" uri="{02D57815-91ED-43cb-92C2-25804820EDAC}">
              <c15:datalabelsRange>
                <c15:f>'[2015-2024-publications_WOS.xlsx]Armenia 2015-2024_publication'!$H$32:$H$41</c15:f>
                <c15:dlblRangeCache>
                  <c:ptCount val="10"/>
                  <c:pt idx="0">
                    <c:v>115
(87%)</c:v>
                  </c:pt>
                  <c:pt idx="1">
                    <c:v>96
(78%)</c:v>
                  </c:pt>
                  <c:pt idx="2">
                    <c:v>121
(88%)</c:v>
                  </c:pt>
                  <c:pt idx="3">
                    <c:v>118
(86%)</c:v>
                  </c:pt>
                  <c:pt idx="4">
                    <c:v>175
(87%)</c:v>
                  </c:pt>
                  <c:pt idx="5">
                    <c:v>122
(80%)</c:v>
                  </c:pt>
                  <c:pt idx="6">
                    <c:v>114
(78%)</c:v>
                  </c:pt>
                  <c:pt idx="7">
                    <c:v>117
(84%)</c:v>
                  </c:pt>
                  <c:pt idx="8">
                    <c:v>188
(86%)</c:v>
                  </c:pt>
                  <c:pt idx="9">
                    <c:v>224
(87%)</c:v>
                  </c:pt>
                </c15:dlblRangeCache>
              </c15:datalabelsRange>
            </c:ext>
            <c:ext xmlns:c16="http://schemas.microsoft.com/office/drawing/2014/chart" uri="{C3380CC4-5D6E-409C-BE32-E72D297353CC}">
              <c16:uniqueId val="{0000000F-6465-4CFA-AE84-FF739D2A452D}"/>
            </c:ext>
          </c:extLst>
        </c:ser>
        <c:ser>
          <c:idx val="1"/>
          <c:order val="3"/>
          <c:tx>
            <c:strRef>
              <c:f>'[2015-2024-publications_WOS.xlsx]Armenia 2015-2024_publication'!$G$1</c:f>
              <c:strCache>
                <c:ptCount val="1"/>
                <c:pt idx="0">
                  <c:v>Q2</c:v>
                </c:pt>
              </c:strCache>
            </c:strRef>
          </c:tx>
          <c:spPr>
            <a:solidFill>
              <a:schemeClr val="accent2"/>
            </a:solidFill>
            <a:ln>
              <a:noFill/>
            </a:ln>
            <a:effectLst/>
          </c:spPr>
          <c:invertIfNegative val="0"/>
          <c:dLbls>
            <c:dLbl>
              <c:idx val="0"/>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6465-4CFA-AE84-FF739D2A452D}"/>
                </c:ext>
              </c:extLst>
            </c:dLbl>
            <c:dLbl>
              <c:idx val="1"/>
              <c:tx>
                <c:rich>
                  <a:bodyPr/>
                  <a:lstStyle/>
                  <a:p>
                    <a:fld id="{EFCA1382-0816-4D9B-831C-ACBC072B0A6D}" type="CELLRANGE">
                      <a:rPr lang="en-US"/>
                      <a:pPr/>
                      <a:t>[CELLRANGE]</a:t>
                    </a:fld>
                    <a:endParaRPr lang="en-US"/>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11-6465-4CFA-AE84-FF739D2A452D}"/>
                </c:ext>
              </c:extLst>
            </c:dLbl>
            <c:dLbl>
              <c:idx val="2"/>
              <c:tx>
                <c:rich>
                  <a:bodyPr/>
                  <a:lstStyle/>
                  <a:p>
                    <a:fld id="{BE8F18A6-B885-431E-B582-60076C3E6390}" type="CELLRANGE">
                      <a:rPr lang="en-US"/>
                      <a:pPr/>
                      <a:t>[CELLRANGE]</a:t>
                    </a:fld>
                    <a:endParaRPr lang="en-US"/>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12-6465-4CFA-AE84-FF739D2A452D}"/>
                </c:ext>
              </c:extLst>
            </c:dLbl>
            <c:dLbl>
              <c:idx val="3"/>
              <c:tx>
                <c:rich>
                  <a:bodyPr/>
                  <a:lstStyle/>
                  <a:p>
                    <a:fld id="{90DC2FF5-9E39-40D4-9135-B2228A96A040}" type="CELLRANGE">
                      <a:rPr lang="en-US"/>
                      <a:pPr/>
                      <a:t>[CELLRANGE]</a:t>
                    </a:fld>
                    <a:endParaRPr lang="en-US"/>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13-6465-4CFA-AE84-FF739D2A452D}"/>
                </c:ext>
              </c:extLst>
            </c:dLbl>
            <c:dLbl>
              <c:idx val="4"/>
              <c:tx>
                <c:rich>
                  <a:bodyPr/>
                  <a:lstStyle/>
                  <a:p>
                    <a:fld id="{5C172703-42A4-4EAE-BD57-C009213304D7}" type="CELLRANGE">
                      <a:rPr lang="en-US"/>
                      <a:pPr/>
                      <a:t>[CELLRANGE]</a:t>
                    </a:fld>
                    <a:endParaRPr lang="en-US"/>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14-6465-4CFA-AE84-FF739D2A452D}"/>
                </c:ext>
              </c:extLst>
            </c:dLbl>
            <c:dLbl>
              <c:idx val="5"/>
              <c:tx>
                <c:rich>
                  <a:bodyPr/>
                  <a:lstStyle/>
                  <a:p>
                    <a:fld id="{80C2820A-608F-484E-BC64-CFB7A712365B}" type="CELLRANGE">
                      <a:rPr lang="en-US"/>
                      <a:pPr/>
                      <a:t>[CELLRANGE]</a:t>
                    </a:fld>
                    <a:endParaRPr lang="en-US"/>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15-6465-4CFA-AE84-FF739D2A452D}"/>
                </c:ext>
              </c:extLst>
            </c:dLbl>
            <c:dLbl>
              <c:idx val="6"/>
              <c:tx>
                <c:rich>
                  <a:bodyPr/>
                  <a:lstStyle/>
                  <a:p>
                    <a:fld id="{51975AE8-6F59-4597-8300-7914216FC2F2}" type="CELLRANGE">
                      <a:rPr lang="en-US"/>
                      <a:pPr/>
                      <a:t>[CELLRANGE]</a:t>
                    </a:fld>
                    <a:endParaRPr lang="en-US"/>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16-6465-4CFA-AE84-FF739D2A452D}"/>
                </c:ext>
              </c:extLst>
            </c:dLbl>
            <c:dLbl>
              <c:idx val="7"/>
              <c:tx>
                <c:rich>
                  <a:bodyPr/>
                  <a:lstStyle/>
                  <a:p>
                    <a:fld id="{79FE87D6-852C-4964-8F9A-7E316ECBFA5D}" type="CELLRANGE">
                      <a:rPr lang="en-US"/>
                      <a:pPr/>
                      <a:t>[CELLRANGE]</a:t>
                    </a:fld>
                    <a:endParaRPr lang="en-US"/>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17-6465-4CFA-AE84-FF739D2A452D}"/>
                </c:ext>
              </c:extLst>
            </c:dLbl>
            <c:dLbl>
              <c:idx val="8"/>
              <c:tx>
                <c:rich>
                  <a:bodyPr/>
                  <a:lstStyle/>
                  <a:p>
                    <a:fld id="{53AD854C-FBC1-4A26-A8F3-A93AD2C47BE0}" type="CELLRANGE">
                      <a:rPr lang="en-US"/>
                      <a:pPr/>
                      <a:t>[CELLRANGE]</a:t>
                    </a:fld>
                    <a:endParaRPr lang="en-US"/>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18-6465-4CFA-AE84-FF739D2A452D}"/>
                </c:ext>
              </c:extLst>
            </c:dLbl>
            <c:dLbl>
              <c:idx val="9"/>
              <c:tx>
                <c:rich>
                  <a:bodyPr/>
                  <a:lstStyle/>
                  <a:p>
                    <a:fld id="{C5B7CF51-B3F8-4C59-BE01-384E6E2DC68D}" type="CELLRANGE">
                      <a:rPr lang="en-US"/>
                      <a:pPr/>
                      <a:t>[CELLRANGE]</a:t>
                    </a:fld>
                    <a:endParaRPr lang="en-US"/>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19-6465-4CFA-AE84-FF739D2A452D}"/>
                </c:ext>
              </c:extLst>
            </c:dLbl>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en-US"/>
              </a:p>
            </c:txPr>
            <c:dLblPos val="ct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1"/>
                <c15:leaderLines>
                  <c:spPr>
                    <a:ln w="9525" cap="flat" cmpd="sng" algn="ctr">
                      <a:solidFill>
                        <a:schemeClr val="tx1">
                          <a:lumMod val="35000"/>
                          <a:lumOff val="65000"/>
                        </a:schemeClr>
                      </a:solidFill>
                      <a:round/>
                    </a:ln>
                    <a:effectLst/>
                  </c:spPr>
                </c15:leaderLines>
              </c:ext>
            </c:extLst>
          </c:dLbls>
          <c:cat>
            <c:numRef>
              <c:f>'[2015-2024-publications_WOS.xlsx]Armenia 2015-2024_publication'!$B$2:$B$11</c:f>
              <c:numCache>
                <c:formatCode>General</c:formatCode>
                <c:ptCount val="10"/>
                <c:pt idx="0">
                  <c:v>2015</c:v>
                </c:pt>
                <c:pt idx="1">
                  <c:v>2016</c:v>
                </c:pt>
                <c:pt idx="2">
                  <c:v>2017</c:v>
                </c:pt>
                <c:pt idx="3">
                  <c:v>2018</c:v>
                </c:pt>
                <c:pt idx="4">
                  <c:v>2019</c:v>
                </c:pt>
                <c:pt idx="5">
                  <c:v>2020</c:v>
                </c:pt>
                <c:pt idx="6">
                  <c:v>2021</c:v>
                </c:pt>
                <c:pt idx="7">
                  <c:v>2022</c:v>
                </c:pt>
                <c:pt idx="8">
                  <c:v>2023</c:v>
                </c:pt>
                <c:pt idx="9">
                  <c:v>2024</c:v>
                </c:pt>
              </c:numCache>
            </c:numRef>
          </c:cat>
          <c:val>
            <c:numRef>
              <c:f>'[2015-2024-publications_WOS.xlsx]Armenia 2015-2024_publication'!$G$2:$G$11</c:f>
              <c:numCache>
                <c:formatCode>General</c:formatCode>
                <c:ptCount val="10"/>
                <c:pt idx="0">
                  <c:v>123</c:v>
                </c:pt>
                <c:pt idx="1">
                  <c:v>152</c:v>
                </c:pt>
                <c:pt idx="2">
                  <c:v>134</c:v>
                </c:pt>
                <c:pt idx="3">
                  <c:v>170</c:v>
                </c:pt>
                <c:pt idx="4">
                  <c:v>183</c:v>
                </c:pt>
                <c:pt idx="5">
                  <c:v>206</c:v>
                </c:pt>
                <c:pt idx="6">
                  <c:v>204</c:v>
                </c:pt>
                <c:pt idx="7">
                  <c:v>270</c:v>
                </c:pt>
                <c:pt idx="8">
                  <c:v>318</c:v>
                </c:pt>
                <c:pt idx="9">
                  <c:v>411</c:v>
                </c:pt>
              </c:numCache>
            </c:numRef>
          </c:val>
          <c:extLst>
            <c:ext xmlns:c15="http://schemas.microsoft.com/office/drawing/2012/chart" uri="{02D57815-91ED-43cb-92C2-25804820EDAC}">
              <c15:datalabelsRange>
                <c15:f>'[2015-2024-publications_WOS.xlsx]Armenia 2015-2024_publication'!$G$32:$G$41</c15:f>
                <c15:dlblRangeCache>
                  <c:ptCount val="10"/>
                  <c:pt idx="0">
                    <c:v>123
(76%)</c:v>
                  </c:pt>
                  <c:pt idx="1">
                    <c:v>152
(74%)</c:v>
                  </c:pt>
                  <c:pt idx="2">
                    <c:v>134
(77%)</c:v>
                  </c:pt>
                  <c:pt idx="3">
                    <c:v>170
(81%)</c:v>
                  </c:pt>
                  <c:pt idx="4">
                    <c:v>183
(80%)</c:v>
                  </c:pt>
                  <c:pt idx="5">
                    <c:v>206
(78%)</c:v>
                  </c:pt>
                  <c:pt idx="6">
                    <c:v>204
(75%)</c:v>
                  </c:pt>
                  <c:pt idx="7">
                    <c:v>270
(68%)</c:v>
                  </c:pt>
                  <c:pt idx="8">
                    <c:v>318
(78%)</c:v>
                  </c:pt>
                  <c:pt idx="9">
                    <c:v>411
(78%)</c:v>
                  </c:pt>
                </c15:dlblRangeCache>
              </c15:datalabelsRange>
            </c:ext>
            <c:ext xmlns:c16="http://schemas.microsoft.com/office/drawing/2014/chart" uri="{C3380CC4-5D6E-409C-BE32-E72D297353CC}">
              <c16:uniqueId val="{0000001A-6465-4CFA-AE84-FF739D2A452D}"/>
            </c:ext>
          </c:extLst>
        </c:ser>
        <c:ser>
          <c:idx val="0"/>
          <c:order val="4"/>
          <c:tx>
            <c:strRef>
              <c:f>'[2015-2024-publications_WOS.xlsx]Armenia 2015-2024_publication'!$F$1</c:f>
              <c:strCache>
                <c:ptCount val="1"/>
                <c:pt idx="0">
                  <c:v>Q1</c:v>
                </c:pt>
              </c:strCache>
            </c:strRef>
          </c:tx>
          <c:spPr>
            <a:solidFill>
              <a:schemeClr val="accent1"/>
            </a:solidFill>
            <a:ln>
              <a:noFill/>
            </a:ln>
            <a:effectLst/>
          </c:spPr>
          <c:invertIfNegative val="0"/>
          <c:dLbls>
            <c:dLbl>
              <c:idx val="0"/>
              <c:tx>
                <c:rich>
                  <a:bodyPr/>
                  <a:lstStyle/>
                  <a:p>
                    <a:fld id="{464C8D8E-C3C4-4DBC-8162-01978642AFDC}" type="CELLRANGE">
                      <a:rPr lang="en-US"/>
                      <a:pPr/>
                      <a:t>[CELLRANGE]</a:t>
                    </a:fld>
                    <a:endParaRPr lang="en-US"/>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1B-6465-4CFA-AE84-FF739D2A452D}"/>
                </c:ext>
              </c:extLst>
            </c:dLbl>
            <c:dLbl>
              <c:idx val="1"/>
              <c:tx>
                <c:rich>
                  <a:bodyPr/>
                  <a:lstStyle/>
                  <a:p>
                    <a:fld id="{C89F373B-2957-4E62-BB20-2DD1084434C6}" type="CELLRANGE">
                      <a:rPr lang="en-US"/>
                      <a:pPr/>
                      <a:t>[CELLRANGE]</a:t>
                    </a:fld>
                    <a:endParaRPr lang="en-US"/>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1C-6465-4CFA-AE84-FF739D2A452D}"/>
                </c:ext>
              </c:extLst>
            </c:dLbl>
            <c:dLbl>
              <c:idx val="2"/>
              <c:tx>
                <c:rich>
                  <a:bodyPr/>
                  <a:lstStyle/>
                  <a:p>
                    <a:fld id="{30F27BB0-F27A-4BBE-B6BD-38A30ED8A3D2}" type="CELLRANGE">
                      <a:rPr lang="en-US"/>
                      <a:pPr/>
                      <a:t>[CELLRANGE]</a:t>
                    </a:fld>
                    <a:endParaRPr lang="en-US"/>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1D-6465-4CFA-AE84-FF739D2A452D}"/>
                </c:ext>
              </c:extLst>
            </c:dLbl>
            <c:dLbl>
              <c:idx val="3"/>
              <c:tx>
                <c:rich>
                  <a:bodyPr/>
                  <a:lstStyle/>
                  <a:p>
                    <a:fld id="{2E3E48F6-C759-4BFE-97DC-F48049C7F1BA}" type="CELLRANGE">
                      <a:rPr lang="en-US"/>
                      <a:pPr/>
                      <a:t>[CELLRANGE]</a:t>
                    </a:fld>
                    <a:endParaRPr lang="en-US"/>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1E-6465-4CFA-AE84-FF739D2A452D}"/>
                </c:ext>
              </c:extLst>
            </c:dLbl>
            <c:dLbl>
              <c:idx val="4"/>
              <c:tx>
                <c:rich>
                  <a:bodyPr/>
                  <a:lstStyle/>
                  <a:p>
                    <a:fld id="{84EDC498-11F0-4D12-8EF3-24F4542E632C}" type="CELLRANGE">
                      <a:rPr lang="en-US"/>
                      <a:pPr/>
                      <a:t>[CELLRANGE]</a:t>
                    </a:fld>
                    <a:endParaRPr lang="en-US"/>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1F-6465-4CFA-AE84-FF739D2A452D}"/>
                </c:ext>
              </c:extLst>
            </c:dLbl>
            <c:dLbl>
              <c:idx val="5"/>
              <c:tx>
                <c:rich>
                  <a:bodyPr/>
                  <a:lstStyle/>
                  <a:p>
                    <a:fld id="{F8E7588A-1FDA-4B71-ADFD-E67BCC03950A}" type="CELLRANGE">
                      <a:rPr lang="en-US"/>
                      <a:pPr/>
                      <a:t>[CELLRANGE]</a:t>
                    </a:fld>
                    <a:endParaRPr lang="en-US"/>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20-6465-4CFA-AE84-FF739D2A452D}"/>
                </c:ext>
              </c:extLst>
            </c:dLbl>
            <c:dLbl>
              <c:idx val="6"/>
              <c:tx>
                <c:rich>
                  <a:bodyPr/>
                  <a:lstStyle/>
                  <a:p>
                    <a:fld id="{E403CE59-440B-475F-B469-51035A3DBB4E}" type="CELLRANGE">
                      <a:rPr lang="en-US"/>
                      <a:pPr/>
                      <a:t>[CELLRANGE]</a:t>
                    </a:fld>
                    <a:endParaRPr lang="en-US"/>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21-6465-4CFA-AE84-FF739D2A452D}"/>
                </c:ext>
              </c:extLst>
            </c:dLbl>
            <c:dLbl>
              <c:idx val="7"/>
              <c:tx>
                <c:rich>
                  <a:bodyPr/>
                  <a:lstStyle/>
                  <a:p>
                    <a:fld id="{4CD8892C-4CF1-4B7B-A9EB-518A54314108}" type="CELLRANGE">
                      <a:rPr lang="en-US"/>
                      <a:pPr/>
                      <a:t>[CELLRANGE]</a:t>
                    </a:fld>
                    <a:endParaRPr lang="en-US"/>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22-6465-4CFA-AE84-FF739D2A452D}"/>
                </c:ext>
              </c:extLst>
            </c:dLbl>
            <c:dLbl>
              <c:idx val="8"/>
              <c:tx>
                <c:rich>
                  <a:bodyPr/>
                  <a:lstStyle/>
                  <a:p>
                    <a:fld id="{297A6A78-EB93-417C-BA83-06A88DE02AAD}" type="CELLRANGE">
                      <a:rPr lang="en-US"/>
                      <a:pPr/>
                      <a:t>[CELLRANGE]</a:t>
                    </a:fld>
                    <a:endParaRPr lang="en-US"/>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23-6465-4CFA-AE84-FF739D2A452D}"/>
                </c:ext>
              </c:extLst>
            </c:dLbl>
            <c:dLbl>
              <c:idx val="9"/>
              <c:tx>
                <c:rich>
                  <a:bodyPr/>
                  <a:lstStyle/>
                  <a:p>
                    <a:fld id="{E860B1E6-BDB8-43D8-82C0-D700C5DC0E31}" type="CELLRANGE">
                      <a:rPr lang="en-US"/>
                      <a:pPr/>
                      <a:t>[CELLRANGE]</a:t>
                    </a:fld>
                    <a:endParaRPr lang="en-US"/>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24-6465-4CFA-AE84-FF739D2A452D}"/>
                </c:ext>
              </c:extLst>
            </c:dLbl>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en-US"/>
              </a:p>
            </c:txPr>
            <c:dLblPos val="ct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1"/>
                <c15:leaderLines>
                  <c:spPr>
                    <a:ln w="9525" cap="flat" cmpd="sng" algn="ctr">
                      <a:solidFill>
                        <a:schemeClr val="tx1">
                          <a:lumMod val="35000"/>
                          <a:lumOff val="65000"/>
                        </a:schemeClr>
                      </a:solidFill>
                      <a:round/>
                    </a:ln>
                    <a:effectLst/>
                  </c:spPr>
                </c15:leaderLines>
              </c:ext>
            </c:extLst>
          </c:dLbls>
          <c:cat>
            <c:numRef>
              <c:f>'[2015-2024-publications_WOS.xlsx]Armenia 2015-2024_publication'!$B$2:$B$11</c:f>
              <c:numCache>
                <c:formatCode>General</c:formatCode>
                <c:ptCount val="10"/>
                <c:pt idx="0">
                  <c:v>2015</c:v>
                </c:pt>
                <c:pt idx="1">
                  <c:v>2016</c:v>
                </c:pt>
                <c:pt idx="2">
                  <c:v>2017</c:v>
                </c:pt>
                <c:pt idx="3">
                  <c:v>2018</c:v>
                </c:pt>
                <c:pt idx="4">
                  <c:v>2019</c:v>
                </c:pt>
                <c:pt idx="5">
                  <c:v>2020</c:v>
                </c:pt>
                <c:pt idx="6">
                  <c:v>2021</c:v>
                </c:pt>
                <c:pt idx="7">
                  <c:v>2022</c:v>
                </c:pt>
                <c:pt idx="8">
                  <c:v>2023</c:v>
                </c:pt>
                <c:pt idx="9">
                  <c:v>2024</c:v>
                </c:pt>
              </c:numCache>
            </c:numRef>
          </c:cat>
          <c:val>
            <c:numRef>
              <c:f>'[2015-2024-publications_WOS.xlsx]Armenia 2015-2024_publication'!$F$2:$F$11</c:f>
              <c:numCache>
                <c:formatCode>General</c:formatCode>
                <c:ptCount val="10"/>
                <c:pt idx="0">
                  <c:v>182</c:v>
                </c:pt>
                <c:pt idx="1">
                  <c:v>184</c:v>
                </c:pt>
                <c:pt idx="2">
                  <c:v>205</c:v>
                </c:pt>
                <c:pt idx="3">
                  <c:v>172</c:v>
                </c:pt>
                <c:pt idx="4">
                  <c:v>205</c:v>
                </c:pt>
                <c:pt idx="5">
                  <c:v>218</c:v>
                </c:pt>
                <c:pt idx="6">
                  <c:v>254</c:v>
                </c:pt>
                <c:pt idx="7">
                  <c:v>216</c:v>
                </c:pt>
                <c:pt idx="8">
                  <c:v>345</c:v>
                </c:pt>
                <c:pt idx="9">
                  <c:v>424</c:v>
                </c:pt>
              </c:numCache>
            </c:numRef>
          </c:val>
          <c:extLst>
            <c:ext xmlns:c15="http://schemas.microsoft.com/office/drawing/2012/chart" uri="{02D57815-91ED-43cb-92C2-25804820EDAC}">
              <c15:datalabelsRange>
                <c15:f>'[2015-2024-publications_WOS.xlsx]Armenia 2015-2024_publication'!$F$32:$F$41</c15:f>
                <c15:dlblRangeCache>
                  <c:ptCount val="10"/>
                  <c:pt idx="0">
                    <c:v>182
(79%)</c:v>
                  </c:pt>
                  <c:pt idx="1">
                    <c:v>184
(76%)</c:v>
                  </c:pt>
                  <c:pt idx="2">
                    <c:v>205
(70%)</c:v>
                  </c:pt>
                  <c:pt idx="3">
                    <c:v>172
(57%)</c:v>
                  </c:pt>
                  <c:pt idx="4">
                    <c:v>205
(63%)</c:v>
                  </c:pt>
                  <c:pt idx="5">
                    <c:v>218
(64%)</c:v>
                  </c:pt>
                  <c:pt idx="6">
                    <c:v>254
(56%)</c:v>
                  </c:pt>
                  <c:pt idx="7">
                    <c:v>216
(64%)</c:v>
                  </c:pt>
                  <c:pt idx="8">
                    <c:v>345
(63%)</c:v>
                  </c:pt>
                  <c:pt idx="9">
                    <c:v>424
(62%)</c:v>
                  </c:pt>
                </c15:dlblRangeCache>
              </c15:datalabelsRange>
            </c:ext>
            <c:ext xmlns:c16="http://schemas.microsoft.com/office/drawing/2014/chart" uri="{C3380CC4-5D6E-409C-BE32-E72D297353CC}">
              <c16:uniqueId val="{00000025-6465-4CFA-AE84-FF739D2A452D}"/>
            </c:ext>
          </c:extLst>
        </c:ser>
        <c:dLbls>
          <c:showLegendKey val="0"/>
          <c:showVal val="0"/>
          <c:showCatName val="0"/>
          <c:showSerName val="0"/>
          <c:showPercent val="0"/>
          <c:showBubbleSize val="0"/>
        </c:dLbls>
        <c:gapWidth val="50"/>
        <c:overlap val="100"/>
        <c:axId val="1154035743"/>
        <c:axId val="1154038143"/>
      </c:barChart>
      <c:lineChart>
        <c:grouping val="standard"/>
        <c:varyColors val="0"/>
        <c:ser>
          <c:idx val="5"/>
          <c:order val="5"/>
          <c:tx>
            <c:strRef>
              <c:f>'[2015-2024-publications_WOS.xlsx]Armenia 2015-2024_publication'!$C$1</c:f>
              <c:strCache>
                <c:ptCount val="1"/>
                <c:pt idx="0">
                  <c:v>Ընդհանուր</c:v>
                </c:pt>
              </c:strCache>
            </c:strRef>
          </c:tx>
          <c:spPr>
            <a:ln w="19050" cap="rnd">
              <a:solidFill>
                <a:schemeClr val="tx1"/>
              </a:solidFill>
              <a:round/>
            </a:ln>
            <a:effectLst/>
          </c:spPr>
          <c:marker>
            <c:symbol val="triangle"/>
            <c:size val="5"/>
            <c:spPr>
              <a:solidFill>
                <a:schemeClr val="tx1"/>
              </a:solidFill>
              <a:ln w="9525">
                <a:noFill/>
              </a:ln>
              <a:effectLst/>
            </c:spPr>
          </c:marker>
          <c:dLbls>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'[2015-2024-publications_WOS.xlsx]Armenia 2015-2024_publication'!$C$2:$C$11</c:f>
              <c:numCache>
                <c:formatCode>General</c:formatCode>
                <c:ptCount val="10"/>
                <c:pt idx="0">
                  <c:v>915</c:v>
                </c:pt>
                <c:pt idx="1">
                  <c:v>992</c:v>
                </c:pt>
                <c:pt idx="2">
                  <c:v>1014</c:v>
                </c:pt>
                <c:pt idx="3">
                  <c:v>932</c:v>
                </c:pt>
                <c:pt idx="4">
                  <c:v>1169</c:v>
                </c:pt>
                <c:pt idx="5">
                  <c:v>1054</c:v>
                </c:pt>
                <c:pt idx="6">
                  <c:v>1011</c:v>
                </c:pt>
                <c:pt idx="7">
                  <c:v>1135</c:v>
                </c:pt>
                <c:pt idx="8">
                  <c:v>1297</c:v>
                </c:pt>
                <c:pt idx="9">
                  <c:v>1547</c:v>
                </c:pt>
              </c:numCache>
            </c:numRef>
          </c:val>
          <c:smooth val="0"/>
          <c:extLst>
            <c:ext xmlns:c16="http://schemas.microsoft.com/office/drawing/2014/chart" uri="{C3380CC4-5D6E-409C-BE32-E72D297353CC}">
              <c16:uniqueId val="{00000026-6465-4CFA-AE84-FF739D2A452D}"/>
            </c:ext>
          </c:extLst>
        </c:ser>
        <c:dLbls>
          <c:showLegendKey val="0"/>
          <c:showVal val="0"/>
          <c:showCatName val="0"/>
          <c:showSerName val="0"/>
          <c:showPercent val="0"/>
          <c:showBubbleSize val="0"/>
        </c:dLbls>
        <c:marker val="1"/>
        <c:smooth val="0"/>
        <c:axId val="1154035743"/>
        <c:axId val="1154038143"/>
      </c:lineChart>
      <c:catAx>
        <c:axId val="115403574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en-US"/>
          </a:p>
        </c:txPr>
        <c:crossAx val="1154038143"/>
        <c:crosses val="autoZero"/>
        <c:auto val="1"/>
        <c:lblAlgn val="ctr"/>
        <c:lblOffset val="100"/>
        <c:noMultiLvlLbl val="0"/>
      </c:catAx>
      <c:valAx>
        <c:axId val="115403814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en-US"/>
          </a:p>
        </c:txPr>
        <c:crossAx val="115403574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b="1">
          <a:solidFill>
            <a:sysClr val="windowText" lastClr="000000"/>
          </a:solidFill>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9.3592116774876818E-2"/>
          <c:y val="6.8482370512878615E-2"/>
          <c:w val="0.87820279044066862"/>
          <c:h val="0.77993957421988913"/>
        </c:manualLayout>
      </c:layout>
      <c:lineChart>
        <c:grouping val="standard"/>
        <c:varyColors val="0"/>
        <c:ser>
          <c:idx val="0"/>
          <c:order val="0"/>
          <c:tx>
            <c:strRef>
              <c:f>Qpercentiles!$B$1</c:f>
              <c:strCache>
                <c:ptCount val="1"/>
                <c:pt idx="0">
                  <c:v>% առաջին 1%</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Qpercentiles!$A$2:$A$11</c:f>
              <c:numCache>
                <c:formatCode>General</c:formatCode>
                <c:ptCount val="10"/>
                <c:pt idx="0">
                  <c:v>2015</c:v>
                </c:pt>
                <c:pt idx="1">
                  <c:v>2016</c:v>
                </c:pt>
                <c:pt idx="2">
                  <c:v>2017</c:v>
                </c:pt>
                <c:pt idx="3">
                  <c:v>2018</c:v>
                </c:pt>
                <c:pt idx="4">
                  <c:v>2019</c:v>
                </c:pt>
                <c:pt idx="5">
                  <c:v>2020</c:v>
                </c:pt>
                <c:pt idx="6">
                  <c:v>2021</c:v>
                </c:pt>
                <c:pt idx="7">
                  <c:v>2022</c:v>
                </c:pt>
                <c:pt idx="8">
                  <c:v>2023</c:v>
                </c:pt>
                <c:pt idx="9">
                  <c:v>2024</c:v>
                </c:pt>
              </c:numCache>
            </c:numRef>
          </c:cat>
          <c:val>
            <c:numRef>
              <c:f>Qpercentiles!$B$2:$B$11</c:f>
              <c:numCache>
                <c:formatCode>0.00</c:formatCode>
                <c:ptCount val="10"/>
                <c:pt idx="0">
                  <c:v>0.66</c:v>
                </c:pt>
                <c:pt idx="1">
                  <c:v>0.3</c:v>
                </c:pt>
                <c:pt idx="2">
                  <c:v>0.39</c:v>
                </c:pt>
                <c:pt idx="3">
                  <c:v>0.75</c:v>
                </c:pt>
                <c:pt idx="4">
                  <c:v>0.6</c:v>
                </c:pt>
                <c:pt idx="5">
                  <c:v>0.47</c:v>
                </c:pt>
                <c:pt idx="6">
                  <c:v>0.49</c:v>
                </c:pt>
                <c:pt idx="7">
                  <c:v>0.26</c:v>
                </c:pt>
                <c:pt idx="8">
                  <c:v>0.85</c:v>
                </c:pt>
                <c:pt idx="9">
                  <c:v>1.03</c:v>
                </c:pt>
              </c:numCache>
            </c:numRef>
          </c:val>
          <c:smooth val="0"/>
          <c:extLst>
            <c:ext xmlns:c16="http://schemas.microsoft.com/office/drawing/2014/chart" uri="{C3380CC4-5D6E-409C-BE32-E72D297353CC}">
              <c16:uniqueId val="{00000000-FA53-4BCB-9AC0-2D48B9CE1217}"/>
            </c:ext>
          </c:extLst>
        </c:ser>
        <c:ser>
          <c:idx val="1"/>
          <c:order val="1"/>
          <c:tx>
            <c:strRef>
              <c:f>Qpercentiles!$C$1</c:f>
              <c:strCache>
                <c:ptCount val="1"/>
                <c:pt idx="0">
                  <c:v>% առաջին 10%</c:v>
                </c:pt>
              </c:strCache>
            </c:strRef>
          </c:tx>
          <c:spPr>
            <a:ln w="22225" cap="rnd">
              <a:solidFill>
                <a:schemeClr val="accent2"/>
              </a:solidFill>
              <a:round/>
            </a:ln>
            <a:effectLst/>
          </c:spPr>
          <c:marker>
            <c:symbol val="circle"/>
            <c:size val="5"/>
            <c:spPr>
              <a:solidFill>
                <a:schemeClr val="accent2"/>
              </a:solidFill>
              <a:ln w="9525">
                <a:solidFill>
                  <a:schemeClr val="accent2"/>
                </a:solidFill>
              </a:ln>
              <a:effectLst/>
            </c:spPr>
          </c:marker>
          <c:dLbls>
            <c:dLbl>
              <c:idx val="0"/>
              <c:layout>
                <c:manualLayout>
                  <c:x val="-1.1111111111111136E-2"/>
                  <c:y val="-2.777777777777777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FA53-4BCB-9AC0-2D48B9CE1217}"/>
                </c:ext>
              </c:extLst>
            </c:dLbl>
            <c:dLbl>
              <c:idx val="4"/>
              <c:layout>
                <c:manualLayout>
                  <c:x val="-8.3333333333333332E-3"/>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FA53-4BCB-9AC0-2D48B9CE1217}"/>
                </c:ext>
              </c:extLst>
            </c:dLbl>
            <c:dLbl>
              <c:idx val="5"/>
              <c:layout>
                <c:manualLayout>
                  <c:x val="-8.3333333333333332E-3"/>
                  <c:y val="2.777777777777777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FA53-4BCB-9AC0-2D48B9CE1217}"/>
                </c:ext>
              </c:extLst>
            </c:dLbl>
            <c:dLbl>
              <c:idx val="7"/>
              <c:layout>
                <c:manualLayout>
                  <c:x val="-1.6666666666666666E-2"/>
                  <c:y val="-2.777777777777782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FA53-4BCB-9AC0-2D48B9CE1217}"/>
                </c:ext>
              </c:extLst>
            </c:dLbl>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Qpercentiles!$A$2:$A$11</c:f>
              <c:numCache>
                <c:formatCode>General</c:formatCode>
                <c:ptCount val="10"/>
                <c:pt idx="0">
                  <c:v>2015</c:v>
                </c:pt>
                <c:pt idx="1">
                  <c:v>2016</c:v>
                </c:pt>
                <c:pt idx="2">
                  <c:v>2017</c:v>
                </c:pt>
                <c:pt idx="3">
                  <c:v>2018</c:v>
                </c:pt>
                <c:pt idx="4">
                  <c:v>2019</c:v>
                </c:pt>
                <c:pt idx="5">
                  <c:v>2020</c:v>
                </c:pt>
                <c:pt idx="6">
                  <c:v>2021</c:v>
                </c:pt>
                <c:pt idx="7">
                  <c:v>2022</c:v>
                </c:pt>
                <c:pt idx="8">
                  <c:v>2023</c:v>
                </c:pt>
                <c:pt idx="9">
                  <c:v>2024</c:v>
                </c:pt>
              </c:numCache>
            </c:numRef>
          </c:cat>
          <c:val>
            <c:numRef>
              <c:f>Qpercentiles!$C$2:$C$11</c:f>
              <c:numCache>
                <c:formatCode>0.00</c:formatCode>
                <c:ptCount val="10"/>
                <c:pt idx="0">
                  <c:v>4.26</c:v>
                </c:pt>
                <c:pt idx="1">
                  <c:v>3.43</c:v>
                </c:pt>
                <c:pt idx="2">
                  <c:v>4.24</c:v>
                </c:pt>
                <c:pt idx="3">
                  <c:v>5.47</c:v>
                </c:pt>
                <c:pt idx="4">
                  <c:v>5.05</c:v>
                </c:pt>
                <c:pt idx="5">
                  <c:v>3.8</c:v>
                </c:pt>
                <c:pt idx="6">
                  <c:v>5.44</c:v>
                </c:pt>
                <c:pt idx="7">
                  <c:v>6.08</c:v>
                </c:pt>
                <c:pt idx="8">
                  <c:v>5.17</c:v>
                </c:pt>
                <c:pt idx="9">
                  <c:v>6.72</c:v>
                </c:pt>
              </c:numCache>
            </c:numRef>
          </c:val>
          <c:smooth val="0"/>
          <c:extLst>
            <c:ext xmlns:c16="http://schemas.microsoft.com/office/drawing/2014/chart" uri="{C3380CC4-5D6E-409C-BE32-E72D297353CC}">
              <c16:uniqueId val="{00000005-FA53-4BCB-9AC0-2D48B9CE1217}"/>
            </c:ext>
          </c:extLst>
        </c:ser>
        <c:dLbls>
          <c:showLegendKey val="0"/>
          <c:showVal val="0"/>
          <c:showCatName val="0"/>
          <c:showSerName val="0"/>
          <c:showPercent val="0"/>
          <c:showBubbleSize val="0"/>
        </c:dLbls>
        <c:marker val="1"/>
        <c:smooth val="0"/>
        <c:axId val="480207896"/>
        <c:axId val="480205600"/>
      </c:lineChart>
      <c:catAx>
        <c:axId val="4802078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480205600"/>
        <c:crosses val="autoZero"/>
        <c:auto val="1"/>
        <c:lblAlgn val="ctr"/>
        <c:lblOffset val="100"/>
        <c:noMultiLvlLbl val="0"/>
      </c:catAx>
      <c:valAx>
        <c:axId val="480205600"/>
        <c:scaling>
          <c:orientation val="minMax"/>
          <c:max val="8"/>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480207896"/>
        <c:crosses val="autoZero"/>
        <c:crossBetween val="between"/>
        <c:majorUnit val="1"/>
      </c:valAx>
      <c:spPr>
        <a:noFill/>
        <a:ln>
          <a:noFill/>
        </a:ln>
        <a:effectLst/>
      </c:spPr>
    </c:plotArea>
    <c:legend>
      <c:legendPos val="b"/>
      <c:layout>
        <c:manualLayout>
          <c:xMode val="edge"/>
          <c:yMode val="edge"/>
          <c:x val="9.9677441635585021E-2"/>
          <c:y val="8.2554214056576258E-2"/>
          <c:w val="0.53015471750241749"/>
          <c:h val="7.0093948536806727E-2"/>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defRPr>
      </a:pPr>
      <a:endParaRPr lang="en-US"/>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8939869281045755E-2"/>
          <c:y val="0.16488102921561035"/>
          <c:w val="0.91598235294117647"/>
          <c:h val="0.72679574889204435"/>
        </c:manualLayout>
      </c:layout>
      <c:lineChart>
        <c:grouping val="standard"/>
        <c:varyColors val="0"/>
        <c:ser>
          <c:idx val="0"/>
          <c:order val="0"/>
          <c:tx>
            <c:strRef>
              <c:f>'Soc&amp;Hum_trend'!$N$2</c:f>
              <c:strCache>
                <c:ptCount val="1"/>
                <c:pt idx="0">
                  <c:v>Հասարակական գիտություններ</c:v>
                </c:pt>
              </c:strCache>
            </c:strRef>
          </c:tx>
          <c:spPr>
            <a:ln w="28575" cap="rnd">
              <a:solidFill>
                <a:schemeClr val="accent1"/>
              </a:solidFill>
              <a:round/>
            </a:ln>
            <a:effectLst/>
          </c:spPr>
          <c:marker>
            <c:symbol val="circle"/>
            <c:size val="6"/>
            <c:spPr>
              <a:solidFill>
                <a:schemeClr val="accent1"/>
              </a:solidFill>
              <a:ln w="9525">
                <a:solidFill>
                  <a:schemeClr val="accent1"/>
                </a:solidFill>
              </a:ln>
              <a:effectLst/>
            </c:spPr>
          </c:marker>
          <c:dLbls>
            <c:dLbl>
              <c:idx val="0"/>
              <c:layout>
                <c:manualLayout>
                  <c:x val="-3.7666666666666682E-2"/>
                  <c:y val="6.021981627296579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E025-4FE6-8194-A0BDBE8B681D}"/>
                </c:ext>
              </c:extLst>
            </c:dLbl>
            <c:dLbl>
              <c:idx val="2"/>
              <c:layout>
                <c:manualLayout>
                  <c:x val="-3.7666666666666716E-2"/>
                  <c:y val="6.94790755322251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E025-4FE6-8194-A0BDBE8B681D}"/>
                </c:ext>
              </c:extLst>
            </c:dLbl>
            <c:dLbl>
              <c:idx val="7"/>
              <c:layout>
                <c:manualLayout>
                  <c:x val="-5.9266666666666745E-2"/>
                  <c:y val="-2.487549985257693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E025-4FE6-8194-A0BDBE8B681D}"/>
                </c:ext>
              </c:extLst>
            </c:dLbl>
            <c:dLbl>
              <c:idx val="8"/>
              <c:layout>
                <c:manualLayout>
                  <c:x val="-3.7666666666666772E-2"/>
                  <c:y val="7.410870516185472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E025-4FE6-8194-A0BDBE8B681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'Soc&amp;Hum_trend'!$C$2:$C$11</c:f>
              <c:numCache>
                <c:formatCode>General</c:formatCode>
                <c:ptCount val="10"/>
                <c:pt idx="0">
                  <c:v>2015</c:v>
                </c:pt>
                <c:pt idx="1">
                  <c:v>2016</c:v>
                </c:pt>
                <c:pt idx="2">
                  <c:v>2017</c:v>
                </c:pt>
                <c:pt idx="3">
                  <c:v>2018</c:v>
                </c:pt>
                <c:pt idx="4">
                  <c:v>2019</c:v>
                </c:pt>
                <c:pt idx="5">
                  <c:v>2020</c:v>
                </c:pt>
                <c:pt idx="6">
                  <c:v>2021</c:v>
                </c:pt>
                <c:pt idx="7">
                  <c:v>2022</c:v>
                </c:pt>
                <c:pt idx="8">
                  <c:v>2023</c:v>
                </c:pt>
                <c:pt idx="9">
                  <c:v>2024</c:v>
                </c:pt>
              </c:numCache>
            </c:numRef>
          </c:cat>
          <c:val>
            <c:numRef>
              <c:f>'Soc&amp;Hum_trend'!$D$2:$D$11</c:f>
              <c:numCache>
                <c:formatCode>General</c:formatCode>
                <c:ptCount val="10"/>
                <c:pt idx="0">
                  <c:v>49</c:v>
                </c:pt>
                <c:pt idx="1">
                  <c:v>47</c:v>
                </c:pt>
                <c:pt idx="2">
                  <c:v>65</c:v>
                </c:pt>
                <c:pt idx="3">
                  <c:v>63</c:v>
                </c:pt>
                <c:pt idx="4">
                  <c:v>88</c:v>
                </c:pt>
                <c:pt idx="5">
                  <c:v>60</c:v>
                </c:pt>
                <c:pt idx="6">
                  <c:v>64</c:v>
                </c:pt>
                <c:pt idx="7">
                  <c:v>84</c:v>
                </c:pt>
                <c:pt idx="8">
                  <c:v>103</c:v>
                </c:pt>
                <c:pt idx="9">
                  <c:v>115</c:v>
                </c:pt>
              </c:numCache>
            </c:numRef>
          </c:val>
          <c:smooth val="0"/>
          <c:extLst>
            <c:ext xmlns:c16="http://schemas.microsoft.com/office/drawing/2014/chart" uri="{C3380CC4-5D6E-409C-BE32-E72D297353CC}">
              <c16:uniqueId val="{00000004-E025-4FE6-8194-A0BDBE8B681D}"/>
            </c:ext>
          </c:extLst>
        </c:ser>
        <c:ser>
          <c:idx val="1"/>
          <c:order val="1"/>
          <c:tx>
            <c:strRef>
              <c:f>'Soc&amp;Hum_trend'!$N$3</c:f>
              <c:strCache>
                <c:ptCount val="1"/>
                <c:pt idx="0">
                  <c:v>Հայագիտություն և հումանիտար գիտություններ</c:v>
                </c:pt>
              </c:strCache>
            </c:strRef>
          </c:tx>
          <c:spPr>
            <a:ln w="28575" cap="rnd">
              <a:solidFill>
                <a:schemeClr val="accent2"/>
              </a:solidFill>
              <a:round/>
            </a:ln>
            <a:effectLst/>
          </c:spPr>
          <c:marker>
            <c:symbol val="circle"/>
            <c:size val="6"/>
            <c:spPr>
              <a:solidFill>
                <a:schemeClr val="accent2"/>
              </a:solidFill>
              <a:ln w="9525">
                <a:solidFill>
                  <a:schemeClr val="accent2"/>
                </a:solidFill>
              </a:ln>
              <a:effectLst/>
            </c:spPr>
          </c:marker>
          <c:dLbls>
            <c:dLbl>
              <c:idx val="0"/>
              <c:layout>
                <c:manualLayout>
                  <c:x val="-3.7666666666666682E-2"/>
                  <c:y val="-8.336796442111402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E025-4FE6-8194-A0BDBE8B681D}"/>
                </c:ext>
              </c:extLst>
            </c:dLbl>
            <c:dLbl>
              <c:idx val="2"/>
              <c:layout>
                <c:manualLayout>
                  <c:x val="-3.7666666666666716E-2"/>
                  <c:y val="-6.947907553222518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E025-4FE6-8194-A0BDBE8B681D}"/>
                </c:ext>
              </c:extLst>
            </c:dLbl>
            <c:dLbl>
              <c:idx val="8"/>
              <c:layout>
                <c:manualLayout>
                  <c:x val="-3.7666666666666772E-2"/>
                  <c:y val="-7.873833479148441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E025-4FE6-8194-A0BDBE8B681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en-US"/>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'Soc&amp;Hum_trend'!$C$2:$C$11</c:f>
              <c:numCache>
                <c:formatCode>General</c:formatCode>
                <c:ptCount val="10"/>
                <c:pt idx="0">
                  <c:v>2015</c:v>
                </c:pt>
                <c:pt idx="1">
                  <c:v>2016</c:v>
                </c:pt>
                <c:pt idx="2">
                  <c:v>2017</c:v>
                </c:pt>
                <c:pt idx="3">
                  <c:v>2018</c:v>
                </c:pt>
                <c:pt idx="4">
                  <c:v>2019</c:v>
                </c:pt>
                <c:pt idx="5">
                  <c:v>2020</c:v>
                </c:pt>
                <c:pt idx="6">
                  <c:v>2021</c:v>
                </c:pt>
                <c:pt idx="7">
                  <c:v>2022</c:v>
                </c:pt>
                <c:pt idx="8">
                  <c:v>2023</c:v>
                </c:pt>
                <c:pt idx="9">
                  <c:v>2024</c:v>
                </c:pt>
              </c:numCache>
            </c:numRef>
          </c:cat>
          <c:val>
            <c:numRef>
              <c:f>'Soc&amp;Hum_trend'!$D$12:$D$21</c:f>
              <c:numCache>
                <c:formatCode>General</c:formatCode>
                <c:ptCount val="10"/>
                <c:pt idx="0">
                  <c:v>55</c:v>
                </c:pt>
                <c:pt idx="1">
                  <c:v>59</c:v>
                </c:pt>
                <c:pt idx="2">
                  <c:v>52</c:v>
                </c:pt>
                <c:pt idx="3">
                  <c:v>53</c:v>
                </c:pt>
                <c:pt idx="4">
                  <c:v>86</c:v>
                </c:pt>
                <c:pt idx="5">
                  <c:v>46</c:v>
                </c:pt>
                <c:pt idx="6">
                  <c:v>53</c:v>
                </c:pt>
                <c:pt idx="7">
                  <c:v>85</c:v>
                </c:pt>
                <c:pt idx="8">
                  <c:v>81</c:v>
                </c:pt>
                <c:pt idx="9">
                  <c:v>91</c:v>
                </c:pt>
              </c:numCache>
            </c:numRef>
          </c:val>
          <c:smooth val="0"/>
          <c:extLst>
            <c:ext xmlns:c16="http://schemas.microsoft.com/office/drawing/2014/chart" uri="{C3380CC4-5D6E-409C-BE32-E72D297353CC}">
              <c16:uniqueId val="{00000008-E025-4FE6-8194-A0BDBE8B681D}"/>
            </c:ext>
          </c:extLst>
        </c:ser>
        <c:ser>
          <c:idx val="2"/>
          <c:order val="2"/>
          <c:tx>
            <c:strRef>
              <c:f>'Soc&amp;Hum_trend'!$N$4</c:f>
              <c:strCache>
                <c:ptCount val="1"/>
                <c:pt idx="0">
                  <c:v>Հասարակական գիտություններ (ԱԳ)</c:v>
                </c:pt>
              </c:strCache>
            </c:strRef>
          </c:tx>
          <c:spPr>
            <a:ln w="28575" cap="rnd">
              <a:solidFill>
                <a:schemeClr val="accent1">
                  <a:lumMod val="60000"/>
                  <a:lumOff val="40000"/>
                </a:schemeClr>
              </a:solidFill>
              <a:round/>
            </a:ln>
            <a:effectLst/>
          </c:spPr>
          <c:marker>
            <c:symbol val="circle"/>
            <c:size val="5"/>
            <c:spPr>
              <a:solidFill>
                <a:schemeClr val="accent1">
                  <a:lumMod val="60000"/>
                  <a:lumOff val="40000"/>
                </a:schemeClr>
              </a:solidFill>
              <a:ln w="9525">
                <a:noFill/>
              </a:ln>
              <a:effectLst/>
            </c:spPr>
          </c:marker>
          <c:dLbls>
            <c:dLbl>
              <c:idx val="9"/>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F28A-41AB-9E47-C89C81E08D0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'Soc&amp;Hum_trend'!$H$2:$H$11</c:f>
              <c:numCache>
                <c:formatCode>General</c:formatCode>
                <c:ptCount val="10"/>
                <c:pt idx="0">
                  <c:v>15</c:v>
                </c:pt>
                <c:pt idx="1">
                  <c:v>18</c:v>
                </c:pt>
                <c:pt idx="2">
                  <c:v>27</c:v>
                </c:pt>
                <c:pt idx="3">
                  <c:v>26</c:v>
                </c:pt>
                <c:pt idx="4">
                  <c:v>28</c:v>
                </c:pt>
                <c:pt idx="5">
                  <c:v>23</c:v>
                </c:pt>
                <c:pt idx="6">
                  <c:v>25</c:v>
                </c:pt>
                <c:pt idx="7">
                  <c:v>39</c:v>
                </c:pt>
                <c:pt idx="8">
                  <c:v>79</c:v>
                </c:pt>
                <c:pt idx="9">
                  <c:v>98</c:v>
                </c:pt>
              </c:numCache>
            </c:numRef>
          </c:val>
          <c:smooth val="0"/>
          <c:extLst>
            <c:ext xmlns:c16="http://schemas.microsoft.com/office/drawing/2014/chart" uri="{C3380CC4-5D6E-409C-BE32-E72D297353CC}">
              <c16:uniqueId val="{00000009-E025-4FE6-8194-A0BDBE8B681D}"/>
            </c:ext>
          </c:extLst>
        </c:ser>
        <c:ser>
          <c:idx val="3"/>
          <c:order val="3"/>
          <c:tx>
            <c:strRef>
              <c:f>'Soc&amp;Hum_trend'!$N$5</c:f>
              <c:strCache>
                <c:ptCount val="1"/>
                <c:pt idx="0">
                  <c:v>Հայագիտություն և հումանիտար գիտություններ (ԱԳ)</c:v>
                </c:pt>
              </c:strCache>
            </c:strRef>
          </c:tx>
          <c:spPr>
            <a:ln w="28575" cap="rnd">
              <a:solidFill>
                <a:schemeClr val="accent2">
                  <a:lumMod val="40000"/>
                  <a:lumOff val="60000"/>
                </a:schemeClr>
              </a:solidFill>
              <a:round/>
            </a:ln>
            <a:effectLst/>
          </c:spPr>
          <c:marker>
            <c:symbol val="circle"/>
            <c:size val="5"/>
            <c:spPr>
              <a:solidFill>
                <a:schemeClr val="accent2">
                  <a:lumMod val="60000"/>
                  <a:lumOff val="40000"/>
                </a:schemeClr>
              </a:solidFill>
              <a:ln w="9525">
                <a:noFill/>
              </a:ln>
              <a:effectLst/>
            </c:spPr>
          </c:marker>
          <c:dLbls>
            <c:dLbl>
              <c:idx val="9"/>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F28A-41AB-9E47-C89C81E08D0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'Soc&amp;Hum_trend'!$H$12:$H$21</c:f>
              <c:numCache>
                <c:formatCode>General</c:formatCode>
                <c:ptCount val="10"/>
                <c:pt idx="0">
                  <c:v>0</c:v>
                </c:pt>
                <c:pt idx="1">
                  <c:v>4</c:v>
                </c:pt>
                <c:pt idx="2">
                  <c:v>1</c:v>
                </c:pt>
                <c:pt idx="3">
                  <c:v>6</c:v>
                </c:pt>
                <c:pt idx="4">
                  <c:v>3</c:v>
                </c:pt>
                <c:pt idx="5">
                  <c:v>1</c:v>
                </c:pt>
                <c:pt idx="6">
                  <c:v>5</c:v>
                </c:pt>
                <c:pt idx="7">
                  <c:v>7</c:v>
                </c:pt>
                <c:pt idx="8">
                  <c:v>24</c:v>
                </c:pt>
                <c:pt idx="9">
                  <c:v>42</c:v>
                </c:pt>
              </c:numCache>
            </c:numRef>
          </c:val>
          <c:smooth val="0"/>
          <c:extLst>
            <c:ext xmlns:c16="http://schemas.microsoft.com/office/drawing/2014/chart" uri="{C3380CC4-5D6E-409C-BE32-E72D297353CC}">
              <c16:uniqueId val="{0000000A-E025-4FE6-8194-A0BDBE8B681D}"/>
            </c:ext>
          </c:extLst>
        </c:ser>
        <c:dLbls>
          <c:showLegendKey val="0"/>
          <c:showVal val="0"/>
          <c:showCatName val="0"/>
          <c:showSerName val="0"/>
          <c:showPercent val="0"/>
          <c:showBubbleSize val="0"/>
        </c:dLbls>
        <c:marker val="1"/>
        <c:smooth val="0"/>
        <c:axId val="648394208"/>
        <c:axId val="648390600"/>
      </c:lineChart>
      <c:catAx>
        <c:axId val="6483942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648390600"/>
        <c:crosses val="autoZero"/>
        <c:auto val="1"/>
        <c:lblAlgn val="ctr"/>
        <c:lblOffset val="100"/>
        <c:noMultiLvlLbl val="0"/>
      </c:catAx>
      <c:valAx>
        <c:axId val="6483906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648394208"/>
        <c:crosses val="autoZero"/>
        <c:crossBetween val="between"/>
      </c:valAx>
      <c:spPr>
        <a:noFill/>
        <a:ln>
          <a:noFill/>
        </a:ln>
        <a:effectLst/>
      </c:spPr>
    </c:plotArea>
    <c:legend>
      <c:legendPos val="b"/>
      <c:layout>
        <c:manualLayout>
          <c:xMode val="edge"/>
          <c:yMode val="edge"/>
          <c:x val="7.6445588235294112E-2"/>
          <c:y val="7.1122515935508071E-2"/>
          <c:w val="0.5148169934640523"/>
          <c:h val="0.26767915374214585"/>
        </c:manualLayout>
      </c:layout>
      <c:overlay val="0"/>
      <c:spPr>
        <a:solidFill>
          <a:schemeClr val="bg1"/>
        </a:solid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defRPr>
      </a:pPr>
      <a:endParaRPr lang="en-US"/>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7.3409060140360985E-2"/>
          <c:y val="4.656084656084656E-2"/>
          <c:w val="0.9021871683676812"/>
          <c:h val="0.83603761920548381"/>
        </c:manualLayout>
      </c:layout>
      <c:barChart>
        <c:barDir val="col"/>
        <c:grouping val="clustered"/>
        <c:varyColors val="0"/>
        <c:ser>
          <c:idx val="0"/>
          <c:order val="0"/>
          <c:tx>
            <c:strRef>
              <c:f>'Soc&amp;Hum_EAP'!$Q$2</c:f>
              <c:strCache>
                <c:ptCount val="1"/>
                <c:pt idx="0">
                  <c:v>Հասարակական գիտություններ</c:v>
                </c:pt>
              </c:strCache>
            </c:strRef>
          </c:tx>
          <c:spPr>
            <a:solidFill>
              <a:schemeClr val="accent1"/>
            </a:solidFill>
            <a:ln>
              <a:noFill/>
            </a:ln>
            <a:effectLst/>
          </c:spPr>
          <c:invertIfNegative val="0"/>
          <c:dLbls>
            <c:dLbl>
              <c:idx val="4"/>
              <c:layout>
                <c:manualLayout>
                  <c:x val="-8.1344965269212601E-17"/>
                  <c:y val="2.0172008814048438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A998-4545-BCFD-754A32063358}"/>
                </c:ext>
              </c:extLst>
            </c:dLbl>
            <c:dLbl>
              <c:idx val="5"/>
              <c:layout>
                <c:manualLayout>
                  <c:x val="0"/>
                  <c:y val="1.554572358339438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A998-4545-BCFD-754A32063358}"/>
                </c:ext>
              </c:extLst>
            </c:dLbl>
            <c:dLbl>
              <c:idx val="6"/>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A998-4545-BCFD-754A32063358}"/>
                </c:ext>
              </c:extLst>
            </c:dLbl>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'Soc&amp;Hum_EAP'!$A$2:$A$8</c:f>
              <c:strCache>
                <c:ptCount val="7"/>
                <c:pt idx="0">
                  <c:v>Սլովենիա</c:v>
                </c:pt>
                <c:pt idx="1">
                  <c:v>Լիտվա</c:v>
                </c:pt>
                <c:pt idx="2">
                  <c:v>Էստոնիա</c:v>
                </c:pt>
                <c:pt idx="3">
                  <c:v>Լատվիա</c:v>
                </c:pt>
                <c:pt idx="4">
                  <c:v>Վրաստան</c:v>
                </c:pt>
                <c:pt idx="5">
                  <c:v>Հայաստան</c:v>
                </c:pt>
                <c:pt idx="6">
                  <c:v>Մոլդովա</c:v>
                </c:pt>
              </c:strCache>
            </c:strRef>
          </c:cat>
          <c:val>
            <c:numRef>
              <c:f>'Soc&amp;Hum_EAP'!$C$2:$C$8</c:f>
              <c:numCache>
                <c:formatCode>General</c:formatCode>
                <c:ptCount val="7"/>
                <c:pt idx="0">
                  <c:v>9718</c:v>
                </c:pt>
                <c:pt idx="1">
                  <c:v>9439</c:v>
                </c:pt>
                <c:pt idx="2">
                  <c:v>6827</c:v>
                </c:pt>
                <c:pt idx="3">
                  <c:v>5451</c:v>
                </c:pt>
                <c:pt idx="4">
                  <c:v>1393</c:v>
                </c:pt>
                <c:pt idx="5">
                  <c:v>738</c:v>
                </c:pt>
                <c:pt idx="6">
                  <c:v>632</c:v>
                </c:pt>
              </c:numCache>
            </c:numRef>
          </c:val>
          <c:extLst>
            <c:ext xmlns:c16="http://schemas.microsoft.com/office/drawing/2014/chart" uri="{C3380CC4-5D6E-409C-BE32-E72D297353CC}">
              <c16:uniqueId val="{00000003-A998-4545-BCFD-754A32063358}"/>
            </c:ext>
          </c:extLst>
        </c:ser>
        <c:ser>
          <c:idx val="1"/>
          <c:order val="1"/>
          <c:tx>
            <c:strRef>
              <c:f>'Soc&amp;Hum_EAP'!$Q$3</c:f>
              <c:strCache>
                <c:ptCount val="1"/>
                <c:pt idx="0">
                  <c:v>Հումանիտար գիտություններ</c:v>
                </c:pt>
              </c:strCache>
            </c:strRef>
          </c:tx>
          <c:spPr>
            <a:solidFill>
              <a:schemeClr val="accent2"/>
            </a:solidFill>
            <a:ln>
              <a:noFill/>
            </a:ln>
            <a:effectLst/>
          </c:spPr>
          <c:invertIfNegative val="0"/>
          <c:dLbls>
            <c:dLbl>
              <c:idx val="4"/>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A998-4545-BCFD-754A32063358}"/>
                </c:ext>
              </c:extLst>
            </c:dLbl>
            <c:dLbl>
              <c:idx val="5"/>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A998-4545-BCFD-754A32063358}"/>
                </c:ext>
              </c:extLst>
            </c:dLbl>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'Soc&amp;Hum_EAP'!$A$2:$A$8</c:f>
              <c:strCache>
                <c:ptCount val="7"/>
                <c:pt idx="0">
                  <c:v>Սլովենիա</c:v>
                </c:pt>
                <c:pt idx="1">
                  <c:v>Լիտվա</c:v>
                </c:pt>
                <c:pt idx="2">
                  <c:v>Էստոնիա</c:v>
                </c:pt>
                <c:pt idx="3">
                  <c:v>Լատվիա</c:v>
                </c:pt>
                <c:pt idx="4">
                  <c:v>Վրաստան</c:v>
                </c:pt>
                <c:pt idx="5">
                  <c:v>Հայաստան</c:v>
                </c:pt>
                <c:pt idx="6">
                  <c:v>Մոլդովա</c:v>
                </c:pt>
              </c:strCache>
            </c:strRef>
          </c:cat>
          <c:val>
            <c:numRef>
              <c:f>'Soc&amp;Hum_EAP'!$C$28:$C$34</c:f>
              <c:numCache>
                <c:formatCode>General</c:formatCode>
                <c:ptCount val="7"/>
                <c:pt idx="0">
                  <c:v>3900</c:v>
                </c:pt>
                <c:pt idx="1">
                  <c:v>3494</c:v>
                </c:pt>
                <c:pt idx="2">
                  <c:v>3155</c:v>
                </c:pt>
                <c:pt idx="3">
                  <c:v>1126</c:v>
                </c:pt>
                <c:pt idx="4">
                  <c:v>512</c:v>
                </c:pt>
                <c:pt idx="5">
                  <c:v>661</c:v>
                </c:pt>
                <c:pt idx="6">
                  <c:v>281</c:v>
                </c:pt>
              </c:numCache>
            </c:numRef>
          </c:val>
          <c:extLst>
            <c:ext xmlns:c16="http://schemas.microsoft.com/office/drawing/2014/chart" uri="{C3380CC4-5D6E-409C-BE32-E72D297353CC}">
              <c16:uniqueId val="{00000006-A998-4545-BCFD-754A32063358}"/>
            </c:ext>
          </c:extLst>
        </c:ser>
        <c:dLbls>
          <c:showLegendKey val="0"/>
          <c:showVal val="0"/>
          <c:showCatName val="0"/>
          <c:showSerName val="0"/>
          <c:showPercent val="0"/>
          <c:showBubbleSize val="0"/>
        </c:dLbls>
        <c:gapWidth val="50"/>
        <c:axId val="641855392"/>
        <c:axId val="641857032"/>
      </c:barChart>
      <c:catAx>
        <c:axId val="6418553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en-US"/>
          </a:p>
        </c:txPr>
        <c:crossAx val="641857032"/>
        <c:crosses val="autoZero"/>
        <c:auto val="1"/>
        <c:lblAlgn val="ctr"/>
        <c:lblOffset val="100"/>
        <c:noMultiLvlLbl val="0"/>
      </c:catAx>
      <c:valAx>
        <c:axId val="641857032"/>
        <c:scaling>
          <c:orientation val="minMax"/>
          <c:max val="1000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641855392"/>
        <c:crosses val="autoZero"/>
        <c:crossBetween val="between"/>
      </c:valAx>
      <c:spPr>
        <a:noFill/>
        <a:ln>
          <a:noFill/>
        </a:ln>
        <a:effectLst/>
      </c:spPr>
    </c:plotArea>
    <c:legend>
      <c:legendPos val="b"/>
      <c:layout>
        <c:manualLayout>
          <c:xMode val="edge"/>
          <c:yMode val="edge"/>
          <c:x val="0.59423655237770823"/>
          <c:y val="8.1521872997426623E-2"/>
          <c:w val="0.3680485280438115"/>
          <c:h val="0.16252163839223163"/>
        </c:manualLayout>
      </c:layout>
      <c:overlay val="0"/>
      <c:spPr>
        <a:solidFill>
          <a:schemeClr val="lt1"/>
        </a:solidFill>
        <a:ln>
          <a:noFill/>
        </a:ln>
        <a:effectLst/>
      </c:spPr>
      <c:txPr>
        <a:bodyPr rot="0" spcFirstLastPara="1" vertOverflow="ellipsis" vert="horz" wrap="square" anchor="ctr" anchorCtr="1"/>
        <a:lstStyle/>
        <a:p>
          <a:pPr>
            <a:defRPr sz="1050" b="0" i="0" u="none" strike="noStrike" kern="1200" baseline="0">
              <a:solidFill>
                <a:sysClr val="windowText" lastClr="000000"/>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defRPr>
      </a:pPr>
      <a:endParaRPr lang="en-US"/>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2"/>
          <c:order val="0"/>
          <c:tx>
            <c:v>Հայաստան</c:v>
          </c:tx>
          <c:spPr>
            <a:ln w="28575" cap="rnd">
              <a:solidFill>
                <a:srgbClr val="C00000"/>
              </a:solidFill>
              <a:round/>
            </a:ln>
            <a:effectLst/>
          </c:spPr>
          <c:marker>
            <c:symbol val="triangle"/>
            <c:size val="5"/>
            <c:spPr>
              <a:solidFill>
                <a:srgbClr val="C00000"/>
              </a:solidFill>
              <a:ln w="9525">
                <a:noFill/>
              </a:ln>
              <a:effectLst/>
            </c:spPr>
          </c:marker>
          <c:cat>
            <c:numRef>
              <c:f>WOS_1M!$C$2:$C$11</c:f>
              <c:numCache>
                <c:formatCode>General</c:formatCode>
                <c:ptCount val="10"/>
                <c:pt idx="0">
                  <c:v>2015</c:v>
                </c:pt>
                <c:pt idx="1">
                  <c:v>2016</c:v>
                </c:pt>
                <c:pt idx="2">
                  <c:v>2017</c:v>
                </c:pt>
                <c:pt idx="3">
                  <c:v>2018</c:v>
                </c:pt>
                <c:pt idx="4">
                  <c:v>2019</c:v>
                </c:pt>
                <c:pt idx="5">
                  <c:v>2020</c:v>
                </c:pt>
                <c:pt idx="6">
                  <c:v>2021</c:v>
                </c:pt>
                <c:pt idx="7">
                  <c:v>2022</c:v>
                </c:pt>
                <c:pt idx="8">
                  <c:v>2023</c:v>
                </c:pt>
                <c:pt idx="9">
                  <c:v>2024</c:v>
                </c:pt>
              </c:numCache>
            </c:numRef>
          </c:cat>
          <c:val>
            <c:numRef>
              <c:f>WOS_1M!$O$32:$O$413</c:f>
              <c:numCache>
                <c:formatCode>General</c:formatCode>
                <c:ptCount val="382"/>
                <c:pt idx="0">
                  <c:v>400.60802179963923</c:v>
                </c:pt>
                <c:pt idx="1">
                  <c:v>434.92432078410349</c:v>
                </c:pt>
                <c:pt idx="2">
                  <c:v>440.77830990382677</c:v>
                </c:pt>
                <c:pt idx="3">
                  <c:v>436.01327350431694</c:v>
                </c:pt>
                <c:pt idx="4">
                  <c:v>518.30271245086192</c:v>
                </c:pt>
                <c:pt idx="5">
                  <c:v>446.80777108053576</c:v>
                </c:pt>
                <c:pt idx="6">
                  <c:v>410.10402187669655</c:v>
                </c:pt>
                <c:pt idx="7">
                  <c:v>453.68176463115009</c:v>
                </c:pt>
                <c:pt idx="8">
                  <c:v>520.48775002182856</c:v>
                </c:pt>
                <c:pt idx="9">
                  <c:v>594.18126059236545</c:v>
                </c:pt>
                <c:pt idx="10">
                  <c:v>254.46158884921488</c:v>
                </c:pt>
                <c:pt idx="11">
                  <c:v>288.13707056494286</c:v>
                </c:pt>
                <c:pt idx="12">
                  <c:v>279.39120656090375</c:v>
                </c:pt>
                <c:pt idx="13">
                  <c:v>310.77142761498914</c:v>
                </c:pt>
                <c:pt idx="14">
                  <c:v>349.28248220748526</c:v>
                </c:pt>
                <c:pt idx="15">
                  <c:v>347.03066104712184</c:v>
                </c:pt>
                <c:pt idx="16">
                  <c:v>361.42916542079314</c:v>
                </c:pt>
                <c:pt idx="17">
                  <c:v>370.50857176587652</c:v>
                </c:pt>
                <c:pt idx="18">
                  <c:v>442.81117333930052</c:v>
                </c:pt>
                <c:pt idx="19">
                  <c:v>457.76025758534746</c:v>
                </c:pt>
                <c:pt idx="20">
                  <c:v>152.55361485739553</c:v>
                </c:pt>
                <c:pt idx="21">
                  <c:v>179.78317313119572</c:v>
                </c:pt>
                <c:pt idx="22">
                  <c:v>155.67714137356504</c:v>
                </c:pt>
                <c:pt idx="23">
                  <c:v>181.14761704505293</c:v>
                </c:pt>
                <c:pt idx="24">
                  <c:v>175.35342123428526</c:v>
                </c:pt>
                <c:pt idx="25">
                  <c:v>173.52662877671412</c:v>
                </c:pt>
                <c:pt idx="26">
                  <c:v>151.45812070863468</c:v>
                </c:pt>
                <c:pt idx="27">
                  <c:v>185.52723121989089</c:v>
                </c:pt>
                <c:pt idx="28">
                  <c:v>203.77754664875599</c:v>
                </c:pt>
                <c:pt idx="29">
                  <c:v>205.60395998498828</c:v>
                </c:pt>
              </c:numCache>
            </c:numRef>
          </c:val>
          <c:smooth val="0"/>
          <c:extLst>
            <c:ext xmlns:c16="http://schemas.microsoft.com/office/drawing/2014/chart" uri="{C3380CC4-5D6E-409C-BE32-E72D297353CC}">
              <c16:uniqueId val="{00000000-F14A-4C71-8863-E8602BF0A6E1}"/>
            </c:ext>
          </c:extLst>
        </c:ser>
        <c:ser>
          <c:idx val="3"/>
          <c:order val="1"/>
          <c:tx>
            <c:v>Վրաստան</c:v>
          </c:tx>
          <c:spPr>
            <a:ln w="19050" cap="rnd">
              <a:solidFill>
                <a:schemeClr val="accent4"/>
              </a:solidFill>
              <a:round/>
            </a:ln>
            <a:effectLst/>
          </c:spPr>
          <c:marker>
            <c:symbol val="square"/>
            <c:size val="5"/>
            <c:spPr>
              <a:solidFill>
                <a:schemeClr val="accent4"/>
              </a:solidFill>
              <a:ln w="9525">
                <a:solidFill>
                  <a:schemeClr val="accent4"/>
                </a:solidFill>
              </a:ln>
              <a:effectLst/>
            </c:spPr>
          </c:marker>
          <c:cat>
            <c:numRef>
              <c:f>WOS_1M!$C$2:$C$11</c:f>
              <c:numCache>
                <c:formatCode>General</c:formatCode>
                <c:ptCount val="10"/>
                <c:pt idx="0">
                  <c:v>2015</c:v>
                </c:pt>
                <c:pt idx="1">
                  <c:v>2016</c:v>
                </c:pt>
                <c:pt idx="2">
                  <c:v>2017</c:v>
                </c:pt>
                <c:pt idx="3">
                  <c:v>2018</c:v>
                </c:pt>
                <c:pt idx="4">
                  <c:v>2019</c:v>
                </c:pt>
                <c:pt idx="5">
                  <c:v>2020</c:v>
                </c:pt>
                <c:pt idx="6">
                  <c:v>2021</c:v>
                </c:pt>
                <c:pt idx="7">
                  <c:v>2022</c:v>
                </c:pt>
                <c:pt idx="8">
                  <c:v>2023</c:v>
                </c:pt>
                <c:pt idx="9">
                  <c:v>2024</c:v>
                </c:pt>
              </c:numCache>
            </c:numRef>
          </c:cat>
          <c:val>
            <c:numRef>
              <c:f>WOS_1M!$O$42:$O$51</c:f>
              <c:numCache>
                <c:formatCode>General</c:formatCode>
                <c:ptCount val="10"/>
                <c:pt idx="0">
                  <c:v>254.46158884921488</c:v>
                </c:pt>
                <c:pt idx="1">
                  <c:v>288.13707056494286</c:v>
                </c:pt>
                <c:pt idx="2">
                  <c:v>279.39120656090375</c:v>
                </c:pt>
                <c:pt idx="3">
                  <c:v>310.77142761498914</c:v>
                </c:pt>
                <c:pt idx="4">
                  <c:v>349.28248220748526</c:v>
                </c:pt>
                <c:pt idx="5">
                  <c:v>347.03066104712184</c:v>
                </c:pt>
                <c:pt idx="6">
                  <c:v>361.42916542079314</c:v>
                </c:pt>
                <c:pt idx="7">
                  <c:v>370.50857176587652</c:v>
                </c:pt>
                <c:pt idx="8">
                  <c:v>442.81117333930052</c:v>
                </c:pt>
                <c:pt idx="9">
                  <c:v>457.76025758534746</c:v>
                </c:pt>
              </c:numCache>
            </c:numRef>
          </c:val>
          <c:smooth val="0"/>
          <c:extLst>
            <c:ext xmlns:c16="http://schemas.microsoft.com/office/drawing/2014/chart" uri="{C3380CC4-5D6E-409C-BE32-E72D297353CC}">
              <c16:uniqueId val="{00000001-F14A-4C71-8863-E8602BF0A6E1}"/>
            </c:ext>
          </c:extLst>
        </c:ser>
        <c:ser>
          <c:idx val="1"/>
          <c:order val="2"/>
          <c:tx>
            <c:v>Բելառուս</c:v>
          </c:tx>
          <c:spPr>
            <a:ln w="19050" cap="rnd">
              <a:solidFill>
                <a:schemeClr val="accent2"/>
              </a:solidFill>
              <a:round/>
            </a:ln>
            <a:effectLst/>
          </c:spPr>
          <c:marker>
            <c:symbol val="diamond"/>
            <c:size val="5"/>
            <c:spPr>
              <a:solidFill>
                <a:schemeClr val="accent2"/>
              </a:solidFill>
              <a:ln w="9525">
                <a:solidFill>
                  <a:schemeClr val="accent2"/>
                </a:solidFill>
              </a:ln>
              <a:effectLst/>
            </c:spPr>
          </c:marker>
          <c:cat>
            <c:numRef>
              <c:f>WOS_1M!$C$2:$C$11</c:f>
              <c:numCache>
                <c:formatCode>General</c:formatCode>
                <c:ptCount val="10"/>
                <c:pt idx="0">
                  <c:v>2015</c:v>
                </c:pt>
                <c:pt idx="1">
                  <c:v>2016</c:v>
                </c:pt>
                <c:pt idx="2">
                  <c:v>2017</c:v>
                </c:pt>
                <c:pt idx="3">
                  <c:v>2018</c:v>
                </c:pt>
                <c:pt idx="4">
                  <c:v>2019</c:v>
                </c:pt>
                <c:pt idx="5">
                  <c:v>2020</c:v>
                </c:pt>
                <c:pt idx="6">
                  <c:v>2021</c:v>
                </c:pt>
                <c:pt idx="7">
                  <c:v>2022</c:v>
                </c:pt>
                <c:pt idx="8">
                  <c:v>2023</c:v>
                </c:pt>
                <c:pt idx="9">
                  <c:v>2024</c:v>
                </c:pt>
              </c:numCache>
            </c:numRef>
          </c:cat>
          <c:val>
            <c:numRef>
              <c:f>WOS_1M!$O$12:$O$21</c:f>
              <c:numCache>
                <c:formatCode>General</c:formatCode>
                <c:ptCount val="10"/>
                <c:pt idx="0">
                  <c:v>198.42314514351142</c:v>
                </c:pt>
                <c:pt idx="1">
                  <c:v>213.43173778640588</c:v>
                </c:pt>
                <c:pt idx="2">
                  <c:v>236.18470278663028</c:v>
                </c:pt>
                <c:pt idx="3">
                  <c:v>261.40908914430787</c:v>
                </c:pt>
                <c:pt idx="4">
                  <c:v>282.46761593417807</c:v>
                </c:pt>
                <c:pt idx="5">
                  <c:v>251.55241280248333</c:v>
                </c:pt>
                <c:pt idx="6">
                  <c:v>245.58375491524924</c:v>
                </c:pt>
                <c:pt idx="7">
                  <c:v>226.63755444234135</c:v>
                </c:pt>
                <c:pt idx="8">
                  <c:v>195.15823284713812</c:v>
                </c:pt>
                <c:pt idx="9">
                  <c:v>198.6375605408418</c:v>
                </c:pt>
              </c:numCache>
            </c:numRef>
          </c:val>
          <c:smooth val="0"/>
          <c:extLst>
            <c:ext xmlns:c16="http://schemas.microsoft.com/office/drawing/2014/chart" uri="{C3380CC4-5D6E-409C-BE32-E72D297353CC}">
              <c16:uniqueId val="{00000002-F14A-4C71-8863-E8602BF0A6E1}"/>
            </c:ext>
          </c:extLst>
        </c:ser>
        <c:ser>
          <c:idx val="0"/>
          <c:order val="3"/>
          <c:tx>
            <c:v>Ուկրաինա</c:v>
          </c:tx>
          <c:spPr>
            <a:ln w="19050" cap="rnd">
              <a:solidFill>
                <a:schemeClr val="accent1"/>
              </a:solidFill>
              <a:round/>
            </a:ln>
            <a:effectLst/>
          </c:spPr>
          <c:marker>
            <c:symbol val="plus"/>
            <c:size val="5"/>
            <c:spPr>
              <a:noFill/>
              <a:ln w="9525">
                <a:solidFill>
                  <a:schemeClr val="accent1"/>
                </a:solidFill>
              </a:ln>
              <a:effectLst/>
            </c:spPr>
          </c:marker>
          <c:cat>
            <c:numRef>
              <c:f>WOS_1M!$C$2:$C$11</c:f>
              <c:numCache>
                <c:formatCode>General</c:formatCode>
                <c:ptCount val="10"/>
                <c:pt idx="0">
                  <c:v>2015</c:v>
                </c:pt>
                <c:pt idx="1">
                  <c:v>2016</c:v>
                </c:pt>
                <c:pt idx="2">
                  <c:v>2017</c:v>
                </c:pt>
                <c:pt idx="3">
                  <c:v>2018</c:v>
                </c:pt>
                <c:pt idx="4">
                  <c:v>2019</c:v>
                </c:pt>
                <c:pt idx="5">
                  <c:v>2020</c:v>
                </c:pt>
                <c:pt idx="6">
                  <c:v>2021</c:v>
                </c:pt>
                <c:pt idx="7">
                  <c:v>2022</c:v>
                </c:pt>
                <c:pt idx="8">
                  <c:v>2023</c:v>
                </c:pt>
                <c:pt idx="9">
                  <c:v>2024</c:v>
                </c:pt>
              </c:numCache>
            </c:numRef>
          </c:cat>
          <c:val>
            <c:numRef>
              <c:f>WOS_1M!$O$2:$O$11</c:f>
              <c:numCache>
                <c:formatCode>General</c:formatCode>
                <c:ptCount val="10"/>
                <c:pt idx="0">
                  <c:v>243.0899727411994</c:v>
                </c:pt>
                <c:pt idx="1">
                  <c:v>259.60722285978471</c:v>
                </c:pt>
                <c:pt idx="2">
                  <c:v>300.33014287159631</c:v>
                </c:pt>
                <c:pt idx="3">
                  <c:v>311.55248831107497</c:v>
                </c:pt>
                <c:pt idx="4">
                  <c:v>322.56936787087255</c:v>
                </c:pt>
                <c:pt idx="5">
                  <c:v>357.57271464549518</c:v>
                </c:pt>
                <c:pt idx="6">
                  <c:v>349.04825473441127</c:v>
                </c:pt>
                <c:pt idx="7">
                  <c:v>354.89495591657982</c:v>
                </c:pt>
                <c:pt idx="8">
                  <c:v>355.44638097173504</c:v>
                </c:pt>
                <c:pt idx="9">
                  <c:v>343.63243679956332</c:v>
                </c:pt>
              </c:numCache>
            </c:numRef>
          </c:val>
          <c:smooth val="0"/>
          <c:extLst>
            <c:ext xmlns:c16="http://schemas.microsoft.com/office/drawing/2014/chart" uri="{C3380CC4-5D6E-409C-BE32-E72D297353CC}">
              <c16:uniqueId val="{00000003-F14A-4C71-8863-E8602BF0A6E1}"/>
            </c:ext>
          </c:extLst>
        </c:ser>
        <c:ser>
          <c:idx val="5"/>
          <c:order val="4"/>
          <c:tx>
            <c:v>Ադրբեջան</c:v>
          </c:tx>
          <c:spPr>
            <a:ln w="19050" cap="rnd">
              <a:solidFill>
                <a:schemeClr val="bg2">
                  <a:lumMod val="75000"/>
                </a:schemeClr>
              </a:solidFill>
              <a:round/>
            </a:ln>
            <a:effectLst/>
          </c:spPr>
          <c:marker>
            <c:symbol val="star"/>
            <c:size val="5"/>
            <c:spPr>
              <a:noFill/>
              <a:ln w="9525">
                <a:solidFill>
                  <a:schemeClr val="accent6"/>
                </a:solidFill>
              </a:ln>
              <a:effectLst/>
            </c:spPr>
          </c:marker>
          <c:cat>
            <c:numRef>
              <c:f>WOS_1M!$C$2:$C$11</c:f>
              <c:numCache>
                <c:formatCode>General</c:formatCode>
                <c:ptCount val="10"/>
                <c:pt idx="0">
                  <c:v>2015</c:v>
                </c:pt>
                <c:pt idx="1">
                  <c:v>2016</c:v>
                </c:pt>
                <c:pt idx="2">
                  <c:v>2017</c:v>
                </c:pt>
                <c:pt idx="3">
                  <c:v>2018</c:v>
                </c:pt>
                <c:pt idx="4">
                  <c:v>2019</c:v>
                </c:pt>
                <c:pt idx="5">
                  <c:v>2020</c:v>
                </c:pt>
                <c:pt idx="6">
                  <c:v>2021</c:v>
                </c:pt>
                <c:pt idx="7">
                  <c:v>2022</c:v>
                </c:pt>
                <c:pt idx="8">
                  <c:v>2023</c:v>
                </c:pt>
                <c:pt idx="9">
                  <c:v>2024</c:v>
                </c:pt>
              </c:numCache>
            </c:numRef>
          </c:cat>
          <c:val>
            <c:numRef>
              <c:f>WOS_1M!$O$22:$O$31</c:f>
              <c:numCache>
                <c:formatCode>General</c:formatCode>
                <c:ptCount val="10"/>
                <c:pt idx="0">
                  <c:v>86.877497013586037</c:v>
                </c:pt>
                <c:pt idx="1">
                  <c:v>107.94939997697216</c:v>
                </c:pt>
                <c:pt idx="2">
                  <c:v>121.47903775600997</c:v>
                </c:pt>
                <c:pt idx="3">
                  <c:v>151.86636322876129</c:v>
                </c:pt>
                <c:pt idx="4">
                  <c:v>178.64752971769312</c:v>
                </c:pt>
                <c:pt idx="5">
                  <c:v>185.51801590996982</c:v>
                </c:pt>
                <c:pt idx="6">
                  <c:v>152.55301241380778</c:v>
                </c:pt>
                <c:pt idx="7">
                  <c:v>154.24508105831552</c:v>
                </c:pt>
                <c:pt idx="8">
                  <c:v>184.04360369975132</c:v>
                </c:pt>
                <c:pt idx="9">
                  <c:v>354.95309520743666</c:v>
                </c:pt>
              </c:numCache>
            </c:numRef>
          </c:val>
          <c:smooth val="0"/>
          <c:extLst>
            <c:ext xmlns:c16="http://schemas.microsoft.com/office/drawing/2014/chart" uri="{C3380CC4-5D6E-409C-BE32-E72D297353CC}">
              <c16:uniqueId val="{00000004-F14A-4C71-8863-E8602BF0A6E1}"/>
            </c:ext>
          </c:extLst>
        </c:ser>
        <c:ser>
          <c:idx val="4"/>
          <c:order val="5"/>
          <c:tx>
            <c:v>Մոլդովա</c:v>
          </c:tx>
          <c:spPr>
            <a:ln w="19050" cap="rnd">
              <a:solidFill>
                <a:schemeClr val="accent5"/>
              </a:solidFill>
              <a:round/>
            </a:ln>
            <a:effectLst/>
          </c:spPr>
          <c:marker>
            <c:symbol val="x"/>
            <c:size val="5"/>
            <c:spPr>
              <a:noFill/>
              <a:ln w="9525">
                <a:solidFill>
                  <a:schemeClr val="accent5"/>
                </a:solidFill>
              </a:ln>
              <a:effectLst/>
            </c:spPr>
          </c:marker>
          <c:cat>
            <c:numRef>
              <c:f>WOS_1M!$C$2:$C$11</c:f>
              <c:numCache>
                <c:formatCode>General</c:formatCode>
                <c:ptCount val="10"/>
                <c:pt idx="0">
                  <c:v>2015</c:v>
                </c:pt>
                <c:pt idx="1">
                  <c:v>2016</c:v>
                </c:pt>
                <c:pt idx="2">
                  <c:v>2017</c:v>
                </c:pt>
                <c:pt idx="3">
                  <c:v>2018</c:v>
                </c:pt>
                <c:pt idx="4">
                  <c:v>2019</c:v>
                </c:pt>
                <c:pt idx="5">
                  <c:v>2020</c:v>
                </c:pt>
                <c:pt idx="6">
                  <c:v>2021</c:v>
                </c:pt>
                <c:pt idx="7">
                  <c:v>2022</c:v>
                </c:pt>
                <c:pt idx="8">
                  <c:v>2023</c:v>
                </c:pt>
                <c:pt idx="9">
                  <c:v>2024</c:v>
                </c:pt>
              </c:numCache>
            </c:numRef>
          </c:cat>
          <c:val>
            <c:numRef>
              <c:f>WOS_1M!$O$52:$O$61</c:f>
              <c:numCache>
                <c:formatCode>General</c:formatCode>
                <c:ptCount val="10"/>
                <c:pt idx="0">
                  <c:v>152.55361485739553</c:v>
                </c:pt>
                <c:pt idx="1">
                  <c:v>179.78317313119572</c:v>
                </c:pt>
                <c:pt idx="2">
                  <c:v>155.67714137356504</c:v>
                </c:pt>
                <c:pt idx="3">
                  <c:v>181.14761704505293</c:v>
                </c:pt>
                <c:pt idx="4">
                  <c:v>175.35342123428526</c:v>
                </c:pt>
                <c:pt idx="5">
                  <c:v>173.52662877671412</c:v>
                </c:pt>
                <c:pt idx="6">
                  <c:v>151.45812070863468</c:v>
                </c:pt>
                <c:pt idx="7">
                  <c:v>185.52723121989089</c:v>
                </c:pt>
                <c:pt idx="8">
                  <c:v>203.77754664875599</c:v>
                </c:pt>
                <c:pt idx="9">
                  <c:v>205.60395998498828</c:v>
                </c:pt>
              </c:numCache>
            </c:numRef>
          </c:val>
          <c:smooth val="0"/>
          <c:extLst>
            <c:ext xmlns:c16="http://schemas.microsoft.com/office/drawing/2014/chart" uri="{C3380CC4-5D6E-409C-BE32-E72D297353CC}">
              <c16:uniqueId val="{00000005-F14A-4C71-8863-E8602BF0A6E1}"/>
            </c:ext>
          </c:extLst>
        </c:ser>
        <c:dLbls>
          <c:showLegendKey val="0"/>
          <c:showVal val="0"/>
          <c:showCatName val="0"/>
          <c:showSerName val="0"/>
          <c:showPercent val="0"/>
          <c:showBubbleSize val="0"/>
        </c:dLbls>
        <c:marker val="1"/>
        <c:smooth val="0"/>
        <c:axId val="471107592"/>
        <c:axId val="471108576"/>
      </c:lineChart>
      <c:dateAx>
        <c:axId val="4711075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471108576"/>
        <c:crosses val="autoZero"/>
        <c:auto val="0"/>
        <c:lblOffset val="100"/>
        <c:baseTimeUnit val="days"/>
      </c:dateAx>
      <c:valAx>
        <c:axId val="4711085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4711075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defRPr>
      </a:pPr>
      <a:endParaRPr lang="en-US"/>
    </a:p>
  </c:txPr>
  <c:externalData r:id="rId3">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2"/>
          <c:order val="0"/>
          <c:tx>
            <c:v>Հայաստան</c:v>
          </c:tx>
          <c:spPr>
            <a:ln w="28575" cap="rnd">
              <a:solidFill>
                <a:srgbClr val="C00000"/>
              </a:solidFill>
              <a:round/>
            </a:ln>
            <a:effectLst/>
          </c:spPr>
          <c:marker>
            <c:symbol val="triangle"/>
            <c:size val="5"/>
            <c:spPr>
              <a:solidFill>
                <a:srgbClr val="C00000"/>
              </a:solidFill>
              <a:ln w="9525">
                <a:solidFill>
                  <a:srgbClr val="C00000"/>
                </a:solidFill>
              </a:ln>
              <a:effectLst/>
            </c:spPr>
          </c:marker>
          <c:dPt>
            <c:idx val="10"/>
            <c:marker>
              <c:symbol val="triangle"/>
              <c:size val="7"/>
              <c:spPr>
                <a:solidFill>
                  <a:schemeClr val="bg1"/>
                </a:solidFill>
                <a:ln w="9525">
                  <a:solidFill>
                    <a:srgbClr val="C00000"/>
                  </a:solidFill>
                </a:ln>
                <a:effectLst/>
              </c:spPr>
            </c:marker>
            <c:bubble3D val="0"/>
            <c:spPr>
              <a:ln w="28575" cap="rnd">
                <a:solidFill>
                  <a:srgbClr val="C00000"/>
                </a:solidFill>
                <a:prstDash val="sysDot"/>
                <a:round/>
              </a:ln>
              <a:effectLst/>
            </c:spPr>
            <c:extLst>
              <c:ext xmlns:c16="http://schemas.microsoft.com/office/drawing/2014/chart" uri="{C3380CC4-5D6E-409C-BE32-E72D297353CC}">
                <c16:uniqueId val="{00000001-0093-4B9A-847B-12AA5D669E6D}"/>
              </c:ext>
            </c:extLst>
          </c:dPt>
          <c:dPt>
            <c:idx val="11"/>
            <c:marker>
              <c:symbol val="none"/>
            </c:marker>
            <c:bubble3D val="0"/>
            <c:spPr>
              <a:ln w="28575" cap="rnd">
                <a:solidFill>
                  <a:srgbClr val="C00000"/>
                </a:solidFill>
                <a:prstDash val="sysDot"/>
                <a:round/>
              </a:ln>
              <a:effectLst/>
            </c:spPr>
            <c:extLst>
              <c:ext xmlns:c16="http://schemas.microsoft.com/office/drawing/2014/chart" uri="{C3380CC4-5D6E-409C-BE32-E72D297353CC}">
                <c16:uniqueId val="{00000003-0093-4B9A-847B-12AA5D669E6D}"/>
              </c:ext>
            </c:extLst>
          </c:dPt>
          <c:dPt>
            <c:idx val="12"/>
            <c:marker>
              <c:symbol val="triangle"/>
              <c:size val="6"/>
              <c:spPr>
                <a:solidFill>
                  <a:schemeClr val="bg1"/>
                </a:solidFill>
                <a:ln w="9525">
                  <a:solidFill>
                    <a:srgbClr val="C00000"/>
                  </a:solidFill>
                </a:ln>
                <a:effectLst/>
              </c:spPr>
            </c:marker>
            <c:bubble3D val="0"/>
            <c:spPr>
              <a:ln w="28575" cap="rnd">
                <a:solidFill>
                  <a:srgbClr val="C00000"/>
                </a:solidFill>
                <a:prstDash val="sysDot"/>
                <a:round/>
              </a:ln>
              <a:effectLst/>
            </c:spPr>
            <c:extLst>
              <c:ext xmlns:c16="http://schemas.microsoft.com/office/drawing/2014/chart" uri="{C3380CC4-5D6E-409C-BE32-E72D297353CC}">
                <c16:uniqueId val="{00000005-0093-4B9A-847B-12AA5D669E6D}"/>
              </c:ext>
            </c:extLst>
          </c:dPt>
          <c:dPt>
            <c:idx val="13"/>
            <c:marker>
              <c:symbol val="triangle"/>
              <c:size val="6"/>
              <c:spPr>
                <a:noFill/>
                <a:ln w="15875">
                  <a:solidFill>
                    <a:srgbClr val="C00000"/>
                  </a:solidFill>
                </a:ln>
                <a:effectLst/>
              </c:spPr>
            </c:marker>
            <c:bubble3D val="0"/>
            <c:spPr>
              <a:ln w="28575" cap="rnd">
                <a:solidFill>
                  <a:srgbClr val="C00000"/>
                </a:solidFill>
                <a:prstDash val="sysDot"/>
                <a:round/>
              </a:ln>
              <a:effectLst/>
            </c:spPr>
            <c:extLst>
              <c:ext xmlns:c16="http://schemas.microsoft.com/office/drawing/2014/chart" uri="{C3380CC4-5D6E-409C-BE32-E72D297353CC}">
                <c16:uniqueId val="{00000007-0093-4B9A-847B-12AA5D669E6D}"/>
              </c:ext>
            </c:extLst>
          </c:dPt>
          <c:dPt>
            <c:idx val="14"/>
            <c:marker>
              <c:symbol val="none"/>
            </c:marker>
            <c:bubble3D val="0"/>
            <c:spPr>
              <a:ln w="28575" cap="rnd">
                <a:solidFill>
                  <a:srgbClr val="C00000"/>
                </a:solidFill>
                <a:prstDash val="sysDot"/>
                <a:round/>
              </a:ln>
              <a:effectLst/>
            </c:spPr>
            <c:extLst>
              <c:ext xmlns:c16="http://schemas.microsoft.com/office/drawing/2014/chart" uri="{C3380CC4-5D6E-409C-BE32-E72D297353CC}">
                <c16:uniqueId val="{00000009-0093-4B9A-847B-12AA5D669E6D}"/>
              </c:ext>
            </c:extLst>
          </c:dPt>
          <c:dPt>
            <c:idx val="15"/>
            <c:marker>
              <c:symbol val="triangle"/>
              <c:size val="6"/>
              <c:spPr>
                <a:noFill/>
                <a:ln w="15875">
                  <a:solidFill>
                    <a:srgbClr val="C00000"/>
                  </a:solidFill>
                </a:ln>
                <a:effectLst/>
              </c:spPr>
            </c:marker>
            <c:bubble3D val="0"/>
            <c:spPr>
              <a:ln w="28575" cap="rnd">
                <a:solidFill>
                  <a:srgbClr val="C00000"/>
                </a:solidFill>
                <a:prstDash val="sysDot"/>
                <a:round/>
              </a:ln>
              <a:effectLst/>
            </c:spPr>
            <c:extLst>
              <c:ext xmlns:c16="http://schemas.microsoft.com/office/drawing/2014/chart" uri="{C3380CC4-5D6E-409C-BE32-E72D297353CC}">
                <c16:uniqueId val="{0000000B-0093-4B9A-847B-12AA5D669E6D}"/>
              </c:ext>
            </c:extLst>
          </c:dPt>
          <c:cat>
            <c:strRef>
              <c:f>Comparable!$C$72:$C$84</c:f>
              <c:strCache>
                <c:ptCount val="13"/>
                <c:pt idx="0">
                  <c:v>2015</c:v>
                </c:pt>
                <c:pt idx="1">
                  <c:v>2016</c:v>
                </c:pt>
                <c:pt idx="2">
                  <c:v>2017</c:v>
                </c:pt>
                <c:pt idx="3">
                  <c:v>2018</c:v>
                </c:pt>
                <c:pt idx="4">
                  <c:v>2019</c:v>
                </c:pt>
                <c:pt idx="5">
                  <c:v>2020</c:v>
                </c:pt>
                <c:pt idx="6">
                  <c:v>2021</c:v>
                </c:pt>
                <c:pt idx="7">
                  <c:v>2022</c:v>
                </c:pt>
                <c:pt idx="8">
                  <c:v>2023</c:v>
                </c:pt>
                <c:pt idx="9">
                  <c:v>2024</c:v>
                </c:pt>
                <c:pt idx="10">
                  <c:v>2025</c:v>
                </c:pt>
                <c:pt idx="11">
                  <c:v>…</c:v>
                </c:pt>
                <c:pt idx="12">
                  <c:v>2030</c:v>
                </c:pt>
              </c:strCache>
            </c:strRef>
          </c:cat>
          <c:val>
            <c:numRef>
              <c:f>Comparable!$O$72:$O$84</c:f>
              <c:numCache>
                <c:formatCode>General</c:formatCode>
                <c:ptCount val="13"/>
                <c:pt idx="0">
                  <c:v>400.60802179963923</c:v>
                </c:pt>
                <c:pt idx="1">
                  <c:v>434.92432078410349</c:v>
                </c:pt>
                <c:pt idx="2">
                  <c:v>440.77830990382677</c:v>
                </c:pt>
                <c:pt idx="3">
                  <c:v>436.01327350431694</c:v>
                </c:pt>
                <c:pt idx="4">
                  <c:v>518.30271245086192</c:v>
                </c:pt>
                <c:pt idx="5">
                  <c:v>446.80777108053576</c:v>
                </c:pt>
                <c:pt idx="6">
                  <c:v>410.10402187669655</c:v>
                </c:pt>
                <c:pt idx="7">
                  <c:v>453.68176463115009</c:v>
                </c:pt>
                <c:pt idx="8">
                  <c:v>520.48775002182856</c:v>
                </c:pt>
                <c:pt idx="9">
                  <c:v>594.18126059236545</c:v>
                </c:pt>
                <c:pt idx="10">
                  <c:v>605.07150768692929</c:v>
                </c:pt>
                <c:pt idx="11">
                  <c:v>840</c:v>
                </c:pt>
                <c:pt idx="12">
                  <c:v>1075.6826803323188</c:v>
                </c:pt>
              </c:numCache>
            </c:numRef>
          </c:val>
          <c:smooth val="0"/>
          <c:extLst>
            <c:ext xmlns:c16="http://schemas.microsoft.com/office/drawing/2014/chart" uri="{C3380CC4-5D6E-409C-BE32-E72D297353CC}">
              <c16:uniqueId val="{0000000C-0093-4B9A-847B-12AA5D669E6D}"/>
            </c:ext>
          </c:extLst>
        </c:ser>
        <c:ser>
          <c:idx val="5"/>
          <c:order val="1"/>
          <c:tx>
            <c:v>Լատվիա</c:v>
          </c:tx>
          <c:spPr>
            <a:ln w="19050" cap="rnd">
              <a:solidFill>
                <a:schemeClr val="bg2">
                  <a:lumMod val="75000"/>
                </a:schemeClr>
              </a:solidFill>
              <a:round/>
            </a:ln>
            <a:effectLst/>
          </c:spPr>
          <c:marker>
            <c:symbol val="star"/>
            <c:size val="5"/>
            <c:spPr>
              <a:noFill/>
              <a:ln w="9525">
                <a:solidFill>
                  <a:schemeClr val="accent6"/>
                </a:solidFill>
              </a:ln>
              <a:effectLst/>
            </c:spPr>
          </c:marker>
          <c:cat>
            <c:strRef>
              <c:f>Comparable!$C$72:$C$84</c:f>
              <c:strCache>
                <c:ptCount val="13"/>
                <c:pt idx="0">
                  <c:v>2015</c:v>
                </c:pt>
                <c:pt idx="1">
                  <c:v>2016</c:v>
                </c:pt>
                <c:pt idx="2">
                  <c:v>2017</c:v>
                </c:pt>
                <c:pt idx="3">
                  <c:v>2018</c:v>
                </c:pt>
                <c:pt idx="4">
                  <c:v>2019</c:v>
                </c:pt>
                <c:pt idx="5">
                  <c:v>2020</c:v>
                </c:pt>
                <c:pt idx="6">
                  <c:v>2021</c:v>
                </c:pt>
                <c:pt idx="7">
                  <c:v>2022</c:v>
                </c:pt>
                <c:pt idx="8">
                  <c:v>2023</c:v>
                </c:pt>
                <c:pt idx="9">
                  <c:v>2024</c:v>
                </c:pt>
                <c:pt idx="10">
                  <c:v>2025</c:v>
                </c:pt>
                <c:pt idx="11">
                  <c:v>…</c:v>
                </c:pt>
                <c:pt idx="12">
                  <c:v>2030</c:v>
                </c:pt>
              </c:strCache>
            </c:strRef>
          </c:cat>
          <c:val>
            <c:numRef>
              <c:f>Comparable!$O$62:$O$71</c:f>
              <c:numCache>
                <c:formatCode>General</c:formatCode>
                <c:ptCount val="10"/>
                <c:pt idx="0">
                  <c:v>1127.8116449430688</c:v>
                </c:pt>
                <c:pt idx="1">
                  <c:v>1282.5019526244184</c:v>
                </c:pt>
                <c:pt idx="2">
                  <c:v>1429.96478391387</c:v>
                </c:pt>
                <c:pt idx="3">
                  <c:v>1363.2646584656454</c:v>
                </c:pt>
                <c:pt idx="4">
                  <c:v>1529.8338580500886</c:v>
                </c:pt>
                <c:pt idx="5">
                  <c:v>1422.438153364599</c:v>
                </c:pt>
                <c:pt idx="6">
                  <c:v>1487.8547011977691</c:v>
                </c:pt>
                <c:pt idx="7">
                  <c:v>1354.0216356389979</c:v>
                </c:pt>
                <c:pt idx="8">
                  <c:v>1335.0007118587164</c:v>
                </c:pt>
                <c:pt idx="9">
                  <c:v>1327.5487466817958</c:v>
                </c:pt>
              </c:numCache>
            </c:numRef>
          </c:val>
          <c:smooth val="0"/>
          <c:extLst>
            <c:ext xmlns:c16="http://schemas.microsoft.com/office/drawing/2014/chart" uri="{C3380CC4-5D6E-409C-BE32-E72D297353CC}">
              <c16:uniqueId val="{0000000D-0093-4B9A-847B-12AA5D669E6D}"/>
            </c:ext>
          </c:extLst>
        </c:ser>
        <c:ser>
          <c:idx val="3"/>
          <c:order val="2"/>
          <c:tx>
            <c:v>Լիտվա</c:v>
          </c:tx>
          <c:spPr>
            <a:ln w="19050" cap="rnd">
              <a:solidFill>
                <a:schemeClr val="accent4"/>
              </a:solidFill>
              <a:round/>
            </a:ln>
            <a:effectLst/>
          </c:spPr>
          <c:marker>
            <c:symbol val="square"/>
            <c:size val="5"/>
            <c:spPr>
              <a:solidFill>
                <a:schemeClr val="accent4"/>
              </a:solidFill>
              <a:ln w="9525">
                <a:solidFill>
                  <a:schemeClr val="accent4"/>
                </a:solidFill>
              </a:ln>
              <a:effectLst/>
            </c:spPr>
          </c:marker>
          <c:cat>
            <c:strRef>
              <c:f>Comparable!$C$72:$C$84</c:f>
              <c:strCache>
                <c:ptCount val="13"/>
                <c:pt idx="0">
                  <c:v>2015</c:v>
                </c:pt>
                <c:pt idx="1">
                  <c:v>2016</c:v>
                </c:pt>
                <c:pt idx="2">
                  <c:v>2017</c:v>
                </c:pt>
                <c:pt idx="3">
                  <c:v>2018</c:v>
                </c:pt>
                <c:pt idx="4">
                  <c:v>2019</c:v>
                </c:pt>
                <c:pt idx="5">
                  <c:v>2020</c:v>
                </c:pt>
                <c:pt idx="6">
                  <c:v>2021</c:v>
                </c:pt>
                <c:pt idx="7">
                  <c:v>2022</c:v>
                </c:pt>
                <c:pt idx="8">
                  <c:v>2023</c:v>
                </c:pt>
                <c:pt idx="9">
                  <c:v>2024</c:v>
                </c:pt>
                <c:pt idx="10">
                  <c:v>2025</c:v>
                </c:pt>
                <c:pt idx="11">
                  <c:v>…</c:v>
                </c:pt>
                <c:pt idx="12">
                  <c:v>2030</c:v>
                </c:pt>
              </c:strCache>
            </c:strRef>
          </c:cat>
          <c:val>
            <c:numRef>
              <c:f>Comparable!$O$42:$O$51</c:f>
              <c:numCache>
                <c:formatCode>General</c:formatCode>
                <c:ptCount val="10"/>
                <c:pt idx="0">
                  <c:v>1353.7388979085092</c:v>
                </c:pt>
                <c:pt idx="1">
                  <c:v>1393.639232588248</c:v>
                </c:pt>
                <c:pt idx="2">
                  <c:v>1526.667121199235</c:v>
                </c:pt>
                <c:pt idx="3">
                  <c:v>1530.0235893510931</c:v>
                </c:pt>
                <c:pt idx="4">
                  <c:v>1742.2644437092404</c:v>
                </c:pt>
                <c:pt idx="5">
                  <c:v>1885.5455831471236</c:v>
                </c:pt>
                <c:pt idx="6">
                  <c:v>1974.1448270751957</c:v>
                </c:pt>
                <c:pt idx="7">
                  <c:v>1858.0583964253144</c:v>
                </c:pt>
                <c:pt idx="8">
                  <c:v>1780.9473322404021</c:v>
                </c:pt>
                <c:pt idx="9">
                  <c:v>1832.0386413953993</c:v>
                </c:pt>
              </c:numCache>
            </c:numRef>
          </c:val>
          <c:smooth val="0"/>
          <c:extLst>
            <c:ext xmlns:c16="http://schemas.microsoft.com/office/drawing/2014/chart" uri="{C3380CC4-5D6E-409C-BE32-E72D297353CC}">
              <c16:uniqueId val="{0000000E-0093-4B9A-847B-12AA5D669E6D}"/>
            </c:ext>
          </c:extLst>
        </c:ser>
        <c:ser>
          <c:idx val="4"/>
          <c:order val="3"/>
          <c:tx>
            <c:v>Էստոնիա</c:v>
          </c:tx>
          <c:spPr>
            <a:ln w="19050" cap="rnd">
              <a:solidFill>
                <a:schemeClr val="accent5"/>
              </a:solidFill>
              <a:round/>
            </a:ln>
            <a:effectLst/>
          </c:spPr>
          <c:marker>
            <c:symbol val="x"/>
            <c:size val="5"/>
            <c:spPr>
              <a:noFill/>
              <a:ln w="9525">
                <a:solidFill>
                  <a:schemeClr val="accent5"/>
                </a:solidFill>
              </a:ln>
              <a:effectLst/>
            </c:spPr>
          </c:marker>
          <c:cat>
            <c:strRef>
              <c:f>Comparable!$C$72:$C$84</c:f>
              <c:strCache>
                <c:ptCount val="13"/>
                <c:pt idx="0">
                  <c:v>2015</c:v>
                </c:pt>
                <c:pt idx="1">
                  <c:v>2016</c:v>
                </c:pt>
                <c:pt idx="2">
                  <c:v>2017</c:v>
                </c:pt>
                <c:pt idx="3">
                  <c:v>2018</c:v>
                </c:pt>
                <c:pt idx="4">
                  <c:v>2019</c:v>
                </c:pt>
                <c:pt idx="5">
                  <c:v>2020</c:v>
                </c:pt>
                <c:pt idx="6">
                  <c:v>2021</c:v>
                </c:pt>
                <c:pt idx="7">
                  <c:v>2022</c:v>
                </c:pt>
                <c:pt idx="8">
                  <c:v>2023</c:v>
                </c:pt>
                <c:pt idx="9">
                  <c:v>2024</c:v>
                </c:pt>
                <c:pt idx="10">
                  <c:v>2025</c:v>
                </c:pt>
                <c:pt idx="11">
                  <c:v>…</c:v>
                </c:pt>
                <c:pt idx="12">
                  <c:v>2030</c:v>
                </c:pt>
              </c:strCache>
            </c:strRef>
          </c:cat>
          <c:val>
            <c:numRef>
              <c:f>Comparable!$O$52:$O$61</c:f>
              <c:numCache>
                <c:formatCode>General</c:formatCode>
                <c:ptCount val="10"/>
                <c:pt idx="0">
                  <c:v>2362.9141086803638</c:v>
                </c:pt>
                <c:pt idx="1">
                  <c:v>2574.9899355113139</c:v>
                </c:pt>
                <c:pt idx="2">
                  <c:v>2579.2222163272422</c:v>
                </c:pt>
                <c:pt idx="3">
                  <c:v>2652.4657575665951</c:v>
                </c:pt>
                <c:pt idx="4">
                  <c:v>3061.1444365321713</c:v>
                </c:pt>
                <c:pt idx="5">
                  <c:v>3071.9129159803551</c:v>
                </c:pt>
                <c:pt idx="6">
                  <c:v>3271.5852358612715</c:v>
                </c:pt>
                <c:pt idx="7">
                  <c:v>3045.7206217951234</c:v>
                </c:pt>
                <c:pt idx="8">
                  <c:v>2867.1821743188248</c:v>
                </c:pt>
                <c:pt idx="9">
                  <c:v>2926.0311668991717</c:v>
                </c:pt>
              </c:numCache>
            </c:numRef>
          </c:val>
          <c:smooth val="0"/>
          <c:extLst>
            <c:ext xmlns:c16="http://schemas.microsoft.com/office/drawing/2014/chart" uri="{C3380CC4-5D6E-409C-BE32-E72D297353CC}">
              <c16:uniqueId val="{0000000F-0093-4B9A-847B-12AA5D669E6D}"/>
            </c:ext>
          </c:extLst>
        </c:ser>
        <c:ser>
          <c:idx val="0"/>
          <c:order val="4"/>
          <c:tx>
            <c:v>Իսրայել</c:v>
          </c:tx>
          <c:spPr>
            <a:ln w="19050" cap="rnd">
              <a:solidFill>
                <a:schemeClr val="accent1"/>
              </a:solidFill>
              <a:round/>
            </a:ln>
            <a:effectLst/>
          </c:spPr>
          <c:marker>
            <c:symbol val="plus"/>
            <c:size val="5"/>
            <c:spPr>
              <a:noFill/>
              <a:ln w="9525">
                <a:solidFill>
                  <a:schemeClr val="accent1"/>
                </a:solidFill>
              </a:ln>
              <a:effectLst/>
            </c:spPr>
          </c:marker>
          <c:cat>
            <c:strRef>
              <c:f>Comparable!$C$72:$C$84</c:f>
              <c:strCache>
                <c:ptCount val="13"/>
                <c:pt idx="0">
                  <c:v>2015</c:v>
                </c:pt>
                <c:pt idx="1">
                  <c:v>2016</c:v>
                </c:pt>
                <c:pt idx="2">
                  <c:v>2017</c:v>
                </c:pt>
                <c:pt idx="3">
                  <c:v>2018</c:v>
                </c:pt>
                <c:pt idx="4">
                  <c:v>2019</c:v>
                </c:pt>
                <c:pt idx="5">
                  <c:v>2020</c:v>
                </c:pt>
                <c:pt idx="6">
                  <c:v>2021</c:v>
                </c:pt>
                <c:pt idx="7">
                  <c:v>2022</c:v>
                </c:pt>
                <c:pt idx="8">
                  <c:v>2023</c:v>
                </c:pt>
                <c:pt idx="9">
                  <c:v>2024</c:v>
                </c:pt>
                <c:pt idx="10">
                  <c:v>2025</c:v>
                </c:pt>
                <c:pt idx="11">
                  <c:v>…</c:v>
                </c:pt>
                <c:pt idx="12">
                  <c:v>2030</c:v>
                </c:pt>
              </c:strCache>
            </c:strRef>
          </c:cat>
          <c:val>
            <c:numRef>
              <c:f>Comparable!$O$2:$O$11</c:f>
              <c:numCache>
                <c:formatCode>General</c:formatCode>
                <c:ptCount val="10"/>
                <c:pt idx="0">
                  <c:v>2756.03528988568</c:v>
                </c:pt>
                <c:pt idx="1">
                  <c:v>2901.4728723755193</c:v>
                </c:pt>
                <c:pt idx="2">
                  <c:v>2887.1226155552604</c:v>
                </c:pt>
                <c:pt idx="3">
                  <c:v>2961.1588166150373</c:v>
                </c:pt>
                <c:pt idx="4">
                  <c:v>3186.5006091407859</c:v>
                </c:pt>
                <c:pt idx="5">
                  <c:v>3157.6326593330164</c:v>
                </c:pt>
                <c:pt idx="6">
                  <c:v>3098.0055758095646</c:v>
                </c:pt>
                <c:pt idx="7">
                  <c:v>2941.2892305093042</c:v>
                </c:pt>
                <c:pt idx="8">
                  <c:v>2806.1926161969009</c:v>
                </c:pt>
                <c:pt idx="9">
                  <c:v>2723.654288192175</c:v>
                </c:pt>
              </c:numCache>
            </c:numRef>
          </c:val>
          <c:smooth val="0"/>
          <c:extLst>
            <c:ext xmlns:c16="http://schemas.microsoft.com/office/drawing/2014/chart" uri="{C3380CC4-5D6E-409C-BE32-E72D297353CC}">
              <c16:uniqueId val="{00000010-0093-4B9A-847B-12AA5D669E6D}"/>
            </c:ext>
          </c:extLst>
        </c:ser>
        <c:ser>
          <c:idx val="1"/>
          <c:order val="5"/>
          <c:tx>
            <c:v>Սլովենիա</c:v>
          </c:tx>
          <c:spPr>
            <a:ln w="19050" cap="rnd">
              <a:solidFill>
                <a:schemeClr val="accent2"/>
              </a:solidFill>
              <a:round/>
            </a:ln>
            <a:effectLst/>
          </c:spPr>
          <c:marker>
            <c:symbol val="diamond"/>
            <c:size val="5"/>
            <c:spPr>
              <a:solidFill>
                <a:schemeClr val="accent2"/>
              </a:solidFill>
              <a:ln w="9525">
                <a:solidFill>
                  <a:schemeClr val="accent2"/>
                </a:solidFill>
              </a:ln>
              <a:effectLst/>
            </c:spPr>
          </c:marker>
          <c:cat>
            <c:strRef>
              <c:f>Comparable!$C$72:$C$84</c:f>
              <c:strCache>
                <c:ptCount val="13"/>
                <c:pt idx="0">
                  <c:v>2015</c:v>
                </c:pt>
                <c:pt idx="1">
                  <c:v>2016</c:v>
                </c:pt>
                <c:pt idx="2">
                  <c:v>2017</c:v>
                </c:pt>
                <c:pt idx="3">
                  <c:v>2018</c:v>
                </c:pt>
                <c:pt idx="4">
                  <c:v>2019</c:v>
                </c:pt>
                <c:pt idx="5">
                  <c:v>2020</c:v>
                </c:pt>
                <c:pt idx="6">
                  <c:v>2021</c:v>
                </c:pt>
                <c:pt idx="7">
                  <c:v>2022</c:v>
                </c:pt>
                <c:pt idx="8">
                  <c:v>2023</c:v>
                </c:pt>
                <c:pt idx="9">
                  <c:v>2024</c:v>
                </c:pt>
                <c:pt idx="10">
                  <c:v>2025</c:v>
                </c:pt>
                <c:pt idx="11">
                  <c:v>…</c:v>
                </c:pt>
                <c:pt idx="12">
                  <c:v>2030</c:v>
                </c:pt>
              </c:strCache>
            </c:strRef>
          </c:cat>
          <c:val>
            <c:numRef>
              <c:f>Comparable!$O$32:$O$41</c:f>
              <c:numCache>
                <c:formatCode>General</c:formatCode>
                <c:ptCount val="10"/>
                <c:pt idx="0">
                  <c:v>2980.3992759749303</c:v>
                </c:pt>
                <c:pt idx="1">
                  <c:v>3102.8680798954783</c:v>
                </c:pt>
                <c:pt idx="2">
                  <c:v>3120.7949936283767</c:v>
                </c:pt>
                <c:pt idx="3">
                  <c:v>3199.4809987501426</c:v>
                </c:pt>
                <c:pt idx="4">
                  <c:v>3460.893443545679</c:v>
                </c:pt>
                <c:pt idx="5">
                  <c:v>3568.1679780734203</c:v>
                </c:pt>
                <c:pt idx="6">
                  <c:v>4010.9889845672378</c:v>
                </c:pt>
                <c:pt idx="7">
                  <c:v>3417.5984811093649</c:v>
                </c:pt>
                <c:pt idx="8">
                  <c:v>3395.4935715513056</c:v>
                </c:pt>
                <c:pt idx="9">
                  <c:v>3547.4633701751595</c:v>
                </c:pt>
              </c:numCache>
            </c:numRef>
          </c:val>
          <c:smooth val="0"/>
          <c:extLst>
            <c:ext xmlns:c16="http://schemas.microsoft.com/office/drawing/2014/chart" uri="{C3380CC4-5D6E-409C-BE32-E72D297353CC}">
              <c16:uniqueId val="{00000011-0093-4B9A-847B-12AA5D669E6D}"/>
            </c:ext>
          </c:extLst>
        </c:ser>
        <c:ser>
          <c:idx val="6"/>
          <c:order val="6"/>
          <c:tx>
            <c:v>Սլովակիա</c:v>
          </c:tx>
          <c:spPr>
            <a:ln w="19050" cap="rnd">
              <a:solidFill>
                <a:schemeClr val="accent1">
                  <a:lumMod val="60000"/>
                </a:schemeClr>
              </a:solidFill>
              <a:round/>
            </a:ln>
            <a:effectLst/>
          </c:spPr>
          <c:marker>
            <c:symbol val="circle"/>
            <c:size val="5"/>
            <c:spPr>
              <a:solidFill>
                <a:schemeClr val="accent1">
                  <a:lumMod val="60000"/>
                </a:schemeClr>
              </a:solidFill>
              <a:ln w="9525">
                <a:solidFill>
                  <a:schemeClr val="accent1">
                    <a:lumMod val="60000"/>
                  </a:schemeClr>
                </a:solidFill>
              </a:ln>
              <a:effectLst/>
            </c:spPr>
          </c:marker>
          <c:val>
            <c:numRef>
              <c:f>Comparable!$O$12:$O$21</c:f>
              <c:numCache>
                <c:formatCode>General</c:formatCode>
                <c:ptCount val="10"/>
                <c:pt idx="0">
                  <c:v>1587.7414405681775</c:v>
                </c:pt>
                <c:pt idx="1">
                  <c:v>1750.6074429099478</c:v>
                </c:pt>
                <c:pt idx="2">
                  <c:v>1783.9468697683833</c:v>
                </c:pt>
                <c:pt idx="3">
                  <c:v>1676.3937307834756</c:v>
                </c:pt>
                <c:pt idx="4">
                  <c:v>1749.3656761175453</c:v>
                </c:pt>
                <c:pt idx="5">
                  <c:v>1677.5361574944493</c:v>
                </c:pt>
                <c:pt idx="6">
                  <c:v>1621.787773443579</c:v>
                </c:pt>
                <c:pt idx="7">
                  <c:v>1464.7746097938737</c:v>
                </c:pt>
                <c:pt idx="8">
                  <c:v>1481.5002750063202</c:v>
                </c:pt>
                <c:pt idx="9">
                  <c:v>1485.0837879261128</c:v>
                </c:pt>
              </c:numCache>
            </c:numRef>
          </c:val>
          <c:smooth val="0"/>
          <c:extLst>
            <c:ext xmlns:c16="http://schemas.microsoft.com/office/drawing/2014/chart" uri="{C3380CC4-5D6E-409C-BE32-E72D297353CC}">
              <c16:uniqueId val="{00000012-0093-4B9A-847B-12AA5D669E6D}"/>
            </c:ext>
          </c:extLst>
        </c:ser>
        <c:ser>
          <c:idx val="7"/>
          <c:order val="7"/>
          <c:tx>
            <c:v>Խորվաթիա</c:v>
          </c:tx>
          <c:spPr>
            <a:ln w="19050" cap="rnd">
              <a:solidFill>
                <a:schemeClr val="accent2">
                  <a:lumMod val="60000"/>
                </a:schemeClr>
              </a:solidFill>
              <a:round/>
            </a:ln>
            <a:effectLst/>
          </c:spPr>
          <c:marker>
            <c:symbol val="circle"/>
            <c:size val="5"/>
            <c:spPr>
              <a:solidFill>
                <a:schemeClr val="accent2">
                  <a:lumMod val="60000"/>
                </a:schemeClr>
              </a:solidFill>
              <a:ln w="9525">
                <a:solidFill>
                  <a:schemeClr val="accent2">
                    <a:lumMod val="60000"/>
                  </a:schemeClr>
                </a:solidFill>
              </a:ln>
              <a:effectLst/>
            </c:spPr>
          </c:marker>
          <c:val>
            <c:numRef>
              <c:f>Comparable!$O$22:$O$31</c:f>
              <c:numCache>
                <c:formatCode>General</c:formatCode>
                <c:ptCount val="10"/>
                <c:pt idx="0">
                  <c:v>1635.6221925464101</c:v>
                </c:pt>
                <c:pt idx="1">
                  <c:v>1729.2631061849261</c:v>
                </c:pt>
                <c:pt idx="2">
                  <c:v>1894.2439694057659</c:v>
                </c:pt>
                <c:pt idx="3">
                  <c:v>2028.8864131693263</c:v>
                </c:pt>
                <c:pt idx="4">
                  <c:v>2188.9072621752007</c:v>
                </c:pt>
                <c:pt idx="5">
                  <c:v>2241.8042882600171</c:v>
                </c:pt>
                <c:pt idx="6">
                  <c:v>2438.4588532363728</c:v>
                </c:pt>
                <c:pt idx="7">
                  <c:v>2367.2731209689618</c:v>
                </c:pt>
                <c:pt idx="8">
                  <c:v>2286.4341406608742</c:v>
                </c:pt>
                <c:pt idx="9">
                  <c:v>2224.3295723584474</c:v>
                </c:pt>
              </c:numCache>
            </c:numRef>
          </c:val>
          <c:smooth val="0"/>
          <c:extLst>
            <c:ext xmlns:c16="http://schemas.microsoft.com/office/drawing/2014/chart" uri="{C3380CC4-5D6E-409C-BE32-E72D297353CC}">
              <c16:uniqueId val="{00000013-0093-4B9A-847B-12AA5D669E6D}"/>
            </c:ext>
          </c:extLst>
        </c:ser>
        <c:dLbls>
          <c:showLegendKey val="0"/>
          <c:showVal val="0"/>
          <c:showCatName val="0"/>
          <c:showSerName val="0"/>
          <c:showPercent val="0"/>
          <c:showBubbleSize val="0"/>
        </c:dLbls>
        <c:marker val="1"/>
        <c:smooth val="0"/>
        <c:axId val="471107592"/>
        <c:axId val="471108576"/>
      </c:lineChart>
      <c:catAx>
        <c:axId val="4711075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471108576"/>
        <c:crosses val="autoZero"/>
        <c:auto val="0"/>
        <c:lblAlgn val="ctr"/>
        <c:lblOffset val="100"/>
        <c:noMultiLvlLbl val="1"/>
      </c:catAx>
      <c:valAx>
        <c:axId val="471108576"/>
        <c:scaling>
          <c:orientation val="minMax"/>
          <c:max val="450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471107592"/>
        <c:crosses val="autoZero"/>
        <c:crossBetween val="between"/>
      </c:valAx>
      <c:spPr>
        <a:noFill/>
        <a:ln>
          <a:noFill/>
        </a:ln>
        <a:effectLst/>
      </c:spPr>
    </c:plotArea>
    <c:legend>
      <c:legendPos val="b"/>
      <c:layout>
        <c:manualLayout>
          <c:xMode val="edge"/>
          <c:yMode val="edge"/>
          <c:x val="0"/>
          <c:y val="0.84366802986835954"/>
          <c:w val="1"/>
          <c:h val="0.125324218193656"/>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defRPr>
      </a:pPr>
      <a:endParaRPr lang="en-US"/>
    </a:p>
  </c:txPr>
  <c:externalData r:id="rId3">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r>
              <a:rPr lang="hy-AM"/>
              <a:t>ԳԻԻ</a:t>
            </a:r>
            <a:r>
              <a:rPr lang="en-US"/>
              <a:t> </a:t>
            </a:r>
            <a:r>
              <a:rPr lang="hy-AM"/>
              <a:t>դիրք</a:t>
            </a:r>
          </a:p>
        </c:rich>
      </c:tx>
      <c:layout>
        <c:manualLayout>
          <c:xMode val="edge"/>
          <c:yMode val="edge"/>
          <c:x val="0.10411560441140752"/>
          <c:y val="0.16177426552346733"/>
        </c:manualLayout>
      </c:layout>
      <c:overlay val="0"/>
      <c:spPr>
        <a:solidFill>
          <a:schemeClr val="bg1"/>
        </a:solid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endParaRPr lang="en-US"/>
        </a:p>
      </c:txPr>
    </c:title>
    <c:autoTitleDeleted val="0"/>
    <c:plotArea>
      <c:layout>
        <c:manualLayout>
          <c:layoutTarget val="inner"/>
          <c:xMode val="edge"/>
          <c:yMode val="edge"/>
          <c:x val="6.1155709911421108E-2"/>
          <c:y val="0.11109335077772457"/>
          <c:w val="0.91526443616214503"/>
          <c:h val="0.83150287758491603"/>
        </c:manualLayout>
      </c:layout>
      <c:lineChart>
        <c:grouping val="standard"/>
        <c:varyColors val="0"/>
        <c:ser>
          <c:idx val="0"/>
          <c:order val="0"/>
          <c:tx>
            <c:strRef>
              <c:f>Overall_Ranking!$C$2</c:f>
              <c:strCache>
                <c:ptCount val="1"/>
                <c:pt idx="0">
                  <c:v>ԳԻԻ դիրք</c:v>
                </c:pt>
              </c:strCache>
            </c:strRef>
          </c:tx>
          <c:spPr>
            <a:ln w="15875" cap="rnd">
              <a:solidFill>
                <a:schemeClr val="accent1"/>
              </a:solidFill>
              <a:round/>
            </a:ln>
            <a:effectLst/>
          </c:spPr>
          <c:marker>
            <c:symbol val="triangle"/>
            <c:size val="5"/>
            <c:spPr>
              <a:solidFill>
                <a:schemeClr val="accent1"/>
              </a:solidFill>
              <a:ln w="9525">
                <a:solidFill>
                  <a:schemeClr val="accent1"/>
                </a:solidFill>
              </a:ln>
              <a:effectLst/>
            </c:spPr>
          </c:marker>
          <c:dLbls>
            <c:spPr>
              <a:noFill/>
              <a:ln>
                <a:noFill/>
              </a:ln>
              <a:effectLst/>
            </c:spPr>
            <c:txPr>
              <a:bodyPr rot="0" spcFirstLastPara="1" vertOverflow="ellipsis" vert="horz" wrap="square" anchor="ctr" anchorCtr="1"/>
              <a:lstStyle/>
              <a:p>
                <a:pPr>
                  <a:defRPr sz="1050" b="1" i="0" u="none" strike="noStrike" kern="1200" baseline="0">
                    <a:solidFill>
                      <a:sysClr val="windowText" lastClr="000000"/>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Overall_Ranking!$D$1:$N$1</c:f>
              <c:numCache>
                <c:formatCode>General</c:formatCode>
                <c:ptCount val="11"/>
                <c:pt idx="0">
                  <c:v>2015</c:v>
                </c:pt>
                <c:pt idx="1">
                  <c:v>2016</c:v>
                </c:pt>
                <c:pt idx="2">
                  <c:v>2017</c:v>
                </c:pt>
                <c:pt idx="3">
                  <c:v>2018</c:v>
                </c:pt>
                <c:pt idx="4">
                  <c:v>2019</c:v>
                </c:pt>
                <c:pt idx="5">
                  <c:v>2020</c:v>
                </c:pt>
                <c:pt idx="6">
                  <c:v>2021</c:v>
                </c:pt>
                <c:pt idx="7">
                  <c:v>2022</c:v>
                </c:pt>
                <c:pt idx="8">
                  <c:v>2023</c:v>
                </c:pt>
                <c:pt idx="9">
                  <c:v>2024</c:v>
                </c:pt>
                <c:pt idx="10">
                  <c:v>2025</c:v>
                </c:pt>
              </c:numCache>
            </c:numRef>
          </c:cat>
          <c:val>
            <c:numRef>
              <c:f>Overall_Ranking!$D$2:$N$2</c:f>
              <c:numCache>
                <c:formatCode>General</c:formatCode>
                <c:ptCount val="11"/>
                <c:pt idx="0">
                  <c:v>61</c:v>
                </c:pt>
                <c:pt idx="1">
                  <c:v>60</c:v>
                </c:pt>
                <c:pt idx="2">
                  <c:v>59</c:v>
                </c:pt>
                <c:pt idx="3">
                  <c:v>68</c:v>
                </c:pt>
                <c:pt idx="4">
                  <c:v>64</c:v>
                </c:pt>
                <c:pt idx="5">
                  <c:v>61</c:v>
                </c:pt>
                <c:pt idx="6">
                  <c:v>69</c:v>
                </c:pt>
                <c:pt idx="7">
                  <c:v>80</c:v>
                </c:pt>
                <c:pt idx="8">
                  <c:v>72</c:v>
                </c:pt>
                <c:pt idx="9">
                  <c:v>63</c:v>
                </c:pt>
                <c:pt idx="10">
                  <c:v>59</c:v>
                </c:pt>
              </c:numCache>
            </c:numRef>
          </c:val>
          <c:smooth val="0"/>
          <c:extLst>
            <c:ext xmlns:c16="http://schemas.microsoft.com/office/drawing/2014/chart" uri="{C3380CC4-5D6E-409C-BE32-E72D297353CC}">
              <c16:uniqueId val="{00000000-4DC8-4BA3-A0BB-76ABAA7FCCAE}"/>
            </c:ext>
          </c:extLst>
        </c:ser>
        <c:dLbls>
          <c:showLegendKey val="0"/>
          <c:showVal val="0"/>
          <c:showCatName val="0"/>
          <c:showSerName val="0"/>
          <c:showPercent val="0"/>
          <c:showBubbleSize val="0"/>
        </c:dLbls>
        <c:marker val="1"/>
        <c:smooth val="0"/>
        <c:axId val="502307040"/>
        <c:axId val="502298880"/>
      </c:lineChart>
      <c:catAx>
        <c:axId val="502307040"/>
        <c:scaling>
          <c:orientation val="minMax"/>
        </c:scaling>
        <c:delete val="0"/>
        <c:axPos val="t"/>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502298880"/>
        <c:crosses val="autoZero"/>
        <c:auto val="1"/>
        <c:lblAlgn val="ctr"/>
        <c:lblOffset val="100"/>
        <c:noMultiLvlLbl val="0"/>
      </c:catAx>
      <c:valAx>
        <c:axId val="502298880"/>
        <c:scaling>
          <c:orientation val="maxMin"/>
          <c:max val="133"/>
          <c:min val="1"/>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502307040"/>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defRPr>
      </a:pPr>
      <a:endParaRPr lang="en-US"/>
    </a:p>
  </c:txPr>
  <c:externalData r:id="rId3">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5.4341207349081364E-2"/>
          <c:y val="8.6641522750832617E-2"/>
          <c:w val="0.92470641169853773"/>
          <c:h val="0.64865038928957408"/>
        </c:manualLayout>
      </c:layout>
      <c:lineChart>
        <c:grouping val="standard"/>
        <c:varyColors val="0"/>
        <c:ser>
          <c:idx val="2"/>
          <c:order val="0"/>
          <c:tx>
            <c:strRef>
              <c:f>Overall_Ranking!$C$6</c:f>
              <c:strCache>
                <c:ptCount val="1"/>
                <c:pt idx="0">
                  <c:v>2.1.1 Կրթության վրա ծախս, % ՀՆԱ</c:v>
                </c:pt>
              </c:strCache>
            </c:strRef>
          </c:tx>
          <c:spPr>
            <a:ln w="15875" cap="rnd">
              <a:solidFill>
                <a:schemeClr val="accent3"/>
              </a:solidFill>
              <a:round/>
            </a:ln>
            <a:effectLst/>
          </c:spPr>
          <c:marker>
            <c:symbol val="circle"/>
            <c:size val="5"/>
            <c:spPr>
              <a:solidFill>
                <a:schemeClr val="accent3"/>
              </a:solidFill>
              <a:ln w="9525">
                <a:solidFill>
                  <a:schemeClr val="accent3"/>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en-US"/>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Overall_Ranking!$D$1:$N$1</c:f>
              <c:numCache>
                <c:formatCode>General</c:formatCode>
                <c:ptCount val="11"/>
                <c:pt idx="0">
                  <c:v>2015</c:v>
                </c:pt>
                <c:pt idx="1">
                  <c:v>2016</c:v>
                </c:pt>
                <c:pt idx="2">
                  <c:v>2017</c:v>
                </c:pt>
                <c:pt idx="3">
                  <c:v>2018</c:v>
                </c:pt>
                <c:pt idx="4">
                  <c:v>2019</c:v>
                </c:pt>
                <c:pt idx="5">
                  <c:v>2020</c:v>
                </c:pt>
                <c:pt idx="6">
                  <c:v>2021</c:v>
                </c:pt>
                <c:pt idx="7">
                  <c:v>2022</c:v>
                </c:pt>
                <c:pt idx="8">
                  <c:v>2023</c:v>
                </c:pt>
                <c:pt idx="9">
                  <c:v>2024</c:v>
                </c:pt>
                <c:pt idx="10">
                  <c:v>2025</c:v>
                </c:pt>
              </c:numCache>
            </c:numRef>
          </c:cat>
          <c:val>
            <c:numRef>
              <c:f>Overall_Ranking!$D$6:$N$6</c:f>
              <c:numCache>
                <c:formatCode>General</c:formatCode>
                <c:ptCount val="11"/>
                <c:pt idx="0">
                  <c:v>122</c:v>
                </c:pt>
                <c:pt idx="1">
                  <c:v>111</c:v>
                </c:pt>
                <c:pt idx="2">
                  <c:v>103</c:v>
                </c:pt>
                <c:pt idx="3">
                  <c:v>107</c:v>
                </c:pt>
                <c:pt idx="4">
                  <c:v>111</c:v>
                </c:pt>
                <c:pt idx="5">
                  <c:v>105</c:v>
                </c:pt>
                <c:pt idx="6">
                  <c:v>104</c:v>
                </c:pt>
                <c:pt idx="7">
                  <c:v>113</c:v>
                </c:pt>
                <c:pt idx="8">
                  <c:v>111</c:v>
                </c:pt>
                <c:pt idx="9">
                  <c:v>114</c:v>
                </c:pt>
                <c:pt idx="10">
                  <c:v>124</c:v>
                </c:pt>
              </c:numCache>
            </c:numRef>
          </c:val>
          <c:smooth val="0"/>
          <c:extLst>
            <c:ext xmlns:c16="http://schemas.microsoft.com/office/drawing/2014/chart" uri="{C3380CC4-5D6E-409C-BE32-E72D297353CC}">
              <c16:uniqueId val="{00000000-12E4-44A2-A668-4780DBE5EC6B}"/>
            </c:ext>
          </c:extLst>
        </c:ser>
        <c:ser>
          <c:idx val="3"/>
          <c:order val="1"/>
          <c:tx>
            <c:strRef>
              <c:f>Overall_Ranking!$C$24</c:f>
              <c:strCache>
                <c:ptCount val="1"/>
                <c:pt idx="0">
                  <c:v>6.1.4 Գիտական և տեխնիկական հոդվածներ/Մլրդ PPP$ ՀՆԱ</c:v>
                </c:pt>
              </c:strCache>
            </c:strRef>
          </c:tx>
          <c:spPr>
            <a:ln w="15875" cap="rnd">
              <a:solidFill>
                <a:schemeClr val="accent4"/>
              </a:solidFill>
              <a:round/>
            </a:ln>
            <a:effectLst/>
          </c:spPr>
          <c:marker>
            <c:symbol val="circle"/>
            <c:size val="5"/>
            <c:spPr>
              <a:solidFill>
                <a:schemeClr val="accent4"/>
              </a:solidFill>
              <a:ln w="9525">
                <a:solidFill>
                  <a:schemeClr val="accent4"/>
                </a:solidFill>
              </a:ln>
              <a:effectLst/>
            </c:spPr>
          </c:marker>
          <c:dPt>
            <c:idx val="8"/>
            <c:marker>
              <c:symbol val="none"/>
            </c:marker>
            <c:bubble3D val="0"/>
            <c:extLst>
              <c:ext xmlns:c16="http://schemas.microsoft.com/office/drawing/2014/chart" uri="{C3380CC4-5D6E-409C-BE32-E72D297353CC}">
                <c16:uniqueId val="{00000001-12E4-44A2-A668-4780DBE5EC6B}"/>
              </c:ext>
            </c:extLst>
          </c:dPt>
          <c:dLbls>
            <c:dLbl>
              <c:idx val="8"/>
              <c:delete val="1"/>
              <c:extLst>
                <c:ext xmlns:c15="http://schemas.microsoft.com/office/drawing/2012/chart" uri="{CE6537A1-D6FC-4f65-9D91-7224C49458BB}"/>
                <c:ext xmlns:c16="http://schemas.microsoft.com/office/drawing/2014/chart" uri="{C3380CC4-5D6E-409C-BE32-E72D297353CC}">
                  <c16:uniqueId val="{00000001-12E4-44A2-A668-4780DBE5EC6B}"/>
                </c:ext>
              </c:extLst>
            </c:dLbl>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Overall_Ranking!$D$1:$N$1</c:f>
              <c:numCache>
                <c:formatCode>General</c:formatCode>
                <c:ptCount val="11"/>
                <c:pt idx="0">
                  <c:v>2015</c:v>
                </c:pt>
                <c:pt idx="1">
                  <c:v>2016</c:v>
                </c:pt>
                <c:pt idx="2">
                  <c:v>2017</c:v>
                </c:pt>
                <c:pt idx="3">
                  <c:v>2018</c:v>
                </c:pt>
                <c:pt idx="4">
                  <c:v>2019</c:v>
                </c:pt>
                <c:pt idx="5">
                  <c:v>2020</c:v>
                </c:pt>
                <c:pt idx="6">
                  <c:v>2021</c:v>
                </c:pt>
                <c:pt idx="7">
                  <c:v>2022</c:v>
                </c:pt>
                <c:pt idx="8">
                  <c:v>2023</c:v>
                </c:pt>
                <c:pt idx="9">
                  <c:v>2024</c:v>
                </c:pt>
                <c:pt idx="10">
                  <c:v>2025</c:v>
                </c:pt>
              </c:numCache>
            </c:numRef>
          </c:cat>
          <c:val>
            <c:numRef>
              <c:f>Overall_Ranking!$D$24:$N$24</c:f>
              <c:numCache>
                <c:formatCode>General</c:formatCode>
                <c:ptCount val="11"/>
                <c:pt idx="0">
                  <c:v>27</c:v>
                </c:pt>
                <c:pt idx="1">
                  <c:v>24</c:v>
                </c:pt>
                <c:pt idx="2">
                  <c:v>26</c:v>
                </c:pt>
                <c:pt idx="3">
                  <c:v>15</c:v>
                </c:pt>
                <c:pt idx="4">
                  <c:v>13</c:v>
                </c:pt>
                <c:pt idx="5">
                  <c:v>18</c:v>
                </c:pt>
                <c:pt idx="6">
                  <c:v>43</c:v>
                </c:pt>
                <c:pt idx="7">
                  <c:v>49</c:v>
                </c:pt>
                <c:pt idx="8">
                  <c:v>47</c:v>
                </c:pt>
                <c:pt idx="9">
                  <c:v>45</c:v>
                </c:pt>
                <c:pt idx="10">
                  <c:v>50</c:v>
                </c:pt>
              </c:numCache>
            </c:numRef>
          </c:val>
          <c:smooth val="0"/>
          <c:extLst>
            <c:ext xmlns:c16="http://schemas.microsoft.com/office/drawing/2014/chart" uri="{C3380CC4-5D6E-409C-BE32-E72D297353CC}">
              <c16:uniqueId val="{00000002-12E4-44A2-A668-4780DBE5EC6B}"/>
            </c:ext>
          </c:extLst>
        </c:ser>
        <c:ser>
          <c:idx val="4"/>
          <c:order val="2"/>
          <c:tx>
            <c:strRef>
              <c:f>Overall_Ranking!$C$36</c:f>
              <c:strCache>
                <c:ptCount val="1"/>
                <c:pt idx="0">
                  <c:v>5.2.3 Կլաստերների զարգացվածության վիճակը</c:v>
                </c:pt>
              </c:strCache>
            </c:strRef>
          </c:tx>
          <c:spPr>
            <a:ln w="15875" cap="rnd">
              <a:solidFill>
                <a:schemeClr val="accent5"/>
              </a:solidFill>
              <a:round/>
            </a:ln>
            <a:effectLst/>
          </c:spPr>
          <c:marker>
            <c:symbol val="circle"/>
            <c:size val="5"/>
            <c:spPr>
              <a:solidFill>
                <a:schemeClr val="accent5"/>
              </a:solidFill>
              <a:ln w="9525">
                <a:solidFill>
                  <a:schemeClr val="accent5"/>
                </a:solidFill>
              </a:ln>
              <a:effectLst/>
            </c:spPr>
          </c:marker>
          <c:cat>
            <c:numRef>
              <c:f>Overall_Ranking!$D$1:$N$1</c:f>
              <c:numCache>
                <c:formatCode>General</c:formatCode>
                <c:ptCount val="11"/>
                <c:pt idx="0">
                  <c:v>2015</c:v>
                </c:pt>
                <c:pt idx="1">
                  <c:v>2016</c:v>
                </c:pt>
                <c:pt idx="2">
                  <c:v>2017</c:v>
                </c:pt>
                <c:pt idx="3">
                  <c:v>2018</c:v>
                </c:pt>
                <c:pt idx="4">
                  <c:v>2019</c:v>
                </c:pt>
                <c:pt idx="5">
                  <c:v>2020</c:v>
                </c:pt>
                <c:pt idx="6">
                  <c:v>2021</c:v>
                </c:pt>
                <c:pt idx="7">
                  <c:v>2022</c:v>
                </c:pt>
                <c:pt idx="8">
                  <c:v>2023</c:v>
                </c:pt>
                <c:pt idx="9">
                  <c:v>2024</c:v>
                </c:pt>
                <c:pt idx="10">
                  <c:v>2025</c:v>
                </c:pt>
              </c:numCache>
            </c:numRef>
          </c:cat>
          <c:val>
            <c:numRef>
              <c:f>Overall_Ranking!$D$36:$N$36</c:f>
              <c:numCache>
                <c:formatCode>General</c:formatCode>
                <c:ptCount val="11"/>
                <c:pt idx="0">
                  <c:v>110</c:v>
                </c:pt>
                <c:pt idx="1">
                  <c:v>96</c:v>
                </c:pt>
                <c:pt idx="2">
                  <c:v>89</c:v>
                </c:pt>
                <c:pt idx="3">
                  <c:v>86</c:v>
                </c:pt>
                <c:pt idx="4">
                  <c:v>69</c:v>
                </c:pt>
                <c:pt idx="5">
                  <c:v>71</c:v>
                </c:pt>
                <c:pt idx="6">
                  <c:v>82</c:v>
                </c:pt>
                <c:pt idx="7">
                  <c:v>89</c:v>
                </c:pt>
                <c:pt idx="8">
                  <c:v>111</c:v>
                </c:pt>
                <c:pt idx="9">
                  <c:v>101</c:v>
                </c:pt>
                <c:pt idx="10">
                  <c:v>101</c:v>
                </c:pt>
              </c:numCache>
            </c:numRef>
          </c:val>
          <c:smooth val="0"/>
          <c:extLst>
            <c:ext xmlns:c16="http://schemas.microsoft.com/office/drawing/2014/chart" uri="{C3380CC4-5D6E-409C-BE32-E72D297353CC}">
              <c16:uniqueId val="{00000003-12E4-44A2-A668-4780DBE5EC6B}"/>
            </c:ext>
          </c:extLst>
        </c:ser>
        <c:ser>
          <c:idx val="5"/>
          <c:order val="3"/>
          <c:tx>
            <c:strRef>
              <c:f>Overall_Ranking!$C$35</c:f>
              <c:strCache>
                <c:ptCount val="1"/>
                <c:pt idx="0">
                  <c:v>5.2.2 Համալսարան/մասնավոր հետազոտական համագործակցությունը</c:v>
                </c:pt>
              </c:strCache>
            </c:strRef>
          </c:tx>
          <c:spPr>
            <a:ln w="15875" cap="rnd">
              <a:solidFill>
                <a:schemeClr val="accent6"/>
              </a:solidFill>
              <a:round/>
            </a:ln>
            <a:effectLst/>
          </c:spPr>
          <c:marker>
            <c:symbol val="circle"/>
            <c:size val="5"/>
            <c:spPr>
              <a:solidFill>
                <a:schemeClr val="accent6"/>
              </a:solidFill>
              <a:ln w="9525">
                <a:solidFill>
                  <a:schemeClr val="accent6"/>
                </a:solidFill>
              </a:ln>
              <a:effectLst/>
            </c:spPr>
          </c:marker>
          <c:cat>
            <c:numRef>
              <c:f>Overall_Ranking!$D$1:$N$1</c:f>
              <c:numCache>
                <c:formatCode>General</c:formatCode>
                <c:ptCount val="11"/>
                <c:pt idx="0">
                  <c:v>2015</c:v>
                </c:pt>
                <c:pt idx="1">
                  <c:v>2016</c:v>
                </c:pt>
                <c:pt idx="2">
                  <c:v>2017</c:v>
                </c:pt>
                <c:pt idx="3">
                  <c:v>2018</c:v>
                </c:pt>
                <c:pt idx="4">
                  <c:v>2019</c:v>
                </c:pt>
                <c:pt idx="5">
                  <c:v>2020</c:v>
                </c:pt>
                <c:pt idx="6">
                  <c:v>2021</c:v>
                </c:pt>
                <c:pt idx="7">
                  <c:v>2022</c:v>
                </c:pt>
                <c:pt idx="8">
                  <c:v>2023</c:v>
                </c:pt>
                <c:pt idx="9">
                  <c:v>2024</c:v>
                </c:pt>
                <c:pt idx="10">
                  <c:v>2025</c:v>
                </c:pt>
              </c:numCache>
            </c:numRef>
          </c:cat>
          <c:val>
            <c:numRef>
              <c:f>Overall_Ranking!$D$35:$N$35</c:f>
              <c:numCache>
                <c:formatCode>General</c:formatCode>
                <c:ptCount val="11"/>
                <c:pt idx="0">
                  <c:v>109</c:v>
                </c:pt>
                <c:pt idx="1">
                  <c:v>102</c:v>
                </c:pt>
                <c:pt idx="2">
                  <c:v>86</c:v>
                </c:pt>
                <c:pt idx="3">
                  <c:v>85</c:v>
                </c:pt>
                <c:pt idx="4">
                  <c:v>89</c:v>
                </c:pt>
                <c:pt idx="5">
                  <c:v>97</c:v>
                </c:pt>
                <c:pt idx="6">
                  <c:v>96</c:v>
                </c:pt>
                <c:pt idx="7">
                  <c:v>100</c:v>
                </c:pt>
                <c:pt idx="8">
                  <c:v>100</c:v>
                </c:pt>
                <c:pt idx="9">
                  <c:v>104</c:v>
                </c:pt>
                <c:pt idx="10">
                  <c:v>116</c:v>
                </c:pt>
              </c:numCache>
            </c:numRef>
          </c:val>
          <c:smooth val="0"/>
          <c:extLst>
            <c:ext xmlns:c16="http://schemas.microsoft.com/office/drawing/2014/chart" uri="{C3380CC4-5D6E-409C-BE32-E72D297353CC}">
              <c16:uniqueId val="{00000004-12E4-44A2-A668-4780DBE5EC6B}"/>
            </c:ext>
          </c:extLst>
        </c:ser>
        <c:ser>
          <c:idx val="0"/>
          <c:order val="4"/>
          <c:tx>
            <c:strRef>
              <c:f>Overall_Ranking!$C$17</c:f>
              <c:strCache>
                <c:ptCount val="1"/>
                <c:pt idx="0">
                  <c:v>2.3.2 ՀևՄ ընդհանուր ծախսը, % ՀՆԱ</c:v>
                </c:pt>
              </c:strCache>
            </c:strRef>
          </c:tx>
          <c:spPr>
            <a:ln w="15875" cap="rnd">
              <a:solidFill>
                <a:schemeClr val="accent1"/>
              </a:solidFill>
              <a:round/>
            </a:ln>
            <a:effectLst/>
          </c:spPr>
          <c:marker>
            <c:symbol val="circle"/>
            <c:size val="5"/>
            <c:spPr>
              <a:solidFill>
                <a:schemeClr val="accent1"/>
              </a:solidFill>
              <a:ln w="9525">
                <a:solidFill>
                  <a:schemeClr val="accent1"/>
                </a:solidFill>
              </a:ln>
              <a:effectLst/>
            </c:spPr>
          </c:marker>
          <c:cat>
            <c:numRef>
              <c:f>Overall_Ranking!$D$1:$N$1</c:f>
              <c:numCache>
                <c:formatCode>General</c:formatCode>
                <c:ptCount val="11"/>
                <c:pt idx="0">
                  <c:v>2015</c:v>
                </c:pt>
                <c:pt idx="1">
                  <c:v>2016</c:v>
                </c:pt>
                <c:pt idx="2">
                  <c:v>2017</c:v>
                </c:pt>
                <c:pt idx="3">
                  <c:v>2018</c:v>
                </c:pt>
                <c:pt idx="4">
                  <c:v>2019</c:v>
                </c:pt>
                <c:pt idx="5">
                  <c:v>2020</c:v>
                </c:pt>
                <c:pt idx="6">
                  <c:v>2021</c:v>
                </c:pt>
                <c:pt idx="7">
                  <c:v>2022</c:v>
                </c:pt>
                <c:pt idx="8">
                  <c:v>2023</c:v>
                </c:pt>
                <c:pt idx="9">
                  <c:v>2024</c:v>
                </c:pt>
                <c:pt idx="10">
                  <c:v>2025</c:v>
                </c:pt>
              </c:numCache>
            </c:numRef>
          </c:cat>
          <c:val>
            <c:numRef>
              <c:f>Overall_Ranking!$D$17:$N$17</c:f>
              <c:numCache>
                <c:formatCode>General</c:formatCode>
                <c:ptCount val="11"/>
                <c:pt idx="0">
                  <c:v>83</c:v>
                </c:pt>
                <c:pt idx="1">
                  <c:v>82</c:v>
                </c:pt>
                <c:pt idx="2">
                  <c:v>83</c:v>
                </c:pt>
                <c:pt idx="3">
                  <c:v>86</c:v>
                </c:pt>
                <c:pt idx="4">
                  <c:v>86</c:v>
                </c:pt>
                <c:pt idx="5">
                  <c:v>91</c:v>
                </c:pt>
                <c:pt idx="6">
                  <c:v>92</c:v>
                </c:pt>
                <c:pt idx="7">
                  <c:v>88</c:v>
                </c:pt>
                <c:pt idx="8">
                  <c:v>88</c:v>
                </c:pt>
                <c:pt idx="9">
                  <c:v>85</c:v>
                </c:pt>
                <c:pt idx="10">
                  <c:v>90</c:v>
                </c:pt>
              </c:numCache>
            </c:numRef>
          </c:val>
          <c:smooth val="0"/>
          <c:extLst>
            <c:ext xmlns:c16="http://schemas.microsoft.com/office/drawing/2014/chart" uri="{C3380CC4-5D6E-409C-BE32-E72D297353CC}">
              <c16:uniqueId val="{00000005-12E4-44A2-A668-4780DBE5EC6B}"/>
            </c:ext>
          </c:extLst>
        </c:ser>
        <c:dLbls>
          <c:showLegendKey val="0"/>
          <c:showVal val="0"/>
          <c:showCatName val="0"/>
          <c:showSerName val="0"/>
          <c:showPercent val="0"/>
          <c:showBubbleSize val="0"/>
        </c:dLbls>
        <c:marker val="1"/>
        <c:smooth val="0"/>
        <c:axId val="502307040"/>
        <c:axId val="502298880"/>
      </c:lineChart>
      <c:catAx>
        <c:axId val="502307040"/>
        <c:scaling>
          <c:orientation val="minMax"/>
        </c:scaling>
        <c:delete val="0"/>
        <c:axPos val="t"/>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502298880"/>
        <c:crosses val="autoZero"/>
        <c:auto val="1"/>
        <c:lblAlgn val="ctr"/>
        <c:lblOffset val="100"/>
        <c:noMultiLvlLbl val="0"/>
      </c:catAx>
      <c:valAx>
        <c:axId val="502298880"/>
        <c:scaling>
          <c:orientation val="maxMin"/>
          <c:max val="133"/>
          <c:min val="1"/>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502307040"/>
        <c:crosses val="autoZero"/>
        <c:crossBetween val="between"/>
      </c:valAx>
      <c:spPr>
        <a:noFill/>
        <a:ln>
          <a:noFill/>
        </a:ln>
        <a:effectLst/>
      </c:spPr>
    </c:plotArea>
    <c:legend>
      <c:legendPos val="b"/>
      <c:layout>
        <c:manualLayout>
          <c:xMode val="edge"/>
          <c:yMode val="edge"/>
          <c:x val="5.6889388826396707E-3"/>
          <c:y val="0.75770087562584088"/>
          <c:w val="0.99052703412073473"/>
          <c:h val="0.21989016078872495"/>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defRPr>
      </a:pPr>
      <a:endParaRPr lang="en-US"/>
    </a:p>
  </c:txPr>
  <c:externalData r:id="rId3">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4963448075988946"/>
          <c:y val="0.11142299575665433"/>
          <c:w val="0.47702999799986123"/>
          <c:h val="0.83574319060261559"/>
        </c:manualLayout>
      </c:layout>
      <c:barChart>
        <c:barDir val="bar"/>
        <c:grouping val="clustered"/>
        <c:varyColors val="0"/>
        <c:ser>
          <c:idx val="0"/>
          <c:order val="0"/>
          <c:spPr>
            <a:solidFill>
              <a:schemeClr val="accent1"/>
            </a:solidFill>
            <a:ln>
              <a:noFill/>
            </a:ln>
            <a:effectLst/>
          </c:spPr>
          <c:invertIfNegative val="0"/>
          <c:cat>
            <c:strRef>
              <c:f>Sheet1!$B$1:$B$11</c:f>
              <c:strCache>
                <c:ptCount val="11"/>
                <c:pt idx="0">
                  <c:v>ԱԲ և մեծ տվյալներ</c:v>
                </c:pt>
                <c:pt idx="1">
                  <c:v>Ցանցեր և կիբերանվտանգություն</c:v>
                </c:pt>
                <c:pt idx="2">
                  <c:v>Տեխնոլոգիական գրագիտություն</c:v>
                </c:pt>
                <c:pt idx="3">
                  <c:v>Ստեղծարար մտածողություն</c:v>
                </c:pt>
                <c:pt idx="4">
                  <c:v>Դիմակայունություն, ճկունություն և արդյունավետություն</c:v>
                </c:pt>
                <c:pt idx="5">
                  <c:v>Հետաքրքրասիրություն և ցկյանս ուսուցում</c:v>
                </c:pt>
                <c:pt idx="6">
                  <c:v>Առաջնորդություն և սոցիալական ազդեցություն</c:v>
                </c:pt>
                <c:pt idx="7">
                  <c:v>Տաղանդի կառավարում</c:v>
                </c:pt>
                <c:pt idx="8">
                  <c:v>Վերլուծական մտածողություն</c:v>
                </c:pt>
                <c:pt idx="9">
                  <c:v>Էկոլոգիական առաջնորդություն </c:v>
                </c:pt>
                <c:pt idx="10">
                  <c:v>Համակարգային մտածողություն</c:v>
                </c:pt>
              </c:strCache>
            </c:strRef>
          </c:cat>
          <c:val>
            <c:numRef>
              <c:f>Sheet1!$C$1:$C$11</c:f>
              <c:numCache>
                <c:formatCode>General</c:formatCode>
                <c:ptCount val="11"/>
                <c:pt idx="0">
                  <c:v>87</c:v>
                </c:pt>
                <c:pt idx="1">
                  <c:v>70</c:v>
                </c:pt>
                <c:pt idx="2">
                  <c:v>68</c:v>
                </c:pt>
                <c:pt idx="3">
                  <c:v>66</c:v>
                </c:pt>
                <c:pt idx="4">
                  <c:v>66</c:v>
                </c:pt>
                <c:pt idx="5">
                  <c:v>61</c:v>
                </c:pt>
                <c:pt idx="6">
                  <c:v>58</c:v>
                </c:pt>
                <c:pt idx="7">
                  <c:v>58</c:v>
                </c:pt>
                <c:pt idx="8">
                  <c:v>55</c:v>
                </c:pt>
                <c:pt idx="9">
                  <c:v>53</c:v>
                </c:pt>
                <c:pt idx="10">
                  <c:v>51</c:v>
                </c:pt>
              </c:numCache>
            </c:numRef>
          </c:val>
          <c:extLst>
            <c:ext xmlns:c16="http://schemas.microsoft.com/office/drawing/2014/chart" uri="{C3380CC4-5D6E-409C-BE32-E72D297353CC}">
              <c16:uniqueId val="{00000000-1676-4B94-97E8-1A485D1405FD}"/>
            </c:ext>
          </c:extLst>
        </c:ser>
        <c:dLbls>
          <c:showLegendKey val="0"/>
          <c:showVal val="0"/>
          <c:showCatName val="0"/>
          <c:showSerName val="0"/>
          <c:showPercent val="0"/>
          <c:showBubbleSize val="0"/>
        </c:dLbls>
        <c:gapWidth val="100"/>
        <c:axId val="1561633983"/>
        <c:axId val="1561627263"/>
      </c:barChart>
      <c:catAx>
        <c:axId val="1561633983"/>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1561627263"/>
        <c:crosses val="autoZero"/>
        <c:auto val="1"/>
        <c:lblAlgn val="ctr"/>
        <c:lblOffset val="100"/>
        <c:noMultiLvlLbl val="0"/>
      </c:catAx>
      <c:valAx>
        <c:axId val="1561627263"/>
        <c:scaling>
          <c:orientation val="minMax"/>
        </c:scaling>
        <c:delete val="0"/>
        <c:axPos val="t"/>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1561633983"/>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defRPr>
      </a:pPr>
      <a:endParaRPr lang="en-US"/>
    </a:p>
  </c:txPr>
  <c:externalData r:id="rId3">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1"/>
          <c:order val="0"/>
          <c:tx>
            <c:strRef>
              <c:f>Sheet1!$D$1</c:f>
              <c:strCache>
                <c:ptCount val="1"/>
                <c:pt idx="0">
                  <c:v>Պետական ներդրումներ</c:v>
                </c:pt>
              </c:strCache>
            </c:strRef>
          </c:tx>
          <c:spPr>
            <a:solidFill>
              <a:schemeClr val="accent2"/>
            </a:solidFill>
            <a:ln>
              <a:noFill/>
            </a:ln>
            <a:effectLst/>
          </c:spPr>
          <c:invertIfNegative val="0"/>
          <c:cat>
            <c:strRef>
              <c:f>Sheet1!$A$2:$A$28</c:f>
              <c:strCache>
                <c:ptCount val="27"/>
                <c:pt idx="0">
                  <c:v>AT</c:v>
                </c:pt>
                <c:pt idx="1">
                  <c:v>BE</c:v>
                </c:pt>
                <c:pt idx="2">
                  <c:v>BG</c:v>
                </c:pt>
                <c:pt idx="3">
                  <c:v>CY</c:v>
                </c:pt>
                <c:pt idx="4">
                  <c:v>CZ</c:v>
                </c:pt>
                <c:pt idx="5">
                  <c:v>DE</c:v>
                </c:pt>
                <c:pt idx="6">
                  <c:v>DK</c:v>
                </c:pt>
                <c:pt idx="7">
                  <c:v>EE</c:v>
                </c:pt>
                <c:pt idx="8">
                  <c:v>EL</c:v>
                </c:pt>
                <c:pt idx="9">
                  <c:v>ES</c:v>
                </c:pt>
                <c:pt idx="10">
                  <c:v>FI</c:v>
                </c:pt>
                <c:pt idx="11">
                  <c:v>FR</c:v>
                </c:pt>
                <c:pt idx="12">
                  <c:v>HR</c:v>
                </c:pt>
                <c:pt idx="13">
                  <c:v>HU</c:v>
                </c:pt>
                <c:pt idx="14">
                  <c:v>IE</c:v>
                </c:pt>
                <c:pt idx="15">
                  <c:v>IT</c:v>
                </c:pt>
                <c:pt idx="16">
                  <c:v>LT</c:v>
                </c:pt>
                <c:pt idx="17">
                  <c:v>LU</c:v>
                </c:pt>
                <c:pt idx="18">
                  <c:v>LV</c:v>
                </c:pt>
                <c:pt idx="19">
                  <c:v>MT</c:v>
                </c:pt>
                <c:pt idx="20">
                  <c:v>NL</c:v>
                </c:pt>
                <c:pt idx="21">
                  <c:v>PL</c:v>
                </c:pt>
                <c:pt idx="22">
                  <c:v>PT</c:v>
                </c:pt>
                <c:pt idx="23">
                  <c:v>RO</c:v>
                </c:pt>
                <c:pt idx="24">
                  <c:v>SE</c:v>
                </c:pt>
                <c:pt idx="25">
                  <c:v>SI</c:v>
                </c:pt>
                <c:pt idx="26">
                  <c:v>SK</c:v>
                </c:pt>
              </c:strCache>
            </c:strRef>
          </c:cat>
          <c:val>
            <c:numRef>
              <c:f>Sheet1!$D$2:$D$28</c:f>
              <c:numCache>
                <c:formatCode>0.00</c:formatCode>
                <c:ptCount val="27"/>
                <c:pt idx="0">
                  <c:v>0.98</c:v>
                </c:pt>
                <c:pt idx="1">
                  <c:v>0.9</c:v>
                </c:pt>
                <c:pt idx="2">
                  <c:v>0.24</c:v>
                </c:pt>
                <c:pt idx="3">
                  <c:v>0.36</c:v>
                </c:pt>
                <c:pt idx="4">
                  <c:v>0.69</c:v>
                </c:pt>
                <c:pt idx="5">
                  <c:v>0.95</c:v>
                </c:pt>
                <c:pt idx="6">
                  <c:v>1.1100000000000001</c:v>
                </c:pt>
                <c:pt idx="7">
                  <c:v>0.77</c:v>
                </c:pt>
                <c:pt idx="8">
                  <c:v>0.75</c:v>
                </c:pt>
                <c:pt idx="9">
                  <c:v>0.62</c:v>
                </c:pt>
                <c:pt idx="10">
                  <c:v>0.93</c:v>
                </c:pt>
                <c:pt idx="11">
                  <c:v>0.7</c:v>
                </c:pt>
                <c:pt idx="12">
                  <c:v>0.65</c:v>
                </c:pt>
                <c:pt idx="13">
                  <c:v>0.38</c:v>
                </c:pt>
                <c:pt idx="14">
                  <c:v>0.2</c:v>
                </c:pt>
                <c:pt idx="15">
                  <c:v>0.53</c:v>
                </c:pt>
                <c:pt idx="16">
                  <c:v>0.52</c:v>
                </c:pt>
                <c:pt idx="17">
                  <c:v>0.48</c:v>
                </c:pt>
                <c:pt idx="18">
                  <c:v>0.48</c:v>
                </c:pt>
                <c:pt idx="19">
                  <c:v>0.23</c:v>
                </c:pt>
                <c:pt idx="20">
                  <c:v>0.74</c:v>
                </c:pt>
                <c:pt idx="21">
                  <c:v>0.5</c:v>
                </c:pt>
                <c:pt idx="22">
                  <c:v>0.6</c:v>
                </c:pt>
                <c:pt idx="23">
                  <c:v>0.17</c:v>
                </c:pt>
                <c:pt idx="24">
                  <c:v>0.89</c:v>
                </c:pt>
                <c:pt idx="25">
                  <c:v>0.6</c:v>
                </c:pt>
                <c:pt idx="26">
                  <c:v>0.42</c:v>
                </c:pt>
              </c:numCache>
            </c:numRef>
          </c:val>
          <c:extLst>
            <c:ext xmlns:c16="http://schemas.microsoft.com/office/drawing/2014/chart" uri="{C3380CC4-5D6E-409C-BE32-E72D297353CC}">
              <c16:uniqueId val="{00000000-E15C-4D16-ACB8-B11BB977E0E1}"/>
            </c:ext>
          </c:extLst>
        </c:ser>
        <c:ser>
          <c:idx val="0"/>
          <c:order val="1"/>
          <c:tx>
            <c:strRef>
              <c:f>Sheet1!$C$1</c:f>
              <c:strCache>
                <c:ptCount val="1"/>
                <c:pt idx="0">
                  <c:v>Մասնավոր ներդրումներ</c:v>
                </c:pt>
              </c:strCache>
            </c:strRef>
          </c:tx>
          <c:spPr>
            <a:solidFill>
              <a:schemeClr val="accent1"/>
            </a:solidFill>
            <a:ln>
              <a:noFill/>
            </a:ln>
            <a:effectLst/>
          </c:spPr>
          <c:invertIfNegative val="0"/>
          <c:cat>
            <c:strRef>
              <c:f>Sheet1!$A$2:$A$28</c:f>
              <c:strCache>
                <c:ptCount val="27"/>
                <c:pt idx="0">
                  <c:v>AT</c:v>
                </c:pt>
                <c:pt idx="1">
                  <c:v>BE</c:v>
                </c:pt>
                <c:pt idx="2">
                  <c:v>BG</c:v>
                </c:pt>
                <c:pt idx="3">
                  <c:v>CY</c:v>
                </c:pt>
                <c:pt idx="4">
                  <c:v>CZ</c:v>
                </c:pt>
                <c:pt idx="5">
                  <c:v>DE</c:v>
                </c:pt>
                <c:pt idx="6">
                  <c:v>DK</c:v>
                </c:pt>
                <c:pt idx="7">
                  <c:v>EE</c:v>
                </c:pt>
                <c:pt idx="8">
                  <c:v>EL</c:v>
                </c:pt>
                <c:pt idx="9">
                  <c:v>ES</c:v>
                </c:pt>
                <c:pt idx="10">
                  <c:v>FI</c:v>
                </c:pt>
                <c:pt idx="11">
                  <c:v>FR</c:v>
                </c:pt>
                <c:pt idx="12">
                  <c:v>HR</c:v>
                </c:pt>
                <c:pt idx="13">
                  <c:v>HU</c:v>
                </c:pt>
                <c:pt idx="14">
                  <c:v>IE</c:v>
                </c:pt>
                <c:pt idx="15">
                  <c:v>IT</c:v>
                </c:pt>
                <c:pt idx="16">
                  <c:v>LT</c:v>
                </c:pt>
                <c:pt idx="17">
                  <c:v>LU</c:v>
                </c:pt>
                <c:pt idx="18">
                  <c:v>LV</c:v>
                </c:pt>
                <c:pt idx="19">
                  <c:v>MT</c:v>
                </c:pt>
                <c:pt idx="20">
                  <c:v>NL</c:v>
                </c:pt>
                <c:pt idx="21">
                  <c:v>PL</c:v>
                </c:pt>
                <c:pt idx="22">
                  <c:v>PT</c:v>
                </c:pt>
                <c:pt idx="23">
                  <c:v>RO</c:v>
                </c:pt>
                <c:pt idx="24">
                  <c:v>SE</c:v>
                </c:pt>
                <c:pt idx="25">
                  <c:v>SI</c:v>
                </c:pt>
                <c:pt idx="26">
                  <c:v>SK</c:v>
                </c:pt>
              </c:strCache>
            </c:strRef>
          </c:cat>
          <c:val>
            <c:numRef>
              <c:f>Sheet1!$C$2:$C$28</c:f>
              <c:numCache>
                <c:formatCode>0.00</c:formatCode>
                <c:ptCount val="27"/>
                <c:pt idx="0">
                  <c:v>2.2000000000000002</c:v>
                </c:pt>
                <c:pt idx="1">
                  <c:v>2.5299999999999998</c:v>
                </c:pt>
                <c:pt idx="2">
                  <c:v>0.52</c:v>
                </c:pt>
                <c:pt idx="3">
                  <c:v>0.31</c:v>
                </c:pt>
                <c:pt idx="4">
                  <c:v>1.26</c:v>
                </c:pt>
                <c:pt idx="5">
                  <c:v>2.11</c:v>
                </c:pt>
                <c:pt idx="6">
                  <c:v>1.78</c:v>
                </c:pt>
                <c:pt idx="7">
                  <c:v>1</c:v>
                </c:pt>
                <c:pt idx="8">
                  <c:v>0.73</c:v>
                </c:pt>
                <c:pt idx="9">
                  <c:v>0.81</c:v>
                </c:pt>
                <c:pt idx="10">
                  <c:v>2.0099999999999998</c:v>
                </c:pt>
                <c:pt idx="11">
                  <c:v>1.43</c:v>
                </c:pt>
                <c:pt idx="12">
                  <c:v>0.78</c:v>
                </c:pt>
                <c:pt idx="13">
                  <c:v>1</c:v>
                </c:pt>
                <c:pt idx="14">
                  <c:v>0.77</c:v>
                </c:pt>
                <c:pt idx="15">
                  <c:v>0.78</c:v>
                </c:pt>
                <c:pt idx="16">
                  <c:v>0.5</c:v>
                </c:pt>
                <c:pt idx="17">
                  <c:v>0.5</c:v>
                </c:pt>
                <c:pt idx="18">
                  <c:v>0.27</c:v>
                </c:pt>
                <c:pt idx="19">
                  <c:v>0.46</c:v>
                </c:pt>
                <c:pt idx="20">
                  <c:v>1.56</c:v>
                </c:pt>
                <c:pt idx="21">
                  <c:v>0.96</c:v>
                </c:pt>
                <c:pt idx="22">
                  <c:v>1.06</c:v>
                </c:pt>
                <c:pt idx="23">
                  <c:v>0.28000000000000003</c:v>
                </c:pt>
                <c:pt idx="24">
                  <c:v>2.5099999999999998</c:v>
                </c:pt>
                <c:pt idx="25">
                  <c:v>1.48</c:v>
                </c:pt>
                <c:pt idx="26">
                  <c:v>0.56000000000000005</c:v>
                </c:pt>
              </c:numCache>
            </c:numRef>
          </c:val>
          <c:extLst>
            <c:ext xmlns:c16="http://schemas.microsoft.com/office/drawing/2014/chart" uri="{C3380CC4-5D6E-409C-BE32-E72D297353CC}">
              <c16:uniqueId val="{00000001-E15C-4D16-ACB8-B11BB977E0E1}"/>
            </c:ext>
          </c:extLst>
        </c:ser>
        <c:dLbls>
          <c:showLegendKey val="0"/>
          <c:showVal val="0"/>
          <c:showCatName val="0"/>
          <c:showSerName val="0"/>
          <c:showPercent val="0"/>
          <c:showBubbleSize val="0"/>
        </c:dLbls>
        <c:gapWidth val="50"/>
        <c:overlap val="100"/>
        <c:axId val="2091758656"/>
        <c:axId val="2091751456"/>
      </c:barChart>
      <c:lineChart>
        <c:grouping val="stacked"/>
        <c:varyColors val="0"/>
        <c:ser>
          <c:idx val="2"/>
          <c:order val="2"/>
          <c:tx>
            <c:strRef>
              <c:f>Sheet1!$E$1</c:f>
              <c:strCache>
                <c:ptCount val="1"/>
                <c:pt idx="0">
                  <c:v>Ընդհանուր</c:v>
                </c:pt>
              </c:strCache>
            </c:strRef>
          </c:tx>
          <c:spPr>
            <a:ln w="28575" cap="rnd">
              <a:noFill/>
              <a:round/>
            </a:ln>
            <a:effectLst/>
          </c:spPr>
          <c:marker>
            <c:symbol val="triangle"/>
            <c:size val="6"/>
            <c:spPr>
              <a:solidFill>
                <a:schemeClr val="tx1"/>
              </a:solidFill>
              <a:ln w="9525">
                <a:noFill/>
              </a:ln>
              <a:effectLst/>
            </c:spPr>
          </c:marker>
          <c:dLbls>
            <c:dLbl>
              <c:idx val="0"/>
              <c:tx>
                <c:rich>
                  <a:bodyPr/>
                  <a:lstStyle/>
                  <a:p>
                    <a:fld id="{03C69F26-2A71-436D-AF7B-F95CD3FE8208}" type="CELLRANGE">
                      <a:rPr lang="en-US"/>
                      <a:pPr/>
                      <a:t>[CELLRANGE]</a:t>
                    </a:fld>
                    <a:endParaRPr lang="en-US"/>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2-E15C-4D16-ACB8-B11BB977E0E1}"/>
                </c:ext>
              </c:extLst>
            </c:dLbl>
            <c:dLbl>
              <c:idx val="1"/>
              <c:tx>
                <c:rich>
                  <a:bodyPr/>
                  <a:lstStyle/>
                  <a:p>
                    <a:fld id="{3BF7977A-7FA2-4746-AE38-A637A5E5ECC2}" type="CELLRANGE">
                      <a:rPr lang="en-US"/>
                      <a:pPr/>
                      <a:t>[CELLRANGE]</a:t>
                    </a:fld>
                    <a:endParaRPr lang="en-US"/>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3-E15C-4D16-ACB8-B11BB977E0E1}"/>
                </c:ext>
              </c:extLst>
            </c:dLbl>
            <c:dLbl>
              <c:idx val="2"/>
              <c:tx>
                <c:rich>
                  <a:bodyPr/>
                  <a:lstStyle/>
                  <a:p>
                    <a:fld id="{D320DBDE-57A4-46AA-BD0C-FFC538E9BD97}" type="CELLRANGE">
                      <a:rPr lang="en-US"/>
                      <a:pPr/>
                      <a:t>[CELLRANGE]</a:t>
                    </a:fld>
                    <a:endParaRPr lang="en-US"/>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4-E15C-4D16-ACB8-B11BB977E0E1}"/>
                </c:ext>
              </c:extLst>
            </c:dLbl>
            <c:dLbl>
              <c:idx val="3"/>
              <c:tx>
                <c:rich>
                  <a:bodyPr/>
                  <a:lstStyle/>
                  <a:p>
                    <a:fld id="{5054C250-A5FB-4215-A42F-5FD7803A8372}" type="CELLRANGE">
                      <a:rPr lang="en-US"/>
                      <a:pPr/>
                      <a:t>[CELLRANGE]</a:t>
                    </a:fld>
                    <a:endParaRPr lang="en-US"/>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5-E15C-4D16-ACB8-B11BB977E0E1}"/>
                </c:ext>
              </c:extLst>
            </c:dLbl>
            <c:dLbl>
              <c:idx val="4"/>
              <c:tx>
                <c:rich>
                  <a:bodyPr/>
                  <a:lstStyle/>
                  <a:p>
                    <a:fld id="{44652343-5C64-4B28-B24A-F5426183D1EE}" type="CELLRANGE">
                      <a:rPr lang="en-US"/>
                      <a:pPr/>
                      <a:t>[CELLRANGE]</a:t>
                    </a:fld>
                    <a:endParaRPr lang="en-US"/>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6-E15C-4D16-ACB8-B11BB977E0E1}"/>
                </c:ext>
              </c:extLst>
            </c:dLbl>
            <c:dLbl>
              <c:idx val="5"/>
              <c:tx>
                <c:rich>
                  <a:bodyPr/>
                  <a:lstStyle/>
                  <a:p>
                    <a:fld id="{EEF6E82C-DAB3-4541-BFBB-9B6B5787554E}" type="CELLRANGE">
                      <a:rPr lang="en-US"/>
                      <a:pPr/>
                      <a:t>[CELLRANGE]</a:t>
                    </a:fld>
                    <a:endParaRPr lang="en-US"/>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7-E15C-4D16-ACB8-B11BB977E0E1}"/>
                </c:ext>
              </c:extLst>
            </c:dLbl>
            <c:dLbl>
              <c:idx val="6"/>
              <c:tx>
                <c:rich>
                  <a:bodyPr/>
                  <a:lstStyle/>
                  <a:p>
                    <a:fld id="{30BCCD42-AAE6-4D86-B8BC-49ABF1BC6CC4}" type="CELLRANGE">
                      <a:rPr lang="en-US"/>
                      <a:pPr/>
                      <a:t>[CELLRANGE]</a:t>
                    </a:fld>
                    <a:endParaRPr lang="en-US"/>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8-E15C-4D16-ACB8-B11BB977E0E1}"/>
                </c:ext>
              </c:extLst>
            </c:dLbl>
            <c:dLbl>
              <c:idx val="7"/>
              <c:tx>
                <c:rich>
                  <a:bodyPr/>
                  <a:lstStyle/>
                  <a:p>
                    <a:fld id="{B1C07F1E-53C7-4BBC-A58D-D28CDED85769}" type="CELLRANGE">
                      <a:rPr lang="en-US"/>
                      <a:pPr/>
                      <a:t>[CELLRANGE]</a:t>
                    </a:fld>
                    <a:endParaRPr lang="en-US"/>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9-E15C-4D16-ACB8-B11BB977E0E1}"/>
                </c:ext>
              </c:extLst>
            </c:dLbl>
            <c:dLbl>
              <c:idx val="8"/>
              <c:tx>
                <c:rich>
                  <a:bodyPr/>
                  <a:lstStyle/>
                  <a:p>
                    <a:fld id="{23325011-02A5-422A-B7B3-3973058ACE01}" type="CELLRANGE">
                      <a:rPr lang="en-US"/>
                      <a:pPr/>
                      <a:t>[CELLRANGE]</a:t>
                    </a:fld>
                    <a:endParaRPr lang="en-US"/>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A-E15C-4D16-ACB8-B11BB977E0E1}"/>
                </c:ext>
              </c:extLst>
            </c:dLbl>
            <c:dLbl>
              <c:idx val="9"/>
              <c:tx>
                <c:rich>
                  <a:bodyPr/>
                  <a:lstStyle/>
                  <a:p>
                    <a:fld id="{8D9A3DA2-6448-4706-8821-894BB2D91B86}" type="CELLRANGE">
                      <a:rPr lang="en-US"/>
                      <a:pPr/>
                      <a:t>[CELLRANGE]</a:t>
                    </a:fld>
                    <a:endParaRPr lang="en-US"/>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B-E15C-4D16-ACB8-B11BB977E0E1}"/>
                </c:ext>
              </c:extLst>
            </c:dLbl>
            <c:dLbl>
              <c:idx val="10"/>
              <c:tx>
                <c:rich>
                  <a:bodyPr/>
                  <a:lstStyle/>
                  <a:p>
                    <a:fld id="{339DF098-B3CE-4F1B-B8F2-8B56E31E800C}" type="CELLRANGE">
                      <a:rPr lang="en-US"/>
                      <a:pPr/>
                      <a:t>[CELLRANGE]</a:t>
                    </a:fld>
                    <a:endParaRPr lang="en-US"/>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C-E15C-4D16-ACB8-B11BB977E0E1}"/>
                </c:ext>
              </c:extLst>
            </c:dLbl>
            <c:dLbl>
              <c:idx val="11"/>
              <c:tx>
                <c:rich>
                  <a:bodyPr/>
                  <a:lstStyle/>
                  <a:p>
                    <a:fld id="{4AD8E617-7066-439A-8B35-C5274E4A84E1}" type="CELLRANGE">
                      <a:rPr lang="en-US"/>
                      <a:pPr/>
                      <a:t>[CELLRANGE]</a:t>
                    </a:fld>
                    <a:endParaRPr lang="en-US"/>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D-E15C-4D16-ACB8-B11BB977E0E1}"/>
                </c:ext>
              </c:extLst>
            </c:dLbl>
            <c:dLbl>
              <c:idx val="12"/>
              <c:tx>
                <c:rich>
                  <a:bodyPr/>
                  <a:lstStyle/>
                  <a:p>
                    <a:fld id="{C6894826-9CF7-4D49-9083-D9F2EEA866FA}" type="CELLRANGE">
                      <a:rPr lang="en-US"/>
                      <a:pPr/>
                      <a:t>[CELLRANGE]</a:t>
                    </a:fld>
                    <a:endParaRPr lang="en-US"/>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E-E15C-4D16-ACB8-B11BB977E0E1}"/>
                </c:ext>
              </c:extLst>
            </c:dLbl>
            <c:dLbl>
              <c:idx val="13"/>
              <c:tx>
                <c:rich>
                  <a:bodyPr/>
                  <a:lstStyle/>
                  <a:p>
                    <a:fld id="{9C273CF5-50AA-46B1-9D48-3AED1E46AE58}" type="CELLRANGE">
                      <a:rPr lang="en-US"/>
                      <a:pPr/>
                      <a:t>[CELLRANGE]</a:t>
                    </a:fld>
                    <a:endParaRPr lang="en-US"/>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F-E15C-4D16-ACB8-B11BB977E0E1}"/>
                </c:ext>
              </c:extLst>
            </c:dLbl>
            <c:dLbl>
              <c:idx val="14"/>
              <c:tx>
                <c:rich>
                  <a:bodyPr/>
                  <a:lstStyle/>
                  <a:p>
                    <a:fld id="{293CA7DB-A8BB-4B3C-AFFA-A21B3807A13E}" type="CELLRANGE">
                      <a:rPr lang="en-US"/>
                      <a:pPr/>
                      <a:t>[CELLRANGE]</a:t>
                    </a:fld>
                    <a:endParaRPr lang="en-US"/>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10-E15C-4D16-ACB8-B11BB977E0E1}"/>
                </c:ext>
              </c:extLst>
            </c:dLbl>
            <c:dLbl>
              <c:idx val="15"/>
              <c:tx>
                <c:rich>
                  <a:bodyPr/>
                  <a:lstStyle/>
                  <a:p>
                    <a:fld id="{FA895449-63B2-48FE-B9C5-D4A36245E2D2}" type="CELLRANGE">
                      <a:rPr lang="en-US"/>
                      <a:pPr/>
                      <a:t>[CELLRANGE]</a:t>
                    </a:fld>
                    <a:endParaRPr lang="en-US"/>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11-E15C-4D16-ACB8-B11BB977E0E1}"/>
                </c:ext>
              </c:extLst>
            </c:dLbl>
            <c:dLbl>
              <c:idx val="16"/>
              <c:tx>
                <c:rich>
                  <a:bodyPr/>
                  <a:lstStyle/>
                  <a:p>
                    <a:fld id="{7D57F8D5-D65A-4ACA-808B-1C21299D8DB7}" type="CELLRANGE">
                      <a:rPr lang="en-US"/>
                      <a:pPr/>
                      <a:t>[CELLRANGE]</a:t>
                    </a:fld>
                    <a:endParaRPr lang="en-US"/>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12-E15C-4D16-ACB8-B11BB977E0E1}"/>
                </c:ext>
              </c:extLst>
            </c:dLbl>
            <c:dLbl>
              <c:idx val="17"/>
              <c:tx>
                <c:rich>
                  <a:bodyPr/>
                  <a:lstStyle/>
                  <a:p>
                    <a:fld id="{C2C6E6BA-A49A-423B-A29F-ED89D1A01868}" type="CELLRANGE">
                      <a:rPr lang="en-US"/>
                      <a:pPr/>
                      <a:t>[CELLRANGE]</a:t>
                    </a:fld>
                    <a:endParaRPr lang="en-US"/>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13-E15C-4D16-ACB8-B11BB977E0E1}"/>
                </c:ext>
              </c:extLst>
            </c:dLbl>
            <c:dLbl>
              <c:idx val="18"/>
              <c:tx>
                <c:rich>
                  <a:bodyPr/>
                  <a:lstStyle/>
                  <a:p>
                    <a:fld id="{2B4747A8-2D55-453B-AB6B-18AF2870B833}" type="CELLRANGE">
                      <a:rPr lang="en-US"/>
                      <a:pPr/>
                      <a:t>[CELLRANGE]</a:t>
                    </a:fld>
                    <a:endParaRPr lang="en-US"/>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14-E15C-4D16-ACB8-B11BB977E0E1}"/>
                </c:ext>
              </c:extLst>
            </c:dLbl>
            <c:dLbl>
              <c:idx val="19"/>
              <c:tx>
                <c:rich>
                  <a:bodyPr/>
                  <a:lstStyle/>
                  <a:p>
                    <a:fld id="{A62E2E9A-0355-46CE-B342-4E23EE9B685D}" type="CELLRANGE">
                      <a:rPr lang="en-US"/>
                      <a:pPr/>
                      <a:t>[CELLRANGE]</a:t>
                    </a:fld>
                    <a:endParaRPr lang="en-US"/>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15-E15C-4D16-ACB8-B11BB977E0E1}"/>
                </c:ext>
              </c:extLst>
            </c:dLbl>
            <c:dLbl>
              <c:idx val="20"/>
              <c:tx>
                <c:rich>
                  <a:bodyPr/>
                  <a:lstStyle/>
                  <a:p>
                    <a:fld id="{82ECDCC3-3492-4496-953B-7F76DD765046}" type="CELLRANGE">
                      <a:rPr lang="en-US"/>
                      <a:pPr/>
                      <a:t>[CELLRANGE]</a:t>
                    </a:fld>
                    <a:endParaRPr lang="en-US"/>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16-E15C-4D16-ACB8-B11BB977E0E1}"/>
                </c:ext>
              </c:extLst>
            </c:dLbl>
            <c:dLbl>
              <c:idx val="21"/>
              <c:tx>
                <c:rich>
                  <a:bodyPr/>
                  <a:lstStyle/>
                  <a:p>
                    <a:fld id="{7C7C22CB-B25A-4B9D-9D9F-489420D996FE}" type="CELLRANGE">
                      <a:rPr lang="en-US"/>
                      <a:pPr/>
                      <a:t>[CELLRANGE]</a:t>
                    </a:fld>
                    <a:endParaRPr lang="en-US"/>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17-E15C-4D16-ACB8-B11BB977E0E1}"/>
                </c:ext>
              </c:extLst>
            </c:dLbl>
            <c:dLbl>
              <c:idx val="22"/>
              <c:tx>
                <c:rich>
                  <a:bodyPr/>
                  <a:lstStyle/>
                  <a:p>
                    <a:fld id="{571324EB-EC84-4F10-ADB2-1DB0F2A2437B}" type="CELLRANGE">
                      <a:rPr lang="en-US"/>
                      <a:pPr/>
                      <a:t>[CELLRANGE]</a:t>
                    </a:fld>
                    <a:endParaRPr lang="en-US"/>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18-E15C-4D16-ACB8-B11BB977E0E1}"/>
                </c:ext>
              </c:extLst>
            </c:dLbl>
            <c:dLbl>
              <c:idx val="23"/>
              <c:tx>
                <c:rich>
                  <a:bodyPr/>
                  <a:lstStyle/>
                  <a:p>
                    <a:fld id="{9F936522-5569-4B37-9798-C21028889E93}" type="CELLRANGE">
                      <a:rPr lang="en-US"/>
                      <a:pPr/>
                      <a:t>[CELLRANGE]</a:t>
                    </a:fld>
                    <a:endParaRPr lang="en-US"/>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19-E15C-4D16-ACB8-B11BB977E0E1}"/>
                </c:ext>
              </c:extLst>
            </c:dLbl>
            <c:dLbl>
              <c:idx val="24"/>
              <c:tx>
                <c:rich>
                  <a:bodyPr/>
                  <a:lstStyle/>
                  <a:p>
                    <a:fld id="{BB7219AE-B0F1-45C3-B9FE-106CF94B1C4A}" type="CELLRANGE">
                      <a:rPr lang="en-US"/>
                      <a:pPr/>
                      <a:t>[CELLRANGE]</a:t>
                    </a:fld>
                    <a:endParaRPr lang="en-US"/>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1A-E15C-4D16-ACB8-B11BB977E0E1}"/>
                </c:ext>
              </c:extLst>
            </c:dLbl>
            <c:dLbl>
              <c:idx val="25"/>
              <c:tx>
                <c:rich>
                  <a:bodyPr/>
                  <a:lstStyle/>
                  <a:p>
                    <a:fld id="{BB15EBB3-371E-4DC9-893E-8285DD4FBA62}" type="CELLRANGE">
                      <a:rPr lang="en-US"/>
                      <a:pPr/>
                      <a:t>[CELLRANGE]</a:t>
                    </a:fld>
                    <a:endParaRPr lang="en-US"/>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1B-E15C-4D16-ACB8-B11BB977E0E1}"/>
                </c:ext>
              </c:extLst>
            </c:dLbl>
            <c:dLbl>
              <c:idx val="26"/>
              <c:tx>
                <c:rich>
                  <a:bodyPr/>
                  <a:lstStyle/>
                  <a:p>
                    <a:fld id="{0ADC6569-4490-4B02-9CCB-1913F1337E10}" type="CELLRANGE">
                      <a:rPr lang="en-US"/>
                      <a:pPr/>
                      <a:t>[CELLRANGE]</a:t>
                    </a:fld>
                    <a:endParaRPr lang="en-US"/>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1C-E15C-4D16-ACB8-B11BB977E0E1}"/>
                </c:ext>
              </c:extLst>
            </c:dLbl>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en-US"/>
              </a:p>
            </c:txPr>
            <c:dLblPos val="t"/>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1"/>
                <c15:leaderLines>
                  <c:spPr>
                    <a:ln w="9525" cap="flat" cmpd="sng" algn="ctr">
                      <a:solidFill>
                        <a:schemeClr val="tx1">
                          <a:lumMod val="35000"/>
                          <a:lumOff val="65000"/>
                        </a:schemeClr>
                      </a:solidFill>
                      <a:round/>
                    </a:ln>
                    <a:effectLst/>
                  </c:spPr>
                </c15:leaderLines>
              </c:ext>
            </c:extLst>
          </c:dLbls>
          <c:cat>
            <c:strRef>
              <c:f>Sheet1!$A$2:$A$28</c:f>
              <c:strCache>
                <c:ptCount val="27"/>
                <c:pt idx="0">
                  <c:v>AT</c:v>
                </c:pt>
                <c:pt idx="1">
                  <c:v>BE</c:v>
                </c:pt>
                <c:pt idx="2">
                  <c:v>BG</c:v>
                </c:pt>
                <c:pt idx="3">
                  <c:v>CY</c:v>
                </c:pt>
                <c:pt idx="4">
                  <c:v>CZ</c:v>
                </c:pt>
                <c:pt idx="5">
                  <c:v>DE</c:v>
                </c:pt>
                <c:pt idx="6">
                  <c:v>DK</c:v>
                </c:pt>
                <c:pt idx="7">
                  <c:v>EE</c:v>
                </c:pt>
                <c:pt idx="8">
                  <c:v>EL</c:v>
                </c:pt>
                <c:pt idx="9">
                  <c:v>ES</c:v>
                </c:pt>
                <c:pt idx="10">
                  <c:v>FI</c:v>
                </c:pt>
                <c:pt idx="11">
                  <c:v>FR</c:v>
                </c:pt>
                <c:pt idx="12">
                  <c:v>HR</c:v>
                </c:pt>
                <c:pt idx="13">
                  <c:v>HU</c:v>
                </c:pt>
                <c:pt idx="14">
                  <c:v>IE</c:v>
                </c:pt>
                <c:pt idx="15">
                  <c:v>IT</c:v>
                </c:pt>
                <c:pt idx="16">
                  <c:v>LT</c:v>
                </c:pt>
                <c:pt idx="17">
                  <c:v>LU</c:v>
                </c:pt>
                <c:pt idx="18">
                  <c:v>LV</c:v>
                </c:pt>
                <c:pt idx="19">
                  <c:v>MT</c:v>
                </c:pt>
                <c:pt idx="20">
                  <c:v>NL</c:v>
                </c:pt>
                <c:pt idx="21">
                  <c:v>PL</c:v>
                </c:pt>
                <c:pt idx="22">
                  <c:v>PT</c:v>
                </c:pt>
                <c:pt idx="23">
                  <c:v>RO</c:v>
                </c:pt>
                <c:pt idx="24">
                  <c:v>SE</c:v>
                </c:pt>
                <c:pt idx="25">
                  <c:v>SI</c:v>
                </c:pt>
                <c:pt idx="26">
                  <c:v>SK</c:v>
                </c:pt>
              </c:strCache>
            </c:strRef>
          </c:cat>
          <c:val>
            <c:numRef>
              <c:f>Sheet1!$E$2:$E$28</c:f>
              <c:numCache>
                <c:formatCode>0.00</c:formatCode>
                <c:ptCount val="27"/>
                <c:pt idx="0">
                  <c:v>3.18</c:v>
                </c:pt>
                <c:pt idx="1">
                  <c:v>3.4299999999999997</c:v>
                </c:pt>
                <c:pt idx="2">
                  <c:v>0.76</c:v>
                </c:pt>
                <c:pt idx="3">
                  <c:v>0.66999999999999993</c:v>
                </c:pt>
                <c:pt idx="4">
                  <c:v>1.95</c:v>
                </c:pt>
                <c:pt idx="5">
                  <c:v>3.0599999999999996</c:v>
                </c:pt>
                <c:pt idx="6">
                  <c:v>2.89</c:v>
                </c:pt>
                <c:pt idx="7">
                  <c:v>1.77</c:v>
                </c:pt>
                <c:pt idx="8">
                  <c:v>1.48</c:v>
                </c:pt>
                <c:pt idx="9">
                  <c:v>1.4300000000000002</c:v>
                </c:pt>
                <c:pt idx="10">
                  <c:v>2.94</c:v>
                </c:pt>
                <c:pt idx="11">
                  <c:v>2.13</c:v>
                </c:pt>
                <c:pt idx="12">
                  <c:v>1.4300000000000002</c:v>
                </c:pt>
                <c:pt idx="13">
                  <c:v>1.38</c:v>
                </c:pt>
                <c:pt idx="14">
                  <c:v>0.97</c:v>
                </c:pt>
                <c:pt idx="15">
                  <c:v>1.31</c:v>
                </c:pt>
                <c:pt idx="16">
                  <c:v>1.02</c:v>
                </c:pt>
                <c:pt idx="17">
                  <c:v>0.98</c:v>
                </c:pt>
                <c:pt idx="18">
                  <c:v>0.75</c:v>
                </c:pt>
                <c:pt idx="19">
                  <c:v>0.69000000000000006</c:v>
                </c:pt>
                <c:pt idx="20">
                  <c:v>2.2999999999999998</c:v>
                </c:pt>
                <c:pt idx="21">
                  <c:v>1.46</c:v>
                </c:pt>
                <c:pt idx="22">
                  <c:v>1.6600000000000001</c:v>
                </c:pt>
                <c:pt idx="23">
                  <c:v>0.45000000000000007</c:v>
                </c:pt>
                <c:pt idx="24">
                  <c:v>3.4</c:v>
                </c:pt>
                <c:pt idx="25">
                  <c:v>2.08</c:v>
                </c:pt>
                <c:pt idx="26">
                  <c:v>0.98</c:v>
                </c:pt>
              </c:numCache>
            </c:numRef>
          </c:val>
          <c:smooth val="0"/>
          <c:extLst>
            <c:ext xmlns:c15="http://schemas.microsoft.com/office/drawing/2012/chart" uri="{02D57815-91ED-43cb-92C2-25804820EDAC}">
              <c15:datalabelsRange>
                <c15:f>Sheet1!$B$2:$B$28</c15:f>
                <c15:dlblRangeCache>
                  <c:ptCount val="27"/>
                  <c:pt idx="0">
                    <c:v>3.20</c:v>
                  </c:pt>
                  <c:pt idx="1">
                    <c:v>3.43</c:v>
                  </c:pt>
                  <c:pt idx="2">
                    <c:v>0.77</c:v>
                  </c:pt>
                  <c:pt idx="3">
                    <c:v>0.77</c:v>
                  </c:pt>
                  <c:pt idx="4">
                    <c:v>1.96</c:v>
                  </c:pt>
                  <c:pt idx="5">
                    <c:v>3.13</c:v>
                  </c:pt>
                  <c:pt idx="6">
                    <c:v>2.89</c:v>
                  </c:pt>
                  <c:pt idx="7">
                    <c:v>1.78</c:v>
                  </c:pt>
                  <c:pt idx="8">
                    <c:v>1.48</c:v>
                  </c:pt>
                  <c:pt idx="9">
                    <c:v>1.44</c:v>
                  </c:pt>
                  <c:pt idx="10">
                    <c:v>2.95</c:v>
                  </c:pt>
                  <c:pt idx="11">
                    <c:v>2.18</c:v>
                  </c:pt>
                  <c:pt idx="12">
                    <c:v>1.43</c:v>
                  </c:pt>
                  <c:pt idx="13">
                    <c:v>1.39</c:v>
                  </c:pt>
                  <c:pt idx="14">
                    <c:v>0.96</c:v>
                  </c:pt>
                  <c:pt idx="15">
                    <c:v>1.33</c:v>
                  </c:pt>
                  <c:pt idx="16">
                    <c:v>1.02</c:v>
                  </c:pt>
                  <c:pt idx="17">
                    <c:v>0.98</c:v>
                  </c:pt>
                  <c:pt idx="18">
                    <c:v>0.75</c:v>
                  </c:pt>
                  <c:pt idx="19">
                    <c:v>0.69</c:v>
                  </c:pt>
                  <c:pt idx="20">
                    <c:v>2.30</c:v>
                  </c:pt>
                  <c:pt idx="21">
                    <c:v>1.46</c:v>
                  </c:pt>
                  <c:pt idx="22">
                    <c:v>1.70</c:v>
                  </c:pt>
                  <c:pt idx="23">
                    <c:v>0.46</c:v>
                  </c:pt>
                  <c:pt idx="24">
                    <c:v>3.40</c:v>
                  </c:pt>
                  <c:pt idx="25">
                    <c:v>2.11</c:v>
                  </c:pt>
                  <c:pt idx="26">
                    <c:v>0.98</c:v>
                  </c:pt>
                </c15:dlblRangeCache>
              </c15:datalabelsRange>
            </c:ext>
            <c:ext xmlns:c16="http://schemas.microsoft.com/office/drawing/2014/chart" uri="{C3380CC4-5D6E-409C-BE32-E72D297353CC}">
              <c16:uniqueId val="{0000001D-E15C-4D16-ACB8-B11BB977E0E1}"/>
            </c:ext>
          </c:extLst>
        </c:ser>
        <c:dLbls>
          <c:showLegendKey val="0"/>
          <c:showVal val="0"/>
          <c:showCatName val="0"/>
          <c:showSerName val="0"/>
          <c:showPercent val="0"/>
          <c:showBubbleSize val="0"/>
        </c:dLbls>
        <c:marker val="1"/>
        <c:smooth val="0"/>
        <c:axId val="2091783616"/>
        <c:axId val="2091789376"/>
      </c:lineChart>
      <c:catAx>
        <c:axId val="2091758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2091751456"/>
        <c:crosses val="autoZero"/>
        <c:auto val="1"/>
        <c:lblAlgn val="ctr"/>
        <c:lblOffset val="100"/>
        <c:noMultiLvlLbl val="0"/>
      </c:catAx>
      <c:valAx>
        <c:axId val="2091751456"/>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2091758656"/>
        <c:crosses val="autoZero"/>
        <c:crossBetween val="between"/>
      </c:valAx>
      <c:valAx>
        <c:axId val="2091789376"/>
        <c:scaling>
          <c:orientation val="minMax"/>
        </c:scaling>
        <c:delete val="1"/>
        <c:axPos val="r"/>
        <c:numFmt formatCode="0.00" sourceLinked="1"/>
        <c:majorTickMark val="out"/>
        <c:minorTickMark val="none"/>
        <c:tickLblPos val="nextTo"/>
        <c:crossAx val="2091783616"/>
        <c:crosses val="max"/>
        <c:crossBetween val="between"/>
      </c:valAx>
      <c:catAx>
        <c:axId val="2091783616"/>
        <c:scaling>
          <c:orientation val="minMax"/>
        </c:scaling>
        <c:delete val="1"/>
        <c:axPos val="t"/>
        <c:numFmt formatCode="General" sourceLinked="1"/>
        <c:majorTickMark val="out"/>
        <c:minorTickMark val="none"/>
        <c:tickLblPos val="nextTo"/>
        <c:crossAx val="2091789376"/>
        <c:crosses val="max"/>
        <c:auto val="1"/>
        <c:lblAlgn val="ctr"/>
        <c:lblOffset val="100"/>
        <c:tickMarkSkip val="1"/>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defRPr>
      </a:pPr>
      <a:endParaRPr lang="en-US"/>
    </a:p>
  </c:txPr>
  <c:externalData r:id="rId3">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ysClr val="windowText" lastClr="000000"/>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'CS Stats_Full Data_data_ARMENIA'!$A$2:$A$11</c:f>
              <c:numCache>
                <c:formatCode>General</c:formatCode>
                <c:ptCount val="10"/>
                <c:pt idx="0">
                  <c:v>2024</c:v>
                </c:pt>
                <c:pt idx="1">
                  <c:v>2023</c:v>
                </c:pt>
                <c:pt idx="2">
                  <c:v>2022</c:v>
                </c:pt>
                <c:pt idx="3">
                  <c:v>2021</c:v>
                </c:pt>
                <c:pt idx="4">
                  <c:v>2020</c:v>
                </c:pt>
                <c:pt idx="5">
                  <c:v>2019</c:v>
                </c:pt>
                <c:pt idx="6">
                  <c:v>2018</c:v>
                </c:pt>
                <c:pt idx="7">
                  <c:v>2017</c:v>
                </c:pt>
                <c:pt idx="8">
                  <c:v>2016</c:v>
                </c:pt>
                <c:pt idx="9">
                  <c:v>2015</c:v>
                </c:pt>
              </c:numCache>
            </c:numRef>
          </c:cat>
          <c:val>
            <c:numRef>
              <c:f>'CS Stats_Full Data_data_ARMENIA'!$M$2:$M$11</c:f>
              <c:numCache>
                <c:formatCode>General</c:formatCode>
                <c:ptCount val="10"/>
                <c:pt idx="0">
                  <c:v>6.9</c:v>
                </c:pt>
                <c:pt idx="1">
                  <c:v>7.2</c:v>
                </c:pt>
                <c:pt idx="2">
                  <c:v>6.7</c:v>
                </c:pt>
                <c:pt idx="3">
                  <c:v>6.8</c:v>
                </c:pt>
                <c:pt idx="4">
                  <c:v>6.5</c:v>
                </c:pt>
                <c:pt idx="5">
                  <c:v>6.4</c:v>
                </c:pt>
                <c:pt idx="6">
                  <c:v>6.1</c:v>
                </c:pt>
                <c:pt idx="7">
                  <c:v>6.2</c:v>
                </c:pt>
                <c:pt idx="8">
                  <c:v>5.9</c:v>
                </c:pt>
                <c:pt idx="9">
                  <c:v>6</c:v>
                </c:pt>
              </c:numCache>
            </c:numRef>
          </c:val>
          <c:smooth val="0"/>
          <c:extLst>
            <c:ext xmlns:c16="http://schemas.microsoft.com/office/drawing/2014/chart" uri="{C3380CC4-5D6E-409C-BE32-E72D297353CC}">
              <c16:uniqueId val="{00000000-CF1F-499F-B64F-CF0A331783CB}"/>
            </c:ext>
          </c:extLst>
        </c:ser>
        <c:dLbls>
          <c:showLegendKey val="0"/>
          <c:showVal val="0"/>
          <c:showCatName val="0"/>
          <c:showSerName val="0"/>
          <c:showPercent val="0"/>
          <c:showBubbleSize val="0"/>
        </c:dLbls>
        <c:smooth val="0"/>
        <c:axId val="1917655952"/>
        <c:axId val="1917647216"/>
      </c:lineChart>
      <c:catAx>
        <c:axId val="1917655952"/>
        <c:scaling>
          <c:orientation val="maxMin"/>
        </c:scaling>
        <c:delete val="0"/>
        <c:axPos val="t"/>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en-US"/>
          </a:p>
        </c:txPr>
        <c:crossAx val="1917647216"/>
        <c:crosses val="autoZero"/>
        <c:auto val="1"/>
        <c:lblAlgn val="ctr"/>
        <c:lblOffset val="100"/>
        <c:noMultiLvlLbl val="0"/>
      </c:catAx>
      <c:valAx>
        <c:axId val="1917647216"/>
        <c:scaling>
          <c:orientation val="maxMin"/>
          <c:max val="10"/>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en-US"/>
          </a:p>
        </c:txPr>
        <c:crossAx val="1917655952"/>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sz="1100">
          <a:solidFill>
            <a:sysClr val="windowText" lastClr="000000"/>
          </a:solidFill>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Advanced_calls!$D$4:$E$35</cx:f>
        <cx:lvl ptCount="32">
          <cx:pt idx="0">US</cx:pt>
          <cx:pt idx="1">CA</cx:pt>
          <cx:pt idx="2">CO</cx:pt>
          <cx:pt idx="3">JP</cx:pt>
          <cx:pt idx="4">IR</cx:pt>
          <cx:pt idx="5">CN</cx:pt>
          <cx:pt idx="6">KR</cx:pt>
          <cx:pt idx="7">SG</cx:pt>
          <cx:pt idx="8">SA</cx:pt>
          <cx:pt idx="9">ZA</cx:pt>
          <cx:pt idx="10">DE</cx:pt>
          <cx:pt idx="11">RU</cx:pt>
          <cx:pt idx="12">UK</cx:pt>
          <cx:pt idx="13">FR</cx:pt>
          <cx:pt idx="14">IT</cx:pt>
          <cx:pt idx="15">BE</cx:pt>
          <cx:pt idx="16">ES</cx:pt>
          <cx:pt idx="17">CH</cx:pt>
          <cx:pt idx="18">AT</cx:pt>
          <cx:pt idx="19">CZ</cx:pt>
          <cx:pt idx="20">FI</cx:pt>
          <cx:pt idx="21">PL</cx:pt>
          <cx:pt idx="22">SE</cx:pt>
          <cx:pt idx="23">EE</cx:pt>
          <cx:pt idx="24">DK</cx:pt>
          <cx:pt idx="25">RO</cx:pt>
          <cx:pt idx="26">PT</cx:pt>
          <cx:pt idx="27">GR</cx:pt>
          <cx:pt idx="28">IS</cx:pt>
          <cx:pt idx="29">NL</cx:pt>
          <cx:pt idx="30">RS</cx:pt>
          <cx:pt idx="31">NZ</cx:pt>
        </cx:lvl>
        <cx:lvl ptCount="32">
          <cx:pt idx="0">Ամերիկա</cx:pt>
          <cx:pt idx="1">Ամերիկա</cx:pt>
          <cx:pt idx="2">Ամերիկա</cx:pt>
          <cx:pt idx="3">Ասիա</cx:pt>
          <cx:pt idx="4">Ասիա</cx:pt>
          <cx:pt idx="5">Ասիա</cx:pt>
          <cx:pt idx="6">Ասիա</cx:pt>
          <cx:pt idx="7">Ասիա</cx:pt>
          <cx:pt idx="8">Ասիա</cx:pt>
          <cx:pt idx="9">Աֆրիկա</cx:pt>
          <cx:pt idx="10">Եվրոպա</cx:pt>
          <cx:pt idx="11">Եվրոպա</cx:pt>
          <cx:pt idx="12">Եվրոպա</cx:pt>
          <cx:pt idx="13">Եվրոպա</cx:pt>
          <cx:pt idx="14">Եվրոպա</cx:pt>
          <cx:pt idx="15">Եվրոպա</cx:pt>
          <cx:pt idx="16">Եվրոպա</cx:pt>
          <cx:pt idx="17">Եվրոպա</cx:pt>
          <cx:pt idx="18">Եվրոպա</cx:pt>
          <cx:pt idx="19">Եվրոպա</cx:pt>
          <cx:pt idx="20">Եվրոպա</cx:pt>
          <cx:pt idx="21">Եվրոպա</cx:pt>
          <cx:pt idx="22">Եվրոպա</cx:pt>
          <cx:pt idx="23">Եվրոպա</cx:pt>
          <cx:pt idx="24">Եվրոպա</cx:pt>
          <cx:pt idx="25">Եվրոպա</cx:pt>
          <cx:pt idx="26">Եվրոպա</cx:pt>
          <cx:pt idx="27">Եվրոպա</cx:pt>
          <cx:pt idx="28">Եվրոպա</cx:pt>
          <cx:pt idx="29">Եվրոպա</cx:pt>
          <cx:pt idx="30">Եվրոպա</cx:pt>
          <cx:pt idx="31">Օվկիանիա</cx:pt>
        </cx:lvl>
      </cx:strDim>
      <cx:numDim type="size">
        <cx:f>Advanced_calls!$F$4:$F$35</cx:f>
        <cx:lvl ptCount="32" formatCode="General">
          <cx:pt idx="0">24</cx:pt>
          <cx:pt idx="1">3</cx:pt>
          <cx:pt idx="2">1</cx:pt>
          <cx:pt idx="3">3</cx:pt>
          <cx:pt idx="4">3</cx:pt>
          <cx:pt idx="5">3</cx:pt>
          <cx:pt idx="6">2</cx:pt>
          <cx:pt idx="7">1</cx:pt>
          <cx:pt idx="8">1</cx:pt>
          <cx:pt idx="9">1</cx:pt>
          <cx:pt idx="10">27</cx:pt>
          <cx:pt idx="11">20</cx:pt>
          <cx:pt idx="12">11</cx:pt>
          <cx:pt idx="13">9</cx:pt>
          <cx:pt idx="14">8</cx:pt>
          <cx:pt idx="15">5</cx:pt>
          <cx:pt idx="16">5</cx:pt>
          <cx:pt idx="17">4</cx:pt>
          <cx:pt idx="18">4</cx:pt>
          <cx:pt idx="19">3</cx:pt>
          <cx:pt idx="20">3</cx:pt>
          <cx:pt idx="21">3</cx:pt>
          <cx:pt idx="22">3</cx:pt>
          <cx:pt idx="23">2</cx:pt>
          <cx:pt idx="24">2</cx:pt>
          <cx:pt idx="25">2</cx:pt>
          <cx:pt idx="26">2</cx:pt>
          <cx:pt idx="27">1</cx:pt>
          <cx:pt idx="28">1</cx:pt>
          <cx:pt idx="29">1</cx:pt>
          <cx:pt idx="30">1</cx:pt>
          <cx:pt idx="31">1</cx:pt>
        </cx:lvl>
      </cx:numDim>
    </cx:data>
  </cx:chartData>
  <cx:chart>
    <cx:plotArea>
      <cx:plotAreaRegion>
        <cx:series layoutId="treemap" uniqueId="{54860983-D4D8-44D5-B80E-EDD4C1426C33}">
          <cx:dataPt idx="13">
            <cx:spPr>
              <a:solidFill>
                <a:srgbClr val="70AD47">
                  <a:lumMod val="60000"/>
                  <a:lumOff val="40000"/>
                </a:srgbClr>
              </a:solidFill>
            </cx:spPr>
          </cx:dataPt>
          <cx:dataLabels>
            <cx:txPr>
              <a:bodyPr spcFirstLastPara="1" vertOverflow="ellipsis" horzOverflow="overflow" wrap="square" lIns="0" tIns="0" rIns="0" bIns="0" anchor="ctr" anchorCtr="1"/>
              <a:lstStyle/>
              <a:p>
                <a:pPr algn="ctr" rtl="0">
                  <a:defRPr sz="900" b="1">
                    <a:solidFill>
                      <a:schemeClr val="tx1"/>
                    </a:solidFill>
                  </a:defRPr>
                </a:pPr>
                <a:endParaRPr lang="en-US" sz="900" b="1" i="0" u="none" strike="noStrike" baseline="0">
                  <a:solidFill>
                    <a:schemeClr val="tx1"/>
                  </a:solidFill>
                  <a:latin typeface="Calibri" panose="020F0502020204030204"/>
                </a:endParaRPr>
              </a:p>
            </cx:txPr>
            <cx:visibility seriesName="0" categoryName="1" value="1"/>
            <cx:separator> </cx:separator>
            <cx:dataLabel idx="3">
              <cx:txPr>
                <a:bodyPr spcFirstLastPara="1" vertOverflow="ellipsis" horzOverflow="overflow" wrap="square" lIns="0" tIns="0" rIns="0" bIns="0" anchor="ctr" anchorCtr="1"/>
                <a:lstStyle/>
                <a:p>
                  <a:pPr algn="ctr" rtl="0">
                    <a:defRPr sz="700"/>
                  </a:pPr>
                  <a:r>
                    <a:rPr lang="en-US" sz="700" b="1" i="0" u="none" strike="noStrike" baseline="0">
                      <a:solidFill>
                        <a:schemeClr val="tx1"/>
                      </a:solidFill>
                      <a:latin typeface="Calibri" panose="020F0502020204030204"/>
                    </a:rPr>
                    <a:t>CO 1</a:t>
                  </a:r>
                </a:p>
              </cx:txPr>
              <cx:visibility seriesName="0" categoryName="1" value="1"/>
              <cx:separator> </cx:separator>
            </cx:dataLabel>
            <cx:dataLabel idx="9">
              <cx:txPr>
                <a:bodyPr spcFirstLastPara="1" vertOverflow="ellipsis" horzOverflow="overflow" wrap="square" lIns="0" tIns="0" rIns="0" bIns="0" anchor="ctr" anchorCtr="1"/>
                <a:lstStyle/>
                <a:p>
                  <a:pPr algn="ctr" rtl="0">
                    <a:defRPr sz="700"/>
                  </a:pPr>
                  <a:r>
                    <a:rPr lang="en-US" sz="700" b="1" i="0" u="none" strike="noStrike" baseline="0">
                      <a:solidFill>
                        <a:schemeClr val="tx1"/>
                      </a:solidFill>
                      <a:latin typeface="Calibri" panose="020F0502020204030204"/>
                    </a:rPr>
                    <a:t>SG 1</a:t>
                  </a:r>
                </a:p>
              </cx:txPr>
              <cx:visibility seriesName="0" categoryName="1" value="1"/>
              <cx:separator> </cx:separator>
            </cx:dataLabel>
            <cx:dataLabel idx="10">
              <cx:txPr>
                <a:bodyPr spcFirstLastPara="1" vertOverflow="ellipsis" horzOverflow="overflow" wrap="square" lIns="0" tIns="0" rIns="0" bIns="0" anchor="ctr" anchorCtr="1"/>
                <a:lstStyle/>
                <a:p>
                  <a:pPr algn="ctr" rtl="0">
                    <a:defRPr sz="700"/>
                  </a:pPr>
                  <a:r>
                    <a:rPr lang="en-US" sz="700" b="1" i="0" u="none" strike="noStrike" baseline="0">
                      <a:solidFill>
                        <a:schemeClr val="tx1"/>
                      </a:solidFill>
                      <a:latin typeface="Calibri" panose="020F0502020204030204"/>
                    </a:rPr>
                    <a:t>SA 1</a:t>
                  </a:r>
                </a:p>
              </cx:txPr>
              <cx:visibility seriesName="0" categoryName="1" value="1"/>
              <cx:separator> </cx:separator>
            </cx:dataLabel>
            <cx:dataLabel idx="12">
              <cx:txPr>
                <a:bodyPr spcFirstLastPara="1" vertOverflow="ellipsis" horzOverflow="overflow" wrap="square" lIns="0" tIns="0" rIns="0" bIns="0" anchor="ctr" anchorCtr="1"/>
                <a:lstStyle/>
                <a:p>
                  <a:pPr algn="ctr" rtl="0">
                    <a:defRPr sz="700"/>
                  </a:pPr>
                  <a:r>
                    <a:rPr lang="en-US" sz="700" b="1" i="0" u="none" strike="noStrike" baseline="0">
                      <a:solidFill>
                        <a:schemeClr val="tx1"/>
                      </a:solidFill>
                      <a:latin typeface="Calibri" panose="020F0502020204030204"/>
                    </a:rPr>
                    <a:t>ZA 1</a:t>
                  </a:r>
                </a:p>
              </cx:txPr>
              <cx:visibility seriesName="0" categoryName="1" value="1"/>
              <cx:separator> </cx:separator>
            </cx:dataLabel>
            <cx:dataLabel idx="31">
              <cx:txPr>
                <a:bodyPr spcFirstLastPara="1" vertOverflow="ellipsis" horzOverflow="overflow" wrap="square" lIns="0" tIns="0" rIns="0" bIns="0" anchor="ctr" anchorCtr="1"/>
                <a:lstStyle/>
                <a:p>
                  <a:pPr algn="ctr" rtl="0">
                    <a:defRPr sz="700"/>
                  </a:pPr>
                  <a:r>
                    <a:rPr lang="en-US" sz="700" b="1" i="0" u="none" strike="noStrike" baseline="0">
                      <a:solidFill>
                        <a:schemeClr val="tx1"/>
                      </a:solidFill>
                      <a:latin typeface="Calibri" panose="020F0502020204030204"/>
                    </a:rPr>
                    <a:t>GR 1</a:t>
                  </a:r>
                </a:p>
              </cx:txPr>
              <cx:visibility seriesName="0" categoryName="1" value="1"/>
              <cx:separator> </cx:separator>
            </cx:dataLabel>
            <cx:dataLabel idx="32">
              <cx:txPr>
                <a:bodyPr spcFirstLastPara="1" vertOverflow="ellipsis" horzOverflow="overflow" wrap="square" lIns="0" tIns="0" rIns="0" bIns="0" anchor="ctr" anchorCtr="1"/>
                <a:lstStyle/>
                <a:p>
                  <a:pPr algn="ctr" rtl="0">
                    <a:defRPr sz="700"/>
                  </a:pPr>
                  <a:r>
                    <a:rPr lang="en-US" sz="700" b="1" i="0" u="none" strike="noStrike" baseline="0">
                      <a:solidFill>
                        <a:schemeClr val="tx1"/>
                      </a:solidFill>
                      <a:latin typeface="Calibri" panose="020F0502020204030204"/>
                    </a:rPr>
                    <a:t>IS 1</a:t>
                  </a:r>
                </a:p>
              </cx:txPr>
              <cx:visibility seriesName="0" categoryName="1" value="1"/>
              <cx:separator> </cx:separator>
            </cx:dataLabel>
            <cx:dataLabel idx="33">
              <cx:txPr>
                <a:bodyPr spcFirstLastPara="1" vertOverflow="ellipsis" horzOverflow="overflow" wrap="square" lIns="0" tIns="0" rIns="0" bIns="0" anchor="ctr" anchorCtr="1"/>
                <a:lstStyle/>
                <a:p>
                  <a:pPr algn="ctr" rtl="0">
                    <a:defRPr sz="700"/>
                  </a:pPr>
                  <a:r>
                    <a:rPr lang="en-US" sz="700" b="1" i="0" u="none" strike="noStrike" baseline="0">
                      <a:solidFill>
                        <a:schemeClr val="tx1"/>
                      </a:solidFill>
                      <a:latin typeface="Calibri" panose="020F0502020204030204"/>
                    </a:rPr>
                    <a:t>NL 1</a:t>
                  </a:r>
                </a:p>
              </cx:txPr>
              <cx:visibility seriesName="0" categoryName="1" value="1"/>
              <cx:separator> </cx:separator>
            </cx:dataLabel>
            <cx:dataLabel idx="34">
              <cx:txPr>
                <a:bodyPr spcFirstLastPara="1" vertOverflow="ellipsis" horzOverflow="overflow" wrap="square" lIns="0" tIns="0" rIns="0" bIns="0" anchor="ctr" anchorCtr="1"/>
                <a:lstStyle/>
                <a:p>
                  <a:pPr algn="ctr" rtl="0">
                    <a:defRPr sz="700"/>
                  </a:pPr>
                  <a:r>
                    <a:rPr lang="en-US" sz="700" b="1" i="0" u="none" strike="noStrike" baseline="0">
                      <a:solidFill>
                        <a:schemeClr val="tx1"/>
                      </a:solidFill>
                      <a:latin typeface="Calibri" panose="020F0502020204030204"/>
                    </a:rPr>
                    <a:t>RS 1</a:t>
                  </a:r>
                </a:p>
              </cx:txPr>
              <cx:visibility seriesName="0" categoryName="1" value="1"/>
              <cx:separator> </cx:separator>
            </cx:dataLabel>
            <cx:dataLabel idx="36">
              <cx:txPr>
                <a:bodyPr spcFirstLastPara="1" vertOverflow="ellipsis" horzOverflow="overflow" wrap="square" lIns="0" tIns="0" rIns="0" bIns="0" anchor="ctr" anchorCtr="1"/>
                <a:lstStyle/>
                <a:p>
                  <a:pPr algn="ctr" rtl="0">
                    <a:defRPr sz="700"/>
                  </a:pPr>
                  <a:r>
                    <a:rPr lang="en-US" sz="700" b="1" i="0" u="none" strike="noStrike" baseline="0">
                      <a:solidFill>
                        <a:schemeClr val="tx1"/>
                      </a:solidFill>
                      <a:latin typeface="Calibri" panose="020F0502020204030204"/>
                    </a:rPr>
                    <a:t>NZ 1</a:t>
                  </a:r>
                </a:p>
              </cx:txPr>
              <cx:visibility seriesName="0" categoryName="1" value="1"/>
              <cx:separator> </cx:separator>
            </cx:dataLabel>
            <cx:dataLabelHidden idx="0"/>
            <cx:dataLabelHidden idx="4"/>
            <cx:dataLabelHidden idx="11"/>
            <cx:dataLabelHidden idx="13"/>
            <cx:dataLabelHidden idx="35"/>
          </cx:dataLabels>
          <cx:dataId val="0"/>
          <cx:layoutPr>
            <cx:parentLabelLayout val="overlapping"/>
          </cx:layoutPr>
        </cx:series>
      </cx:plotAreaRegion>
    </cx:plotArea>
    <cx:legend pos="t" align="ctr" overlay="0">
      <cx:txPr>
        <a:bodyPr vertOverflow="overflow" horzOverflow="overflow" wrap="square" lIns="0" tIns="0" rIns="0" bIns="0"/>
        <a:lstStyle/>
        <a:p>
          <a:pPr algn="ctr" rtl="0">
            <a:defRPr sz="900" b="0" i="0">
              <a:solidFill>
                <a:schemeClr val="tx1"/>
              </a:solidFill>
              <a:latin typeface="Calibri" panose="020F0502020204030204" pitchFamily="34" charset="0"/>
              <a:ea typeface="Calibri" panose="020F0502020204030204" pitchFamily="34" charset="0"/>
              <a:cs typeface="Calibri" panose="020F0502020204030204" pitchFamily="34" charset="0"/>
            </a:defRPr>
          </a:pPr>
          <a:endParaRPr lang="en-US">
            <a:solidFill>
              <a:schemeClr val="tx1"/>
            </a:solidFill>
          </a:endParaRPr>
        </a:p>
      </cx:txPr>
    </cx:legend>
  </cx:chart>
  <cx:spPr>
    <a:ln>
      <a:noFill/>
    </a:ln>
  </cx:spPr>
</cx:chartSpace>
</file>

<file path=word/charts/chartEx2.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OTHER_CALLS!$D$2:$E$37</cx:f>
        <cx:lvl ptCount="36">
          <cx:pt idx="0">US</cx:pt>
          <cx:pt idx="1">CA</cx:pt>
          <cx:pt idx="2">CN</cx:pt>
          <cx:pt idx="3">IR</cx:pt>
          <cx:pt idx="4">AE</cx:pt>
          <cx:pt idx="5">KR</cx:pt>
          <cx:pt idx="6">SG</cx:pt>
          <cx:pt idx="7">RU</cx:pt>
          <cx:pt idx="8">IT</cx:pt>
          <cx:pt idx="9">DE</cx:pt>
          <cx:pt idx="10">FR</cx:pt>
          <cx:pt idx="11">PL</cx:pt>
          <cx:pt idx="12">UK</cx:pt>
          <cx:pt idx="13">AT</cx:pt>
          <cx:pt idx="14">BE</cx:pt>
          <cx:pt idx="15">GR</cx:pt>
          <cx:pt idx="16">ES</cx:pt>
          <cx:pt idx="17">CH</cx:pt>
          <cx:pt idx="18">CZ</cx:pt>
          <cx:pt idx="19">BG</cx:pt>
          <cx:pt idx="20">SE</cx:pt>
          <cx:pt idx="21">EE</cx:pt>
          <cx:pt idx="22">GE</cx:pt>
          <cx:pt idx="23">BY</cx:pt>
          <cx:pt idx="24">UA</cx:pt>
          <cx:pt idx="25">HR</cx:pt>
          <cx:pt idx="26">DK</cx:pt>
          <cx:pt idx="27">HU</cx:pt>
          <cx:pt idx="28">NO</cx:pt>
          <cx:pt idx="29">PT</cx:pt>
          <cx:pt idx="30">RO</cx:pt>
          <cx:pt idx="31">RS</cx:pt>
          <cx:pt idx="32">SK</cx:pt>
          <cx:pt idx="33">SI</cx:pt>
          <cx:pt idx="34">AU</cx:pt>
          <cx:pt idx="35">NZ</cx:pt>
        </cx:lvl>
        <cx:lvl ptCount="36">
          <cx:pt idx="0">Ամերիկա</cx:pt>
          <cx:pt idx="1">Ամերիկա</cx:pt>
          <cx:pt idx="2">Ասիա</cx:pt>
          <cx:pt idx="3">Ասիա</cx:pt>
          <cx:pt idx="4">Ասիա</cx:pt>
          <cx:pt idx="5">Ասիա</cx:pt>
          <cx:pt idx="6">Ասիա</cx:pt>
          <cx:pt idx="7">Եվրոպա</cx:pt>
          <cx:pt idx="8">Եվրոպա</cx:pt>
          <cx:pt idx="9">Եվրոպա</cx:pt>
          <cx:pt idx="10">Եվրոպա</cx:pt>
          <cx:pt idx="11">Եվրոպա</cx:pt>
          <cx:pt idx="12">Եվրոպա</cx:pt>
          <cx:pt idx="13">Եվրոպա</cx:pt>
          <cx:pt idx="14">Եվրոպա</cx:pt>
          <cx:pt idx="15">Եվրոպա</cx:pt>
          <cx:pt idx="16">Եվրոպա</cx:pt>
          <cx:pt idx="17">Եվրոպա</cx:pt>
          <cx:pt idx="18">Եվրոպա</cx:pt>
          <cx:pt idx="19">Եվրոպա</cx:pt>
          <cx:pt idx="20">Եվրոպա</cx:pt>
          <cx:pt idx="21">Եվրոպա</cx:pt>
          <cx:pt idx="22">Եվրոպա</cx:pt>
          <cx:pt idx="23">Եվրոպա</cx:pt>
          <cx:pt idx="24">Եվրոպա</cx:pt>
          <cx:pt idx="25">Եվրոպա</cx:pt>
          <cx:pt idx="26">Եվրոպա</cx:pt>
          <cx:pt idx="27">Եվրոպա</cx:pt>
          <cx:pt idx="28">Եվրոպա</cx:pt>
          <cx:pt idx="29">Եվրոպա</cx:pt>
          <cx:pt idx="30">Եվրոպա</cx:pt>
          <cx:pt idx="31">Եվրոպա</cx:pt>
          <cx:pt idx="32">Եվրոպա</cx:pt>
          <cx:pt idx="33">Եվրոպա</cx:pt>
          <cx:pt idx="34">Օվկիանիա</cx:pt>
          <cx:pt idx="35">Օվկիանիա</cx:pt>
        </cx:lvl>
      </cx:strDim>
      <cx:numDim type="size">
        <cx:f>OTHER_CALLS!$F$2:$F$37</cx:f>
        <cx:lvl ptCount="36" formatCode="General">
          <cx:pt idx="0">31</cx:pt>
          <cx:pt idx="1">3</cx:pt>
          <cx:pt idx="2">4</cx:pt>
          <cx:pt idx="3">4</cx:pt>
          <cx:pt idx="4">2</cx:pt>
          <cx:pt idx="5">1</cx:pt>
          <cx:pt idx="6">1</cx:pt>
          <cx:pt idx="7">58</cx:pt>
          <cx:pt idx="8">22</cx:pt>
          <cx:pt idx="9">21</cx:pt>
          <cx:pt idx="10">14</cx:pt>
          <cx:pt idx="11">13</cx:pt>
          <cx:pt idx="12">12</cx:pt>
          <cx:pt idx="13">7</cx:pt>
          <cx:pt idx="14">7</cx:pt>
          <cx:pt idx="15">6</cx:pt>
          <cx:pt idx="16">6</cx:pt>
          <cx:pt idx="17">6</cx:pt>
          <cx:pt idx="18">5</cx:pt>
          <cx:pt idx="19">4</cx:pt>
          <cx:pt idx="20">4</cx:pt>
          <cx:pt idx="21">3</cx:pt>
          <cx:pt idx="22">3</cx:pt>
          <cx:pt idx="23">2</cx:pt>
          <cx:pt idx="24">2</cx:pt>
          <cx:pt idx="25">1</cx:pt>
          <cx:pt idx="26">1</cx:pt>
          <cx:pt idx="27">1</cx:pt>
          <cx:pt idx="28">1</cx:pt>
          <cx:pt idx="29">1</cx:pt>
          <cx:pt idx="30">1</cx:pt>
          <cx:pt idx="31">1</cx:pt>
          <cx:pt idx="32">1</cx:pt>
          <cx:pt idx="33">1</cx:pt>
          <cx:pt idx="34">1</cx:pt>
          <cx:pt idx="35">1</cx:pt>
        </cx:lvl>
      </cx:numDim>
    </cx:data>
  </cx:chartData>
  <cx:chart>
    <cx:plotArea>
      <cx:plotAreaRegion>
        <cx:series layoutId="treemap" uniqueId="{7FEA4FC3-7C96-4227-943A-BECFE79CC075}">
          <cx:dataPt idx="9">
            <cx:spPr>
              <a:solidFill>
                <a:srgbClr val="70AD47">
                  <a:lumMod val="40000"/>
                  <a:lumOff val="60000"/>
                </a:srgbClr>
              </a:solidFill>
            </cx:spPr>
          </cx:dataPt>
          <cx:dataLabels pos="inEnd">
            <cx:txPr>
              <a:bodyPr spcFirstLastPara="1" vertOverflow="ellipsis" horzOverflow="overflow" wrap="square" lIns="0" tIns="0" rIns="0" bIns="0" anchor="ctr" anchorCtr="1"/>
              <a:lstStyle/>
              <a:p>
                <a:pPr algn="ctr" rtl="0">
                  <a:defRPr b="1">
                    <a:solidFill>
                      <a:schemeClr val="tx1"/>
                    </a:solidFill>
                  </a:defRPr>
                </a:pPr>
                <a:endParaRPr lang="en-US" sz="900" b="1" i="0" u="none" strike="noStrike" baseline="0">
                  <a:solidFill>
                    <a:schemeClr val="tx1"/>
                  </a:solidFill>
                  <a:latin typeface="Calibri" panose="020F0502020204030204"/>
                </a:endParaRPr>
              </a:p>
            </cx:txPr>
            <cx:visibility seriesName="0" categoryName="1" value="1"/>
            <cx:separator> </cx:separator>
            <cx:dataLabel idx="7">
              <cx:txPr>
                <a:bodyPr spcFirstLastPara="1" vertOverflow="ellipsis" horzOverflow="overflow" wrap="square" lIns="0" tIns="0" rIns="0" bIns="0" anchor="ctr" anchorCtr="1"/>
                <a:lstStyle/>
                <a:p>
                  <a:pPr algn="ctr" rtl="0">
                    <a:defRPr sz="700"/>
                  </a:pPr>
                  <a:r>
                    <a:rPr lang="en-US" sz="700" b="1" i="0" u="none" strike="noStrike" baseline="0">
                      <a:solidFill>
                        <a:schemeClr val="tx1"/>
                      </a:solidFill>
                      <a:latin typeface="Calibri" panose="020F0502020204030204"/>
                    </a:rPr>
                    <a:t>KR 1</a:t>
                  </a:r>
                </a:p>
              </cx:txPr>
              <cx:visibility seriesName="0" categoryName="1" value="1"/>
              <cx:separator> </cx:separator>
            </cx:dataLabel>
            <cx:dataLabel idx="8">
              <cx:txPr>
                <a:bodyPr spcFirstLastPara="1" vertOverflow="ellipsis" horzOverflow="overflow" wrap="square" lIns="0" tIns="0" rIns="0" bIns="0" anchor="ctr" anchorCtr="1"/>
                <a:lstStyle/>
                <a:p>
                  <a:pPr algn="ctr" rtl="0">
                    <a:defRPr sz="700"/>
                  </a:pPr>
                  <a:r>
                    <a:rPr lang="en-US" sz="700" b="1" i="0" u="none" strike="noStrike" baseline="0">
                      <a:solidFill>
                        <a:schemeClr val="tx1"/>
                      </a:solidFill>
                      <a:latin typeface="Calibri" panose="020F0502020204030204"/>
                    </a:rPr>
                    <a:t>SG 1</a:t>
                  </a:r>
                </a:p>
              </cx:txPr>
              <cx:visibility seriesName="0" categoryName="1" value="1"/>
              <cx:separator> </cx:separator>
            </cx:dataLabel>
            <cx:dataLabel idx="28">
              <cx:txPr>
                <a:bodyPr spcFirstLastPara="1" vertOverflow="ellipsis" horzOverflow="overflow" wrap="square" lIns="0" tIns="0" rIns="0" bIns="0" anchor="ctr" anchorCtr="1"/>
                <a:lstStyle/>
                <a:p>
                  <a:pPr algn="ctr" rtl="0">
                    <a:defRPr sz="700"/>
                  </a:pPr>
                  <a:r>
                    <a:rPr lang="en-US" sz="700" b="1" i="0" u="none" strike="noStrike" baseline="0">
                      <a:solidFill>
                        <a:schemeClr val="tx1"/>
                      </a:solidFill>
                      <a:latin typeface="Calibri" panose="020F0502020204030204"/>
                    </a:rPr>
                    <a:t>HR 1</a:t>
                  </a:r>
                </a:p>
              </cx:txPr>
              <cx:visibility seriesName="0" categoryName="1" value="1"/>
              <cx:separator> </cx:separator>
            </cx:dataLabel>
            <cx:dataLabel idx="29">
              <cx:txPr>
                <a:bodyPr spcFirstLastPara="1" vertOverflow="ellipsis" horzOverflow="overflow" wrap="square" lIns="0" tIns="0" rIns="0" bIns="0" anchor="ctr" anchorCtr="1"/>
                <a:lstStyle/>
                <a:p>
                  <a:pPr algn="ctr" rtl="0">
                    <a:defRPr sz="700"/>
                  </a:pPr>
                  <a:r>
                    <a:rPr lang="en-US" sz="700" b="1" i="0" u="none" strike="noStrike" baseline="0">
                      <a:solidFill>
                        <a:schemeClr val="tx1"/>
                      </a:solidFill>
                      <a:latin typeface="Calibri" panose="020F0502020204030204"/>
                    </a:rPr>
                    <a:t>DK 1</a:t>
                  </a:r>
                </a:p>
              </cx:txPr>
              <cx:visibility seriesName="0" categoryName="1" value="1"/>
              <cx:separator> </cx:separator>
            </cx:dataLabel>
            <cx:dataLabel idx="30">
              <cx:txPr>
                <a:bodyPr spcFirstLastPara="1" vertOverflow="ellipsis" horzOverflow="overflow" wrap="square" lIns="0" tIns="0" rIns="0" bIns="0" anchor="ctr" anchorCtr="1"/>
                <a:lstStyle/>
                <a:p>
                  <a:pPr algn="ctr" rtl="0">
                    <a:defRPr sz="700"/>
                  </a:pPr>
                  <a:r>
                    <a:rPr lang="en-US" sz="700" b="1" i="0" u="none" strike="noStrike" baseline="0">
                      <a:solidFill>
                        <a:schemeClr val="tx1"/>
                      </a:solidFill>
                      <a:latin typeface="Calibri" panose="020F0502020204030204"/>
                    </a:rPr>
                    <a:t>HU 1</a:t>
                  </a:r>
                </a:p>
              </cx:txPr>
              <cx:visibility seriesName="0" categoryName="1" value="1"/>
              <cx:separator> </cx:separator>
            </cx:dataLabel>
            <cx:dataLabel idx="31">
              <cx:txPr>
                <a:bodyPr spcFirstLastPara="1" vertOverflow="ellipsis" horzOverflow="overflow" wrap="square" lIns="0" tIns="0" rIns="0" bIns="0" anchor="ctr" anchorCtr="1"/>
                <a:lstStyle/>
                <a:p>
                  <a:pPr algn="ctr" rtl="0">
                    <a:defRPr sz="700"/>
                  </a:pPr>
                  <a:r>
                    <a:rPr lang="en-US" sz="700" b="1" i="0" u="none" strike="noStrike" baseline="0">
                      <a:solidFill>
                        <a:schemeClr val="tx1"/>
                      </a:solidFill>
                      <a:latin typeface="Calibri" panose="020F0502020204030204"/>
                    </a:rPr>
                    <a:t>NO 1</a:t>
                  </a:r>
                </a:p>
              </cx:txPr>
              <cx:visibility seriesName="0" categoryName="1" value="1"/>
              <cx:separator> </cx:separator>
            </cx:dataLabel>
            <cx:dataLabel idx="32">
              <cx:txPr>
                <a:bodyPr spcFirstLastPara="1" vertOverflow="ellipsis" horzOverflow="overflow" wrap="square" lIns="0" tIns="0" rIns="0" bIns="0" anchor="ctr" anchorCtr="1"/>
                <a:lstStyle/>
                <a:p>
                  <a:pPr algn="ctr" rtl="0">
                    <a:defRPr sz="700"/>
                  </a:pPr>
                  <a:r>
                    <a:rPr lang="en-US" sz="700" b="1" i="0" u="none" strike="noStrike" baseline="0">
                      <a:solidFill>
                        <a:schemeClr val="tx1"/>
                      </a:solidFill>
                      <a:latin typeface="Calibri" panose="020F0502020204030204"/>
                    </a:rPr>
                    <a:t>PT 1</a:t>
                  </a:r>
                </a:p>
              </cx:txPr>
              <cx:visibility seriesName="0" categoryName="1" value="1"/>
              <cx:separator> </cx:separator>
            </cx:dataLabel>
            <cx:dataLabel idx="33">
              <cx:txPr>
                <a:bodyPr spcFirstLastPara="1" vertOverflow="ellipsis" horzOverflow="overflow" wrap="square" lIns="0" tIns="0" rIns="0" bIns="0" anchor="ctr" anchorCtr="1"/>
                <a:lstStyle/>
                <a:p>
                  <a:pPr algn="ctr" rtl="0">
                    <a:defRPr sz="700"/>
                  </a:pPr>
                  <a:r>
                    <a:rPr lang="en-US" sz="700" b="1" i="0" u="none" strike="noStrike" baseline="0">
                      <a:solidFill>
                        <a:schemeClr val="tx1"/>
                      </a:solidFill>
                      <a:latin typeface="Calibri" panose="020F0502020204030204"/>
                    </a:rPr>
                    <a:t>RO 1</a:t>
                  </a:r>
                </a:p>
              </cx:txPr>
              <cx:visibility seriesName="0" categoryName="1" value="1"/>
              <cx:separator> </cx:separator>
            </cx:dataLabel>
            <cx:dataLabel idx="34">
              <cx:txPr>
                <a:bodyPr spcFirstLastPara="1" vertOverflow="ellipsis" horzOverflow="overflow" wrap="square" lIns="0" tIns="0" rIns="0" bIns="0" anchor="ctr" anchorCtr="1"/>
                <a:lstStyle/>
                <a:p>
                  <a:pPr algn="ctr" rtl="0">
                    <a:defRPr sz="700"/>
                  </a:pPr>
                  <a:r>
                    <a:rPr lang="en-US" sz="700" b="1" i="0" u="none" strike="noStrike" baseline="0">
                      <a:solidFill>
                        <a:schemeClr val="tx1"/>
                      </a:solidFill>
                      <a:latin typeface="Calibri" panose="020F0502020204030204"/>
                    </a:rPr>
                    <a:t>RS 1</a:t>
                  </a:r>
                </a:p>
              </cx:txPr>
              <cx:visibility seriesName="0" categoryName="1" value="1"/>
              <cx:separator> </cx:separator>
            </cx:dataLabel>
            <cx:dataLabel idx="35">
              <cx:txPr>
                <a:bodyPr spcFirstLastPara="1" vertOverflow="ellipsis" horzOverflow="overflow" wrap="square" lIns="0" tIns="0" rIns="0" bIns="0" anchor="ctr" anchorCtr="1"/>
                <a:lstStyle/>
                <a:p>
                  <a:pPr algn="ctr" rtl="0">
                    <a:defRPr sz="700"/>
                  </a:pPr>
                  <a:r>
                    <a:rPr lang="en-US" sz="700" b="1" i="0" u="none" strike="noStrike" baseline="0">
                      <a:solidFill>
                        <a:schemeClr val="tx1"/>
                      </a:solidFill>
                      <a:latin typeface="Calibri" panose="020F0502020204030204"/>
                    </a:rPr>
                    <a:t>SK 1</a:t>
                  </a:r>
                </a:p>
              </cx:txPr>
              <cx:visibility seriesName="0" categoryName="1" value="1"/>
              <cx:separator> </cx:separator>
            </cx:dataLabel>
            <cx:dataLabel idx="36">
              <cx:txPr>
                <a:bodyPr spcFirstLastPara="1" vertOverflow="ellipsis" horzOverflow="overflow" wrap="square" lIns="0" tIns="0" rIns="0" bIns="0" anchor="ctr" anchorCtr="1"/>
                <a:lstStyle/>
                <a:p>
                  <a:pPr algn="ctr" rtl="0">
                    <a:defRPr sz="700"/>
                  </a:pPr>
                  <a:r>
                    <a:rPr lang="en-US" sz="700" b="1" i="0" u="none" strike="noStrike" baseline="0">
                      <a:solidFill>
                        <a:schemeClr val="tx1"/>
                      </a:solidFill>
                      <a:latin typeface="Calibri" panose="020F0502020204030204"/>
                    </a:rPr>
                    <a:t>SI 1</a:t>
                  </a:r>
                </a:p>
              </cx:txPr>
              <cx:visibility seriesName="0" categoryName="1" value="1"/>
              <cx:separator> </cx:separator>
            </cx:dataLabel>
            <cx:dataLabel idx="38">
              <cx:spPr>
                <a:noFill/>
              </cx:spPr>
              <cx:txPr>
                <a:bodyPr spcFirstLastPara="1" vertOverflow="ellipsis" horzOverflow="overflow" wrap="square" lIns="0" tIns="0" rIns="0" bIns="0" anchor="ctr" anchorCtr="1"/>
                <a:lstStyle/>
                <a:p>
                  <a:pPr algn="ctr" rtl="0">
                    <a:defRPr sz="700"/>
                  </a:pPr>
                  <a:r>
                    <a:rPr lang="en-US" sz="700" b="1" i="0" u="none" strike="noStrike" baseline="0">
                      <a:solidFill>
                        <a:schemeClr val="tx1"/>
                      </a:solidFill>
                      <a:latin typeface="Calibri" panose="020F0502020204030204"/>
                    </a:rPr>
                    <a:t>AU 1</a:t>
                  </a:r>
                </a:p>
              </cx:txPr>
              <cx:visibility seriesName="0" categoryName="1" value="1"/>
              <cx:separator> </cx:separator>
            </cx:dataLabel>
            <cx:dataLabel idx="39">
              <cx:txPr>
                <a:bodyPr spcFirstLastPara="1" vertOverflow="ellipsis" horzOverflow="overflow" wrap="square" lIns="0" tIns="0" rIns="0" bIns="0" anchor="ctr" anchorCtr="1"/>
                <a:lstStyle/>
                <a:p>
                  <a:pPr algn="ctr" rtl="0">
                    <a:defRPr sz="700"/>
                  </a:pPr>
                  <a:r>
                    <a:rPr lang="en-US" sz="700" b="1" i="0" u="none" strike="noStrike" baseline="0">
                      <a:solidFill>
                        <a:schemeClr val="tx1"/>
                      </a:solidFill>
                      <a:latin typeface="Calibri" panose="020F0502020204030204"/>
                    </a:rPr>
                    <a:t>NZ 1</a:t>
                  </a:r>
                </a:p>
              </cx:txPr>
              <cx:visibility seriesName="0" categoryName="1" value="1"/>
              <cx:separator> </cx:separator>
            </cx:dataLabel>
            <cx:dataLabelHidden idx="0"/>
            <cx:dataLabelHidden idx="3"/>
            <cx:dataLabelHidden idx="9"/>
            <cx:dataLabelHidden idx="37"/>
          </cx:dataLabels>
          <cx:dataId val="0"/>
          <cx:layoutPr>
            <cx:parentLabelLayout val="overlapping"/>
          </cx:layoutPr>
        </cx:series>
      </cx:plotAreaRegion>
    </cx:plotArea>
    <cx:legend pos="t" align="ctr" overlay="0">
      <cx:txPr>
        <a:bodyPr vertOverflow="overflow" horzOverflow="overflow" wrap="square" lIns="0" tIns="0" rIns="0" bIns="0"/>
        <a:lstStyle/>
        <a:p>
          <a:pPr algn="ctr" rtl="0">
            <a:defRPr sz="900" b="0" i="0">
              <a:solidFill>
                <a:schemeClr val="tx1"/>
              </a:solidFill>
              <a:latin typeface="Calibri" panose="020F0502020204030204" pitchFamily="34" charset="0"/>
              <a:ea typeface="Calibri" panose="020F0502020204030204" pitchFamily="34" charset="0"/>
              <a:cs typeface="Calibri" panose="020F0502020204030204" pitchFamily="34" charset="0"/>
            </a:defRPr>
          </a:pPr>
          <a:endParaRPr lang="en-US">
            <a:solidFill>
              <a:schemeClr val="tx1"/>
            </a:solidFill>
          </a:endParaRPr>
        </a:p>
      </cx:txPr>
    </cx:legend>
  </cx:chart>
  <cx:spPr>
    <a:ln>
      <a:noFill/>
    </a:ln>
  </cx:spPr>
</cx:chartSpace>
</file>

<file path=word/charts/chartEx3.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ԲՆԱԳԱՎԱՌՆԵՐ!$A$2:$A$7</cx:f>
        <cx:lvl ptCount="6">
          <cx:pt idx="0">1</cx:pt>
          <cx:pt idx="1">3</cx:pt>
          <cx:pt idx="2">2</cx:pt>
          <cx:pt idx="3">5</cx:pt>
          <cx:pt idx="4">6</cx:pt>
          <cx:pt idx="5">4</cx:pt>
        </cx:lvl>
      </cx:strDim>
      <cx:numDim type="size">
        <cx:f>ԲՆԱԳԱՎԱՌՆԵՐ!$B$2:$B$7</cx:f>
        <cx:lvl ptCount="6" formatCode="General">
          <cx:pt idx="0">9017</cx:pt>
          <cx:pt idx="1">2948</cx:pt>
          <cx:pt idx="2">1936</cx:pt>
          <cx:pt idx="3">738</cx:pt>
          <cx:pt idx="4">661</cx:pt>
          <cx:pt idx="5">293</cx:pt>
        </cx:lvl>
      </cx:numDim>
    </cx:data>
  </cx:chartData>
  <cx:chart>
    <cx:plotArea>
      <cx:plotAreaRegion>
        <cx:series layoutId="treemap" uniqueId="{646E9D03-6B60-4F9E-B94A-64895896C270}">
          <cx:dataLabels pos="inEnd">
            <cx:txPr>
              <a:bodyPr spcFirstLastPara="1" vertOverflow="ellipsis" wrap="square" lIns="0" tIns="0" rIns="0" bIns="0" anchor="ctr" anchorCtr="1">
                <a:spAutoFit/>
              </a:bodyPr>
              <a:lstStyle/>
              <a:p>
                <a:pPr>
                  <a:defRPr sz="1100" b="1"/>
                </a:pPr>
                <a:endParaRPr lang="en-US" sz="1100" b="1"/>
              </a:p>
            </cx:txPr>
            <cx:visibility seriesName="0" categoryName="1" value="1"/>
            <cx:separator>
</cx:separator>
            <cx:dataLabel idx="5">
              <cx:txPr>
                <a:bodyPr spcFirstLastPara="1" vertOverflow="ellipsis" wrap="square" lIns="0" tIns="0" rIns="0" bIns="0" anchor="ctr" anchorCtr="1">
                  <a:spAutoFit/>
                </a:bodyPr>
                <a:lstStyle/>
                <a:p>
                  <a:pPr>
                    <a:defRPr sz="900"/>
                  </a:pPr>
                  <a:r>
                    <a:rPr lang="en-US" sz="900" b="1"/>
                    <a:t>4; 293</a:t>
                  </a:r>
                </a:p>
              </cx:txPr>
              <cx:visibility seriesName="0" categoryName="1" value="1"/>
              <cx:separator>; </cx:separator>
            </cx:dataLabel>
          </cx:dataLabels>
          <cx:dataId val="0"/>
          <cx:layoutPr>
            <cx:parentLabelLayout val="overlapping"/>
          </cx:layoutPr>
        </cx:series>
      </cx:plotAreaRegion>
    </cx:plotArea>
  </cx:chart>
  <cx:spPr>
    <a:ln>
      <a:noFill/>
    </a:ln>
  </cx:spPr>
</cx:chartSpace>
</file>

<file path=word/charts/chartEx4.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'Incites Research Areas(1)'!$N$2:$N$11</cx:f>
        <cx:lvl ptCount="10">
          <cx:pt idx="0">1.03</cx:pt>
          <cx:pt idx="1">3.02</cx:pt>
          <cx:pt idx="2">1.06</cx:pt>
          <cx:pt idx="3">1.04</cx:pt>
          <cx:pt idx="4">1.01</cx:pt>
          <cx:pt idx="5">3.01</cx:pt>
          <cx:pt idx="6">3.03</cx:pt>
          <cx:pt idx="7">1.05</cx:pt>
          <cx:pt idx="8">2.11</cx:pt>
          <cx:pt idx="9">2.05</cx:pt>
        </cx:lvl>
      </cx:strDim>
      <cx:numDim type="size">
        <cx:f>'Incites Research Areas(1)'!$O$2:$O$11</cx:f>
        <cx:lvl ptCount="10" formatCode="General">
          <cx:pt idx="0">5707</cx:pt>
          <cx:pt idx="1">1048</cx:pt>
          <cx:pt idx="2">871</cx:pt>
          <cx:pt idx="3">757</cx:pt>
          <cx:pt idx="4">478</cx:pt>
          <cx:pt idx="5">414</cx:pt>
          <cx:pt idx="6">388</cx:pt>
          <cx:pt idx="7">353</cx:pt>
          <cx:pt idx="8">325</cx:pt>
          <cx:pt idx="9">270</cx:pt>
        </cx:lvl>
      </cx:numDim>
    </cx:data>
  </cx:chartData>
  <cx:chart>
    <cx:plotArea>
      <cx:plotAreaRegion>
        <cx:series layoutId="treemap" uniqueId="{96A03127-B039-4269-B9E6-739E5FEDCB40}">
          <cx:dataLabels pos="inEnd">
            <cx:txPr>
              <a:bodyPr spcFirstLastPara="1" vertOverflow="ellipsis" wrap="square" lIns="0" tIns="0" rIns="0" bIns="0" anchor="ctr" anchorCtr="1">
                <a:spAutoFit/>
              </a:bodyPr>
              <a:lstStyle/>
              <a:p>
                <a:pPr>
                  <a:defRPr sz="1100" b="1"/>
                </a:pPr>
                <a:endParaRPr lang="en-US" sz="1100" b="1"/>
              </a:p>
            </cx:txPr>
            <cx:visibility seriesName="0" categoryName="1" value="1"/>
            <cx:separator>
</cx:separator>
            <cx:dataLabel idx="2" pos="inEnd">
              <cx:visibility seriesName="0" categoryName="1" value="1"/>
              <cx:separator>
</cx:separator>
            </cx:dataLabel>
            <cx:dataLabel idx="9">
              <cx:txPr>
                <a:bodyPr spcFirstLastPara="1" vertOverflow="ellipsis" wrap="square" lIns="0" tIns="0" rIns="0" bIns="0" anchor="ctr" anchorCtr="1">
                  <a:spAutoFit/>
                </a:bodyPr>
                <a:lstStyle/>
                <a:p>
                  <a:pPr>
                    <a:defRPr sz="1100"/>
                  </a:pPr>
                  <a:r>
                    <a:rPr lang="en-US" sz="1100" b="1"/>
                    <a:t>2.05; 270</a:t>
                  </a:r>
                </a:p>
              </cx:txPr>
              <cx:visibility seriesName="0" categoryName="1" value="1"/>
              <cx:separator>; </cx:separator>
            </cx:dataLabel>
          </cx:dataLabels>
          <cx:dataId val="0"/>
          <cx:layoutPr>
            <cx:parentLabelLayout val="overlapping"/>
          </cx:layoutPr>
        </cx:series>
      </cx:plotAreaRegion>
    </cx:plotArea>
  </cx:chart>
  <cx:spPr>
    <a:ln>
      <a:noFill/>
    </a:ln>
  </cx:spPr>
</cx:chartSpace>
</file>

<file path=word/charts/chartEx5.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ՄԱսն_WO_collab_JIF_articles!$N$2:$N$11</cx:f>
        <cx:lvl ptCount="10">
          <cx:pt idx="0">1.03</cx:pt>
          <cx:pt idx="1">1.04</cx:pt>
          <cx:pt idx="2">1.06</cx:pt>
          <cx:pt idx="3">3.02</cx:pt>
          <cx:pt idx="4">1.01</cx:pt>
          <cx:pt idx="5">3.01</cx:pt>
          <cx:pt idx="6">2.05</cx:pt>
          <cx:pt idx="7">1.05</cx:pt>
          <cx:pt idx="8">3.03</cx:pt>
          <cx:pt idx="9">2.11</cx:pt>
        </cx:lvl>
      </cx:strDim>
      <cx:numDim type="size">
        <cx:f>ՄԱսն_WO_collab_JIF_articles!$T$2:$T$11</cx:f>
        <cx:lvl ptCount="10" formatCode="General">
          <cx:pt idx="0">2401</cx:pt>
          <cx:pt idx="1">989</cx:pt>
          <cx:pt idx="2">820</cx:pt>
          <cx:pt idx="3">784</cx:pt>
          <cx:pt idx="4">685</cx:pt>
          <cx:pt idx="5">418</cx:pt>
          <cx:pt idx="6">416</cx:pt>
          <cx:pt idx="7">386</cx:pt>
          <cx:pt idx="8">356</cx:pt>
          <cx:pt idx="9">334</cx:pt>
        </cx:lvl>
      </cx:numDim>
    </cx:data>
  </cx:chartData>
  <cx:chart>
    <cx:plotArea>
      <cx:plotAreaRegion>
        <cx:series layoutId="treemap" uniqueId="{AB972312-7103-4166-B6E5-2C836EA3BF5D}">
          <cx:tx>
            <cx:txData>
              <cx:f>ՄԱսն_WO_collab_JIF_articles!$N$2</cx:f>
              <cx:v>1.03</cx:v>
            </cx:txData>
          </cx:tx>
          <cx:dataLabels pos="inEnd">
            <cx:txPr>
              <a:bodyPr spcFirstLastPara="1" vertOverflow="ellipsis" horzOverflow="overflow" wrap="square" lIns="0" tIns="0" rIns="0" bIns="0" anchor="ctr" anchorCtr="1"/>
              <a:lstStyle/>
              <a:p>
                <a:pPr algn="ctr" rtl="0">
                  <a:defRPr sz="1050" b="1"/>
                </a:pPr>
                <a:endParaRPr lang="en-US" sz="1050" b="1" i="0" u="none" strike="noStrike" baseline="0">
                  <a:solidFill>
                    <a:sysClr val="window" lastClr="FFFFFF"/>
                  </a:solidFill>
                  <a:latin typeface="Calibri" panose="020F0502020204030204"/>
                </a:endParaRPr>
              </a:p>
            </cx:txPr>
            <cx:visibility seriesName="0" categoryName="1" value="1"/>
            <cx:separator>
</cx:separator>
          </cx:dataLabels>
          <cx:dataId val="0"/>
          <cx:layoutPr>
            <cx:parentLabelLayout val="overlapping"/>
          </cx:layoutPr>
        </cx:series>
      </cx:plotAreaRegion>
    </cx:plotArea>
  </cx:chart>
  <cx:spPr>
    <a:ln>
      <a:noFill/>
    </a:ln>
  </cx:spPr>
</cx:chartSpace>
</file>

<file path=word/charts/chartEx6.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'Soc&amp;Hum_մասնագ'!$O$2:$O$15</cx:f>
        <cx:lvl ptCount="14">
          <cx:pt idx="0">6.01</cx:pt>
          <cx:pt idx="1">6.03</cx:pt>
          <cx:pt idx="2">5.02</cx:pt>
          <cx:pt idx="3">5.06</cx:pt>
          <cx:pt idx="4">5.07</cx:pt>
          <cx:pt idx="5">5.09</cx:pt>
          <cx:pt idx="6">5.01</cx:pt>
          <cx:pt idx="7">6.02</cx:pt>
          <cx:pt idx="8">5.04</cx:pt>
          <cx:pt idx="9">5.03</cx:pt>
          <cx:pt idx="10">6.05</cx:pt>
          <cx:pt idx="11">5.05</cx:pt>
          <cx:pt idx="12">5.08</cx:pt>
          <cx:pt idx="13">6.04</cx:pt>
        </cx:lvl>
      </cx:strDim>
      <cx:numDim type="size">
        <cx:f>'Soc&amp;Hum_մասնագ'!$P$2:$P$15</cx:f>
        <cx:lvl ptCount="14" formatCode="General">
          <cx:pt idx="0">253</cx:pt>
          <cx:pt idx="1">233</cx:pt>
          <cx:pt idx="2">165</cx:pt>
          <cx:pt idx="3">132</cx:pt>
          <cx:pt idx="4">128</cx:pt>
          <cx:pt idx="5">108</cx:pt>
          <cx:pt idx="6">107</cx:pt>
          <cx:pt idx="7">106</cx:pt>
          <cx:pt idx="8">98</cx:pt>
          <cx:pt idx="9">82</cx:pt>
          <cx:pt idx="10">68</cx:pt>
          <cx:pt idx="11">23</cx:pt>
          <cx:pt idx="12">20</cx:pt>
          <cx:pt idx="13">19</cx:pt>
        </cx:lvl>
      </cx:numDim>
    </cx:data>
  </cx:chartData>
  <cx:chart>
    <cx:plotArea>
      <cx:plotAreaRegion>
        <cx:series layoutId="treemap" uniqueId="{824198CD-F27F-4AEF-A491-552EA2858B64}">
          <cx:dataLabels pos="inEnd">
            <cx:txPr>
              <a:bodyPr spcFirstLastPara="1" vertOverflow="ellipsis" wrap="square" lIns="0" tIns="0" rIns="0" bIns="0" anchor="ctr" anchorCtr="1">
                <a:spAutoFit/>
              </a:bodyPr>
              <a:lstStyle/>
              <a:p>
                <a:pPr>
                  <a:defRPr sz="1050" b="1"/>
                </a:pPr>
                <a:endParaRPr lang="en-US" sz="1050" b="1"/>
              </a:p>
            </cx:txPr>
            <cx:visibility seriesName="0" categoryName="1" value="1"/>
            <cx:separator>
</cx:separator>
            <cx:dataLabel idx="13" pos="inEnd">
              <cx:txPr>
                <a:bodyPr spcFirstLastPara="1" vertOverflow="ellipsis" wrap="square" lIns="0" tIns="0" rIns="0" bIns="0" anchor="ctr" anchorCtr="1">
                  <a:spAutoFit/>
                </a:bodyPr>
                <a:lstStyle/>
                <a:p>
                  <a:pPr>
                    <a:defRPr/>
                  </a:pPr>
                  <a:r>
                    <a:rPr lang="en-US" sz="1050" b="1"/>
                    <a:t>6.04 19</a:t>
                  </a:r>
                </a:p>
              </cx:txPr>
              <cx:visibility seriesName="0" categoryName="1" value="1"/>
              <cx:separator> </cx:separator>
            </cx:dataLabel>
          </cx:dataLabels>
          <cx:dataId val="0"/>
          <cx:layoutPr>
            <cx:parentLabelLayout val="overlapping"/>
          </cx:layoutPr>
        </cx:series>
      </cx:plotAreaRegion>
    </cx:plotArea>
  </cx:chart>
  <cx:spPr>
    <a:ln>
      <a:noFill/>
    </a:ln>
  </cx:spPr>
  <cx:clrMapOvr bg1="lt1" tx1="dk1" bg2="lt2" tx2="dk2" accent1="accent1" accent2="accent2" accent3="accent3" accent4="accent4" accent5="accent5" accent6="accent6" hlink="hlink" folHlink="folHlink"/>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5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333">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50000"/>
            <a:lumOff val="50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ln w="19050">
        <a:solidFill>
          <a:schemeClr val="lt1"/>
        </a:solidFill>
      </a:ln>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40" b="0" kern="1200" spc="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6.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0.xml><?xml version="1.0" encoding="utf-8"?>
<cs:chartStyle xmlns:cs="http://schemas.microsoft.com/office/drawing/2012/chartStyle" xmlns:a="http://schemas.openxmlformats.org/drawingml/2006/main" id="410">
  <cs:axisTitle>
    <cs:lnRef idx="0"/>
    <cs:fillRef idx="0"/>
    <cs:effectRef idx="0"/>
    <cs:fontRef idx="minor">
      <a:schemeClr val="tx1">
        <a:lumMod val="65000"/>
        <a:lumOff val="35000"/>
      </a:schemeClr>
    </cs:fontRef>
    <cs:spPr>
      <a:solidFill>
        <a:schemeClr val="bg1">
          <a:lumMod val="65000"/>
        </a:schemeClr>
      </a:solidFill>
      <a:ln w="19050">
        <a:solidFill>
          <a:schemeClr val="bg1"/>
        </a:solidFill>
      </a:ln>
    </cs:spPr>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lt1"/>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ln w="19050">
        <a:solidFill>
          <a:schemeClr val="lt1"/>
        </a:solidFill>
      </a:ln>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160.xml><?xml version="1.0" encoding="utf-8"?>
<cs:chartStyle xmlns:cs="http://schemas.microsoft.com/office/drawing/2012/chartStyle" xmlns:a="http://schemas.openxmlformats.org/drawingml/2006/main" id="410">
  <cs:axisTitle>
    <cs:lnRef idx="0"/>
    <cs:fillRef idx="0"/>
    <cs:effectRef idx="0"/>
    <cs:fontRef idx="minor">
      <a:schemeClr val="tx1">
        <a:lumMod val="65000"/>
        <a:lumOff val="35000"/>
      </a:schemeClr>
    </cs:fontRef>
    <cs:spPr>
      <a:solidFill>
        <a:schemeClr val="bg1">
          <a:lumMod val="65000"/>
        </a:schemeClr>
      </a:solidFill>
      <a:ln w="19050">
        <a:solidFill>
          <a:schemeClr val="bg1"/>
        </a:solidFill>
      </a:ln>
    </cs:spPr>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lt1"/>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ln w="19050">
        <a:solidFill>
          <a:schemeClr val="lt1"/>
        </a:solidFill>
      </a:ln>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210.xml><?xml version="1.0" encoding="utf-8"?>
<cs:chartStyle xmlns:cs="http://schemas.microsoft.com/office/drawing/2012/chartStyle" xmlns:a="http://schemas.openxmlformats.org/drawingml/2006/main" id="410">
  <cs:axisTitle>
    <cs:lnRef idx="0"/>
    <cs:fillRef idx="0"/>
    <cs:effectRef idx="0"/>
    <cs:fontRef idx="minor">
      <a:schemeClr val="tx1">
        <a:lumMod val="65000"/>
        <a:lumOff val="35000"/>
      </a:schemeClr>
    </cs:fontRef>
    <cs:spPr>
      <a:solidFill>
        <a:schemeClr val="bg1">
          <a:lumMod val="65000"/>
        </a:schemeClr>
      </a:solidFill>
      <a:ln w="19050">
        <a:solidFill>
          <a:schemeClr val="bg1"/>
        </a:solidFill>
      </a:ln>
    </cs:spPr>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bg1"/>
    </cs:fontRef>
    <cs:defRPr sz="900" kern="1200"/>
    <cs:bodyPr lIns="38100" tIns="19050" rIns="38100" bIns="19050">
      <a:spAutoFit/>
    </cs:bodyPr>
  </cs:dataLabel>
  <cs:dataLabelCallout>
    <cs:lnRef idx="0"/>
    <cs:fillRef idx="0"/>
    <cs:effectRef idx="0"/>
    <cs:fontRef idx="minor">
      <a:schemeClr val="tx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ln w="19050">
        <a:solidFill>
          <a:schemeClr val="lt1"/>
        </a:solidFill>
      </a:ln>
    </cs:spPr>
  </cs:dataPoint>
  <cs:dataPoint3D>
    <cs:lnRef idx="0"/>
    <cs:fillRef idx="0">
      <cs:styleClr val="auto"/>
    </cs:fillRef>
    <cs:effectRef idx="0"/>
    <cs:fontRef idx="minor">
      <a:schemeClr val="tx1"/>
    </cs:fontRef>
    <cs:spPr>
      <a:solidFill>
        <a:schemeClr val="phClr"/>
      </a:solidFill>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defRPr sz="900"/>
  </cs:dataTable>
  <cs:downBar>
    <cs:lnRef idx="0"/>
    <cs:fillRef idx="0"/>
    <cs:effectRef idx="0"/>
    <cs:fontRef idx="minor">
      <a:schemeClr val="tx1"/>
    </cs:fontRef>
    <cs:spPr>
      <a:solidFill>
        <a:schemeClr val="dk1"/>
      </a:solidFill>
    </cs:spPr>
  </cs:downBar>
  <cs:dropLine>
    <cs:lnRef idx="0"/>
    <cs:fillRef idx="0"/>
    <cs:effectRef idx="0"/>
    <cs:fontRef idx="minor">
      <a:schemeClr val="tx1"/>
    </cs:fontRef>
  </cs:dropLine>
  <cs:errorBar>
    <cs:lnRef idx="0"/>
    <cs:fillRef idx="0"/>
    <cs:effectRef idx="0"/>
    <cs:fontRef idx="minor">
      <a:schemeClr val="tx1"/>
    </cs:fontRef>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lumOff val="10000"/>
          </a:schemeClr>
        </a:solidFill>
        <a:round/>
      </a:ln>
    </cs:spPr>
  </cs:gridlineMinor>
  <cs:hiLoLine>
    <cs:lnRef idx="0"/>
    <cs:fillRef idx="0"/>
    <cs:effectRef idx="0"/>
    <cs:fontRef idx="minor">
      <a:schemeClr val="tx1"/>
    </cs:fontRef>
  </cs:hiLoLine>
  <cs:leaderLine>
    <cs:lnRef idx="0"/>
    <cs:fillRef idx="0"/>
    <cs:effectRef idx="0"/>
    <cs:fontRef idx="minor">
      <a:schemeClr val="tx1"/>
    </cs:fontRef>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tx1"/>
    </cs:fontRef>
    <cs:spPr>
      <a:solidFill>
        <a:schemeClr val="lt1"/>
      </a:solidFill>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220.xml><?xml version="1.0" encoding="utf-8"?>
<cs:chartStyle xmlns:cs="http://schemas.microsoft.com/office/drawing/2012/chartStyle" xmlns:a="http://schemas.openxmlformats.org/drawingml/2006/main" id="410">
  <cs:axisTitle>
    <cs:lnRef idx="0"/>
    <cs:fillRef idx="0"/>
    <cs:effectRef idx="0"/>
    <cs:fontRef idx="minor">
      <a:schemeClr val="tx1">
        <a:lumMod val="65000"/>
        <a:lumOff val="35000"/>
      </a:schemeClr>
    </cs:fontRef>
    <cs:spPr>
      <a:solidFill>
        <a:schemeClr val="bg1">
          <a:lumMod val="65000"/>
        </a:schemeClr>
      </a:solidFill>
      <a:ln w="19050">
        <a:solidFill>
          <a:schemeClr val="bg1"/>
        </a:solidFill>
      </a:ln>
    </cs:spPr>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bg1"/>
    </cs:fontRef>
    <cs:defRPr sz="900" kern="1200"/>
    <cs:bodyPr lIns="38100" tIns="19050" rIns="38100" bIns="19050">
      <a:spAutoFit/>
    </cs:bodyPr>
  </cs:dataLabel>
  <cs:dataLabelCallout>
    <cs:lnRef idx="0"/>
    <cs:fillRef idx="0"/>
    <cs:effectRef idx="0"/>
    <cs:fontRef idx="minor">
      <a:schemeClr val="tx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ln w="19050">
        <a:solidFill>
          <a:schemeClr val="lt1"/>
        </a:solidFill>
      </a:ln>
    </cs:spPr>
  </cs:dataPoint>
  <cs:dataPoint3D>
    <cs:lnRef idx="0"/>
    <cs:fillRef idx="0">
      <cs:styleClr val="auto"/>
    </cs:fillRef>
    <cs:effectRef idx="0"/>
    <cs:fontRef idx="minor">
      <a:schemeClr val="tx1"/>
    </cs:fontRef>
    <cs:spPr>
      <a:solidFill>
        <a:schemeClr val="phClr"/>
      </a:solidFill>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defRPr sz="900"/>
  </cs:dataTable>
  <cs:downBar>
    <cs:lnRef idx="0"/>
    <cs:fillRef idx="0"/>
    <cs:effectRef idx="0"/>
    <cs:fontRef idx="minor">
      <a:schemeClr val="tx1"/>
    </cs:fontRef>
    <cs:spPr>
      <a:solidFill>
        <a:schemeClr val="dk1"/>
      </a:solidFill>
    </cs:spPr>
  </cs:downBar>
  <cs:dropLine>
    <cs:lnRef idx="0"/>
    <cs:fillRef idx="0"/>
    <cs:effectRef idx="0"/>
    <cs:fontRef idx="minor">
      <a:schemeClr val="tx1"/>
    </cs:fontRef>
  </cs:dropLine>
  <cs:errorBar>
    <cs:lnRef idx="0"/>
    <cs:fillRef idx="0"/>
    <cs:effectRef idx="0"/>
    <cs:fontRef idx="minor">
      <a:schemeClr val="tx1"/>
    </cs:fontRef>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lumOff val="10000"/>
          </a:schemeClr>
        </a:solidFill>
        <a:round/>
      </a:ln>
    </cs:spPr>
  </cs:gridlineMinor>
  <cs:hiLoLine>
    <cs:lnRef idx="0"/>
    <cs:fillRef idx="0"/>
    <cs:effectRef idx="0"/>
    <cs:fontRef idx="minor">
      <a:schemeClr val="tx1"/>
    </cs:fontRef>
  </cs:hiLoLine>
  <cs:leaderLine>
    <cs:lnRef idx="0"/>
    <cs:fillRef idx="0"/>
    <cs:effectRef idx="0"/>
    <cs:fontRef idx="minor">
      <a:schemeClr val="tx1"/>
    </cs:fontRef>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tx1"/>
    </cs:fontRef>
    <cs:spPr>
      <a:solidFill>
        <a:schemeClr val="lt1"/>
      </a:solidFill>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230.xml><?xml version="1.0" encoding="utf-8"?>
<cs:chartStyle xmlns:cs="http://schemas.microsoft.com/office/drawing/2012/chartStyle" xmlns:a="http://schemas.openxmlformats.org/drawingml/2006/main" id="410">
  <cs:axisTitle>
    <cs:lnRef idx="0"/>
    <cs:fillRef idx="0"/>
    <cs:effectRef idx="0"/>
    <cs:fontRef idx="minor">
      <a:schemeClr val="tx1">
        <a:lumMod val="65000"/>
        <a:lumOff val="35000"/>
      </a:schemeClr>
    </cs:fontRef>
    <cs:spPr>
      <a:solidFill>
        <a:schemeClr val="bg1">
          <a:lumMod val="65000"/>
        </a:schemeClr>
      </a:solidFill>
      <a:ln w="19050">
        <a:solidFill>
          <a:schemeClr val="bg1"/>
        </a:solidFill>
      </a:ln>
    </cs:spPr>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lt1"/>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ln w="19050">
        <a:solidFill>
          <a:schemeClr val="lt1"/>
        </a:solidFill>
      </a:ln>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250.xml><?xml version="1.0" encoding="utf-8"?>
<cs:chartStyle xmlns:cs="http://schemas.microsoft.com/office/drawing/2012/chartStyle" xmlns:a="http://schemas.openxmlformats.org/drawingml/2006/main" id="410">
  <cs:axisTitle>
    <cs:lnRef idx="0"/>
    <cs:fillRef idx="0"/>
    <cs:effectRef idx="0"/>
    <cs:fontRef idx="minor">
      <a:schemeClr val="tx1">
        <a:lumMod val="65000"/>
        <a:lumOff val="35000"/>
      </a:schemeClr>
    </cs:fontRef>
    <cs:spPr>
      <a:solidFill>
        <a:schemeClr val="bg1">
          <a:lumMod val="65000"/>
        </a:schemeClr>
      </a:solidFill>
      <a:ln w="19050">
        <a:solidFill>
          <a:schemeClr val="bg1"/>
        </a:solidFill>
      </a:ln>
    </cs:spPr>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bg1"/>
    </cs:fontRef>
    <cs:defRPr sz="900" kern="1200"/>
    <cs:bodyPr lIns="38100" tIns="19050" rIns="38100" bIns="19050">
      <a:spAutoFit/>
    </cs:bodyPr>
  </cs:dataLabel>
  <cs:dataLabelCallout>
    <cs:lnRef idx="0"/>
    <cs:fillRef idx="0"/>
    <cs:effectRef idx="0"/>
    <cs:fontRef idx="minor">
      <a:schemeClr val="tx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ln w="19050">
        <a:solidFill>
          <a:schemeClr val="lt1"/>
        </a:solidFill>
      </a:ln>
    </cs:spPr>
  </cs:dataPoint>
  <cs:dataPoint3D>
    <cs:lnRef idx="0"/>
    <cs:fillRef idx="0">
      <cs:styleClr val="auto"/>
    </cs:fillRef>
    <cs:effectRef idx="0"/>
    <cs:fontRef idx="minor">
      <a:schemeClr val="tx1"/>
    </cs:fontRef>
    <cs:spPr>
      <a:solidFill>
        <a:schemeClr val="phClr"/>
      </a:solidFill>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defRPr sz="900"/>
  </cs:dataTable>
  <cs:downBar>
    <cs:lnRef idx="0"/>
    <cs:fillRef idx="0"/>
    <cs:effectRef idx="0"/>
    <cs:fontRef idx="minor">
      <a:schemeClr val="tx1"/>
    </cs:fontRef>
    <cs:spPr>
      <a:solidFill>
        <a:schemeClr val="dk1"/>
      </a:solidFill>
    </cs:spPr>
  </cs:downBar>
  <cs:dropLine>
    <cs:lnRef idx="0"/>
    <cs:fillRef idx="0"/>
    <cs:effectRef idx="0"/>
    <cs:fontRef idx="minor">
      <a:schemeClr val="tx1"/>
    </cs:fontRef>
  </cs:dropLine>
  <cs:errorBar>
    <cs:lnRef idx="0"/>
    <cs:fillRef idx="0"/>
    <cs:effectRef idx="0"/>
    <cs:fontRef idx="minor">
      <a:schemeClr val="tx1"/>
    </cs:fontRef>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lumOff val="10000"/>
          </a:schemeClr>
        </a:solidFill>
        <a:round/>
      </a:ln>
    </cs:spPr>
  </cs:gridlineMinor>
  <cs:hiLoLine>
    <cs:lnRef idx="0"/>
    <cs:fillRef idx="0"/>
    <cs:effectRef idx="0"/>
    <cs:fontRef idx="minor">
      <a:schemeClr val="tx1"/>
    </cs:fontRef>
  </cs:hiLoLine>
  <cs:leaderLine>
    <cs:lnRef idx="0"/>
    <cs:fillRef idx="0"/>
    <cs:effectRef idx="0"/>
    <cs:fontRef idx="minor">
      <a:schemeClr val="tx1"/>
    </cs:fontRef>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tx1"/>
    </cs:fontRef>
    <cs:spPr>
      <a:solidFill>
        <a:schemeClr val="lt1"/>
      </a:solidFill>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2007 - 2010">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2007 - 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2007 - 2010">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2007 - 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2007 - 2010">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2007 - 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2007 - 2010">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2007 - 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EDA7DE-EEFA-41A4-A602-E480F4C606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20285</Words>
  <Characters>115625</Characters>
  <Application>Microsoft Office Word</Application>
  <DocSecurity>0</DocSecurity>
  <Lines>963</Lines>
  <Paragraphs>271</Paragraphs>
  <ScaleCrop>false</ScaleCrop>
  <HeadingPairs>
    <vt:vector size="2" baseType="variant">
      <vt:variant>
        <vt:lpstr>Title</vt:lpstr>
      </vt:variant>
      <vt:variant>
        <vt:i4>1</vt:i4>
      </vt:variant>
    </vt:vector>
  </HeadingPairs>
  <TitlesOfParts>
    <vt:vector size="1" baseType="lpstr">
      <vt:lpstr>Հավելված N 1</vt:lpstr>
    </vt:vector>
  </TitlesOfParts>
  <Company>Microsoft</Company>
  <LinksUpToDate>false</LinksUpToDate>
  <CharactersWithSpaces>135639</CharactersWithSpaces>
  <SharedDoc>false</SharedDoc>
  <HLinks>
    <vt:vector size="24" baseType="variant">
      <vt:variant>
        <vt:i4>7602222</vt:i4>
      </vt:variant>
      <vt:variant>
        <vt:i4>9</vt:i4>
      </vt:variant>
      <vt:variant>
        <vt:i4>0</vt:i4>
      </vt:variant>
      <vt:variant>
        <vt:i4>5</vt:i4>
      </vt:variant>
      <vt:variant>
        <vt:lpwstr>https://www.oecd.org/sti/frascati-manual-2015-9789264239012-en.htm</vt:lpwstr>
      </vt:variant>
      <vt:variant>
        <vt:lpwstr/>
      </vt:variant>
      <vt:variant>
        <vt:i4>2883629</vt:i4>
      </vt:variant>
      <vt:variant>
        <vt:i4>6</vt:i4>
      </vt:variant>
      <vt:variant>
        <vt:i4>0</vt:i4>
      </vt:variant>
      <vt:variant>
        <vt:i4>5</vt:i4>
      </vt:variant>
      <vt:variant>
        <vt:lpwstr>https://bit.ly/37jB8MB</vt:lpwstr>
      </vt:variant>
      <vt:variant>
        <vt:lpwstr/>
      </vt:variant>
      <vt:variant>
        <vt:i4>7536698</vt:i4>
      </vt:variant>
      <vt:variant>
        <vt:i4>3</vt:i4>
      </vt:variant>
      <vt:variant>
        <vt:i4>0</vt:i4>
      </vt:variant>
      <vt:variant>
        <vt:i4>5</vt:i4>
      </vt:variant>
      <vt:variant>
        <vt:lpwstr>https://webgate.ec.europa.eu/dashboard/sense/app/a976d168-2023-41d8-acec-e77640154726/sheet/0c8af38b-b73c-4da2-ba41-73ea34ab7ac4/state/analysis/select/Country/Armenia</vt:lpwstr>
      </vt:variant>
      <vt:variant>
        <vt:lpwstr/>
      </vt:variant>
      <vt:variant>
        <vt:i4>7143523</vt:i4>
      </vt:variant>
      <vt:variant>
        <vt:i4>0</vt:i4>
      </vt:variant>
      <vt:variant>
        <vt:i4>0</vt:i4>
      </vt:variant>
      <vt:variant>
        <vt:i4>5</vt:i4>
      </vt:variant>
      <vt:variant>
        <vt:lpwstr>https://www.armstat.am/am/?nid=12&amp;id=01001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Հավելված N 1</dc:title>
  <dc:subject/>
  <dc:creator>Vardan</dc:creator>
  <cp:keywords>https:/mul2.gov.am/tasks/1273146/oneclick?token=a8a33247231d8849b61b7874788faa6c</cp:keywords>
  <cp:lastModifiedBy>Narek Apujanyan</cp:lastModifiedBy>
  <cp:revision>2</cp:revision>
  <cp:lastPrinted>2026-01-09T12:48:00Z</cp:lastPrinted>
  <dcterms:created xsi:type="dcterms:W3CDTF">2026-01-29T06:16:00Z</dcterms:created>
  <dcterms:modified xsi:type="dcterms:W3CDTF">2026-01-29T06:16:00Z</dcterms:modified>
</cp:coreProperties>
</file>