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51BF68" w14:textId="2B1350CB" w:rsidR="00784401" w:rsidRPr="003C1CE4" w:rsidRDefault="003C1CE4" w:rsidP="002D5B7D">
      <w:pPr>
        <w:shd w:val="clear" w:color="auto" w:fill="FFFFFF"/>
        <w:spacing w:after="0" w:line="240" w:lineRule="auto"/>
        <w:ind w:right="-270"/>
        <w:jc w:val="center"/>
        <w:rPr>
          <w:rFonts w:ascii="GHEA Grapalat" w:eastAsia="Times New Roman" w:hAnsi="GHEA Grapalat" w:cs="Times New Roman"/>
          <w:b/>
          <w:bCs/>
          <w:color w:val="000000"/>
          <w:lang w:val="en-GB" w:eastAsia="en-GB"/>
        </w:rPr>
      </w:pPr>
      <w:r>
        <w:rPr>
          <w:rFonts w:ascii="GHEA Grapalat" w:eastAsia="Times New Roman" w:hAnsi="GHEA Grapalat" w:cs="Times New Roman"/>
          <w:b/>
          <w:bCs/>
          <w:color w:val="000000"/>
          <w:lang w:val="hy-AM" w:eastAsia="en-GB"/>
        </w:rPr>
        <w:t>ՏԵՂԵԿԱՆՔ</w:t>
      </w:r>
    </w:p>
    <w:p w14:paraId="49993D46" w14:textId="6968C4B5" w:rsidR="00784401" w:rsidRPr="003571B1" w:rsidRDefault="00784401"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1EA5E413" w14:textId="77777777" w:rsidR="003C1CE4" w:rsidRPr="003C1CE4" w:rsidRDefault="003C1CE4" w:rsidP="002D5B7D">
      <w:pPr>
        <w:autoSpaceDE w:val="0"/>
        <w:autoSpaceDN w:val="0"/>
        <w:adjustRightInd w:val="0"/>
        <w:spacing w:after="0" w:line="240" w:lineRule="auto"/>
        <w:ind w:right="-270"/>
        <w:jc w:val="center"/>
        <w:rPr>
          <w:rFonts w:ascii="Calibri" w:hAnsi="Calibri" w:cs="Calibri"/>
          <w:b/>
          <w:lang w:val="hy-AM"/>
        </w:rPr>
      </w:pPr>
      <w:r w:rsidRPr="003C1CE4">
        <w:rPr>
          <w:rFonts w:ascii="GHEA Grapalat" w:hAnsi="GHEA Grapalat" w:cs="Sylfaen"/>
          <w:b/>
          <w:lang w:val="hy-AM"/>
        </w:rPr>
        <w:t>«ԱՎՏՈՏՐԱՆՍՊՈՐՏԱՅԻՆ</w:t>
      </w:r>
      <w:r>
        <w:rPr>
          <w:rFonts w:ascii="GHEA Grapalat" w:hAnsi="GHEA Grapalat" w:cs="Sylfaen"/>
          <w:b/>
          <w:lang w:val="hy-AM"/>
        </w:rPr>
        <w:t xml:space="preserve"> </w:t>
      </w:r>
      <w:r w:rsidRPr="003C1CE4">
        <w:rPr>
          <w:rFonts w:ascii="GHEA Grapalat" w:hAnsi="GHEA Grapalat" w:cs="Sylfaen"/>
          <w:b/>
          <w:lang w:val="hy-AM"/>
        </w:rPr>
        <w:t>ՄԻՋՈՑՆԵՐԻ</w:t>
      </w:r>
      <w:r>
        <w:rPr>
          <w:rFonts w:ascii="GHEA Grapalat" w:hAnsi="GHEA Grapalat" w:cs="Sylfaen"/>
          <w:b/>
          <w:lang w:val="hy-AM"/>
        </w:rPr>
        <w:t xml:space="preserve"> </w:t>
      </w:r>
      <w:r w:rsidRPr="003C1CE4">
        <w:rPr>
          <w:rFonts w:ascii="GHEA Grapalat" w:hAnsi="GHEA Grapalat" w:cs="Sylfaen"/>
          <w:b/>
          <w:lang w:val="hy-AM"/>
        </w:rPr>
        <w:t>ՕԳՏԱԳՈՐԾՈՒՄԻՑ</w:t>
      </w:r>
      <w:r>
        <w:rPr>
          <w:rFonts w:ascii="GHEA Grapalat" w:hAnsi="GHEA Grapalat" w:cs="Sylfaen"/>
          <w:b/>
          <w:lang w:val="hy-AM"/>
        </w:rPr>
        <w:t xml:space="preserve"> </w:t>
      </w:r>
      <w:r w:rsidRPr="003C1CE4">
        <w:rPr>
          <w:rFonts w:ascii="GHEA Grapalat" w:hAnsi="GHEA Grapalat" w:cs="Sylfaen"/>
          <w:b/>
          <w:lang w:val="hy-AM"/>
        </w:rPr>
        <w:t>ԲԽՈՂ</w:t>
      </w:r>
    </w:p>
    <w:p w14:paraId="26DAF521" w14:textId="411DAEF6" w:rsidR="003C1CE4" w:rsidRDefault="003C1CE4" w:rsidP="002D5B7D">
      <w:pPr>
        <w:autoSpaceDE w:val="0"/>
        <w:autoSpaceDN w:val="0"/>
        <w:adjustRightInd w:val="0"/>
        <w:spacing w:after="0" w:line="240" w:lineRule="auto"/>
        <w:ind w:right="-270"/>
        <w:jc w:val="center"/>
        <w:rPr>
          <w:rFonts w:ascii="GHEA Grapalat" w:hAnsi="GHEA Grapalat" w:cs="Times Armenian"/>
          <w:b/>
          <w:lang w:val="hy-AM"/>
        </w:rPr>
      </w:pPr>
      <w:r w:rsidRPr="003C1CE4">
        <w:rPr>
          <w:rFonts w:ascii="GHEA Grapalat" w:hAnsi="GHEA Grapalat" w:cs="Sylfaen"/>
          <w:b/>
          <w:lang w:val="hy-AM"/>
        </w:rPr>
        <w:t>ՊԱՏԱՍԽԱՆԱՏՎՈՒԹՅԱՆ</w:t>
      </w:r>
      <w:r>
        <w:rPr>
          <w:rFonts w:ascii="GHEA Grapalat" w:hAnsi="GHEA Grapalat" w:cs="Sylfaen"/>
          <w:b/>
          <w:lang w:val="hy-AM"/>
        </w:rPr>
        <w:t xml:space="preserve"> </w:t>
      </w:r>
      <w:r w:rsidRPr="003C1CE4">
        <w:rPr>
          <w:rFonts w:ascii="GHEA Grapalat" w:hAnsi="GHEA Grapalat" w:cs="Sylfaen"/>
          <w:b/>
          <w:lang w:val="hy-AM"/>
        </w:rPr>
        <w:t>ՊԱՐՏԱԴԻՐ</w:t>
      </w:r>
      <w:r>
        <w:rPr>
          <w:rFonts w:ascii="Calibri" w:hAnsi="Calibri" w:cs="Calibri"/>
          <w:b/>
          <w:lang w:val="hy-AM"/>
        </w:rPr>
        <w:t xml:space="preserve"> </w:t>
      </w:r>
      <w:r w:rsidRPr="003C1CE4">
        <w:rPr>
          <w:rFonts w:ascii="GHEA Grapalat" w:hAnsi="GHEA Grapalat" w:cs="Sylfaen"/>
          <w:b/>
          <w:lang w:val="hy-AM"/>
        </w:rPr>
        <w:t>ԱՊԱՀՈՎԱԳՐՈՒԹՅԱՆ</w:t>
      </w:r>
      <w:r>
        <w:rPr>
          <w:rFonts w:ascii="GHEA Grapalat" w:hAnsi="GHEA Grapalat" w:cs="Sylfaen"/>
          <w:b/>
          <w:lang w:val="hy-AM"/>
        </w:rPr>
        <w:t xml:space="preserve"> </w:t>
      </w:r>
      <w:r w:rsidRPr="003C1CE4">
        <w:rPr>
          <w:rFonts w:ascii="GHEA Grapalat" w:hAnsi="GHEA Grapalat" w:cs="Sylfaen"/>
          <w:b/>
          <w:lang w:val="hy-AM"/>
        </w:rPr>
        <w:t>ՄԱՍԻՆ»</w:t>
      </w:r>
      <w:r>
        <w:rPr>
          <w:rFonts w:ascii="GHEA Grapalat" w:hAnsi="GHEA Grapalat" w:cs="Sylfaen"/>
          <w:b/>
          <w:lang w:val="hy-AM"/>
        </w:rPr>
        <w:t xml:space="preserve"> </w:t>
      </w:r>
      <w:r w:rsidRPr="003C1CE4">
        <w:rPr>
          <w:rFonts w:ascii="GHEA Grapalat" w:hAnsi="GHEA Grapalat" w:cs="Sylfaen"/>
          <w:b/>
          <w:lang w:val="hy-AM"/>
        </w:rPr>
        <w:t>OՐԵՆՔՈՒՄ</w:t>
      </w:r>
    </w:p>
    <w:p w14:paraId="03DC48E1" w14:textId="60D783DC" w:rsidR="003C1CE4" w:rsidRDefault="00727914" w:rsidP="002D5B7D">
      <w:pPr>
        <w:autoSpaceDE w:val="0"/>
        <w:autoSpaceDN w:val="0"/>
        <w:adjustRightInd w:val="0"/>
        <w:spacing w:after="0" w:line="240" w:lineRule="auto"/>
        <w:ind w:right="-270"/>
        <w:jc w:val="center"/>
        <w:rPr>
          <w:rFonts w:ascii="GHEA Grapalat" w:hAnsi="GHEA Grapalat" w:cs="Sylfaen"/>
          <w:b/>
          <w:lang w:val="hy-AM"/>
        </w:rPr>
      </w:pPr>
      <w:r>
        <w:rPr>
          <w:rFonts w:ascii="GHEA Grapalat" w:hAnsi="GHEA Grapalat" w:cs="Sylfaen"/>
          <w:b/>
          <w:lang w:val="hy-AM"/>
        </w:rPr>
        <w:t xml:space="preserve">ՓՈՓՈԽՈՒԹՅՈՒՆՆԵՐ ԵՎ </w:t>
      </w:r>
      <w:r w:rsidR="003C1CE4">
        <w:rPr>
          <w:rFonts w:ascii="GHEA Grapalat" w:hAnsi="GHEA Grapalat" w:cs="Sylfaen"/>
          <w:b/>
          <w:lang w:val="hy-AM"/>
        </w:rPr>
        <w:t xml:space="preserve">ԼՐԱՑՈՒՄ </w:t>
      </w:r>
      <w:r w:rsidR="003C1CE4" w:rsidRPr="003C1CE4">
        <w:rPr>
          <w:rFonts w:ascii="GHEA Grapalat" w:hAnsi="GHEA Grapalat" w:cs="Sylfaen"/>
          <w:b/>
          <w:lang w:val="hy-AM"/>
        </w:rPr>
        <w:t>ԿԱՏԱՐԵԼՈՒ</w:t>
      </w:r>
      <w:r w:rsidR="003C1CE4" w:rsidRPr="003C1CE4">
        <w:rPr>
          <w:rFonts w:ascii="GHEA Grapalat" w:hAnsi="GHEA Grapalat" w:cs="Times Armenian"/>
          <w:b/>
          <w:lang w:val="hy-AM"/>
        </w:rPr>
        <w:t xml:space="preserve"> </w:t>
      </w:r>
      <w:r w:rsidR="003C1CE4" w:rsidRPr="003C1CE4">
        <w:rPr>
          <w:rFonts w:ascii="GHEA Grapalat" w:hAnsi="GHEA Grapalat" w:cs="Sylfaen"/>
          <w:b/>
          <w:lang w:val="hy-AM"/>
        </w:rPr>
        <w:t>ՄԱ</w:t>
      </w:r>
      <w:r w:rsidR="003C1CE4" w:rsidRPr="003C1CE4">
        <w:rPr>
          <w:rFonts w:ascii="GHEA Grapalat" w:hAnsi="GHEA Grapalat" w:cs="Times Armenian"/>
          <w:b/>
          <w:lang w:val="hy-AM"/>
        </w:rPr>
        <w:t>U</w:t>
      </w:r>
      <w:r w:rsidR="003C1CE4" w:rsidRPr="003C1CE4">
        <w:rPr>
          <w:rFonts w:ascii="GHEA Grapalat" w:hAnsi="GHEA Grapalat" w:cs="Sylfaen"/>
          <w:b/>
          <w:lang w:val="hy-AM"/>
        </w:rPr>
        <w:t>ԻՆ</w:t>
      </w:r>
      <w:r w:rsidR="003C1CE4">
        <w:rPr>
          <w:rFonts w:ascii="GHEA Grapalat" w:hAnsi="GHEA Grapalat" w:cs="Sylfaen"/>
          <w:b/>
          <w:lang w:val="hy-AM"/>
        </w:rPr>
        <w:t>» ՕՐԵՆՔԻ ՆԱԽԱԳԾՈՎ</w:t>
      </w:r>
    </w:p>
    <w:p w14:paraId="5D2B7DD3" w14:textId="1CCC1E83" w:rsidR="003C1CE4" w:rsidRPr="003C1CE4" w:rsidRDefault="003C1CE4" w:rsidP="002D5B7D">
      <w:pPr>
        <w:autoSpaceDE w:val="0"/>
        <w:autoSpaceDN w:val="0"/>
        <w:adjustRightInd w:val="0"/>
        <w:spacing w:after="0" w:line="240" w:lineRule="auto"/>
        <w:ind w:right="-270"/>
        <w:jc w:val="center"/>
        <w:rPr>
          <w:rFonts w:ascii="GHEA Grapalat" w:hAnsi="GHEA Grapalat" w:cs="IRTEK Courier"/>
          <w:b/>
          <w:lang w:val="hy-AM"/>
        </w:rPr>
      </w:pPr>
      <w:r>
        <w:rPr>
          <w:rFonts w:ascii="GHEA Grapalat" w:hAnsi="GHEA Grapalat" w:cs="Sylfaen"/>
          <w:b/>
          <w:lang w:val="hy-AM"/>
        </w:rPr>
        <w:t xml:space="preserve"> ՓՈՓՈԽՎՈՂ </w:t>
      </w:r>
      <w:r w:rsidR="002D5B7D">
        <w:rPr>
          <w:rFonts w:ascii="GHEA Grapalat" w:hAnsi="GHEA Grapalat" w:cs="Sylfaen"/>
          <w:b/>
          <w:lang w:val="hy-AM"/>
        </w:rPr>
        <w:t xml:space="preserve">ԵՎ ԼՐԱՑՎՈՂ </w:t>
      </w:r>
      <w:r>
        <w:rPr>
          <w:rFonts w:ascii="GHEA Grapalat" w:hAnsi="GHEA Grapalat" w:cs="Sylfaen"/>
          <w:b/>
          <w:lang w:val="hy-AM"/>
        </w:rPr>
        <w:t>ՀՈԴՎԱԾՆԵՐԻ ՎԵՐԱԲԵՐՅԱԼ</w:t>
      </w:r>
    </w:p>
    <w:p w14:paraId="6886E815" w14:textId="77777777" w:rsidR="003C1CE4" w:rsidRPr="003C1CE4" w:rsidRDefault="003C1CE4" w:rsidP="002D5B7D">
      <w:pPr>
        <w:autoSpaceDE w:val="0"/>
        <w:autoSpaceDN w:val="0"/>
        <w:adjustRightInd w:val="0"/>
        <w:spacing w:line="240" w:lineRule="atLeast"/>
        <w:ind w:right="-270"/>
        <w:jc w:val="center"/>
        <w:rPr>
          <w:rFonts w:ascii="GHEA Grapalat" w:hAnsi="GHEA Grapalat" w:cs="IRTEK Courier"/>
          <w:lang w:val="hy-AM"/>
        </w:rPr>
      </w:pPr>
    </w:p>
    <w:p w14:paraId="7833EC6B"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33011314" w14:textId="7B01C6CB" w:rsidR="00521E5A" w:rsidRPr="003571B1" w:rsidRDefault="00521E5A" w:rsidP="002D5B7D">
      <w:pPr>
        <w:shd w:val="clear" w:color="auto" w:fill="FFFFFF"/>
        <w:spacing w:after="0" w:line="240" w:lineRule="auto"/>
        <w:ind w:right="-270"/>
        <w:jc w:val="both"/>
        <w:rPr>
          <w:rFonts w:ascii="GHEA Grapalat" w:eastAsia="Times New Roman" w:hAnsi="GHEA Grapalat" w:cs="Times New Roman"/>
          <w:b/>
          <w:bCs/>
          <w:color w:val="000000"/>
          <w:lang w:val="hy-AM" w:eastAsia="en-GB"/>
        </w:rPr>
      </w:pPr>
      <w:r w:rsidRPr="003571B1">
        <w:rPr>
          <w:rFonts w:ascii="GHEA Grapalat" w:eastAsia="Times New Roman" w:hAnsi="GHEA Grapalat" w:cs="Times New Roman"/>
          <w:b/>
          <w:bCs/>
          <w:color w:val="000000"/>
          <w:lang w:val="hy-AM" w:eastAsia="en-GB"/>
        </w:rPr>
        <w:t xml:space="preserve"> Հոդված 3. </w:t>
      </w:r>
      <w:r w:rsidRPr="003571B1">
        <w:rPr>
          <w:rFonts w:ascii="GHEA Grapalat" w:eastAsia="Times New Roman" w:hAnsi="GHEA Grapalat" w:cs="Times New Roman"/>
          <w:b/>
          <w:bCs/>
          <w:color w:val="000000"/>
          <w:lang w:val="hy-AM" w:eastAsia="en-GB"/>
        </w:rPr>
        <w:tab/>
        <w:t xml:space="preserve"> Օրենքում օգտագործվող հիմնական հասկացությունները</w:t>
      </w:r>
    </w:p>
    <w:p w14:paraId="4B45A91A"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571B1">
        <w:rPr>
          <w:rFonts w:ascii="GHEA Grapalat" w:eastAsia="Times New Roman" w:hAnsi="GHEA Grapalat" w:cs="Times New Roman"/>
          <w:color w:val="000000"/>
          <w:lang w:val="hy-AM" w:eastAsia="en-GB"/>
        </w:rPr>
        <w:t xml:space="preserve"> </w:t>
      </w:r>
    </w:p>
    <w:p w14:paraId="4A75252F"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0B2054A5"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571B1">
        <w:rPr>
          <w:rFonts w:ascii="GHEA Grapalat" w:eastAsia="Times New Roman" w:hAnsi="GHEA Grapalat" w:cs="Times New Roman"/>
          <w:color w:val="000000"/>
          <w:lang w:val="hy-AM" w:eastAsia="en-GB"/>
        </w:rPr>
        <w:t>1. Սույն օրենքում, ինչպես նաև դրա հիման վրա ընդունված իրավական այլ ակտերում (եթե դրանցում այլ բան սահմանված չէ) օգտագործվող հիմնական հասկացություններն ունեն հետևյալ իմաստը.</w:t>
      </w:r>
    </w:p>
    <w:p w14:paraId="725BE5E0"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A8EBB75"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571B1">
        <w:rPr>
          <w:rFonts w:ascii="GHEA Grapalat" w:eastAsia="Times New Roman" w:hAnsi="GHEA Grapalat" w:cs="Times New Roman"/>
          <w:color w:val="000000"/>
          <w:lang w:val="hy-AM" w:eastAsia="en-GB"/>
        </w:rPr>
        <w:t>1) ԱՊՊԱ՝ ավտոտրանսպորտային միջոցների օգտագործումից բխող պատասխանատվության պարտադիր ապահովագրություն.</w:t>
      </w:r>
    </w:p>
    <w:p w14:paraId="60BA65B9"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69DD4B76"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571B1">
        <w:rPr>
          <w:rFonts w:ascii="GHEA Grapalat" w:eastAsia="Times New Roman" w:hAnsi="GHEA Grapalat" w:cs="Times New Roman"/>
          <w:color w:val="000000"/>
          <w:lang w:val="hy-AM" w:eastAsia="en-GB"/>
        </w:rPr>
        <w:t>2) ԱՊՊԱ պայմանագիր՝ ԱՊՊԱ իրականացնելու իրավունք ունեցող ապահովագրական ընկերության և ապահովադրի միջև սույն օրենքի համաձայն կնքված ԱՊՊԱ պայմանագիր.</w:t>
      </w:r>
    </w:p>
    <w:p w14:paraId="69A4E53A"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75FAC978"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571B1">
        <w:rPr>
          <w:rFonts w:ascii="GHEA Grapalat" w:eastAsia="Times New Roman" w:hAnsi="GHEA Grapalat" w:cs="Times New Roman"/>
          <w:color w:val="000000"/>
          <w:lang w:val="hy-AM" w:eastAsia="en-GB"/>
        </w:rPr>
        <w:t>3) (կետն ուժը կորցրել է 19.06.13 ՀՕ-93-Ն)</w:t>
      </w:r>
    </w:p>
    <w:p w14:paraId="310FF3E9" w14:textId="77777777" w:rsidR="00521E5A" w:rsidRPr="003571B1"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C0CFA1A" w14:textId="135B4694"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 xml:space="preserve">4) ավտոտրանսպորտային միջոց՝ ընդհանուր օգտագործման ավտոմոբիլային ճանապարհներով ուղևորներ և բեռներ փոխադրելու, ինչպես նաև ոչ տրանսպորտային աշխատանքներ կատարելու համար սարքավորված անիվավոր տրանսպորտային միջոց (ներառյալ` թեթև մարդատար ավտոմոբիլներ, ավտոբուսներ, միկրոավտոբուսներ, բեռնատար ավտոմոբիլներ, բեռնաուղևորատար ավտոմոբիլներ, հատուկ ավտոմոբիլներ, էլեկտրամոբիլներ, </w:t>
      </w:r>
      <w:r w:rsidRPr="002D5B7D">
        <w:rPr>
          <w:rFonts w:ascii="GHEA Grapalat" w:eastAsia="Times New Roman" w:hAnsi="GHEA Grapalat" w:cs="Times New Roman"/>
          <w:b/>
          <w:bCs/>
          <w:strike/>
          <w:color w:val="FF0000"/>
          <w:lang w:val="hy-AM" w:eastAsia="en-GB"/>
        </w:rPr>
        <w:t>մոտոցիկլետներ</w:t>
      </w:r>
      <w:r w:rsidR="00724C82">
        <w:rPr>
          <w:rFonts w:ascii="GHEA Grapalat" w:eastAsia="Times New Roman" w:hAnsi="GHEA Grapalat" w:cs="Times New Roman"/>
          <w:color w:val="000000"/>
          <w:lang w:val="hy-AM" w:eastAsia="en-GB"/>
        </w:rPr>
        <w:t xml:space="preserve"> </w:t>
      </w:r>
      <w:r w:rsidR="00724C82" w:rsidRPr="002D5B7D">
        <w:rPr>
          <w:rFonts w:ascii="GHEA Grapalat" w:eastAsia="Times New Roman" w:hAnsi="GHEA Grapalat" w:cs="Times New Roman"/>
          <w:color w:val="FF0000"/>
          <w:lang w:val="hy-AM" w:eastAsia="en-GB"/>
        </w:rPr>
        <w:t>մոտոցիկլներ</w:t>
      </w:r>
      <w:r w:rsidRPr="003C1CE4">
        <w:rPr>
          <w:rFonts w:ascii="GHEA Grapalat" w:eastAsia="Times New Roman" w:hAnsi="GHEA Grapalat" w:cs="Times New Roman"/>
          <w:color w:val="000000"/>
          <w:lang w:val="hy-AM" w:eastAsia="en-GB"/>
        </w:rPr>
        <w:t>, քարշակներ, տրոլեյբուսներ</w:t>
      </w:r>
      <w:r w:rsidRPr="003571B1">
        <w:rPr>
          <w:rFonts w:ascii="GHEA Grapalat" w:eastAsia="Times New Roman" w:hAnsi="GHEA Grapalat" w:cs="Times New Roman"/>
          <w:color w:val="FF0000"/>
          <w:lang w:val="hy-AM" w:eastAsia="en-GB"/>
        </w:rPr>
        <w:t>, մոպեդներ</w:t>
      </w:r>
      <w:r w:rsidR="00724C82">
        <w:rPr>
          <w:rFonts w:ascii="GHEA Grapalat" w:eastAsia="Times New Roman" w:hAnsi="GHEA Grapalat" w:cs="Times New Roman"/>
          <w:color w:val="FF0000"/>
          <w:lang w:val="hy-AM" w:eastAsia="en-GB"/>
        </w:rPr>
        <w:t>, տրիցիկլներ, քվադրիցիկլներ</w:t>
      </w:r>
      <w:r w:rsidRPr="003C1CE4">
        <w:rPr>
          <w:rFonts w:ascii="GHEA Grapalat" w:eastAsia="Times New Roman" w:hAnsi="GHEA Grapalat" w:cs="Times New Roman"/>
          <w:color w:val="000000"/>
          <w:lang w:val="hy-AM" w:eastAsia="en-GB"/>
        </w:rPr>
        <w:t>).</w:t>
      </w:r>
    </w:p>
    <w:p w14:paraId="28E383B9"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3B41269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5) տուժող (տուժած անձ)՝ ավտոտրանսպորտային միջոցի օգտագործման հետևանքով սույն օրենքով նախատեսված անձնական կամ գույքին պատճառված վնասներ կրած ցանկացած անձ, որը սույն օրենքով և իրավական այլ ակտերով սահմանված կարգով ունի հատուցման իրավունք: Տուժող են համարվում նաև սույն կետի առաջին նախադասությամբ նախատեսված` անձի մահվան դեպքում օրենքի համաձայն վնասների հատուցման իրավունք ունեցող անձինք.</w:t>
      </w:r>
    </w:p>
    <w:p w14:paraId="4D72A5F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2566553"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6) ավտոտրանսպորտային միջոցի սեփականատեր (համասեփականատեր)՝ ավտոտրանսպորտային միջոցի սեփականատեր համարվող ֆիզիկական անձ (Հայաստանի Հանրապետության քաղաքացի, օտարերկրյա քաղաքացի, քաղաքացիություն չունեցող անձ) կամ իրավաբանական անձ, պետություն (պետական մարմին), համայնք (տեղական ինքնակառավարման մարմին), Հայաստանի Հանրապետությունում դիվանագիտական ներկայացուցչություններ (դեսպանություններ, հյուպատոսական հիմնարկներ, միջազգային կազմակերպությունների ներկայացուցչություններ).</w:t>
      </w:r>
    </w:p>
    <w:p w14:paraId="077A0483"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6F0BC38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7) ապահովադիր` ապահովագրական ընկերության հետ ԱՊՊԱ պայմանագիր կնքած անձ.</w:t>
      </w:r>
    </w:p>
    <w:p w14:paraId="3158AC6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31DB5C50"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8) ապահովագրված անձ՝ ԱՊՊԱ պայմանագրի գործողության ընթացքում ավտոտրանսպորտային միջոցի սեփականատեր, ինչպես նաև օրինական հիմքերով այն տիրապետող այլ անձ (ներառյալ` վարորդը).</w:t>
      </w:r>
    </w:p>
    <w:p w14:paraId="477141ED"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5EFB0B4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lastRenderedPageBreak/>
        <w:t>9) վնաս պատճառած անձ կամ վնաս պատճառող` անձ, որի գործողությունների (անգործության) հետևանքով պատճառվել է վնասը.</w:t>
      </w:r>
    </w:p>
    <w:p w14:paraId="5FEC3EA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052CEF7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10) ավտոտրանսպորտային միջոցի վարորդ` ավտոտրանսպորտային միջոցը ղեկավարող անձ, որն ապահովագրական պատահարի ժամանակ օգտագործել է ավտոտրանսպորտային միջոցը: Վարորդ է համարվում նաև վարել սովորեցնողը.</w:t>
      </w:r>
    </w:p>
    <w:p w14:paraId="27EBEE7E"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21292314"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11) ապահովագրական պատահար՝ սույն օրենքով նախատեսված դեպք կամ իրադարձություն, որի դեպքում ապահովագրական ընկերությունը կամ Բյուրոն պարտավորվում է տուժողին կամ օրենքով և (կամ) ԱՊՊԱ պայմանագրով նախատեսված դեպքերում այլ անձանց վճարել ապահովագրական հատուցում.</w:t>
      </w:r>
    </w:p>
    <w:p w14:paraId="42337EC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C942B5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12) ապահովագրավճար՝ ԱՊՊԱ պայմանագրով սահմանված չափով և պայմաններով ապահովադրի կողմից ապահովագրական ընկերությանն ԱՊՊԱ իրականացնելու ողջ ժամանակահատվածի համար վճարման ենթակա գումար.</w:t>
      </w:r>
    </w:p>
    <w:p w14:paraId="6B501454"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7A28C549"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13) ապահովագրական գումար՝ ապահովագրական պատահարի դեպքում ապահովագրական ընկերության կողմից տուժողին կամ օրենքով և (կամ) ԱՊՊԱ պայմանագրով նախատեսված դեպքերում այլ անձանց վճարման ենթակա ապահովագրական հատուցման առավելագույն չափ.</w:t>
      </w:r>
    </w:p>
    <w:p w14:paraId="09257B9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7E02B28E"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14) բազային ապահովագրավճար և հիմնական ապահովագրավճար` սույն օրենքի հավելվածի համաձայն` Բյուրոյի կողմից հաշվարկվող հաշվարկային մեծություններ.</w:t>
      </w:r>
    </w:p>
    <w:p w14:paraId="4888F0F7"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891057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15) ապահովագրական հատուցում՝ ապահովագրական պատահարի դեպքում ապահովագրական ընկերության կողմից տուժողին կամ օրենքով և (կամ) ԱՊՊԱ պայմանագրով նախատեսված դեպքերում այլ անձանց վճարման ենթակա գումար: Սույն օրենքի իմաստով` ապահովագրական հատուցումը նաև սույն օրենքի 49-րդ հոդվածով նախատեսված դեպքերում Երաշխավորման ֆոնդի միջոցների հաշվին Բյուրոյի կողմից` տուժած անձանց պատճառված վնասների հատուցումն է, եթե այլ բան սահմանված չէ սույն օրենքով կամ չի բխում կոնկրետ դրույթի իմաստից.</w:t>
      </w:r>
    </w:p>
    <w:p w14:paraId="7E8BF9AD"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5AF65250"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16) չհատուցվող գումար՝ ապահովագրական գումարի սահմաններում ապահովագրական ընկերության կամ Բյուրոյի կողմից հատուցման ոչ ենթակա գումար, որը սահմանվում է որոշակի գումարի և (կամ) ապահովագրական գումարի նկատմամբ տոկոսի տեսքով.</w:t>
      </w:r>
    </w:p>
    <w:p w14:paraId="36C0B9A1"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1A9E24E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17) ավտոտրանսպորտային միջոցի օգտագործումից բխող վնաս (վնաս)՝ ավտոտրանսպորտային միջոցի շարժիչի գործադրմամբ կամ առանց դրա ավտոտրանսպորտային միջոցով (ներառյալ` ավտոտրանսպորտային միջոցի պայթյունի կամ հրկիզման հետևանքով) պատճառված վնաս.</w:t>
      </w:r>
    </w:p>
    <w:p w14:paraId="3FFAED2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18693B07"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18) համաձայնեցված հայտարարագիր՝ ապահովագրական պատահարի դեպքում պատահարի մասնակից ավտոտրանսպորտային միջոցներն օրինական հիմքով տիրապետող անձանց կողմից պատահարի վայրում լրացվող սահմանված ձևի ձևաթուղթ, որտեղ նրանց ստորագրությամբ հավաստիացվում են պատահարի հանգամանքները, փաստերը և այլ տեղեկություններ.</w:t>
      </w:r>
    </w:p>
    <w:p w14:paraId="180A3C0F"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5BAECDF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19) Ավտոտրանսպորտային միջոցների օգտագործումից բխող պատասխանատվության պարտադիր ապահովագրություն իրականացնող ապահովագրական ընկերությունների բյուրո (Բյուրո)` հասարակական կազմակերպություն, որին անդամակցում են սույն օրենքի համաձայն ԱՊՊԱ իրականացնելու իրավունք ունեցող ապահովագրական ընկերությունները, իսկ սույն օրենքով նախատեսված դեպքերում` նաև Կենտրոնական բանկը.</w:t>
      </w:r>
    </w:p>
    <w:p w14:paraId="5C2121C6"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7E1991F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lastRenderedPageBreak/>
        <w:t>20) Երաշխավորման ֆոնդ՝ սույն օրենքի համաձայն ստեղծված ֆոնդ, որի կառավարիչն է Բյուրոն, և որի հաշվին սույն օրենքով սահմանված դեպքերում վճարվում են հատուցումներ: Երաշխավորման ֆոնդում միավորվում են սույն օրենքի 44-րդ հոդվածի 1-ին մասով սահմանված ակտիվները.</w:t>
      </w:r>
    </w:p>
    <w:p w14:paraId="360216F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0938A26F"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21) Տեղեկատվական համակարգ՝ ԱՊՊԱ համակարգի (ներառյալ` ԱՊՊԱ պայմանագրերի, ապահովադիրների, ապահովագրված անձանց, ավտոտրանսպորտային միջոցների) վերաբերյալ իրավական ակտերով սահմանված տեղեկություններ հավաքող, պահպանող, օգտագործող, տրամադրող և վիճակագրություն վարող համակարգ.</w:t>
      </w:r>
    </w:p>
    <w:p w14:paraId="5CBC2A7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39B68654"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22) Բոնուս-Մալուս՝ ԱՊՊԱ ոլորտում կիրառվող ապահովագրավճարների զեղչերի և հավելավճարների համակարգ, որի համար հիմք է ընդունվում ապահովագրական և (կամ) վարորդական պատմությունը.</w:t>
      </w:r>
    </w:p>
    <w:p w14:paraId="2A4C0F98"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2FF143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23) անդամավճար` սույն օրենքի հիման վրա Բյուրոյի կանոններով սահմանված չափով և կարգով Բյուրոյի անդամ ապահովագրական ընկերությունների կողմից Բյուրոյին անդամակցության դիմաց վճարվող վճարներ.</w:t>
      </w:r>
    </w:p>
    <w:p w14:paraId="4EB714DD"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60A8336E"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24) կցորդ (կիսակցորդ)` ըստ «Ճանապարհային երթևեկության անվտանգության ապահովման մասին» Հայաստանի Հանրապետության օրենքով սահմանված նշանակության.</w:t>
      </w:r>
    </w:p>
    <w:p w14:paraId="2FC9F84D"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724766AE"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25) արհեստական կառույցներ, ճանապարհային կահավորանք, ճանապարհային ինժեներական շինություններ` ըստ «Ավտոմոբիլային ճանապարհների մասին» Հայաստանի Հանրապետության օրենքով սահմանված նշանակության.</w:t>
      </w:r>
    </w:p>
    <w:p w14:paraId="383B10B4"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CFCAE0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26) ինքնուրույն կարգավորման միջոցով հատուցվող վնասի առավելագույն չափ` Բյուրոյի սահմանած` գույքին պատճառված վնասների առավելագույն չափ, որի դեպքում ապահովագրական պատահարի մասնակից կողմերը կարող են առանց ապահովագրական ընկերության (ապահովագրական ընկերությունների) համաձայնության լրացնել համաձայնեցված հայտարարագիրը.</w:t>
      </w:r>
    </w:p>
    <w:p w14:paraId="14ACCD7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453D574"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27) համաձայնեցված հայտարարագրի միջոցով հատուցվող վնասի առավելագույն չափ` Բյուրոյի սահմանած գույքին պատճառված վնասների առավելագույն չափ, որի դեպքում ապահովագրական պատահարի մասնակից կողմերը կարող են ապահովագրական ընկերության (ապահովագրական ընկերությունների) համաձայնությամբ լրացնել համաձայնեցված հայտարարագիրը.</w:t>
      </w:r>
    </w:p>
    <w:p w14:paraId="5F30A0F3"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679B7400"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28) փոխկապակցված անձ` ըստ «Ապահովագրության և ապահովագրական գործունեության մասին» Հայաստանի Հանրապետության օրենքով սահմանված նշանակության.</w:t>
      </w:r>
    </w:p>
    <w:p w14:paraId="51BE0927"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0271FF41"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29) հաշվառված ավտոտրանսպորտային միջոց` ավտոտրանսպորտային միջոց, որը Հայաստանի Հանրապետության իրավասու պետական մարմնի կողմից հաշվառված է որևէ անձի կամ կազմակերպության անվամբ (անվանմամբ) և օրենսդրությամբ սահմանված կարգով հաշվառումից ժամանակավոր հանված չէ:</w:t>
      </w:r>
    </w:p>
    <w:p w14:paraId="6A5A0B2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1B6B776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 Սույն օրենքի իմաստով` ապահովագրական գումար և ապահովագրական հատուցում հասկացությունները օգտագործվում են սույն օրենքով սահմանված պատճառված վնասներից յուրաքանչյուրի՝ անձնական և գույքին պատճառված վնասների համար, եթե տվյալ դրույթում հատուկ նշված չէ, որ այն օգտագործվում է ԱՊՊԱ-ի համար ընդհանրապես:</w:t>
      </w:r>
    </w:p>
    <w:p w14:paraId="04D12BF3"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678FC837" w14:textId="0E3458C1"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(3-րդ հոդվածը լրաց., փոփ. 19.06.13 ՀՕ-93-Ն, փոփ. 16.12.16 ՀՕ-27-Ն, լրաց. 09.12.19 ՀՕ-281-Ն)</w:t>
      </w:r>
    </w:p>
    <w:p w14:paraId="093D9319" w14:textId="7AEF20B4"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2C68B3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4433BFE" w14:textId="62615D62"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733D0E86"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b/>
          <w:bCs/>
          <w:color w:val="000000"/>
          <w:lang w:val="hy-AM" w:eastAsia="en-GB"/>
        </w:rPr>
      </w:pPr>
      <w:r w:rsidRPr="003C1CE4">
        <w:rPr>
          <w:rFonts w:ascii="GHEA Grapalat" w:eastAsia="Times New Roman" w:hAnsi="GHEA Grapalat" w:cs="Times New Roman"/>
          <w:b/>
          <w:bCs/>
          <w:color w:val="000000"/>
          <w:lang w:val="hy-AM" w:eastAsia="en-GB"/>
        </w:rPr>
        <w:t xml:space="preserve">Հոդված 25. </w:t>
      </w:r>
      <w:r w:rsidRPr="003C1CE4">
        <w:rPr>
          <w:rFonts w:ascii="GHEA Grapalat" w:eastAsia="Times New Roman" w:hAnsi="GHEA Grapalat" w:cs="Times New Roman"/>
          <w:b/>
          <w:bCs/>
          <w:color w:val="000000"/>
          <w:lang w:val="hy-AM" w:eastAsia="en-GB"/>
        </w:rPr>
        <w:tab/>
        <w:t>Պարտադիր ապահովագրման պահանջից բացառությունները</w:t>
      </w:r>
    </w:p>
    <w:p w14:paraId="08632E1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b/>
          <w:bCs/>
          <w:color w:val="000000"/>
          <w:lang w:val="hy-AM" w:eastAsia="en-GB"/>
        </w:rPr>
      </w:pPr>
      <w:r w:rsidRPr="003C1CE4">
        <w:rPr>
          <w:rFonts w:ascii="GHEA Grapalat" w:eastAsia="Times New Roman" w:hAnsi="GHEA Grapalat" w:cs="Times New Roman"/>
          <w:b/>
          <w:bCs/>
          <w:color w:val="000000"/>
          <w:lang w:val="hy-AM" w:eastAsia="en-GB"/>
        </w:rPr>
        <w:t xml:space="preserve"> </w:t>
      </w:r>
    </w:p>
    <w:p w14:paraId="5FEC8C5C"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10D19B5D"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 Ըստ սույն օրենքի` պարտադիր ապահովագրման պահանջը չի տարածվում ավտոտրանսպորտային միջոցի օգտագործումից բխող հետևյալ վնասների հատուցման համար պատասխանատվության վրա.</w:t>
      </w:r>
    </w:p>
    <w:p w14:paraId="5441EE83"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00680C7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1) անհաղթահարելի ուժի (ֆորս մաժոր) հետևանքով առաջացած պատահարի արդյունքում պատճառված վնասներ.</w:t>
      </w:r>
    </w:p>
    <w:p w14:paraId="32B38BF3"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2D0CA4C6"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 ահաբեկչական, ռազմական գործողությունների, խռովությունների կամ զանգվածային անկարգությունների հետևանքով առաջացած պատահարի արդյունքում պատճառված վնասներ.</w:t>
      </w:r>
    </w:p>
    <w:p w14:paraId="591A0A5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570B46E1"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3) վտանգավոր թափոնների տեղափոխման ժամանակ պատճառված վնասներ, եթե դրանք կապված են բացառապես վտանգավոր թափոնների հետ.</w:t>
      </w:r>
    </w:p>
    <w:p w14:paraId="66AB0412"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9C81AAD"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4) տուժողի դիտավորության հետևանքով տվյալ տուժողին պատճառված վնասներ.</w:t>
      </w:r>
    </w:p>
    <w:p w14:paraId="1CB44D8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C0EA5A8"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5) պետական սեփականություն համարվող բուսական կամ կենդանական աշխարհին, օդին, մակերևութային կամ ստորգետնյա ջրերին, ընդերքին պատճառված վնասներ.</w:t>
      </w:r>
    </w:p>
    <w:p w14:paraId="68F5FCAA"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3FEAEF68"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6) արվեստի գործերին, թանկարժեք զարդերին, քարերին կամ մետաղներին պատճառված վնասներ.</w:t>
      </w:r>
    </w:p>
    <w:p w14:paraId="32EF46F8"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208257EF"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7) բեռների փոխադրման պայմանագրով փոխադրվող բեռներին պատճառված վնասներ.</w:t>
      </w:r>
    </w:p>
    <w:p w14:paraId="43743C5F"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5D3CEC77"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8) օրենքով նախատեսված այլ վնասներ:</w:t>
      </w:r>
    </w:p>
    <w:p w14:paraId="054876E9"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8068EC7"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 Սույն օրենքի համաձայն` պարտադիր ապահովագրման ենթակա չէ հետևյալ տրանսպորտային միջոցների օգտագործումից բխող պատասխանատվությունը.</w:t>
      </w:r>
    </w:p>
    <w:p w14:paraId="3EA042BB"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252CE2FE" w14:textId="66EFE4B7" w:rsidR="00521E5A" w:rsidRPr="002D5B7D" w:rsidRDefault="00521E5A" w:rsidP="002D5B7D">
      <w:pPr>
        <w:shd w:val="clear" w:color="auto" w:fill="FFFFFF"/>
        <w:spacing w:after="0" w:line="240" w:lineRule="auto"/>
        <w:ind w:right="-270"/>
        <w:jc w:val="both"/>
        <w:rPr>
          <w:rFonts w:ascii="GHEA Grapalat" w:eastAsia="Times New Roman" w:hAnsi="GHEA Grapalat" w:cs="Times New Roman"/>
          <w:b/>
          <w:bCs/>
          <w:strike/>
          <w:color w:val="FF0000"/>
          <w:lang w:val="hy-AM" w:eastAsia="en-GB"/>
        </w:rPr>
      </w:pPr>
      <w:r w:rsidRPr="002D5B7D">
        <w:rPr>
          <w:rFonts w:ascii="GHEA Grapalat" w:eastAsia="Times New Roman" w:hAnsi="GHEA Grapalat" w:cs="Times New Roman"/>
          <w:b/>
          <w:bCs/>
          <w:strike/>
          <w:color w:val="FF0000"/>
          <w:lang w:val="hy-AM" w:eastAsia="en-GB"/>
        </w:rPr>
        <w:t>1) առավելագույն արագությունը 50 կմ/ժ-ը կամ շարժիչի ծավալը 50 սմ3-ը չգերազանցող ավտոտրանսպորտային միջոցներ.</w:t>
      </w:r>
    </w:p>
    <w:p w14:paraId="1C262915"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strike/>
          <w:color w:val="000000"/>
          <w:lang w:val="hy-AM" w:eastAsia="en-GB"/>
        </w:rPr>
      </w:pPr>
    </w:p>
    <w:p w14:paraId="15FEFE6F" w14:textId="77B8353B"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FF0000"/>
          <w:lang w:val="hy-AM" w:eastAsia="en-GB"/>
        </w:rPr>
      </w:pPr>
      <w:r w:rsidRPr="003C1CE4">
        <w:rPr>
          <w:rFonts w:ascii="GHEA Grapalat" w:eastAsia="Times New Roman" w:hAnsi="GHEA Grapalat" w:cs="Times New Roman"/>
          <w:color w:val="FF0000"/>
          <w:lang w:val="hy-AM" w:eastAsia="en-GB"/>
        </w:rPr>
        <w:t xml:space="preserve">1) </w:t>
      </w:r>
      <w:r w:rsidR="00306ECC" w:rsidRPr="00306ECC">
        <w:rPr>
          <w:rFonts w:ascii="GHEA Grapalat" w:eastAsia="Times New Roman" w:hAnsi="GHEA Grapalat" w:cs="Times New Roman"/>
          <w:color w:val="FF0000"/>
          <w:lang w:val="hy-AM" w:eastAsia="en-GB"/>
        </w:rPr>
        <w:t xml:space="preserve">ավտոտրանսպորտային միջոցներ, որոնց շարժիչի առավելագույն ծավալը և զարգացրած առավելագույն արագությունը կամ շարժիչի </w:t>
      </w:r>
      <w:r w:rsidR="00A347F6" w:rsidRPr="00DD3E1F">
        <w:rPr>
          <w:rFonts w:ascii="GHEA Grapalat" w:eastAsia="Times New Roman" w:hAnsi="GHEA Grapalat" w:cs="Times New Roman"/>
          <w:color w:val="FF0000"/>
          <w:lang w:val="hy-AM" w:eastAsia="en-GB"/>
        </w:rPr>
        <w:t xml:space="preserve">առավելագույն </w:t>
      </w:r>
      <w:r w:rsidR="00306ECC" w:rsidRPr="00DD3E1F">
        <w:rPr>
          <w:rFonts w:ascii="GHEA Grapalat" w:eastAsia="Times New Roman" w:hAnsi="GHEA Grapalat" w:cs="Times New Roman"/>
          <w:color w:val="FF0000"/>
          <w:lang w:val="hy-AM" w:eastAsia="en-GB"/>
        </w:rPr>
        <w:t>հ</w:t>
      </w:r>
      <w:r w:rsidR="00306ECC" w:rsidRPr="00306ECC">
        <w:rPr>
          <w:rFonts w:ascii="GHEA Grapalat" w:eastAsia="Times New Roman" w:hAnsi="GHEA Grapalat" w:cs="Times New Roman"/>
          <w:color w:val="FF0000"/>
          <w:lang w:val="hy-AM" w:eastAsia="en-GB"/>
        </w:rPr>
        <w:t>զորությունը և զարգացրած առավելագույն արագությունը չեն գերազանցում Հայաստանի Հանրապետության կառավարության սահմանած կարգով պետական գրանցման ենթակա լինելու համար նախատեսված սահմանաչափը</w:t>
      </w:r>
      <w:r w:rsidR="00CB2D11" w:rsidRPr="003571B1">
        <w:rPr>
          <w:rFonts w:ascii="Cambria Math" w:eastAsia="Times New Roman" w:hAnsi="Cambria Math" w:cs="Times New Roman"/>
          <w:color w:val="FF0000"/>
          <w:lang w:val="hy-AM" w:eastAsia="en-GB"/>
        </w:rPr>
        <w:t>․</w:t>
      </w:r>
    </w:p>
    <w:p w14:paraId="460CE2B2"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strike/>
          <w:color w:val="000000"/>
          <w:lang w:val="hy-AM" w:eastAsia="en-GB"/>
        </w:rPr>
      </w:pPr>
    </w:p>
    <w:p w14:paraId="776197E2"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2) միայն հատուկ առանձնացված վայրերում օգտագործվող մարզական կամ ժամանցի նպատակով օգտագործվող ավտոտրանսպորտային միջոցներ` միայն այդ վայրերում օգտագործելու դեպքում.</w:t>
      </w:r>
    </w:p>
    <w:p w14:paraId="760CB568"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60983DCE"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3) բացառապես ոչ ընդհանուր օգտագործման ավտոմոբիլային ճանապարհներով երթևեկելու համար նախատեսված ավտոտրանսպորտային միջոցներ.</w:t>
      </w:r>
    </w:p>
    <w:p w14:paraId="4B87FEBF"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4C4857D6" w14:textId="3B44C95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r w:rsidRPr="003C1CE4">
        <w:rPr>
          <w:rFonts w:ascii="GHEA Grapalat" w:eastAsia="Times New Roman" w:hAnsi="GHEA Grapalat" w:cs="Times New Roman"/>
          <w:color w:val="000000"/>
          <w:lang w:val="hy-AM" w:eastAsia="en-GB"/>
        </w:rPr>
        <w:t>4) Հայաստանի Հանրապետության տարածք առանց վարելու ներմուծվող ավտոտրանսպորտային միջոցներ` մինչև Հայաստանի Հանրապետության տարածքում դրանց օգտագործումը:</w:t>
      </w:r>
    </w:p>
    <w:p w14:paraId="1200D600" w14:textId="77777777" w:rsidR="00521E5A" w:rsidRPr="003C1CE4" w:rsidRDefault="00521E5A"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p w14:paraId="2F0B5093" w14:textId="601EEBC5" w:rsidR="00BA302C" w:rsidRPr="00521E5A" w:rsidRDefault="00BA302C" w:rsidP="002D5B7D">
      <w:pPr>
        <w:shd w:val="clear" w:color="auto" w:fill="FFFFFF"/>
        <w:spacing w:after="0" w:line="240" w:lineRule="auto"/>
        <w:ind w:right="-270"/>
        <w:jc w:val="both"/>
        <w:rPr>
          <w:rFonts w:ascii="GHEA Grapalat" w:eastAsia="Times New Roman" w:hAnsi="GHEA Grapalat" w:cs="Times New Roman"/>
          <w:color w:val="000000"/>
          <w:lang w:val="hy-AM" w:eastAsia="en-GB"/>
        </w:rPr>
      </w:pPr>
    </w:p>
    <w:sectPr w:rsidR="00BA302C" w:rsidRPr="00521E5A" w:rsidSect="002D5B7D">
      <w:pgSz w:w="12240" w:h="15840"/>
      <w:pgMar w:top="450" w:right="900" w:bottom="709" w:left="9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IRTEK Courier">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0250B"/>
    <w:rsid w:val="00071668"/>
    <w:rsid w:val="00136C50"/>
    <w:rsid w:val="00136D84"/>
    <w:rsid w:val="00153223"/>
    <w:rsid w:val="001A5EEE"/>
    <w:rsid w:val="002742DA"/>
    <w:rsid w:val="002B0B68"/>
    <w:rsid w:val="002D5B7D"/>
    <w:rsid w:val="00306ECC"/>
    <w:rsid w:val="003571B1"/>
    <w:rsid w:val="00366FDE"/>
    <w:rsid w:val="003C1CE4"/>
    <w:rsid w:val="004042EA"/>
    <w:rsid w:val="004A5AB3"/>
    <w:rsid w:val="00521E5A"/>
    <w:rsid w:val="005763A4"/>
    <w:rsid w:val="005C2241"/>
    <w:rsid w:val="00686AFF"/>
    <w:rsid w:val="00715205"/>
    <w:rsid w:val="00724C82"/>
    <w:rsid w:val="00727914"/>
    <w:rsid w:val="00784401"/>
    <w:rsid w:val="008144A6"/>
    <w:rsid w:val="00834359"/>
    <w:rsid w:val="00834654"/>
    <w:rsid w:val="008404DB"/>
    <w:rsid w:val="0084676B"/>
    <w:rsid w:val="00991D3F"/>
    <w:rsid w:val="00A0250B"/>
    <w:rsid w:val="00A347F6"/>
    <w:rsid w:val="00AA6F61"/>
    <w:rsid w:val="00AD550F"/>
    <w:rsid w:val="00B87C64"/>
    <w:rsid w:val="00BA302C"/>
    <w:rsid w:val="00BB5B0E"/>
    <w:rsid w:val="00C77C95"/>
    <w:rsid w:val="00C82D7E"/>
    <w:rsid w:val="00C8780D"/>
    <w:rsid w:val="00CA6C4A"/>
    <w:rsid w:val="00CB2D11"/>
    <w:rsid w:val="00CF243D"/>
    <w:rsid w:val="00D835EC"/>
    <w:rsid w:val="00DD3E1F"/>
    <w:rsid w:val="00EB4C02"/>
    <w:rsid w:val="00EC2FAA"/>
    <w:rsid w:val="00FD50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B711"/>
  <w15:docId w15:val="{F6BF6F4E-3712-446E-8317-8FE3E2EBC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50B"/>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A0250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A0250B"/>
    <w:rPr>
      <w:rFonts w:ascii="Times New Roman" w:eastAsia="Times New Roman" w:hAnsi="Times New Roman" w:cs="Times New Roman"/>
      <w:sz w:val="24"/>
      <w:szCs w:val="24"/>
    </w:rPr>
  </w:style>
  <w:style w:type="paragraph" w:styleId="NoSpacing">
    <w:name w:val="No Spacing"/>
    <w:uiPriority w:val="1"/>
    <w:qFormat/>
    <w:rsid w:val="00EB4C02"/>
    <w:pPr>
      <w:spacing w:after="0" w:line="240" w:lineRule="auto"/>
    </w:pPr>
  </w:style>
  <w:style w:type="character" w:styleId="Strong">
    <w:name w:val="Strong"/>
    <w:basedOn w:val="DefaultParagraphFont"/>
    <w:uiPriority w:val="22"/>
    <w:qFormat/>
    <w:rsid w:val="00B87C64"/>
    <w:rPr>
      <w:b/>
      <w:bCs/>
    </w:rPr>
  </w:style>
  <w:style w:type="character" w:styleId="Hyperlink">
    <w:name w:val="Hyperlink"/>
    <w:basedOn w:val="DefaultParagraphFont"/>
    <w:uiPriority w:val="99"/>
    <w:unhideWhenUsed/>
    <w:rsid w:val="00136C50"/>
    <w:rPr>
      <w:color w:val="0000FF" w:themeColor="hyperlink"/>
      <w:u w:val="single"/>
    </w:rPr>
  </w:style>
  <w:style w:type="character" w:customStyle="1" w:styleId="UnresolvedMention1">
    <w:name w:val="Unresolved Mention1"/>
    <w:basedOn w:val="DefaultParagraphFont"/>
    <w:uiPriority w:val="99"/>
    <w:semiHidden/>
    <w:unhideWhenUsed/>
    <w:rsid w:val="00136C50"/>
    <w:rPr>
      <w:color w:val="605E5C"/>
      <w:shd w:val="clear" w:color="auto" w:fill="E1DFDD"/>
    </w:rPr>
  </w:style>
  <w:style w:type="paragraph" w:styleId="BalloonText">
    <w:name w:val="Balloon Text"/>
    <w:basedOn w:val="Normal"/>
    <w:link w:val="BalloonTextChar"/>
    <w:uiPriority w:val="99"/>
    <w:semiHidden/>
    <w:unhideWhenUsed/>
    <w:rsid w:val="007152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5205"/>
    <w:rPr>
      <w:rFonts w:ascii="Segoe UI" w:hAnsi="Segoe UI" w:cs="Segoe UI"/>
      <w:sz w:val="18"/>
      <w:szCs w:val="18"/>
    </w:rPr>
  </w:style>
  <w:style w:type="character" w:styleId="Emphasis">
    <w:name w:val="Emphasis"/>
    <w:basedOn w:val="DefaultParagraphFont"/>
    <w:uiPriority w:val="20"/>
    <w:qFormat/>
    <w:rsid w:val="00784401"/>
    <w:rPr>
      <w:i/>
      <w:iCs/>
    </w:rPr>
  </w:style>
  <w:style w:type="paragraph" w:styleId="ListParagraph">
    <w:name w:val="List Paragraph"/>
    <w:basedOn w:val="Normal"/>
    <w:uiPriority w:val="34"/>
    <w:qFormat/>
    <w:rsid w:val="00521E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0467543">
      <w:bodyDiv w:val="1"/>
      <w:marLeft w:val="0"/>
      <w:marRight w:val="0"/>
      <w:marTop w:val="0"/>
      <w:marBottom w:val="0"/>
      <w:divBdr>
        <w:top w:val="none" w:sz="0" w:space="0" w:color="auto"/>
        <w:left w:val="none" w:sz="0" w:space="0" w:color="auto"/>
        <w:bottom w:val="none" w:sz="0" w:space="0" w:color="auto"/>
        <w:right w:val="none" w:sz="0" w:space="0" w:color="auto"/>
      </w:divBdr>
    </w:div>
    <w:div w:id="208568310">
      <w:bodyDiv w:val="1"/>
      <w:marLeft w:val="0"/>
      <w:marRight w:val="0"/>
      <w:marTop w:val="0"/>
      <w:marBottom w:val="0"/>
      <w:divBdr>
        <w:top w:val="none" w:sz="0" w:space="0" w:color="auto"/>
        <w:left w:val="none" w:sz="0" w:space="0" w:color="auto"/>
        <w:bottom w:val="none" w:sz="0" w:space="0" w:color="auto"/>
        <w:right w:val="none" w:sz="0" w:space="0" w:color="auto"/>
      </w:divBdr>
    </w:div>
    <w:div w:id="244458149">
      <w:bodyDiv w:val="1"/>
      <w:marLeft w:val="0"/>
      <w:marRight w:val="0"/>
      <w:marTop w:val="0"/>
      <w:marBottom w:val="0"/>
      <w:divBdr>
        <w:top w:val="none" w:sz="0" w:space="0" w:color="auto"/>
        <w:left w:val="none" w:sz="0" w:space="0" w:color="auto"/>
        <w:bottom w:val="none" w:sz="0" w:space="0" w:color="auto"/>
        <w:right w:val="none" w:sz="0" w:space="0" w:color="auto"/>
      </w:divBdr>
    </w:div>
    <w:div w:id="528101813">
      <w:bodyDiv w:val="1"/>
      <w:marLeft w:val="0"/>
      <w:marRight w:val="0"/>
      <w:marTop w:val="0"/>
      <w:marBottom w:val="0"/>
      <w:divBdr>
        <w:top w:val="none" w:sz="0" w:space="0" w:color="auto"/>
        <w:left w:val="none" w:sz="0" w:space="0" w:color="auto"/>
        <w:bottom w:val="none" w:sz="0" w:space="0" w:color="auto"/>
        <w:right w:val="none" w:sz="0" w:space="0" w:color="auto"/>
      </w:divBdr>
    </w:div>
    <w:div w:id="669605910">
      <w:bodyDiv w:val="1"/>
      <w:marLeft w:val="0"/>
      <w:marRight w:val="0"/>
      <w:marTop w:val="0"/>
      <w:marBottom w:val="0"/>
      <w:divBdr>
        <w:top w:val="none" w:sz="0" w:space="0" w:color="auto"/>
        <w:left w:val="none" w:sz="0" w:space="0" w:color="auto"/>
        <w:bottom w:val="none" w:sz="0" w:space="0" w:color="auto"/>
        <w:right w:val="none" w:sz="0" w:space="0" w:color="auto"/>
      </w:divBdr>
    </w:div>
    <w:div w:id="713428495">
      <w:bodyDiv w:val="1"/>
      <w:marLeft w:val="0"/>
      <w:marRight w:val="0"/>
      <w:marTop w:val="0"/>
      <w:marBottom w:val="0"/>
      <w:divBdr>
        <w:top w:val="none" w:sz="0" w:space="0" w:color="auto"/>
        <w:left w:val="none" w:sz="0" w:space="0" w:color="auto"/>
        <w:bottom w:val="none" w:sz="0" w:space="0" w:color="auto"/>
        <w:right w:val="none" w:sz="0" w:space="0" w:color="auto"/>
      </w:divBdr>
    </w:div>
    <w:div w:id="738600876">
      <w:bodyDiv w:val="1"/>
      <w:marLeft w:val="0"/>
      <w:marRight w:val="0"/>
      <w:marTop w:val="0"/>
      <w:marBottom w:val="0"/>
      <w:divBdr>
        <w:top w:val="none" w:sz="0" w:space="0" w:color="auto"/>
        <w:left w:val="none" w:sz="0" w:space="0" w:color="auto"/>
        <w:bottom w:val="none" w:sz="0" w:space="0" w:color="auto"/>
        <w:right w:val="none" w:sz="0" w:space="0" w:color="auto"/>
      </w:divBdr>
    </w:div>
    <w:div w:id="763036816">
      <w:bodyDiv w:val="1"/>
      <w:marLeft w:val="0"/>
      <w:marRight w:val="0"/>
      <w:marTop w:val="0"/>
      <w:marBottom w:val="0"/>
      <w:divBdr>
        <w:top w:val="none" w:sz="0" w:space="0" w:color="auto"/>
        <w:left w:val="none" w:sz="0" w:space="0" w:color="auto"/>
        <w:bottom w:val="none" w:sz="0" w:space="0" w:color="auto"/>
        <w:right w:val="none" w:sz="0" w:space="0" w:color="auto"/>
      </w:divBdr>
    </w:div>
    <w:div w:id="910576681">
      <w:bodyDiv w:val="1"/>
      <w:marLeft w:val="0"/>
      <w:marRight w:val="0"/>
      <w:marTop w:val="0"/>
      <w:marBottom w:val="0"/>
      <w:divBdr>
        <w:top w:val="none" w:sz="0" w:space="0" w:color="auto"/>
        <w:left w:val="none" w:sz="0" w:space="0" w:color="auto"/>
        <w:bottom w:val="none" w:sz="0" w:space="0" w:color="auto"/>
        <w:right w:val="none" w:sz="0" w:space="0" w:color="auto"/>
      </w:divBdr>
    </w:div>
    <w:div w:id="1450469094">
      <w:bodyDiv w:val="1"/>
      <w:marLeft w:val="0"/>
      <w:marRight w:val="0"/>
      <w:marTop w:val="0"/>
      <w:marBottom w:val="0"/>
      <w:divBdr>
        <w:top w:val="none" w:sz="0" w:space="0" w:color="auto"/>
        <w:left w:val="none" w:sz="0" w:space="0" w:color="auto"/>
        <w:bottom w:val="none" w:sz="0" w:space="0" w:color="auto"/>
        <w:right w:val="none" w:sz="0" w:space="0" w:color="auto"/>
      </w:divBdr>
    </w:div>
    <w:div w:id="1468623861">
      <w:bodyDiv w:val="1"/>
      <w:marLeft w:val="0"/>
      <w:marRight w:val="0"/>
      <w:marTop w:val="0"/>
      <w:marBottom w:val="0"/>
      <w:divBdr>
        <w:top w:val="none" w:sz="0" w:space="0" w:color="auto"/>
        <w:left w:val="none" w:sz="0" w:space="0" w:color="auto"/>
        <w:bottom w:val="none" w:sz="0" w:space="0" w:color="auto"/>
        <w:right w:val="none" w:sz="0" w:space="0" w:color="auto"/>
      </w:divBdr>
    </w:div>
    <w:div w:id="1865241693">
      <w:bodyDiv w:val="1"/>
      <w:marLeft w:val="0"/>
      <w:marRight w:val="0"/>
      <w:marTop w:val="0"/>
      <w:marBottom w:val="0"/>
      <w:divBdr>
        <w:top w:val="none" w:sz="0" w:space="0" w:color="auto"/>
        <w:left w:val="none" w:sz="0" w:space="0" w:color="auto"/>
        <w:bottom w:val="none" w:sz="0" w:space="0" w:color="auto"/>
        <w:right w:val="none" w:sz="0" w:space="0" w:color="auto"/>
      </w:divBdr>
    </w:div>
    <w:div w:id="1977174416">
      <w:bodyDiv w:val="1"/>
      <w:marLeft w:val="0"/>
      <w:marRight w:val="0"/>
      <w:marTop w:val="0"/>
      <w:marBottom w:val="0"/>
      <w:divBdr>
        <w:top w:val="none" w:sz="0" w:space="0" w:color="auto"/>
        <w:left w:val="none" w:sz="0" w:space="0" w:color="auto"/>
        <w:bottom w:val="none" w:sz="0" w:space="0" w:color="auto"/>
        <w:right w:val="none" w:sz="0" w:space="0" w:color="auto"/>
      </w:divBdr>
    </w:div>
    <w:div w:id="2087071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164</TotalTime>
  <Pages>4</Pages>
  <Words>1059</Words>
  <Characters>8486</Characters>
  <Application>Microsoft Office Word</Application>
  <DocSecurity>0</DocSecurity>
  <Lines>193</Lines>
  <Paragraphs>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https://mul2.gov.am/tasks/1270576/oneclick?token=fc362daaade43531485166744ee2a2ce</cp:keywords>
  <dc:description/>
  <cp:lastModifiedBy>Ruslan Marandyan</cp:lastModifiedBy>
  <cp:revision>29</cp:revision>
  <dcterms:created xsi:type="dcterms:W3CDTF">2023-04-07T07:10:00Z</dcterms:created>
  <dcterms:modified xsi:type="dcterms:W3CDTF">2026-01-21T09:24:00Z</dcterms:modified>
</cp:coreProperties>
</file>