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ffffff" w:val="clear"/>
        <w:spacing w:line="240" w:lineRule="auto"/>
        <w:ind w:left="144" w:right="-918" w:firstLine="0"/>
        <w:jc w:val="right"/>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ffffff" w:val="clear"/>
        <w:spacing w:line="240" w:lineRule="auto"/>
        <w:ind w:left="144" w:right="-918" w:firstLine="0"/>
        <w:jc w:val="right"/>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ՆԱԽԱԳԻԾ</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ffffff" w:val="clear"/>
        <w:spacing w:line="240" w:lineRule="auto"/>
        <w:ind w:left="144" w:right="-918" w:firstLine="0"/>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ffffff" w:val="clear"/>
        <w:spacing w:line="240" w:lineRule="auto"/>
        <w:ind w:right="-918"/>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ffffff" w:val="clear"/>
        <w:spacing w:line="240" w:lineRule="auto"/>
        <w:ind w:left="144" w:right="-918" w:firstLine="0"/>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ՀԱՅԱՍՏԱՆԻ ՀԱՆՐԱՊԵՏՈՒԹՅԱՆ</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ffffff" w:val="clear"/>
        <w:spacing w:line="240" w:lineRule="auto"/>
        <w:ind w:left="144" w:right="-918" w:firstLine="0"/>
        <w:jc w:val="center"/>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Օ Ր Ե Ն Ք Ը</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ffffff" w:val="clear"/>
        <w:spacing w:line="240" w:lineRule="auto"/>
        <w:ind w:left="144" w:right="-918" w:firstLine="0"/>
        <w:jc w:val="center"/>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ffffff" w:val="clear"/>
        <w:spacing w:line="240" w:lineRule="auto"/>
        <w:ind w:left="144" w:right="-918" w:firstLine="0"/>
        <w:jc w:val="center"/>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«ԳՈՎԱԶԴԻ</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ՄԱՍԻՆ»</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ՕՐԵՆՔՈՒՄ</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ffffff" w:val="clear"/>
        <w:spacing w:line="240" w:lineRule="auto"/>
        <w:ind w:left="144" w:right="-918" w:firstLine="0"/>
        <w:jc w:val="center"/>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 ՓՈՓՈԽՈՒԹՅՈՒՆՆԵՐ</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ԵՎ ԼՐԱՑՈՒՄՆԵՐ ԿԱՏԱՐԵԼՈՒ</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ՄԱՍԻՆ</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ffffff" w:val="clear"/>
        <w:spacing w:line="240" w:lineRule="auto"/>
        <w:ind w:right="-918"/>
        <w:rPr>
          <w:rFonts w:ascii="GHEA Grapalat" w:cs="GHEA Grapalat" w:eastAsia="GHEA Grapalat" w:hAnsi="GHEA Grapalat"/>
          <w:color w:val="000000"/>
          <w:sz w:val="24"/>
          <w:szCs w:val="24"/>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b w:val="1"/>
          <w:bCs w:val="1"/>
          <w:color w:val="000000"/>
          <w:sz w:val="24"/>
          <w:szCs w:val="24"/>
          <w:rtl w:val="0"/>
        </w:rPr>
        <w:t xml:space="preserve">1.</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«Գովազդի</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մասին» 1996 թվականի ապրիլի 30-ի ՀՕ-55 օրենքի (այսուհետ՝ Օրենք) 2-րդ հոդվածում՝</w:t>
      </w:r>
    </w:p>
    <w:p w:rsidR="00000000" w:rsidDel="00000000" w:rsidP="00000000" w:rsidRDefault="00000000" w:rsidRPr="00000000" w14:paraId="0000000C">
      <w:pPr>
        <w:numPr>
          <w:ilvl w:val="0"/>
          <w:numId w:val="2"/>
        </w:numPr>
        <w:pBdr>
          <w:top w:space="0" w:sz="0" w:val="nil"/>
          <w:left w:space="0" w:sz="0" w:val="nil"/>
          <w:bottom w:space="0" w:sz="0" w:val="nil"/>
          <w:right w:space="0" w:sz="0" w:val="nil"/>
          <w:between w:space="0" w:sz="0" w:val="nil"/>
        </w:pBdr>
        <w:ind w:left="180" w:right="-862"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առաջին պարբերությունը «Սույն» բառից առաջ լրացնել «1</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թվով, իսկ հասկացությունները համապատասխանաբար համարակալել 1-11 թվերով</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ffffff" w:val="clear"/>
        <w:spacing w:line="240" w:lineRule="auto"/>
        <w:ind w:right="-918" w:firstLine="810"/>
        <w:jc w:val="both"/>
        <w:rPr>
          <w:rFonts w:ascii="Cambria Math" w:cs="Cambria Math" w:eastAsia="Cambria Math" w:hAnsi="Cambria Math"/>
          <w:color w:val="000000"/>
          <w:sz w:val="24"/>
          <w:szCs w:val="24"/>
        </w:rPr>
      </w:pPr>
      <w:r w:rsidDel="00000000" w:rsidR="00000000" w:rsidRPr="00000000">
        <w:rPr>
          <w:rFonts w:ascii="GHEA Grapalat" w:cs="GHEA Grapalat" w:eastAsia="GHEA Grapalat" w:hAnsi="GHEA Grapalat"/>
          <w:color w:val="000000"/>
          <w:sz w:val="24"/>
          <w:szCs w:val="24"/>
          <w:rtl w:val="0"/>
        </w:rPr>
        <w:t xml:space="preserve">2) 1-ին մասի 3-րդ կետից</w:t>
      </w:r>
      <w:r w:rsidDel="00000000" w:rsidR="00000000" w:rsidRPr="00000000">
        <w:rPr>
          <w:rFonts w:ascii="GHEA Grapalat" w:cs="GHEA Grapalat" w:eastAsia="GHEA Grapalat" w:hAnsi="GHEA Grapalat"/>
          <w:color w:val="000000"/>
          <w:sz w:val="24"/>
          <w:szCs w:val="24"/>
          <w:highlight w:val="white"/>
          <w:rtl w:val="0"/>
        </w:rPr>
        <w:t xml:space="preserve"> հետո լրացնել հետևյալ բովանդակությամբ նոր 4-րդ և 5-րդ կետերով</w:t>
      </w:r>
      <w:r w:rsidDel="00000000" w:rsidR="00000000" w:rsidRPr="00000000">
        <w:rPr>
          <w:rFonts w:ascii="Cambria Math" w:cs="Cambria Math" w:eastAsia="Cambria Math" w:hAnsi="Cambria Math"/>
          <w:color w:val="000000"/>
          <w:sz w:val="24"/>
          <w:szCs w:val="24"/>
          <w:highlight w:val="white"/>
          <w:rtl w:val="0"/>
        </w:rPr>
        <w:t xml:space="preserve">․</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ffffff" w:val="clear"/>
        <w:spacing w:line="240" w:lineRule="auto"/>
        <w:ind w:right="-918" w:firstLine="630"/>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rtl w:val="0"/>
        </w:rPr>
        <w:t xml:space="preserve">«4) </w:t>
      </w:r>
      <w:r w:rsidDel="00000000" w:rsidR="00000000" w:rsidRPr="00000000">
        <w:rPr>
          <w:rFonts w:ascii="GHEA Grapalat" w:cs="GHEA Grapalat" w:eastAsia="GHEA Grapalat" w:hAnsi="GHEA Grapalat"/>
          <w:b w:val="1"/>
          <w:bCs w:val="1"/>
          <w:color w:val="000000"/>
          <w:sz w:val="24"/>
          <w:szCs w:val="24"/>
          <w:rtl w:val="0"/>
        </w:rPr>
        <w:t xml:space="preserve">մոլորության մեջ գցող գովազդ՝</w:t>
      </w:r>
      <w:r w:rsidDel="00000000" w:rsidR="00000000" w:rsidRPr="00000000">
        <w:rPr>
          <w:rFonts w:ascii="GHEA Grapalat" w:cs="GHEA Grapalat" w:eastAsia="GHEA Grapalat" w:hAnsi="GHEA Grapalat"/>
          <w:color w:val="000000"/>
          <w:sz w:val="24"/>
          <w:szCs w:val="24"/>
          <w:rtl w:val="0"/>
        </w:rPr>
        <w:t xml:space="preserve"> անբարեխիղճ գովազդ, որը </w:t>
      </w:r>
      <w:r w:rsidDel="00000000" w:rsidR="00000000" w:rsidRPr="00000000">
        <w:rPr>
          <w:rFonts w:ascii="GHEA Grapalat" w:cs="GHEA Grapalat" w:eastAsia="GHEA Grapalat" w:hAnsi="GHEA Grapalat"/>
          <w:color w:val="333333"/>
          <w:sz w:val="24"/>
          <w:szCs w:val="24"/>
          <w:rtl w:val="0"/>
        </w:rPr>
        <w:t xml:space="preserve">պարունակում է ցանկացած ոչ հավաստի, աղավաղված տեղեկատվություն, կամ տեղեկատվությունը ներկայացվում է այն ձևով, որ թեև այն փաստացի ճիշտ է, սակայն</w:t>
      </w:r>
      <w:r w:rsidDel="00000000" w:rsidR="00000000" w:rsidRPr="00000000">
        <w:rPr>
          <w:rFonts w:ascii="GHEA Grapalat" w:cs="GHEA Grapalat" w:eastAsia="GHEA Grapalat" w:hAnsi="GHEA Grapalat"/>
          <w:color w:val="000000"/>
          <w:sz w:val="24"/>
          <w:szCs w:val="24"/>
          <w:rtl w:val="0"/>
        </w:rPr>
        <w:t xml:space="preserve"> որևէ կերպ, այդ թվում՝ ներկայացման եղանակով</w:t>
      </w:r>
      <w:r w:rsidDel="00000000" w:rsidR="00000000" w:rsidRPr="00000000">
        <w:rPr>
          <w:rFonts w:ascii="GHEA Grapalat" w:cs="GHEA Grapalat" w:eastAsia="GHEA Grapalat" w:hAnsi="GHEA Grapalat"/>
          <w:color w:val="333333"/>
          <w:sz w:val="24"/>
          <w:szCs w:val="24"/>
          <w:rtl w:val="0"/>
        </w:rPr>
        <w:t xml:space="preserve">, կարող է թյուր տպավորություն ստեղծել տնտեսավարող սուբյեկտի, նրա գործունեության կամ առաջարկած ապրանքի (աշխատանքի, ծառայության), դրա գովազդմանը, տարածմանը կամ իրացմանը նպաստող միջոցառումների, ապրանքի (աշխատանքի, ծառայության) աշխարհագրական ծագման կամ արտադրության կամ իրացման գործընթացի, որոշակի նպատակի համար դրա պիտանիության, դրա ժամկետի, որակի, քանակի կամ այլ բնութագրերի, առաջարկման կամ մատուցման պայմանների կամ գնի կամ դրա հաշվարկման եղանակի կամ սպառողի իրավունքների վերաբերյալ, </w:t>
      </w:r>
      <w:r w:rsidDel="00000000" w:rsidR="00000000" w:rsidRPr="00000000">
        <w:rPr>
          <w:rFonts w:ascii="GHEA Grapalat" w:cs="GHEA Grapalat" w:eastAsia="GHEA Grapalat" w:hAnsi="GHEA Grapalat"/>
          <w:color w:val="000000"/>
          <w:sz w:val="24"/>
          <w:szCs w:val="24"/>
          <w:rtl w:val="0"/>
        </w:rPr>
        <w:t xml:space="preserve">մոլորեցնում կամ կարող է մոլորեցնել սույն օրենքով սահմանված գովազդ սպառողներին, և իր մոլորեցնող բնույթով կարող է ազդել այդ անձանց տնտեսական վարքագծի վրա կամ կարող է վնասել </w:t>
      </w:r>
      <w:r w:rsidDel="00000000" w:rsidR="00000000" w:rsidRPr="00000000">
        <w:rPr>
          <w:rFonts w:ascii="GHEA Grapalat" w:cs="GHEA Grapalat" w:eastAsia="GHEA Grapalat" w:hAnsi="GHEA Grapalat"/>
          <w:color w:val="000000"/>
          <w:sz w:val="24"/>
          <w:szCs w:val="24"/>
          <w:highlight w:val="white"/>
          <w:rtl w:val="0"/>
        </w:rPr>
        <w:t xml:space="preserve">մրցակից տնտեսավարող սուբյեկտներին</w:t>
      </w:r>
      <w:r w:rsidDel="00000000" w:rsidR="00000000" w:rsidRPr="00000000">
        <w:rPr>
          <w:rFonts w:ascii="GHEA Grapalat" w:cs="GHEA Grapalat" w:eastAsia="GHEA Grapalat" w:hAnsi="GHEA Grapalat"/>
          <w:color w:val="333333"/>
          <w:sz w:val="24"/>
          <w:szCs w:val="24"/>
          <w:rtl w:val="0"/>
        </w:rPr>
        <w:t xml:space="preserve">։ </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5)</w:t>
      </w:r>
      <w:r w:rsidDel="00000000" w:rsidR="00000000" w:rsidRPr="00000000">
        <w:rPr>
          <w:rFonts w:ascii="GHEA Grapalat" w:cs="GHEA Grapalat" w:eastAsia="GHEA Grapalat" w:hAnsi="GHEA Grapalat"/>
          <w:b w:val="1"/>
          <w:bCs w:val="1"/>
          <w:color w:val="000000"/>
          <w:sz w:val="24"/>
          <w:szCs w:val="24"/>
          <w:rtl w:val="0"/>
        </w:rPr>
        <w:t xml:space="preserve"> համեմատություններ պարունակող գովազդ՝</w:t>
      </w:r>
      <w:r w:rsidDel="00000000" w:rsidR="00000000" w:rsidRPr="00000000">
        <w:rPr>
          <w:rFonts w:ascii="GHEA Grapalat" w:cs="GHEA Grapalat" w:eastAsia="GHEA Grapalat" w:hAnsi="GHEA Grapalat"/>
          <w:color w:val="000000"/>
          <w:sz w:val="24"/>
          <w:szCs w:val="24"/>
          <w:rtl w:val="0"/>
        </w:rPr>
        <w:t xml:space="preserve"> գովազդ, որն </w:t>
      </w:r>
      <w:r w:rsidDel="00000000" w:rsidR="00000000" w:rsidRPr="00000000">
        <w:rPr>
          <w:rFonts w:ascii="Calibri" w:cs="Calibri" w:eastAsia="Calibri" w:hAnsi="Calibri"/>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highlight w:val="white"/>
          <w:rtl w:val="0"/>
        </w:rPr>
        <w:t xml:space="preserve">ուղղակիորեն կամ անուղղակիորեն</w:t>
      </w:r>
      <w:r w:rsidDel="00000000" w:rsidR="00000000" w:rsidRPr="00000000">
        <w:rPr>
          <w:rFonts w:ascii="GHEA Grapalat" w:cs="GHEA Grapalat" w:eastAsia="GHEA Grapalat" w:hAnsi="GHEA Grapalat"/>
          <w:color w:val="000000"/>
          <w:sz w:val="24"/>
          <w:szCs w:val="24"/>
          <w:rtl w:val="0"/>
        </w:rPr>
        <w:t xml:space="preserve"> նշում է </w:t>
      </w:r>
      <w:r w:rsidDel="00000000" w:rsidR="00000000" w:rsidRPr="00000000">
        <w:rPr>
          <w:rFonts w:ascii="GHEA Grapalat" w:cs="GHEA Grapalat" w:eastAsia="GHEA Grapalat" w:hAnsi="GHEA Grapalat"/>
          <w:color w:val="000000"/>
          <w:sz w:val="24"/>
          <w:szCs w:val="24"/>
          <w:highlight w:val="white"/>
          <w:rtl w:val="0"/>
        </w:rPr>
        <w:t xml:space="preserve">մրցակից տնտեսավարող սուբյեկտին</w:t>
      </w:r>
      <w:r w:rsidDel="00000000" w:rsidR="00000000" w:rsidRPr="00000000">
        <w:rPr>
          <w:rFonts w:ascii="GHEA Grapalat" w:cs="GHEA Grapalat" w:eastAsia="GHEA Grapalat" w:hAnsi="GHEA Grapalat"/>
          <w:color w:val="000000"/>
          <w:sz w:val="24"/>
          <w:szCs w:val="24"/>
          <w:rtl w:val="0"/>
        </w:rPr>
        <w:t xml:space="preserve"> կամ վերջինիս կողմից առաջարկվող ապրանքները կամ ծառայությունները։»: </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GHEA Grapalat" w:cs="GHEA Grapalat" w:eastAsia="GHEA Grapalat" w:hAnsi="GHEA Grapalat"/>
          <w:b w:val="1"/>
          <w:bCs w:val="1"/>
          <w:color w:val="000000"/>
          <w:sz w:val="24"/>
          <w:szCs w:val="24"/>
          <w:highlight w:val="white"/>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b w:val="1"/>
          <w:bCs w:val="1"/>
          <w:color w:val="000000"/>
          <w:sz w:val="24"/>
          <w:szCs w:val="24"/>
          <w:highlight w:val="white"/>
          <w:rtl w:val="0"/>
        </w:rPr>
        <w:t xml:space="preserve">Հոդված 2</w:t>
      </w:r>
      <w:r w:rsidDel="00000000" w:rsidR="00000000" w:rsidRPr="00000000">
        <w:rPr>
          <w:rFonts w:ascii="Cambria Math" w:cs="Cambria Math" w:eastAsia="Cambria Math" w:hAnsi="Cambria Math"/>
          <w:b w:val="1"/>
          <w:bCs w:val="1"/>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highlight w:val="white"/>
          <w:rtl w:val="0"/>
        </w:rPr>
        <w:t xml:space="preserve">Օրենքի 21-րդ հոդված</w:t>
      </w:r>
      <w:r w:rsidDel="00000000" w:rsidR="00000000" w:rsidRPr="00000000">
        <w:rPr>
          <w:rFonts w:ascii="GHEA Grapalat" w:cs="GHEA Grapalat" w:eastAsia="GHEA Grapalat" w:hAnsi="GHEA Grapalat"/>
          <w:sz w:val="24"/>
          <w:szCs w:val="24"/>
          <w:highlight w:val="white"/>
          <w:rtl w:val="0"/>
        </w:rPr>
        <w:t xml:space="preserve">ում</w:t>
      </w:r>
      <w:r w:rsidDel="00000000" w:rsidR="00000000" w:rsidRPr="00000000">
        <w:rPr>
          <w:rFonts w:ascii="GHEA Grapalat" w:cs="GHEA Grapalat" w:eastAsia="GHEA Grapalat" w:hAnsi="GHEA Grapalat"/>
          <w:color w:val="000000"/>
          <w:sz w:val="24"/>
          <w:szCs w:val="24"/>
          <w:highlight w:val="white"/>
          <w:rtl w:val="0"/>
        </w:rPr>
        <w:t xml:space="preserve">՝</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1) 1-ին մասում «կանխամտածված» բառից առաջ լրացնել «մոլորության մեջ գցող և» բառերը։</w:t>
      </w:r>
    </w:p>
    <w:p w:rsidR="00000000" w:rsidDel="00000000" w:rsidP="00000000" w:rsidRDefault="00000000" w:rsidRPr="00000000" w14:paraId="00000013">
      <w:pPr>
        <w:widowControl w:val="0"/>
        <w:numPr>
          <w:ilvl w:val="0"/>
          <w:numId w:val="1"/>
        </w:numPr>
        <w:pBdr>
          <w:top w:space="0" w:sz="0" w:val="nil"/>
          <w:left w:space="0" w:sz="0" w:val="nil"/>
          <w:bottom w:space="0" w:sz="0" w:val="nil"/>
          <w:right w:space="0" w:sz="0" w:val="nil"/>
          <w:between w:space="0" w:sz="0" w:val="nil"/>
        </w:pBdr>
        <w:spacing w:line="240" w:lineRule="auto"/>
        <w:ind w:left="1080" w:right="-918" w:hanging="360"/>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color w:val="000000"/>
          <w:sz w:val="24"/>
          <w:szCs w:val="24"/>
          <w:highlight w:val="white"/>
          <w:rtl w:val="0"/>
        </w:rPr>
        <w:t xml:space="preserve">2-րդ մասի 2-րդ </w:t>
      </w:r>
      <w:r w:rsidDel="00000000" w:rsidR="00000000" w:rsidRPr="00000000">
        <w:rPr>
          <w:rFonts w:ascii="GHEA Grapalat" w:cs="GHEA Grapalat" w:eastAsia="GHEA Grapalat" w:hAnsi="GHEA Grapalat"/>
          <w:sz w:val="24"/>
          <w:szCs w:val="24"/>
          <w:highlight w:val="white"/>
          <w:rtl w:val="0"/>
        </w:rPr>
        <w:t xml:space="preserve">պարբերությունը</w:t>
      </w:r>
      <w:r w:rsidDel="00000000" w:rsidR="00000000" w:rsidRPr="00000000">
        <w:rPr>
          <w:rFonts w:ascii="GHEA Grapalat" w:cs="GHEA Grapalat" w:eastAsia="GHEA Grapalat" w:hAnsi="GHEA Grapalat"/>
          <w:color w:val="000000"/>
          <w:sz w:val="24"/>
          <w:szCs w:val="24"/>
          <w:highlight w:val="white"/>
          <w:rtl w:val="0"/>
        </w:rPr>
        <w:t xml:space="preserve"> շարադրել հետևյալ նոր խմբագրությամբ.</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ind w:right="-918" w:firstLine="630"/>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rtl w:val="0"/>
        </w:rPr>
        <w:t xml:space="preserve">Գովազդի մոլորեցնող լինելու հանգամանքը որոշելիս կարող են հաշվի առնվել հետևյալ հատկանիշները, մասնավորապես դրանում ընդգրկված այն տեղեկությունները, որոնք վերաբերում են՝</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tab/>
        <w:t xml:space="preserve">ապրանքների կամ ծառայությունների բնութագրերին, ինչպիսիք են օրինակ՝ հասանելիությունը, բնույթը, կառուցվածքը, արտադրության կամ մատակարարման ձևը և ամսաթիվը, նպատակային օգտագործման համապատասխանությունը, օգտագործման եղանակները, քանակը, տեխնիկական բնութագրերը, ծագման երկիրը,  դրա օգտագործումից ակնկալվող արդյունքները կամ այդ ապրանքների կամ ծառայությունների փորձարկումների և ստուգումների արդյունքներն ու նյութական հատկանիշները.</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r>
      <w:r w:rsidDel="00000000" w:rsidR="00000000" w:rsidRPr="00000000">
        <w:rPr>
          <w:rFonts w:ascii="GHEA Grapalat" w:cs="GHEA Grapalat" w:eastAsia="GHEA Grapalat" w:hAnsi="GHEA Grapalat"/>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գնին կամ գնի հաշվարկման եղանակին, ինչպես նաև ապրանքների մատակարարման կամ ծառայությունների մատուցման պայմաններին.</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tab/>
        <w:t xml:space="preserve">գովազդատուի առանձնահատկությանը, հատկանիշներին և իրավունքներին, ինչպիսիք են օրինակ՝ նրա ինքնությունը, ակտիվները, որակավորումները և արդյունաբերական կամ մտավոր սեփականության իրավունքները կամ նրա պարգևները։»։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3) լրացնել հետևյալ բովանդակությամբ 7-րդ մասով․</w:t>
      </w:r>
    </w:p>
    <w:p w:rsidR="00000000" w:rsidDel="00000000" w:rsidP="00000000" w:rsidRDefault="00000000" w:rsidRPr="00000000" w14:paraId="00000019">
      <w:pPr>
        <w:widowControl w:val="0"/>
        <w:spacing w:line="240" w:lineRule="auto"/>
        <w:ind w:right="-918" w:firstLine="630"/>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highlight w:val="white"/>
          <w:rtl w:val="0"/>
        </w:rPr>
        <w:t xml:space="preserve">«7․ Գովազդային գործունեության ընթացքում գովազդում ներկայացված տվյալների ճշգրտության ապացուցման պարտականությունը կրում է գովազդատուն։</w:t>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sz w:val="24"/>
          <w:szCs w:val="24"/>
          <w:highlight w:val="yellow"/>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ffffff" w:val="clear"/>
        <w:spacing w:line="240" w:lineRule="auto"/>
        <w:ind w:right="-918"/>
        <w:jc w:val="both"/>
        <w:rPr>
          <w:rFonts w:ascii="Merriweather" w:cs="Merriweather" w:eastAsia="Merriweather" w:hAnsi="Merriweather"/>
          <w:b w:val="1"/>
          <w:bCs w:val="1"/>
          <w:color w:val="000000"/>
          <w:sz w:val="21"/>
          <w:szCs w:val="21"/>
          <w:highlight w:val="whit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GHEA Grapalat" w:cs="GHEA Grapalat" w:eastAsia="GHEA Grapalat" w:hAnsi="GHEA Grapalat"/>
          <w:color w:val="000000"/>
          <w:sz w:val="24"/>
          <w:szCs w:val="24"/>
          <w:highlight w:val="white"/>
        </w:rPr>
      </w:pPr>
      <w:r w:rsidDel="00000000" w:rsidR="00000000" w:rsidRPr="00000000">
        <w:rPr>
          <w:rFonts w:ascii="GHEA Grapalat" w:cs="GHEA Grapalat" w:eastAsia="GHEA Grapalat" w:hAnsi="GHEA Grapalat"/>
          <w:b w:val="1"/>
          <w:bCs w:val="1"/>
          <w:color w:val="000000"/>
          <w:sz w:val="24"/>
          <w:szCs w:val="24"/>
          <w:highlight w:val="white"/>
          <w:rtl w:val="0"/>
        </w:rPr>
        <w:t xml:space="preserve">Հոդված 3</w:t>
      </w:r>
      <w:r w:rsidDel="00000000" w:rsidR="00000000" w:rsidRPr="00000000">
        <w:rPr>
          <w:rFonts w:ascii="Cambria Math" w:cs="Cambria Math" w:eastAsia="Cambria Math" w:hAnsi="Cambria Math"/>
          <w:b w:val="1"/>
          <w:bCs w:val="1"/>
          <w:color w:val="000000"/>
          <w:sz w:val="24"/>
          <w:szCs w:val="24"/>
          <w:highlight w:val="white"/>
          <w:rtl w:val="0"/>
        </w:rPr>
        <w:t xml:space="preserve">․</w:t>
      </w:r>
      <w:r w:rsidDel="00000000" w:rsidR="00000000" w:rsidRPr="00000000">
        <w:rPr>
          <w:rFonts w:ascii="Cambria Math" w:cs="Cambria Math" w:eastAsia="Cambria Math" w:hAnsi="Cambria Math"/>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highlight w:val="white"/>
          <w:rtl w:val="0"/>
        </w:rPr>
        <w:t xml:space="preserve">Օրենքը լրացնել նոր 21.1-րդ հոդվածով հետևյալ բովանդակությամբ</w:t>
      </w:r>
      <w:r w:rsidDel="00000000" w:rsidR="00000000" w:rsidRPr="00000000">
        <w:rPr>
          <w:rFonts w:ascii="Cambria Math" w:cs="Cambria Math" w:eastAsia="Cambria Math" w:hAnsi="Cambria Math"/>
          <w:color w:val="000000"/>
          <w:sz w:val="24"/>
          <w:szCs w:val="24"/>
          <w:highlight w:val="white"/>
          <w:rtl w:val="0"/>
        </w:rPr>
        <w:t xml:space="preserve">․</w:t>
      </w:r>
      <w:r w:rsidDel="00000000" w:rsidR="00000000" w:rsidRPr="00000000">
        <w:rPr>
          <w:rFonts w:ascii="GHEA Grapalat" w:cs="GHEA Grapalat" w:eastAsia="GHEA Grapalat" w:hAnsi="GHEA Grapalat"/>
          <w:color w:val="000000"/>
          <w:sz w:val="24"/>
          <w:szCs w:val="24"/>
          <w:highlight w:val="white"/>
          <w:rtl w:val="0"/>
        </w:rPr>
        <w:t xml:space="preserve">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Cambria Math" w:cs="Cambria Math" w:eastAsia="Cambria Math" w:hAnsi="Cambria Math"/>
          <w:color w:val="000000"/>
          <w:sz w:val="24"/>
          <w:szCs w:val="24"/>
          <w:highlight w:val="whit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ffffff" w:val="clear"/>
        <w:spacing w:line="240" w:lineRule="auto"/>
        <w:ind w:left="144" w:right="-918" w:firstLine="565.0000000000001"/>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highlight w:val="white"/>
          <w:rtl w:val="0"/>
        </w:rPr>
        <w:t xml:space="preserve">«Հոդված 21</w:t>
      </w:r>
      <w:r w:rsidDel="00000000" w:rsidR="00000000" w:rsidRPr="00000000">
        <w:rPr>
          <w:rFonts w:ascii="Cambria Math" w:cs="Cambria Math" w:eastAsia="Cambria Math" w:hAnsi="Cambria Math"/>
          <w:b w:val="1"/>
          <w:bCs w:val="1"/>
          <w:color w:val="000000"/>
          <w:sz w:val="24"/>
          <w:szCs w:val="24"/>
          <w:highlight w:val="white"/>
          <w:rtl w:val="0"/>
        </w:rPr>
        <w:t xml:space="preserve">․</w:t>
      </w:r>
      <w:r w:rsidDel="00000000" w:rsidR="00000000" w:rsidRPr="00000000">
        <w:rPr>
          <w:rFonts w:ascii="GHEA Grapalat" w:cs="GHEA Grapalat" w:eastAsia="GHEA Grapalat" w:hAnsi="GHEA Grapalat"/>
          <w:b w:val="1"/>
          <w:bCs w:val="1"/>
          <w:color w:val="000000"/>
          <w:sz w:val="24"/>
          <w:szCs w:val="24"/>
          <w:highlight w:val="white"/>
          <w:rtl w:val="0"/>
        </w:rPr>
        <w:t xml:space="preserve">1</w:t>
      </w:r>
      <w:r w:rsidDel="00000000" w:rsidR="00000000" w:rsidRPr="00000000">
        <w:rPr>
          <w:rFonts w:ascii="Cambria Math" w:cs="Cambria Math" w:eastAsia="Cambria Math" w:hAnsi="Cambria Math"/>
          <w:b w:val="1"/>
          <w:bCs w:val="1"/>
          <w:color w:val="000000"/>
          <w:sz w:val="24"/>
          <w:szCs w:val="24"/>
          <w:highlight w:val="white"/>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Համեմատություններ պարունակող գովազդի թույլատրելի դեպքերը</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ffffff" w:val="clear"/>
        <w:spacing w:line="240" w:lineRule="auto"/>
        <w:ind w:left="144" w:right="-918" w:firstLine="565.0000000000001"/>
        <w:jc w:val="both"/>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Fonts w:ascii="GHEA Grapalat" w:cs="GHEA Grapalat" w:eastAsia="GHEA Grapalat" w:hAnsi="GHEA Grapalat"/>
          <w:color w:val="000000"/>
          <w:sz w:val="24"/>
          <w:szCs w:val="24"/>
          <w:rtl w:val="0"/>
        </w:rPr>
        <w:t xml:space="preserve"> Համեմատություններ պարունակող գովազդը թույլատրվում է հետևյալ  դեպքերում՝</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1) այն մոլորեցնող չէ սույն օրենքի 2-րդ հոդվածի 4-րդ կետի, 21-րդ հոդվածի 2-րդ մասի 2-րդ պարբերության կամ «Սպառողների իրավունքների պաշտպանության մասին» օրենքի իմաստով.</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w:t>
        <w:tab/>
        <w:t xml:space="preserve">այն օբյեկտիվորեն համեմատում է միևնույն կարիքները բավարարող կամ միևնույն նպատակի համար նախատեսված ապրանքները կամ ծառայությունները.</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3)</w:t>
        <w:tab/>
        <w:t xml:space="preserve">այն օբյեկտիվորեն համեմատում է այդ ապրանքների և ծառայությունների մեկ կամ մի քանի էական, ապրանքի վերաբերյալ լիարժեք և ամբողջական տպավորություն ձևավորող, ստուգման ենթակա հատկանիշները և կարող է ներառել գինը.</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4)</w:t>
        <w:tab/>
        <w:t xml:space="preserve">այն չի վնասում կամ վարկաբեկում մրցակցի ապրանքային նշանները, ֆիրմային անվանումները, այլ տարբերակիչ նշանները, ապրանքները, ծառայությունները, գործունեությունը կամ </w:t>
      </w:r>
      <w:r w:rsidDel="00000000" w:rsidR="00000000" w:rsidRPr="00000000">
        <w:rPr>
          <w:rFonts w:ascii="GHEA Grapalat" w:cs="GHEA Grapalat" w:eastAsia="GHEA Grapalat" w:hAnsi="GHEA Grapalat"/>
          <w:color w:val="000000"/>
          <w:sz w:val="24"/>
          <w:szCs w:val="24"/>
          <w:highlight w:val="white"/>
          <w:rtl w:val="0"/>
        </w:rPr>
        <w:t xml:space="preserve">բարոյական և այլ հատկանիշները</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5)</w:t>
        <w:tab/>
        <w:t xml:space="preserve">ծագման տեղանվամբ ապրանքների դեպքում այն վերաբերում է միևնույն տեղանվանը.</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6)</w:t>
        <w:tab/>
        <w:t xml:space="preserve">այն անբարեխիղճ կերպով չի օգտագործում մրցակցի ապրանքային նշանի, ֆիրմային անվանման կամ այլ տարբերակիչ նշանների համբավը կամ մրցակցող ապրանքների ծագման տեղանունը.</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7)</w:t>
        <w:tab/>
        <w:t xml:space="preserve">այն չի ներկայացնում ապրանքները կամ ծառայությունները որպես գրանցված ապրանքային նշան կամ ֆիրմային անվանում կրող ապրանքների կամ ծառայությունների կրկնօրինակումներ կամ պատճենումներ.</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tabs>
          <w:tab w:val="left" w:leader="none" w:pos="1134"/>
        </w:tabs>
        <w:spacing w:line="240" w:lineRule="auto"/>
        <w:ind w:left="144" w:right="-918" w:firstLine="567.0000000000001"/>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8)</w:t>
        <w:tab/>
        <w:t xml:space="preserve">առևտրային գործունեություն իրականացնող անձանց շրջանում այն չի առաջացնում շփոթություն գովազդատուի և վերջինիս մ</w:t>
      </w:r>
      <w:r w:rsidDel="00000000" w:rsidR="00000000" w:rsidRPr="00000000">
        <w:rPr>
          <w:rFonts w:ascii="GHEA Grapalat" w:cs="GHEA Grapalat" w:eastAsia="GHEA Grapalat" w:hAnsi="GHEA Grapalat"/>
          <w:color w:val="000000"/>
          <w:sz w:val="24"/>
          <w:szCs w:val="24"/>
          <w:highlight w:val="white"/>
          <w:rtl w:val="0"/>
        </w:rPr>
        <w:t xml:space="preserve">րցակից տնտեսավարող</w:t>
      </w:r>
      <w:r w:rsidDel="00000000" w:rsidR="00000000" w:rsidRPr="00000000">
        <w:rPr>
          <w:rFonts w:ascii="GHEA Grapalat" w:cs="GHEA Grapalat" w:eastAsia="GHEA Grapalat" w:hAnsi="GHEA Grapalat"/>
          <w:color w:val="000000"/>
          <w:sz w:val="24"/>
          <w:szCs w:val="24"/>
          <w:rtl w:val="0"/>
        </w:rPr>
        <w:t xml:space="preserve"> սուբյեկտի միջև կամ գովազդատուի և վերջինիս մ</w:t>
      </w:r>
      <w:r w:rsidDel="00000000" w:rsidR="00000000" w:rsidRPr="00000000">
        <w:rPr>
          <w:rFonts w:ascii="GHEA Grapalat" w:cs="GHEA Grapalat" w:eastAsia="GHEA Grapalat" w:hAnsi="GHEA Grapalat"/>
          <w:color w:val="000000"/>
          <w:sz w:val="24"/>
          <w:szCs w:val="24"/>
          <w:highlight w:val="white"/>
          <w:rtl w:val="0"/>
        </w:rPr>
        <w:t xml:space="preserve">րցակից տնտեսավարող</w:t>
      </w:r>
      <w:r w:rsidDel="00000000" w:rsidR="00000000" w:rsidRPr="00000000">
        <w:rPr>
          <w:rFonts w:ascii="GHEA Grapalat" w:cs="GHEA Grapalat" w:eastAsia="GHEA Grapalat" w:hAnsi="GHEA Grapalat"/>
          <w:color w:val="000000"/>
          <w:sz w:val="24"/>
          <w:szCs w:val="24"/>
          <w:rtl w:val="0"/>
        </w:rPr>
        <w:t xml:space="preserve"> սուբյեկտի ապրանքային նշանների, ֆիրմային անվանումների, այլ տարբերակիչ նշանների, ապրանքների կամ ծառայությունների միջև:»։</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ffffff" w:val="clear"/>
        <w:spacing w:line="240" w:lineRule="auto"/>
        <w:ind w:left="144" w:right="-918" w:firstLine="0"/>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ffffff" w:val="clear"/>
        <w:spacing w:line="240" w:lineRule="auto"/>
        <w:ind w:left="144" w:right="-918" w:firstLine="576"/>
        <w:jc w:val="both"/>
        <w:rPr>
          <w:rFonts w:ascii="Calibri" w:cs="Calibri" w:eastAsia="Calibri" w:hAnsi="Calibri"/>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Հոդված 3.</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Սույն օրենքն ուժի մեջ է մտնում 2026 թվականի հուլիսի 1-ից։</w:t>
      </w:r>
      <w:r w:rsidDel="00000000" w:rsidR="00000000" w:rsidRPr="00000000">
        <w:rPr>
          <w:rtl w:val="0"/>
        </w:rPr>
      </w:r>
    </w:p>
    <w:p w:rsidR="00000000" w:rsidDel="00000000" w:rsidP="00000000" w:rsidRDefault="00000000" w:rsidRPr="00000000" w14:paraId="0000002B">
      <w:pPr>
        <w:spacing w:line="240" w:lineRule="auto"/>
        <w:ind w:left="144" w:right="-918" w:firstLine="0"/>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C">
      <w:pPr>
        <w:spacing w:line="240" w:lineRule="auto"/>
        <w:ind w:right="-918"/>
        <w:rPr>
          <w:rFonts w:ascii="GHEA Grapalat" w:cs="GHEA Grapalat" w:eastAsia="GHEA Grapalat" w:hAnsi="GHEA Grapalat"/>
          <w:sz w:val="24"/>
          <w:szCs w:val="24"/>
        </w:rPr>
      </w:pPr>
      <w:r w:rsidDel="00000000" w:rsidR="00000000" w:rsidRPr="00000000">
        <w:rPr>
          <w:rtl w:val="0"/>
        </w:rPr>
      </w:r>
    </w:p>
    <w:sectPr>
      <w:pgSz w:h="16834" w:w="11909" w:orient="portrait"/>
      <w:pgMar w:bottom="1440" w:top="864" w:left="1008" w:right="1739"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GHEA Grapalat"/>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1620" w:hanging="360"/>
      </w:pPr>
      <w:rPr/>
    </w:lvl>
    <w:lvl w:ilvl="1">
      <w:start w:val="1"/>
      <w:numFmt w:val="lowerLetter"/>
      <w:lvlText w:val="%2."/>
      <w:lvlJc w:val="left"/>
      <w:pPr>
        <w:ind w:left="2567" w:hanging="360"/>
      </w:pPr>
      <w:rPr/>
    </w:lvl>
    <w:lvl w:ilvl="2">
      <w:start w:val="1"/>
      <w:numFmt w:val="lowerRoman"/>
      <w:lvlText w:val="%3."/>
      <w:lvlJc w:val="right"/>
      <w:pPr>
        <w:ind w:left="3287" w:hanging="180"/>
      </w:pPr>
      <w:rPr/>
    </w:lvl>
    <w:lvl w:ilvl="3">
      <w:start w:val="1"/>
      <w:numFmt w:val="decimal"/>
      <w:lvlText w:val="%4."/>
      <w:lvlJc w:val="left"/>
      <w:pPr>
        <w:ind w:left="4007" w:hanging="360"/>
      </w:pPr>
      <w:rPr/>
    </w:lvl>
    <w:lvl w:ilvl="4">
      <w:start w:val="1"/>
      <w:numFmt w:val="lowerLetter"/>
      <w:lvlText w:val="%5."/>
      <w:lvlJc w:val="left"/>
      <w:pPr>
        <w:ind w:left="4727" w:hanging="360"/>
      </w:pPr>
      <w:rPr/>
    </w:lvl>
    <w:lvl w:ilvl="5">
      <w:start w:val="1"/>
      <w:numFmt w:val="lowerRoman"/>
      <w:lvlText w:val="%6."/>
      <w:lvlJc w:val="right"/>
      <w:pPr>
        <w:ind w:left="5447" w:hanging="180"/>
      </w:pPr>
      <w:rPr/>
    </w:lvl>
    <w:lvl w:ilvl="6">
      <w:start w:val="1"/>
      <w:numFmt w:val="decimal"/>
      <w:lvlText w:val="%7."/>
      <w:lvlJc w:val="left"/>
      <w:pPr>
        <w:ind w:left="6167" w:hanging="360"/>
      </w:pPr>
      <w:rPr/>
    </w:lvl>
    <w:lvl w:ilvl="7">
      <w:start w:val="1"/>
      <w:numFmt w:val="lowerLetter"/>
      <w:lvlText w:val="%8."/>
      <w:lvlJc w:val="left"/>
      <w:pPr>
        <w:ind w:left="6887" w:hanging="360"/>
      </w:pPr>
      <w:rPr/>
    </w:lvl>
    <w:lvl w:ilvl="8">
      <w:start w:val="1"/>
      <w:numFmt w:val="lowerRoman"/>
      <w:lvlText w:val="%9."/>
      <w:lvlJc w:val="right"/>
      <w:pPr>
        <w:ind w:left="7607"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hy"/>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Strong">
    <w:name w:val="Strong"/>
    <w:basedOn w:val="DefaultParagraphFont"/>
    <w:uiPriority w:val="22"/>
    <w:qFormat w:val="1"/>
    <w:rsid w:val="009C2975"/>
    <w:rPr>
      <w:b w:val="1"/>
      <w:bCs w:val="1"/>
    </w:rPr>
  </w:style>
  <w:style w:type="paragraph" w:styleId="NormalWeb">
    <w:name w:val="Normal (Web)"/>
    <w:basedOn w:val="Normal"/>
    <w:uiPriority w:val="99"/>
    <w:unhideWhenUsed w:val="1"/>
    <w:rsid w:val="009C2975"/>
    <w:rPr>
      <w:rFonts w:ascii="Times New Roman" w:cs="Times New Roman" w:hAnsi="Times New Roman"/>
      <w:sz w:val="24"/>
      <w:szCs w:val="24"/>
    </w:rPr>
  </w:style>
  <w:style w:type="character" w:styleId="Bodytext2Sylfaen" w:customStyle="1">
    <w:name w:val="Body text (2) + Sylfaen"/>
    <w:basedOn w:val="DefaultParagraphFont"/>
    <w:rsid w:val="009C2975"/>
    <w:rPr>
      <w:rFonts w:ascii="Sylfaen" w:cs="Sylfaen" w:eastAsia="Sylfaen" w:hAnsi="Sylfaen"/>
      <w:b w:val="0"/>
      <w:bCs w:val="0"/>
      <w:i w:val="0"/>
      <w:iCs w:val="0"/>
      <w:smallCaps w:val="0"/>
      <w:strike w:val="0"/>
      <w:color w:val="000000"/>
      <w:spacing w:val="0"/>
      <w:w w:val="100"/>
      <w:position w:val="0"/>
      <w:sz w:val="16"/>
      <w:szCs w:val="16"/>
      <w:u w:val="none"/>
      <w:lang w:bidi="hy-AM" w:eastAsia="hy-AM" w:val="hy-AM"/>
    </w:rPr>
  </w:style>
  <w:style w:type="character" w:styleId="Bodytext2" w:customStyle="1">
    <w:name w:val="Body text (2)_"/>
    <w:basedOn w:val="DefaultParagraphFont"/>
    <w:link w:val="Bodytext20"/>
    <w:rsid w:val="009C2975"/>
    <w:rPr>
      <w:rFonts w:ascii="Palatino Linotype" w:cs="Palatino Linotype" w:eastAsia="Palatino Linotype" w:hAnsi="Palatino Linotype"/>
      <w:sz w:val="16"/>
      <w:szCs w:val="16"/>
      <w:shd w:color="auto" w:fill="ffffff" w:val="clear"/>
    </w:rPr>
  </w:style>
  <w:style w:type="paragraph" w:styleId="Bodytext20" w:customStyle="1">
    <w:name w:val="Body text (2)"/>
    <w:basedOn w:val="Normal"/>
    <w:link w:val="Bodytext2"/>
    <w:rsid w:val="009C2975"/>
    <w:pPr>
      <w:widowControl w:val="0"/>
      <w:shd w:color="auto" w:fill="ffffff" w:val="clear"/>
      <w:spacing w:after="420" w:line="211" w:lineRule="exact"/>
      <w:ind w:hanging="380"/>
      <w:jc w:val="both"/>
    </w:pPr>
    <w:rPr>
      <w:rFonts w:ascii="Palatino Linotype" w:cs="Palatino Linotype" w:eastAsia="Palatino Linotype" w:hAnsi="Palatino Linotype"/>
      <w:sz w:val="16"/>
      <w:szCs w:val="16"/>
      <w:lang w:val="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body"/>
    <w:basedOn w:val="Normal"/>
    <w:link w:val="ListParagraphChar"/>
    <w:uiPriority w:val="34"/>
    <w:qFormat w:val="1"/>
    <w:rsid w:val="001D2B45"/>
    <w:pPr>
      <w:spacing w:after="160" w:line="259" w:lineRule="auto"/>
      <w:ind w:left="720"/>
      <w:contextualSpacing w:val="1"/>
    </w:pPr>
    <w:rPr>
      <w:rFonts w:asciiTheme="minorHAnsi" w:cstheme="minorBidi" w:eastAsiaTheme="minorHAnsi" w:hAnsiTheme="minorHAnsi"/>
      <w:lang w:val="en-US"/>
    </w:rPr>
  </w:style>
  <w:style w:type="character" w:styleId="ListParagraphChar" w:customStyle="1">
    <w:name w:val="List Paragraph Char"/>
    <w:aliases w:val="Akapit z listą BS Char,List Paragraph 1 Char,Table no. List Paragraph Char,Bullet1 Char,References Char,List Paragraph (numbered (a)) Char,IBL List Paragraph Char,List Paragraph nowy Char,Numbered List Paragraph Char,body Char"/>
    <w:link w:val="ListParagraph"/>
    <w:uiPriority w:val="34"/>
    <w:qFormat w:val="1"/>
    <w:locked w:val="1"/>
    <w:rsid w:val="001D2B45"/>
  </w:style>
  <w:style w:type="paragraph" w:styleId="BalloonText">
    <w:name w:val="Balloon Text"/>
    <w:basedOn w:val="Normal"/>
    <w:link w:val="BalloonTextChar"/>
    <w:uiPriority w:val="99"/>
    <w:semiHidden w:val="1"/>
    <w:unhideWhenUsed w:val="1"/>
    <w:rsid w:val="00031BC1"/>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31BC1"/>
    <w:rPr>
      <w:rFonts w:ascii="Segoe UI" w:cs="Segoe UI" w:eastAsia="Arial" w:hAnsi="Segoe UI"/>
      <w:sz w:val="18"/>
      <w:szCs w:val="18"/>
      <w:lang w:val="ru"/>
    </w:rPr>
  </w:style>
  <w:style w:type="paragraph" w:styleId="Header">
    <w:name w:val="header"/>
    <w:basedOn w:val="Normal"/>
    <w:link w:val="HeaderChar"/>
    <w:uiPriority w:val="99"/>
    <w:unhideWhenUsed w:val="1"/>
    <w:rsid w:val="00613264"/>
    <w:pPr>
      <w:tabs>
        <w:tab w:val="center" w:pos="4680"/>
        <w:tab w:val="right" w:pos="9360"/>
      </w:tabs>
      <w:spacing w:line="240" w:lineRule="auto"/>
    </w:pPr>
  </w:style>
  <w:style w:type="character" w:styleId="HeaderChar" w:customStyle="1">
    <w:name w:val="Header Char"/>
    <w:basedOn w:val="DefaultParagraphFont"/>
    <w:link w:val="Header"/>
    <w:uiPriority w:val="99"/>
    <w:rsid w:val="00613264"/>
    <w:rPr>
      <w:rFonts w:ascii="Arial" w:cs="Arial" w:eastAsia="Arial" w:hAnsi="Arial"/>
      <w:lang w:val="ru"/>
    </w:rPr>
  </w:style>
  <w:style w:type="paragraph" w:styleId="Footer">
    <w:name w:val="footer"/>
    <w:basedOn w:val="Normal"/>
    <w:link w:val="FooterChar"/>
    <w:uiPriority w:val="99"/>
    <w:unhideWhenUsed w:val="1"/>
    <w:rsid w:val="00613264"/>
    <w:pPr>
      <w:tabs>
        <w:tab w:val="center" w:pos="4680"/>
        <w:tab w:val="right" w:pos="9360"/>
      </w:tabs>
      <w:spacing w:line="240" w:lineRule="auto"/>
    </w:pPr>
  </w:style>
  <w:style w:type="character" w:styleId="FooterChar" w:customStyle="1">
    <w:name w:val="Footer Char"/>
    <w:basedOn w:val="DefaultParagraphFont"/>
    <w:link w:val="Footer"/>
    <w:uiPriority w:val="99"/>
    <w:rsid w:val="00613264"/>
    <w:rPr>
      <w:rFonts w:ascii="Arial" w:cs="Arial" w:eastAsia="Arial" w:hAnsi="Arial"/>
      <w:lang w:val="ru"/>
    </w:rPr>
  </w:style>
  <w:style w:type="paragraph" w:styleId="FootnoteText">
    <w:name w:val="footnote text"/>
    <w:basedOn w:val="Normal"/>
    <w:link w:val="FootnoteTextChar"/>
    <w:uiPriority w:val="99"/>
    <w:semiHidden w:val="1"/>
    <w:unhideWhenUsed w:val="1"/>
    <w:rsid w:val="00A144E9"/>
    <w:pPr>
      <w:widowControl w:val="0"/>
      <w:spacing w:line="240" w:lineRule="auto"/>
    </w:pPr>
    <w:rPr>
      <w:rFonts w:ascii="Sylfaen" w:cs="Sylfaen" w:eastAsia="Sylfaen" w:hAnsi="Sylfaen"/>
      <w:color w:val="000000"/>
      <w:sz w:val="20"/>
      <w:szCs w:val="20"/>
      <w:lang w:bidi="hy-AM" w:eastAsia="hy-AM" w:val="hy-AM"/>
    </w:rPr>
  </w:style>
  <w:style w:type="character" w:styleId="FootnoteTextChar" w:customStyle="1">
    <w:name w:val="Footnote Text Char"/>
    <w:basedOn w:val="DefaultParagraphFont"/>
    <w:link w:val="FootnoteText"/>
    <w:uiPriority w:val="99"/>
    <w:semiHidden w:val="1"/>
    <w:rsid w:val="00A144E9"/>
    <w:rPr>
      <w:rFonts w:ascii="Sylfaen" w:cs="Sylfaen" w:eastAsia="Sylfaen" w:hAnsi="Sylfaen"/>
      <w:color w:val="000000"/>
      <w:sz w:val="20"/>
      <w:szCs w:val="20"/>
      <w:lang w:bidi="hy-AM" w:eastAsia="hy-AM" w:val="hy-AM"/>
    </w:rPr>
  </w:style>
  <w:style w:type="character" w:styleId="FootnoteReference">
    <w:name w:val="footnote reference"/>
    <w:basedOn w:val="DefaultParagraphFont"/>
    <w:uiPriority w:val="99"/>
    <w:semiHidden w:val="1"/>
    <w:unhideWhenUsed w:val="1"/>
    <w:rsid w:val="00A144E9"/>
    <w:rPr>
      <w:vertAlign w:val="superscript"/>
    </w:rPr>
  </w:style>
  <w:style w:type="character" w:styleId="CommentReference">
    <w:name w:val="annotation reference"/>
    <w:basedOn w:val="DefaultParagraphFont"/>
    <w:uiPriority w:val="99"/>
    <w:semiHidden w:val="1"/>
    <w:unhideWhenUsed w:val="1"/>
    <w:rsid w:val="00877F5B"/>
    <w:rPr>
      <w:sz w:val="16"/>
      <w:szCs w:val="16"/>
    </w:rPr>
  </w:style>
  <w:style w:type="paragraph" w:styleId="CommentText">
    <w:name w:val="annotation text"/>
    <w:basedOn w:val="Normal"/>
    <w:link w:val="CommentTextChar"/>
    <w:uiPriority w:val="99"/>
    <w:semiHidden w:val="1"/>
    <w:unhideWhenUsed w:val="1"/>
    <w:rsid w:val="00877F5B"/>
    <w:pPr>
      <w:spacing w:line="240" w:lineRule="auto"/>
    </w:pPr>
    <w:rPr>
      <w:sz w:val="20"/>
      <w:szCs w:val="20"/>
    </w:rPr>
  </w:style>
  <w:style w:type="character" w:styleId="CommentTextChar" w:customStyle="1">
    <w:name w:val="Comment Text Char"/>
    <w:basedOn w:val="DefaultParagraphFont"/>
    <w:link w:val="CommentText"/>
    <w:uiPriority w:val="99"/>
    <w:semiHidden w:val="1"/>
    <w:rsid w:val="00877F5B"/>
    <w:rPr>
      <w:rFonts w:ascii="Arial" w:cs="Arial" w:eastAsia="Arial" w:hAnsi="Arial"/>
      <w:sz w:val="20"/>
      <w:szCs w:val="20"/>
      <w:lang w:val="ru"/>
    </w:rPr>
  </w:style>
  <w:style w:type="paragraph" w:styleId="CommentSubject">
    <w:name w:val="annotation subject"/>
    <w:basedOn w:val="CommentText"/>
    <w:next w:val="CommentText"/>
    <w:link w:val="CommentSubjectChar"/>
    <w:uiPriority w:val="99"/>
    <w:semiHidden w:val="1"/>
    <w:unhideWhenUsed w:val="1"/>
    <w:rsid w:val="00877F5B"/>
    <w:rPr>
      <w:b w:val="1"/>
      <w:bCs w:val="1"/>
    </w:rPr>
  </w:style>
  <w:style w:type="character" w:styleId="CommentSubjectChar" w:customStyle="1">
    <w:name w:val="Comment Subject Char"/>
    <w:basedOn w:val="CommentTextChar"/>
    <w:link w:val="CommentSubject"/>
    <w:uiPriority w:val="99"/>
    <w:semiHidden w:val="1"/>
    <w:rsid w:val="00877F5B"/>
    <w:rPr>
      <w:rFonts w:ascii="Arial" w:cs="Arial" w:eastAsia="Arial" w:hAnsi="Arial"/>
      <w:b w:val="1"/>
      <w:bCs w:val="1"/>
      <w:sz w:val="20"/>
      <w:szCs w:val="20"/>
      <w:lang w:val="ru"/>
    </w:rPr>
  </w:style>
  <w:style w:type="paragraph" w:styleId="Revision">
    <w:name w:val="Revision"/>
    <w:hidden w:val="1"/>
    <w:uiPriority w:val="99"/>
    <w:semiHidden w:val="1"/>
    <w:rsid w:val="00DE52EE"/>
    <w:pPr>
      <w:spacing w:line="240" w:lineRule="auto"/>
    </w:pPr>
    <w:rPr>
      <w:lang w:val="ru"/>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W6e9Nm7o4KLDT9pDg4ZWDYypaw==">CgMxLjA4AHIhMTNsRXhpbHBGLTdYam1sZlBUa2RhSGNZMDdIWGRWMlM3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2026-01-07T06:57:00Z</dcterms:created>
  <dc:creator>Gevorg S. Matevosyan</dc:creator>
</cp:coreProperties>
</file>