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53125D" w14:textId="1F47C57D" w:rsidR="00FD523C" w:rsidRDefault="004056DA" w:rsidP="004056D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ՏԵՂԵԿԱՆՔ</w:t>
      </w:r>
    </w:p>
    <w:p w14:paraId="29535B23" w14:textId="77777777" w:rsidR="004056DA" w:rsidRDefault="004056DA" w:rsidP="004056D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</w:pPr>
    </w:p>
    <w:p w14:paraId="6A9BEE8A" w14:textId="70BC238C" w:rsidR="004056DA" w:rsidRDefault="004056DA" w:rsidP="004056D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 w:rsidRPr="004056D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«ՃԱՆԱՊԱՐՀԱՅԻՆ ԵՐԹԵՎԵԿՈՒԹՅԱՆ ԱՆՎՏԱՆԳՈՒԹՅԱՆ ԱՊԱՀՈՎՄԱՆ ՄԱՍԻՆ» ՕՐԵՆՔՈՒՄ ԼՐԱՑՈՒՄՆԵՐ ԵՎ ՓՈՓՈԽՈՒԹՅՈՒՆ</w:t>
      </w:r>
      <w:r w:rsidR="00C847D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ՆԵՐ</w:t>
      </w:r>
      <w:r w:rsidRPr="004056D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ԿԱՏԱՐԵԼՈՒ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» ՕՐԵՆՔԻ ՆԱԽԱԳԾՈՎ ՓՈՓՈԽՎՈՂ ՀՈԴՎԱԾՆԵՐԻ</w:t>
      </w:r>
    </w:p>
    <w:p w14:paraId="1ED6476B" w14:textId="77777777" w:rsidR="004056DA" w:rsidRDefault="004056DA" w:rsidP="004056D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</w:p>
    <w:p w14:paraId="1B2F2697" w14:textId="77777777" w:rsidR="004056DA" w:rsidRPr="004056DA" w:rsidRDefault="004056DA" w:rsidP="004056D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</w:p>
    <w:p w14:paraId="7C884212" w14:textId="77777777" w:rsidR="004056DA" w:rsidRPr="004056DA" w:rsidRDefault="004056DA" w:rsidP="004056D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</w:p>
    <w:p w14:paraId="6B0D6D8B" w14:textId="6C22F0F1" w:rsidR="00FD523C" w:rsidRPr="004056DA" w:rsidRDefault="004056DA" w:rsidP="004056D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4056D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Հոդված 15.</w:t>
      </w:r>
      <w:r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r w:rsidRPr="004056D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Տրանսպորտային միջոցների տեխնիկական զննությունը</w:t>
      </w:r>
    </w:p>
    <w:p w14:paraId="7D305831" w14:textId="77777777" w:rsidR="00FD523C" w:rsidRPr="004056DA" w:rsidRDefault="00FD523C" w:rsidP="004056D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4056D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1. Հայաստանի Հանրապետության տարածքում շահագործվող տրանսպորտային միջոցները Հայաստանի Հանրապետության օրենսդրությամբ սահմանված կարգով ենթակա են տեխնիկական զննության:</w:t>
      </w:r>
    </w:p>
    <w:p w14:paraId="42B442D1" w14:textId="77777777" w:rsidR="00FD523C" w:rsidRPr="00F04242" w:rsidRDefault="00FD523C" w:rsidP="004056D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F042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2. Տրանսպորտային միջոցների տեխնիկական զննությունն իրականացվում է հետևյալ պարբերականությամբ.</w:t>
      </w:r>
    </w:p>
    <w:p w14:paraId="18741EE0" w14:textId="77777777" w:rsidR="00FD523C" w:rsidRPr="00F04242" w:rsidRDefault="00FD523C" w:rsidP="004056D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F042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1) տրանսպորտային միջոցների առաջին տեխնիկական զննությունն իրականացվում է թողարկմանը հաջորդող չորրորդ տարում.</w:t>
      </w:r>
    </w:p>
    <w:p w14:paraId="39D12DC6" w14:textId="77777777" w:rsidR="00FD523C" w:rsidRPr="00F04242" w:rsidRDefault="00FD523C" w:rsidP="004056D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F042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2) թողարկման տարեթվից հաշված` 4-ից ավելի, ներառյալ՝ 10 տարվա արտադրության թեթև մարդատար տաքսի ավտոմոբիլներ, տրոլեյբուսներ, ավտոբուսներ, վտանգավոր բեռներ փոխադրելու համար նախատեսված մասնագիտացված տրանսպորտային միջոցներ և դրանց կցորդներ (կիսակցորդներ)` տարին մեկ անգամ, 10-ից ավելի տարվա արտադրության դեպքում` 6 ամիսը մեկ անգամ.</w:t>
      </w:r>
    </w:p>
    <w:p w14:paraId="28D5D9D3" w14:textId="77777777" w:rsidR="00FD523C" w:rsidRPr="00C847D2" w:rsidRDefault="00FD523C" w:rsidP="004056D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C847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3) թողարկման տարեթվից հաշված` 4-ից ավելի, ներառյալ՝ 10 տարվա արտադրության թեթև մարդատար ավտոմոբիլներ, բեռնատար տրանսպորտային միջոցներ, ուղևորի մինչև 8 նստատեղ ունեցող բեռնաուղևորատար տրանսպորտային միջոցներ, կցորդներ (կիսակցորդներ), մոտոցիկլեր (բացառությամբ սույն մասի 2-րդ կետով նախատեսված տրանսպորտային միջոցների)` 2 տարին մեկ անգամ.</w:t>
      </w:r>
    </w:p>
    <w:p w14:paraId="2F1245C6" w14:textId="77777777" w:rsidR="00FD523C" w:rsidRPr="00C847D2" w:rsidRDefault="00FD523C" w:rsidP="004056D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C847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4) թողարկման տարեթվից հաշված` 10-ից ավելի տարվա արտադրության թեթև մարդատար ավտոմոբիլներ, բեռնատար տրանսպորտային միջոցներ, ուղևորի մինչև 8 նստատեղ ունեցող բեռնաուղևորատար տրանսպորտային միջոցներ, կցորդներ (կիսակցորդներ), մոտոցիկլեր (բացառությամբ սույն մասի 2-րդ կետով նախատեսված տրանսպորտային միջոցների)` տարին մեկ անգամ.</w:t>
      </w:r>
    </w:p>
    <w:p w14:paraId="6B0B99C3" w14:textId="77777777" w:rsidR="00FD523C" w:rsidRPr="00C847D2" w:rsidRDefault="00FD523C" w:rsidP="004056D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C847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5) թողարկման տարեթվից հաշված՝ 4-ից ավելի տարվա արտադրության նոր ներմուծված տրանսպորտային միջոցները տեխնիկական զննության են ներկայացվում նախքան տրանսպորտային միջոցը ներքին գործերի լիազոր մարմնում առաջին անգամ հաշվառելը.</w:t>
      </w:r>
    </w:p>
    <w:p w14:paraId="3716D011" w14:textId="77777777" w:rsidR="00FD523C" w:rsidRPr="00C847D2" w:rsidRDefault="00FD523C" w:rsidP="004056D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C847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6) տրանսպորտային միջոցը տեխնիկական զննության պետք է ներկայացվի մինչև նախորդ տեխնիկական զննությամբ տրամադրված արատորոշման քարտին նշված ամսվա վերջին օրը:</w:t>
      </w:r>
    </w:p>
    <w:p w14:paraId="0138EA55" w14:textId="77777777" w:rsidR="00FD523C" w:rsidRPr="00C847D2" w:rsidRDefault="00FD523C" w:rsidP="004056D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C847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3.</w:t>
      </w:r>
      <w:r w:rsidRPr="00C847D2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  <w:r w:rsidRPr="00C847D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en-GB"/>
        </w:rPr>
        <w:t>(մասն ուժը կորցրել է</w:t>
      </w:r>
      <w:r w:rsidRPr="00C847D2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 w:eastAsia="en-GB"/>
        </w:rPr>
        <w:t> </w:t>
      </w:r>
      <w:r w:rsidRPr="00C847D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en-GB"/>
        </w:rPr>
        <w:t xml:space="preserve">20.01.21 </w:t>
      </w:r>
      <w:r w:rsidRPr="00C847D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 w:eastAsia="en-GB"/>
        </w:rPr>
        <w:t>ՀՕ</w:t>
      </w:r>
      <w:r w:rsidRPr="00C847D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en-GB"/>
        </w:rPr>
        <w:t>-58-</w:t>
      </w:r>
      <w:r w:rsidRPr="00C847D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 w:eastAsia="en-GB"/>
        </w:rPr>
        <w:t>Ն</w:t>
      </w:r>
      <w:r w:rsidRPr="00C847D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en-GB"/>
        </w:rPr>
        <w:t>)</w:t>
      </w:r>
    </w:p>
    <w:p w14:paraId="7F825D4C" w14:textId="77777777" w:rsidR="00FD523C" w:rsidRPr="00C847D2" w:rsidRDefault="00FD523C" w:rsidP="004056D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C847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4. Տեխնիկական զննությունն իրականացնում են տրանսպորտային միջոցի տեխնիկական զննության գործունեության լիցենզիա ունեցող կազմակերպությունները, բացառությամբ </w:t>
      </w:r>
      <w:r w:rsidRPr="00C847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lastRenderedPageBreak/>
        <w:t>տրոլեյբուսների, որոնց տեխնիկական զննությունն անցկացնում են դրանք շահագործող կազմակերպությունները:</w:t>
      </w:r>
    </w:p>
    <w:p w14:paraId="47422312" w14:textId="0DB8BF4B" w:rsidR="00FD523C" w:rsidRPr="00C847D2" w:rsidRDefault="00FD523C" w:rsidP="004056D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C847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Հայաստանի Հանրապետության պաշտպանության բնագավառի պետական լիազոր մարմնի,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FD523C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>Հայաստանի Հանրապետության ներքին գործերի բնագավառի պետական լիազոր մարմնի,</w:t>
      </w:r>
      <w:r w:rsidRPr="00C847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Հայաստանի Հանրապետության ազգային անվտանգության ծառայության, Հայաստանի Հանրապետության պետական պահպանության ծառայության </w:t>
      </w:r>
      <w:r w:rsidRPr="00C847D2">
        <w:rPr>
          <w:rFonts w:ascii="GHEA Grapalat" w:eastAsia="Times New Roman" w:hAnsi="GHEA Grapalat" w:cs="Times New Roman"/>
          <w:strike/>
          <w:color w:val="FF0000"/>
          <w:sz w:val="24"/>
          <w:szCs w:val="24"/>
          <w:lang w:val="hy-AM" w:eastAsia="en-GB"/>
        </w:rPr>
        <w:t>և ոստիկանության</w:t>
      </w:r>
      <w:r w:rsidRPr="00C847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ծառայողական տրանսպորտային միջոցների տեխնիկական զննություն անցկացվում է համապատասխան պետական մարմինների իրավասու ստորաբաժանումներում` պետական մարմինների ղեկավարների հրամանով սահմանված կարգով:</w:t>
      </w:r>
    </w:p>
    <w:p w14:paraId="4F4855A9" w14:textId="77777777" w:rsidR="00FD523C" w:rsidRPr="00C847D2" w:rsidRDefault="00FD523C" w:rsidP="004056D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C847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Տրանսպորտային միջոցների տեխնիկական զննության սակագների ձևավորման սկզբունքները և դրանք հաստատող պետական մարմինը սահմանվում են օրենքով:</w:t>
      </w:r>
    </w:p>
    <w:p w14:paraId="250B125B" w14:textId="77777777" w:rsidR="00FD523C" w:rsidRPr="00C847D2" w:rsidRDefault="00FD523C" w:rsidP="004056D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C847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5. Լիցենզիայում պետք է նշվի շահագործվող հոսքագծերի քանակը` ելնելով լիցենզիայի գործողության տարածքում հաշվառված տրանսպորտային միջոցների քանակից: Լիցենզավորված անձը կարող է իր հոսքագծերը տեղակայել իր լիցենզիայի գործողության տարածքի մեկ կամ մի քանի վայրերում: Լիցենզավորված անձն իրավունք չունի իրականացնելու տրանսպորտային միջոցների առուվաճառք, տրանսպորտային միջոցների վերանորոգում, տրանսպորտային միջոցները վարձակալությամբ տալու գործունեություն:</w:t>
      </w:r>
    </w:p>
    <w:p w14:paraId="34CBFE5B" w14:textId="77777777" w:rsidR="00FD523C" w:rsidRPr="00C847D2" w:rsidRDefault="00FD523C" w:rsidP="004056D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C847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6. Տեխնիկական զննություն իրականացրած լիցենզավորված անձը տրանսպորտային միջոցի սեփականատիրոջը կամ նրա ներկայացուցչին տրամադրում է Հայաստանի Հանրապետության կառավարության սահմանած նմուշի արատորոշման քարտ, իսկ տրանսպորտային միջոցի վերաբերյալ տվյալները և տեխնիկական զննության արդյունքներն առցանց եղանակով փոխանցում է տրանսպորտի բնագավառի լիազոր մարմնի էլեկտրոնային շտեմարան:</w:t>
      </w:r>
    </w:p>
    <w:p w14:paraId="7C46BFE9" w14:textId="77777777" w:rsidR="00FD523C" w:rsidRPr="00C847D2" w:rsidRDefault="00FD523C" w:rsidP="004056DA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</w:p>
    <w:p w14:paraId="27030993" w14:textId="3A931801" w:rsidR="00784401" w:rsidRPr="00C847D2" w:rsidRDefault="00784401" w:rsidP="004056DA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415"/>
      </w:tblGrid>
      <w:tr w:rsidR="00784401" w:rsidRPr="00784401" w14:paraId="5E7AE3C3" w14:textId="77777777" w:rsidTr="00784401">
        <w:trPr>
          <w:trHeight w:val="177"/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A4505F9" w14:textId="77777777" w:rsidR="00784401" w:rsidRPr="00784401" w:rsidRDefault="00784401" w:rsidP="004056DA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78440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Հոդված</w:t>
            </w:r>
            <w:proofErr w:type="spellEnd"/>
            <w:r w:rsidRPr="0078440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29.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502FB9A" w14:textId="77777777" w:rsidR="00784401" w:rsidRPr="00784401" w:rsidRDefault="00784401" w:rsidP="004056DA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78440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Վարելու</w:t>
            </w:r>
            <w:proofErr w:type="spellEnd"/>
            <w:r w:rsidRPr="0078440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8440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իրավունքը</w:t>
            </w:r>
            <w:proofErr w:type="spellEnd"/>
            <w:r w:rsidRPr="0078440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8440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դադարելը</w:t>
            </w:r>
            <w:proofErr w:type="spellEnd"/>
            <w:r w:rsidRPr="0078440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և </w:t>
            </w:r>
            <w:proofErr w:type="spellStart"/>
            <w:r w:rsidRPr="0078440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վարորդական</w:t>
            </w:r>
            <w:proofErr w:type="spellEnd"/>
            <w:r w:rsidRPr="0078440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8440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վկայականի</w:t>
            </w:r>
            <w:proofErr w:type="spellEnd"/>
            <w:r w:rsidRPr="0078440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8440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ուժը</w:t>
            </w:r>
            <w:proofErr w:type="spellEnd"/>
            <w:r w:rsidRPr="0078440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8440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կորցնելը</w:t>
            </w:r>
            <w:proofErr w:type="spellEnd"/>
          </w:p>
        </w:tc>
      </w:tr>
    </w:tbl>
    <w:p w14:paraId="34E26939" w14:textId="77777777" w:rsidR="00784401" w:rsidRPr="00784401" w:rsidRDefault="00784401" w:rsidP="004056D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1. </w:t>
      </w:r>
      <w:proofErr w:type="spellStart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Անձի</w:t>
      </w:r>
      <w:proofErr w:type="spellEnd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վարելու</w:t>
      </w:r>
      <w:proofErr w:type="spellEnd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իրավունքը</w:t>
      </w:r>
      <w:proofErr w:type="spellEnd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դադարում</w:t>
      </w:r>
      <w:proofErr w:type="spellEnd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է, </w:t>
      </w:r>
      <w:proofErr w:type="spellStart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եթե</w:t>
      </w:r>
      <w:proofErr w:type="spellEnd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`</w:t>
      </w:r>
    </w:p>
    <w:p w14:paraId="6CEB75FD" w14:textId="77777777" w:rsidR="00784401" w:rsidRPr="00784401" w:rsidRDefault="00784401" w:rsidP="004056D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1) </w:t>
      </w:r>
      <w:proofErr w:type="spellStart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առկա</w:t>
      </w:r>
      <w:proofErr w:type="spellEnd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է </w:t>
      </w:r>
      <w:proofErr w:type="spellStart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նրան</w:t>
      </w:r>
      <w:proofErr w:type="spellEnd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անգործունակ</w:t>
      </w:r>
      <w:proofErr w:type="spellEnd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ճանաչելու</w:t>
      </w:r>
      <w:proofErr w:type="spellEnd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մասին</w:t>
      </w:r>
      <w:proofErr w:type="spellEnd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դատարանի</w:t>
      </w:r>
      <w:proofErr w:type="spellEnd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՝ </w:t>
      </w:r>
      <w:proofErr w:type="spellStart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օրինական</w:t>
      </w:r>
      <w:proofErr w:type="spellEnd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ուժի</w:t>
      </w:r>
      <w:proofErr w:type="spellEnd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մեջ</w:t>
      </w:r>
      <w:proofErr w:type="spellEnd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մտած</w:t>
      </w:r>
      <w:proofErr w:type="spellEnd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վճիռ</w:t>
      </w:r>
      <w:proofErr w:type="spellEnd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.</w:t>
      </w:r>
    </w:p>
    <w:p w14:paraId="201A61AC" w14:textId="2F0A537C" w:rsidR="00784401" w:rsidRPr="00F04242" w:rsidRDefault="00784401" w:rsidP="004056DA">
      <w:pPr>
        <w:shd w:val="clear" w:color="auto" w:fill="FFFFFF"/>
        <w:spacing w:after="0" w:line="240" w:lineRule="auto"/>
        <w:ind w:firstLine="375"/>
        <w:jc w:val="both"/>
        <w:rPr>
          <w:rFonts w:ascii="Cambria Math" w:eastAsia="Times New Roman" w:hAnsi="Cambria Math" w:cs="Times New Roman"/>
          <w:strike/>
          <w:color w:val="FF0000"/>
          <w:sz w:val="24"/>
          <w:szCs w:val="24"/>
          <w:lang w:val="hy-AM" w:eastAsia="en-GB"/>
        </w:rPr>
      </w:pPr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2) </w:t>
      </w:r>
      <w:proofErr w:type="spellStart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առկա</w:t>
      </w:r>
      <w:proofErr w:type="spellEnd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է </w:t>
      </w:r>
      <w:proofErr w:type="spellStart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նրա</w:t>
      </w:r>
      <w:proofErr w:type="spellEnd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՝ </w:t>
      </w:r>
      <w:proofErr w:type="spellStart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հոգեկան</w:t>
      </w:r>
      <w:proofErr w:type="spellEnd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, </w:t>
      </w:r>
      <w:proofErr w:type="spellStart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թմրամիջոցների</w:t>
      </w:r>
      <w:proofErr w:type="spellEnd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և (</w:t>
      </w:r>
      <w:proofErr w:type="spellStart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կամ</w:t>
      </w:r>
      <w:proofErr w:type="spellEnd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) </w:t>
      </w:r>
      <w:proofErr w:type="spellStart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հոգեմետ</w:t>
      </w:r>
      <w:proofErr w:type="spellEnd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(</w:t>
      </w:r>
      <w:proofErr w:type="spellStart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հոգեներգործուն</w:t>
      </w:r>
      <w:proofErr w:type="spellEnd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) </w:t>
      </w:r>
      <w:proofErr w:type="spellStart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նյութերի</w:t>
      </w:r>
      <w:proofErr w:type="spellEnd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օգտագործմամբ</w:t>
      </w:r>
      <w:proofErr w:type="spellEnd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պայմանավորված</w:t>
      </w:r>
      <w:proofErr w:type="spellEnd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hիվանդության</w:t>
      </w:r>
      <w:proofErr w:type="spellEnd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վերաբերյալ</w:t>
      </w:r>
      <w:proofErr w:type="spellEnd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և (</w:t>
      </w:r>
      <w:proofErr w:type="spellStart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կամ</w:t>
      </w:r>
      <w:proofErr w:type="spellEnd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) </w:t>
      </w:r>
      <w:proofErr w:type="spellStart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առողջական</w:t>
      </w:r>
      <w:proofErr w:type="spellEnd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վիճակը</w:t>
      </w:r>
      <w:proofErr w:type="spellEnd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օրենսդրությամբ</w:t>
      </w:r>
      <w:proofErr w:type="spellEnd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սահմանված</w:t>
      </w:r>
      <w:proofErr w:type="spellEnd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պայմաններին</w:t>
      </w:r>
      <w:proofErr w:type="spellEnd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չհամապատասխանելու</w:t>
      </w:r>
      <w:proofErr w:type="spellEnd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մասին</w:t>
      </w:r>
      <w:proofErr w:type="spellEnd"/>
      <w:r w:rsidRPr="0078440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F04242">
        <w:rPr>
          <w:rFonts w:ascii="GHEA Grapalat" w:eastAsia="Times New Roman" w:hAnsi="GHEA Grapalat" w:cs="Times New Roman"/>
          <w:strike/>
          <w:color w:val="FF0000"/>
          <w:sz w:val="24"/>
          <w:szCs w:val="24"/>
          <w:lang w:val="en-GB" w:eastAsia="en-GB"/>
        </w:rPr>
        <w:t>իրավասու</w:t>
      </w:r>
      <w:proofErr w:type="spellEnd"/>
      <w:r w:rsidRPr="00F04242">
        <w:rPr>
          <w:rFonts w:ascii="GHEA Grapalat" w:eastAsia="Times New Roman" w:hAnsi="GHEA Grapalat" w:cs="Times New Roman"/>
          <w:strike/>
          <w:color w:val="FF0000"/>
          <w:sz w:val="24"/>
          <w:szCs w:val="24"/>
          <w:lang w:val="en-GB" w:eastAsia="en-GB"/>
        </w:rPr>
        <w:t xml:space="preserve"> </w:t>
      </w:r>
      <w:proofErr w:type="spellStart"/>
      <w:r w:rsidRPr="00F04242">
        <w:rPr>
          <w:rFonts w:ascii="GHEA Grapalat" w:eastAsia="Times New Roman" w:hAnsi="GHEA Grapalat" w:cs="Times New Roman"/>
          <w:strike/>
          <w:color w:val="FF0000"/>
          <w:sz w:val="24"/>
          <w:szCs w:val="24"/>
          <w:lang w:val="en-GB" w:eastAsia="en-GB"/>
        </w:rPr>
        <w:t>մարմնի</w:t>
      </w:r>
      <w:proofErr w:type="spellEnd"/>
      <w:r w:rsidRPr="00F04242">
        <w:rPr>
          <w:rFonts w:ascii="GHEA Grapalat" w:eastAsia="Times New Roman" w:hAnsi="GHEA Grapalat" w:cs="Times New Roman"/>
          <w:strike/>
          <w:color w:val="FF0000"/>
          <w:sz w:val="24"/>
          <w:szCs w:val="24"/>
          <w:lang w:val="en-GB" w:eastAsia="en-GB"/>
        </w:rPr>
        <w:t xml:space="preserve"> </w:t>
      </w:r>
      <w:proofErr w:type="spellStart"/>
      <w:r w:rsidRPr="00F04242">
        <w:rPr>
          <w:rFonts w:ascii="GHEA Grapalat" w:eastAsia="Times New Roman" w:hAnsi="GHEA Grapalat" w:cs="Times New Roman"/>
          <w:strike/>
          <w:color w:val="FF0000"/>
          <w:sz w:val="24"/>
          <w:szCs w:val="24"/>
          <w:lang w:val="en-GB" w:eastAsia="en-GB"/>
        </w:rPr>
        <w:t>եզրակացություն</w:t>
      </w:r>
      <w:proofErr w:type="spellEnd"/>
      <w:r w:rsidRPr="00F04242">
        <w:rPr>
          <w:rFonts w:ascii="GHEA Grapalat" w:eastAsia="Times New Roman" w:hAnsi="GHEA Grapalat" w:cs="Times New Roman"/>
          <w:strike/>
          <w:color w:val="FF0000"/>
          <w:sz w:val="24"/>
          <w:szCs w:val="24"/>
          <w:lang w:val="en-GB" w:eastAsia="en-GB"/>
        </w:rPr>
        <w:t>.</w:t>
      </w:r>
      <w:r w:rsidR="00F04242" w:rsidRPr="00F04242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 xml:space="preserve"> </w:t>
      </w:r>
      <w:r w:rsidR="00F04242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>տ</w:t>
      </w:r>
      <w:r w:rsidR="00F04242" w:rsidRPr="00F04242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>եղեկատվություն</w:t>
      </w:r>
      <w:r w:rsidR="00F04242">
        <w:rPr>
          <w:rFonts w:ascii="Cambria Math" w:eastAsia="Times New Roman" w:hAnsi="Cambria Math" w:cs="Times New Roman"/>
          <w:color w:val="FF0000"/>
          <w:sz w:val="24"/>
          <w:szCs w:val="24"/>
          <w:lang w:val="hy-AM" w:eastAsia="en-GB"/>
        </w:rPr>
        <w:t>․</w:t>
      </w:r>
    </w:p>
    <w:p w14:paraId="2F21D994" w14:textId="77777777" w:rsidR="00784401" w:rsidRPr="00C847D2" w:rsidRDefault="00784401" w:rsidP="004056D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C847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3) առկա է վարելու իրավունքից զրկելու մասին դատարանի՝ օրինական ուժի մեջ մտած դատական ակտ կամ իրավասու այլ մարմնի՝ ուժի մեջ մտած ակտ.</w:t>
      </w:r>
    </w:p>
    <w:p w14:paraId="40A4D14A" w14:textId="77777777" w:rsidR="00784401" w:rsidRPr="00C847D2" w:rsidRDefault="00784401" w:rsidP="004056D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C847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4) նա մահացել է:</w:t>
      </w:r>
    </w:p>
    <w:p w14:paraId="751D1401" w14:textId="7ABC4FD4" w:rsidR="00F04242" w:rsidRPr="00C847D2" w:rsidRDefault="00F04242" w:rsidP="00F0424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C847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2. Անձի վարորդական վկայականն ուժը կորցնում է, եթե`</w:t>
      </w:r>
    </w:p>
    <w:p w14:paraId="367FD888" w14:textId="254F64E3" w:rsidR="00F04242" w:rsidRPr="00C847D2" w:rsidRDefault="00F04242" w:rsidP="00F0424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C847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1) առկա է սույն հոդվածի 1-ին մասով նախատեսված հիմքերից որևէ մեկը.</w:t>
      </w:r>
    </w:p>
    <w:p w14:paraId="61A29712" w14:textId="77777777" w:rsidR="00F04242" w:rsidRPr="00C847D2" w:rsidRDefault="00F04242" w:rsidP="00F0424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C847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2) լրացել է վարորդական վկայականի գործողության ժամկետը.</w:t>
      </w:r>
    </w:p>
    <w:p w14:paraId="358A7A30" w14:textId="77777777" w:rsidR="00F04242" w:rsidRPr="00C847D2" w:rsidRDefault="00F04242" w:rsidP="00F0424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</w:p>
    <w:p w14:paraId="7F6AAB63" w14:textId="77777777" w:rsidR="00F04242" w:rsidRPr="00C847D2" w:rsidRDefault="00F04242" w:rsidP="00F0424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C847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lastRenderedPageBreak/>
        <w:t>3) վարորդական վկայականը կորել է, և անձը դիմել է նոր վկայական ստանալու համար կամ իրազեկել է կորստյան մասին:</w:t>
      </w:r>
    </w:p>
    <w:p w14:paraId="5B7A22C4" w14:textId="67642DD6" w:rsidR="00FD523C" w:rsidRPr="004056DA" w:rsidRDefault="00FD523C" w:rsidP="00C248F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</w:pPr>
      <w:r w:rsidRPr="004056DA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>2</w:t>
      </w:r>
      <w:r w:rsidRPr="004056DA">
        <w:rPr>
          <w:rFonts w:ascii="Cambria Math" w:eastAsia="Times New Roman" w:hAnsi="Cambria Math" w:cs="Cambria Math"/>
          <w:color w:val="FF0000"/>
          <w:sz w:val="24"/>
          <w:szCs w:val="24"/>
          <w:lang w:val="hy-AM" w:eastAsia="en-GB"/>
        </w:rPr>
        <w:t>․</w:t>
      </w:r>
      <w:r w:rsidRPr="004056DA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>1</w:t>
      </w:r>
      <w:r w:rsidRPr="004056DA">
        <w:rPr>
          <w:rFonts w:ascii="Cambria Math" w:eastAsia="Times New Roman" w:hAnsi="Cambria Math" w:cs="Cambria Math"/>
          <w:color w:val="FF0000"/>
          <w:sz w:val="24"/>
          <w:szCs w:val="24"/>
          <w:lang w:val="hy-AM" w:eastAsia="en-GB"/>
        </w:rPr>
        <w:t>․</w:t>
      </w:r>
      <w:r w:rsidRPr="004056DA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 xml:space="preserve"> </w:t>
      </w:r>
      <w:r w:rsidR="00F04242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>Անձի՝ ս</w:t>
      </w:r>
      <w:r w:rsidRPr="004056DA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>ույն հոդվածի</w:t>
      </w:r>
      <w:r w:rsidR="00F04242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 xml:space="preserve"> 1-ին մասի 2-րդ կետով</w:t>
      </w:r>
      <w:r w:rsidR="00C248F7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 xml:space="preserve"> նախատեսված առողջական վիճակի մասին տեղեկատվությունն </w:t>
      </w:r>
      <w:r w:rsidRPr="004056DA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>իրավասու մարմն</w:t>
      </w:r>
      <w:r w:rsidR="00C248F7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 xml:space="preserve">ի կողմից էլեկտրոնային </w:t>
      </w:r>
      <w:r w:rsidR="00C248F7" w:rsidRPr="004056DA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>առողջապահության համակարգ</w:t>
      </w:r>
      <w:r w:rsidR="00C248F7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 xml:space="preserve"> </w:t>
      </w:r>
      <w:r w:rsidR="00C248F7" w:rsidRPr="004056DA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>մուտքագրվելուց հետո համակարգը, ինքնաշխատ եղանակով հարցում կատարելով, Հայաստանի Հանրապետության ներքին գործերի նախարարության էլեկտրոնային ռեգիստրից պարզում է անձի վարելու իրավունք ունենալու մասին տեղեկատվությունը։</w:t>
      </w:r>
    </w:p>
    <w:p w14:paraId="130E6438" w14:textId="31E39179" w:rsidR="00FD523C" w:rsidRPr="004F3C40" w:rsidRDefault="00FD523C" w:rsidP="00582B3B">
      <w:pPr>
        <w:spacing w:after="0" w:line="240" w:lineRule="auto"/>
        <w:ind w:right="-130"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056DA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 xml:space="preserve">2.2. </w:t>
      </w:r>
      <w:r w:rsidR="00C248F7" w:rsidRPr="00244263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>Հայաստանի Հանրապետության ներքին գործերի նախարարության էլեկտրոնային ռեգիստրում ա</w:t>
      </w:r>
      <w:r w:rsidRPr="00244263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>նձի վարելու իրավունք</w:t>
      </w:r>
      <w:r w:rsidR="00C248F7" w:rsidRPr="00244263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>ն</w:t>
      </w:r>
      <w:r w:rsidRPr="00244263">
        <w:rPr>
          <w:rFonts w:ascii="GHEA Grapalat" w:eastAsia="Times New Roman" w:hAnsi="GHEA Grapalat" w:cs="Cambria Math"/>
          <w:color w:val="FF0000"/>
          <w:sz w:val="24"/>
          <w:szCs w:val="24"/>
          <w:lang w:val="hy-AM" w:eastAsia="en-GB"/>
        </w:rPr>
        <w:t xml:space="preserve"> ինքնաշխատ եղանակով դադարում է, եթե էլեկտրոնային առողջապահության համակարգի հարցման արդյունքում հաստատվում է, որ </w:t>
      </w:r>
      <w:r w:rsidRPr="004F3C40">
        <w:rPr>
          <w:rFonts w:ascii="GHEA Grapalat" w:eastAsia="Times New Roman" w:hAnsi="GHEA Grapalat" w:cs="Cambria Math"/>
          <w:color w:val="FF0000"/>
          <w:sz w:val="24"/>
          <w:szCs w:val="24"/>
          <w:lang w:val="hy-AM" w:eastAsia="en-GB"/>
        </w:rPr>
        <w:t>հարցվող անձը Հայաստանի Հանրապետության ներքին գործերի նախարարության էլեկտրոնային ռեգիստրում ունի վարելու իրավունքի գործող կարգավիճակ։</w:t>
      </w:r>
      <w:r w:rsidR="00244263" w:rsidRPr="004F3C40">
        <w:rPr>
          <w:rFonts w:ascii="GHEA Grapalat" w:eastAsia="Times New Roman" w:hAnsi="GHEA Grapalat" w:cs="Cambria Math"/>
          <w:color w:val="FF0000"/>
          <w:sz w:val="24"/>
          <w:szCs w:val="24"/>
          <w:lang w:val="hy-AM" w:eastAsia="en-GB"/>
        </w:rPr>
        <w:t xml:space="preserve"> </w:t>
      </w:r>
      <w:r w:rsidR="00582B3B" w:rsidRPr="00582B3B">
        <w:rPr>
          <w:rFonts w:ascii="GHEA Grapalat" w:hAnsi="GHEA Grapalat"/>
          <w:color w:val="EE0000"/>
          <w:sz w:val="24"/>
          <w:szCs w:val="24"/>
          <w:shd w:val="clear" w:color="auto" w:fill="FFFFFF"/>
          <w:lang w:val="hy-AM"/>
        </w:rPr>
        <w:t xml:space="preserve">Սույն մասով նախատեսված՝ անձի վարելու իրավունքը դադարելու վերաբերյալ տվյալ անձը տեղեկացվում է համապատասխան տեղեկատվությունը տրանսպորտային միջոցների պետական գրանցման-հաշվառման էլեկտրոնային հարթակի իր անձնական էջում արտացոլելու եղանակով, իսկ առկայության դեպքում՝ նաև </w:t>
      </w:r>
      <w:r w:rsidR="006B7D81" w:rsidRPr="006B7D81">
        <w:rPr>
          <w:rFonts w:ascii="GHEA Grapalat" w:hAnsi="GHEA Grapalat"/>
          <w:color w:val="EE0000"/>
          <w:sz w:val="24"/>
          <w:szCs w:val="24"/>
          <w:shd w:val="clear" w:color="auto" w:fill="FFFFFF"/>
          <w:lang w:val="hy-AM"/>
        </w:rPr>
        <w:t xml:space="preserve">իր կողմից ոստիկանությանը </w:t>
      </w:r>
      <w:r w:rsidR="00582B3B" w:rsidRPr="00582B3B">
        <w:rPr>
          <w:rFonts w:ascii="GHEA Grapalat" w:hAnsi="GHEA Grapalat"/>
          <w:color w:val="EE0000"/>
          <w:sz w:val="24"/>
          <w:szCs w:val="24"/>
          <w:shd w:val="clear" w:color="auto" w:fill="FFFFFF"/>
          <w:lang w:val="hy-AM"/>
        </w:rPr>
        <w:t>տրամադրած էլեկտրոնային փոստին կամ բջջային հեռախոսահամարին հաղորդագրությամբ ստանալու միջոցով</w:t>
      </w:r>
      <w:r w:rsidR="004F3C40" w:rsidRPr="004F3C40">
        <w:rPr>
          <w:rFonts w:ascii="GHEA Grapalat" w:hAnsi="GHEA Grapalat"/>
          <w:color w:val="EE0000"/>
          <w:sz w:val="24"/>
          <w:szCs w:val="24"/>
          <w:shd w:val="clear" w:color="auto" w:fill="FFFFFF"/>
          <w:lang w:val="hy-AM"/>
        </w:rPr>
        <w:t>։</w:t>
      </w:r>
    </w:p>
    <w:p w14:paraId="60068DA0" w14:textId="77777777" w:rsidR="00784401" w:rsidRPr="004A5AB3" w:rsidRDefault="00784401" w:rsidP="00582B3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4A5AB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3. Սույն հոդվածի 2-րդ մասի 1-ին և 2-րդ կետերով նախատեսված հիմքերով ուժը կորցրած վարորդական վկայական հայտնաբերելու դեպքում ոստիկանությունը վերցնում է այդ վարորդական վկայականը:</w:t>
      </w:r>
    </w:p>
    <w:p w14:paraId="76742C0E" w14:textId="77777777" w:rsidR="00784401" w:rsidRPr="004A5AB3" w:rsidRDefault="00784401" w:rsidP="004056D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4A5AB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4. Սույն հոդվածի 1-ին մասի 1-3-րդ կետերով նախատեսված հիմքերով դադարեցված վարելու իրավունքը վերականգնվում է վարելու իրավունքը դադարելու հիմքը վերանալուց հետո` որակավորման քննությունները հանձնելուց հետո:</w:t>
      </w:r>
    </w:p>
    <w:p w14:paraId="380CC2C5" w14:textId="77777777" w:rsidR="00784401" w:rsidRPr="004A5AB3" w:rsidRDefault="00784401" w:rsidP="004056DA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</w:p>
    <w:p w14:paraId="2F0B5093" w14:textId="601EEBC5" w:rsidR="00BA302C" w:rsidRPr="00BA302C" w:rsidRDefault="00BA302C" w:rsidP="004056DA">
      <w:pPr>
        <w:shd w:val="clear" w:color="auto" w:fill="FFFFFF"/>
        <w:spacing w:after="0" w:line="240" w:lineRule="auto"/>
        <w:jc w:val="both"/>
        <w:rPr>
          <w:rFonts w:ascii="Sylfaen" w:eastAsia="Times New Roman" w:hAnsi="Sylfaen" w:cs="Times New Roman"/>
          <w:color w:val="000000"/>
          <w:sz w:val="21"/>
          <w:szCs w:val="21"/>
          <w:lang w:val="hy-AM" w:eastAsia="en-GB"/>
        </w:rPr>
      </w:pPr>
    </w:p>
    <w:sectPr w:rsidR="00BA302C" w:rsidRPr="00BA302C" w:rsidSect="004056DA">
      <w:pgSz w:w="12240" w:h="15840"/>
      <w:pgMar w:top="810" w:right="900" w:bottom="5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0250B"/>
    <w:rsid w:val="00071668"/>
    <w:rsid w:val="00136C50"/>
    <w:rsid w:val="00136D84"/>
    <w:rsid w:val="001A5EEE"/>
    <w:rsid w:val="00244263"/>
    <w:rsid w:val="0025600F"/>
    <w:rsid w:val="002742DA"/>
    <w:rsid w:val="002B0B68"/>
    <w:rsid w:val="002B1979"/>
    <w:rsid w:val="00366FDE"/>
    <w:rsid w:val="004042EA"/>
    <w:rsid w:val="004056DA"/>
    <w:rsid w:val="004A5AB3"/>
    <w:rsid w:val="004F3C40"/>
    <w:rsid w:val="00537E25"/>
    <w:rsid w:val="00582B3B"/>
    <w:rsid w:val="005C2241"/>
    <w:rsid w:val="00657E01"/>
    <w:rsid w:val="006B7D81"/>
    <w:rsid w:val="00715205"/>
    <w:rsid w:val="00757764"/>
    <w:rsid w:val="00784401"/>
    <w:rsid w:val="007973A6"/>
    <w:rsid w:val="00834359"/>
    <w:rsid w:val="00834654"/>
    <w:rsid w:val="008404DB"/>
    <w:rsid w:val="0084676B"/>
    <w:rsid w:val="00991D3F"/>
    <w:rsid w:val="00A0250B"/>
    <w:rsid w:val="00AA6F61"/>
    <w:rsid w:val="00AD550F"/>
    <w:rsid w:val="00AE572D"/>
    <w:rsid w:val="00B87C64"/>
    <w:rsid w:val="00BA302C"/>
    <w:rsid w:val="00BB5B0E"/>
    <w:rsid w:val="00C15F18"/>
    <w:rsid w:val="00C248F7"/>
    <w:rsid w:val="00C77C95"/>
    <w:rsid w:val="00C82D7E"/>
    <w:rsid w:val="00C847D2"/>
    <w:rsid w:val="00CA6C4A"/>
    <w:rsid w:val="00CF243D"/>
    <w:rsid w:val="00D835EC"/>
    <w:rsid w:val="00E1374F"/>
    <w:rsid w:val="00EB4C02"/>
    <w:rsid w:val="00F04242"/>
    <w:rsid w:val="00FD5095"/>
    <w:rsid w:val="00FD5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8B711"/>
  <w15:docId w15:val="{F6BF6F4E-3712-446E-8317-8FE3E2EBC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250B"/>
    <w:pPr>
      <w:spacing w:after="160" w:line="259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A025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A0250B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B4C02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B87C64"/>
    <w:rPr>
      <w:b/>
      <w:bCs/>
    </w:rPr>
  </w:style>
  <w:style w:type="character" w:styleId="Hyperlink">
    <w:name w:val="Hyperlink"/>
    <w:basedOn w:val="DefaultParagraphFont"/>
    <w:uiPriority w:val="99"/>
    <w:unhideWhenUsed/>
    <w:rsid w:val="00136C50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36C50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52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5205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784401"/>
    <w:rPr>
      <w:i/>
      <w:iCs/>
    </w:rPr>
  </w:style>
  <w:style w:type="paragraph" w:styleId="Revision">
    <w:name w:val="Revision"/>
    <w:hidden/>
    <w:uiPriority w:val="99"/>
    <w:semiHidden/>
    <w:rsid w:val="004056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3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898</Words>
  <Characters>5125</Characters>
  <Application>Microsoft Office Word</Application>
  <DocSecurity>0</DocSecurity>
  <Lines>42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https://mul2-mia.gov.am/tasks/5344154/oneclick?token=777f4cec489bb8c422bf9c6dcda31a6f</cp:keywords>
  <dc:description/>
  <cp:lastModifiedBy>Ruslan Marandyan</cp:lastModifiedBy>
  <cp:revision>29</cp:revision>
  <dcterms:created xsi:type="dcterms:W3CDTF">2023-04-07T07:10:00Z</dcterms:created>
  <dcterms:modified xsi:type="dcterms:W3CDTF">2025-12-25T05:57:00Z</dcterms:modified>
</cp:coreProperties>
</file>