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F7A22" w14:textId="77777777" w:rsidR="007B7623" w:rsidRPr="007113AC" w:rsidRDefault="007B7623" w:rsidP="007B7623">
      <w:pPr>
        <w:pStyle w:val="headingtitleStyle"/>
        <w:rPr>
          <w:sz w:val="24"/>
          <w:szCs w:val="24"/>
        </w:rPr>
      </w:pPr>
      <w:bookmarkStart w:id="0" w:name="_Toc1"/>
      <w:r w:rsidRPr="007113AC">
        <w:rPr>
          <w:sz w:val="24"/>
          <w:szCs w:val="24"/>
        </w:rPr>
        <w:t>Ամփոփաթերթ</w:t>
      </w:r>
      <w:bookmarkEnd w:id="0"/>
    </w:p>
    <w:p w14:paraId="132D2267" w14:textId="5604FF34" w:rsidR="007B7623" w:rsidRPr="007113AC" w:rsidRDefault="007B7623" w:rsidP="007B7623">
      <w:pPr>
        <w:pStyle w:val="headingtitleStyle"/>
        <w:rPr>
          <w:sz w:val="24"/>
          <w:szCs w:val="24"/>
        </w:rPr>
      </w:pPr>
      <w:bookmarkStart w:id="1" w:name="_Toc2"/>
      <w:r w:rsidRPr="007113AC">
        <w:rPr>
          <w:sz w:val="24"/>
          <w:szCs w:val="24"/>
        </w:rPr>
        <w:t>«ՃԱՆԱՊԱՐՀԱՅԻՆ ԵՐԹԵՎԵԿՈՒԹՅԱՆ ԱՆՎՏԱՆԳՈՒԹՅԱՆ ԱՊԱՀՈՎՄԱՆ ՄԱՍԻՆ» ՕՐԵՆՔՈՒՄ ԼՐԱՑՈՒՄՆԵՐ ԿԱՏԱՐԵԼՈՒ ՄԱՍԻՆ</w:t>
      </w:r>
      <w:r w:rsidR="00B06305">
        <w:rPr>
          <w:sz w:val="24"/>
          <w:szCs w:val="24"/>
        </w:rPr>
        <w:t>»</w:t>
      </w:r>
      <w:r w:rsidRPr="007113AC">
        <w:rPr>
          <w:sz w:val="24"/>
          <w:szCs w:val="24"/>
        </w:rPr>
        <w:t xml:space="preserve"> </w:t>
      </w:r>
      <w:r w:rsidR="00B06305">
        <w:rPr>
          <w:sz w:val="24"/>
          <w:szCs w:val="24"/>
        </w:rPr>
        <w:t xml:space="preserve">ՕՐԵՆՔԻ </w:t>
      </w:r>
      <w:r w:rsidRPr="007113AC">
        <w:rPr>
          <w:sz w:val="24"/>
          <w:szCs w:val="24"/>
        </w:rPr>
        <w:t>նախագծի վերաբերյալ</w:t>
      </w:r>
      <w:bookmarkEnd w:id="1"/>
    </w:p>
    <w:p w14:paraId="458D77CC" w14:textId="77777777" w:rsidR="007B7623" w:rsidRPr="007113AC" w:rsidRDefault="007B7623" w:rsidP="007B7623">
      <w:pPr>
        <w:rPr>
          <w:sz w:val="24"/>
          <w:szCs w:val="24"/>
        </w:rPr>
      </w:pPr>
    </w:p>
    <w:p w14:paraId="5F39B7A8" w14:textId="77777777" w:rsidR="007B7623" w:rsidRPr="007113AC" w:rsidRDefault="007B7623" w:rsidP="007B7623">
      <w:pPr>
        <w:rPr>
          <w:sz w:val="24"/>
          <w:szCs w:val="24"/>
        </w:rPr>
      </w:pPr>
    </w:p>
    <w:p w14:paraId="44478D1C" w14:textId="77777777" w:rsidR="007B7623" w:rsidRPr="007113AC" w:rsidRDefault="007B7623" w:rsidP="007B7623">
      <w:pPr>
        <w:rPr>
          <w:sz w:val="24"/>
          <w:szCs w:val="24"/>
        </w:rPr>
      </w:pPr>
    </w:p>
    <w:tbl>
      <w:tblPr>
        <w:tblW w:w="15735" w:type="dxa"/>
        <w:tblInd w:w="-145" w:type="dxa"/>
        <w:tblCellMar>
          <w:left w:w="10" w:type="dxa"/>
          <w:right w:w="10" w:type="dxa"/>
        </w:tblCellMar>
        <w:tblLook w:val="04A0" w:firstRow="1" w:lastRow="0" w:firstColumn="1" w:lastColumn="0" w:noHBand="0" w:noVBand="1"/>
      </w:tblPr>
      <w:tblGrid>
        <w:gridCol w:w="655"/>
        <w:gridCol w:w="2250"/>
        <w:gridCol w:w="5601"/>
        <w:gridCol w:w="4252"/>
        <w:gridCol w:w="2977"/>
      </w:tblGrid>
      <w:tr w:rsidR="007B7623" w:rsidRPr="007113AC" w14:paraId="14D7620F" w14:textId="77777777" w:rsidTr="002A3919">
        <w:tc>
          <w:tcPr>
            <w:tcW w:w="655" w:type="dxa"/>
            <w:tcBorders>
              <w:top w:val="single" w:sz="2" w:space="0" w:color="000000"/>
              <w:left w:val="single" w:sz="2" w:space="0" w:color="000000"/>
              <w:bottom w:val="single" w:sz="2" w:space="0" w:color="000000"/>
              <w:right w:val="single" w:sz="2" w:space="0" w:color="000000"/>
            </w:tcBorders>
            <w:hideMark/>
          </w:tcPr>
          <w:p w14:paraId="07FD464A" w14:textId="77777777" w:rsidR="007B7623" w:rsidRPr="007113AC" w:rsidRDefault="007B7623">
            <w:pPr>
              <w:jc w:val="center"/>
              <w:rPr>
                <w:sz w:val="24"/>
                <w:szCs w:val="24"/>
              </w:rPr>
            </w:pPr>
            <w:r w:rsidRPr="007113AC">
              <w:rPr>
                <w:rFonts w:ascii="GHEA Grapalat" w:eastAsia="GHEA Grapalat" w:hAnsi="GHEA Grapalat" w:cs="GHEA Grapalat"/>
                <w:color w:val="000000"/>
                <w:sz w:val="24"/>
                <w:szCs w:val="24"/>
              </w:rPr>
              <w:t>հ/</w:t>
            </w:r>
          </w:p>
          <w:p w14:paraId="1A7E3391" w14:textId="77777777" w:rsidR="007B7623" w:rsidRPr="007113AC" w:rsidRDefault="007B7623">
            <w:pPr>
              <w:jc w:val="center"/>
              <w:rPr>
                <w:sz w:val="24"/>
                <w:szCs w:val="24"/>
              </w:rPr>
            </w:pPr>
            <w:r w:rsidRPr="007113AC">
              <w:rPr>
                <w:rFonts w:ascii="GHEA Grapalat" w:eastAsia="GHEA Grapalat" w:hAnsi="GHEA Grapalat" w:cs="GHEA Grapalat"/>
                <w:color w:val="000000"/>
                <w:sz w:val="24"/>
                <w:szCs w:val="24"/>
              </w:rPr>
              <w:t>հ</w:t>
            </w:r>
          </w:p>
        </w:tc>
        <w:tc>
          <w:tcPr>
            <w:tcW w:w="2250" w:type="dxa"/>
            <w:tcBorders>
              <w:top w:val="single" w:sz="2" w:space="0" w:color="000000"/>
              <w:left w:val="single" w:sz="2" w:space="0" w:color="000000"/>
              <w:bottom w:val="single" w:sz="2" w:space="0" w:color="000000"/>
              <w:right w:val="single" w:sz="2" w:space="0" w:color="000000"/>
            </w:tcBorders>
            <w:hideMark/>
          </w:tcPr>
          <w:p w14:paraId="768CFB5E" w14:textId="77777777" w:rsidR="007B7623" w:rsidRPr="007113AC" w:rsidRDefault="007B7623">
            <w:pPr>
              <w:jc w:val="center"/>
              <w:rPr>
                <w:sz w:val="24"/>
                <w:szCs w:val="24"/>
              </w:rPr>
            </w:pPr>
            <w:r w:rsidRPr="007113AC">
              <w:rPr>
                <w:rFonts w:ascii="GHEA Grapalat" w:eastAsia="GHEA Grapalat" w:hAnsi="GHEA Grapalat" w:cs="GHEA Grapalat"/>
                <w:color w:val="000000"/>
                <w:sz w:val="24"/>
                <w:szCs w:val="24"/>
              </w:rPr>
              <w:t>Առարկության, առաջարկության հեղինակը, ստացման ամսաթիվը</w:t>
            </w:r>
          </w:p>
        </w:tc>
        <w:tc>
          <w:tcPr>
            <w:tcW w:w="5601" w:type="dxa"/>
            <w:tcBorders>
              <w:top w:val="single" w:sz="2" w:space="0" w:color="000000"/>
              <w:left w:val="single" w:sz="2" w:space="0" w:color="000000"/>
              <w:bottom w:val="single" w:sz="2" w:space="0" w:color="000000"/>
              <w:right w:val="single" w:sz="2" w:space="0" w:color="000000"/>
            </w:tcBorders>
            <w:hideMark/>
          </w:tcPr>
          <w:p w14:paraId="1994401C" w14:textId="77777777" w:rsidR="007B7623" w:rsidRPr="007113AC" w:rsidRDefault="007B7623">
            <w:pPr>
              <w:jc w:val="center"/>
              <w:rPr>
                <w:sz w:val="24"/>
                <w:szCs w:val="24"/>
              </w:rPr>
            </w:pPr>
            <w:r w:rsidRPr="007113AC">
              <w:rPr>
                <w:rFonts w:ascii="GHEA Grapalat" w:eastAsia="GHEA Grapalat" w:hAnsi="GHEA Grapalat" w:cs="GHEA Grapalat"/>
                <w:color w:val="000000"/>
                <w:sz w:val="24"/>
                <w:szCs w:val="24"/>
              </w:rPr>
              <w:t>Առարկության, առաջարկության բովանդակությունը</w:t>
            </w:r>
          </w:p>
        </w:tc>
        <w:tc>
          <w:tcPr>
            <w:tcW w:w="4252" w:type="dxa"/>
            <w:tcBorders>
              <w:top w:val="single" w:sz="2" w:space="0" w:color="000000"/>
              <w:left w:val="single" w:sz="2" w:space="0" w:color="000000"/>
              <w:bottom w:val="single" w:sz="2" w:space="0" w:color="000000"/>
              <w:right w:val="single" w:sz="2" w:space="0" w:color="000000"/>
            </w:tcBorders>
            <w:hideMark/>
          </w:tcPr>
          <w:p w14:paraId="676C287E" w14:textId="77777777" w:rsidR="007B7623" w:rsidRPr="007113AC" w:rsidRDefault="007B7623">
            <w:pPr>
              <w:jc w:val="center"/>
              <w:rPr>
                <w:sz w:val="24"/>
                <w:szCs w:val="24"/>
              </w:rPr>
            </w:pPr>
            <w:r w:rsidRPr="007113AC">
              <w:rPr>
                <w:rFonts w:ascii="GHEA Grapalat" w:eastAsia="GHEA Grapalat" w:hAnsi="GHEA Grapalat" w:cs="GHEA Grapalat"/>
                <w:color w:val="000000"/>
                <w:sz w:val="24"/>
                <w:szCs w:val="24"/>
              </w:rPr>
              <w:t>Եզրակացություն</w:t>
            </w:r>
          </w:p>
        </w:tc>
        <w:tc>
          <w:tcPr>
            <w:tcW w:w="2977" w:type="dxa"/>
            <w:tcBorders>
              <w:top w:val="single" w:sz="2" w:space="0" w:color="000000"/>
              <w:left w:val="single" w:sz="2" w:space="0" w:color="000000"/>
              <w:bottom w:val="single" w:sz="2" w:space="0" w:color="000000"/>
              <w:right w:val="single" w:sz="2" w:space="0" w:color="000000"/>
            </w:tcBorders>
            <w:hideMark/>
          </w:tcPr>
          <w:p w14:paraId="3B5A5E10" w14:textId="77777777" w:rsidR="007B7623" w:rsidRPr="007113AC" w:rsidRDefault="007B7623">
            <w:pPr>
              <w:jc w:val="center"/>
              <w:rPr>
                <w:sz w:val="24"/>
                <w:szCs w:val="24"/>
              </w:rPr>
            </w:pPr>
            <w:r w:rsidRPr="007113AC">
              <w:rPr>
                <w:rFonts w:ascii="GHEA Grapalat" w:eastAsia="GHEA Grapalat" w:hAnsi="GHEA Grapalat" w:cs="GHEA Grapalat"/>
                <w:color w:val="000000"/>
                <w:sz w:val="24"/>
                <w:szCs w:val="24"/>
              </w:rPr>
              <w:t>Կատարված փոփոխությունը</w:t>
            </w:r>
          </w:p>
        </w:tc>
      </w:tr>
      <w:tr w:rsidR="007B7623" w:rsidRPr="007113AC" w14:paraId="07529E25" w14:textId="77777777" w:rsidTr="002A3919">
        <w:tc>
          <w:tcPr>
            <w:tcW w:w="655" w:type="dxa"/>
            <w:tcBorders>
              <w:top w:val="single" w:sz="2" w:space="0" w:color="000000"/>
              <w:left w:val="single" w:sz="2" w:space="0" w:color="000000"/>
              <w:bottom w:val="single" w:sz="2" w:space="0" w:color="000000"/>
              <w:right w:val="single" w:sz="2" w:space="0" w:color="000000"/>
            </w:tcBorders>
            <w:vAlign w:val="center"/>
          </w:tcPr>
          <w:p w14:paraId="25D98F8D" w14:textId="77777777" w:rsidR="007B7623" w:rsidRPr="007113AC" w:rsidRDefault="007B7623">
            <w:pPr>
              <w:jc w:val="center"/>
              <w:rPr>
                <w:sz w:val="24"/>
                <w:szCs w:val="24"/>
              </w:rPr>
            </w:pPr>
          </w:p>
        </w:tc>
        <w:tc>
          <w:tcPr>
            <w:tcW w:w="2250" w:type="dxa"/>
            <w:tcBorders>
              <w:top w:val="single" w:sz="2" w:space="0" w:color="000000"/>
              <w:left w:val="single" w:sz="2" w:space="0" w:color="000000"/>
              <w:bottom w:val="single" w:sz="2" w:space="0" w:color="000000"/>
              <w:right w:val="single" w:sz="2" w:space="0" w:color="000000"/>
            </w:tcBorders>
            <w:vAlign w:val="center"/>
            <w:hideMark/>
          </w:tcPr>
          <w:p w14:paraId="2664CD3F" w14:textId="77777777" w:rsidR="007B7623" w:rsidRPr="007113AC" w:rsidRDefault="007B7623">
            <w:pPr>
              <w:jc w:val="center"/>
              <w:rPr>
                <w:sz w:val="24"/>
                <w:szCs w:val="24"/>
              </w:rPr>
            </w:pPr>
            <w:r w:rsidRPr="007113AC">
              <w:rPr>
                <w:rFonts w:ascii="GHEA Grapalat" w:eastAsia="GHEA Grapalat" w:hAnsi="GHEA Grapalat" w:cs="GHEA Grapalat"/>
                <w:color w:val="000000"/>
                <w:sz w:val="24"/>
                <w:szCs w:val="24"/>
              </w:rPr>
              <w:t>1</w:t>
            </w:r>
          </w:p>
        </w:tc>
        <w:tc>
          <w:tcPr>
            <w:tcW w:w="5601" w:type="dxa"/>
            <w:tcBorders>
              <w:top w:val="single" w:sz="2" w:space="0" w:color="000000"/>
              <w:left w:val="single" w:sz="2" w:space="0" w:color="000000"/>
              <w:bottom w:val="single" w:sz="2" w:space="0" w:color="000000"/>
              <w:right w:val="single" w:sz="2" w:space="0" w:color="000000"/>
            </w:tcBorders>
            <w:vAlign w:val="center"/>
            <w:hideMark/>
          </w:tcPr>
          <w:p w14:paraId="0422A622" w14:textId="77777777" w:rsidR="007B7623" w:rsidRPr="007113AC" w:rsidRDefault="007B7623">
            <w:pPr>
              <w:jc w:val="center"/>
              <w:rPr>
                <w:sz w:val="24"/>
                <w:szCs w:val="24"/>
              </w:rPr>
            </w:pPr>
            <w:r w:rsidRPr="007113AC">
              <w:rPr>
                <w:rFonts w:ascii="GHEA Grapalat" w:eastAsia="GHEA Grapalat" w:hAnsi="GHEA Grapalat" w:cs="GHEA Grapalat"/>
                <w:color w:val="000000"/>
                <w:sz w:val="24"/>
                <w:szCs w:val="24"/>
              </w:rPr>
              <w:t>2</w:t>
            </w:r>
          </w:p>
        </w:tc>
        <w:tc>
          <w:tcPr>
            <w:tcW w:w="4252" w:type="dxa"/>
            <w:tcBorders>
              <w:top w:val="single" w:sz="2" w:space="0" w:color="000000"/>
              <w:left w:val="single" w:sz="2" w:space="0" w:color="000000"/>
              <w:bottom w:val="single" w:sz="2" w:space="0" w:color="000000"/>
              <w:right w:val="single" w:sz="2" w:space="0" w:color="000000"/>
            </w:tcBorders>
            <w:vAlign w:val="center"/>
            <w:hideMark/>
          </w:tcPr>
          <w:p w14:paraId="404C1B54" w14:textId="77777777" w:rsidR="007B7623" w:rsidRPr="007113AC" w:rsidRDefault="007B7623">
            <w:pPr>
              <w:jc w:val="center"/>
              <w:rPr>
                <w:sz w:val="24"/>
                <w:szCs w:val="24"/>
              </w:rPr>
            </w:pPr>
            <w:r w:rsidRPr="007113AC">
              <w:rPr>
                <w:rFonts w:ascii="GHEA Grapalat" w:eastAsia="GHEA Grapalat" w:hAnsi="GHEA Grapalat" w:cs="GHEA Grapalat"/>
                <w:color w:val="000000"/>
                <w:sz w:val="24"/>
                <w:szCs w:val="24"/>
              </w:rPr>
              <w:t>3</w:t>
            </w:r>
          </w:p>
        </w:tc>
        <w:tc>
          <w:tcPr>
            <w:tcW w:w="2977" w:type="dxa"/>
            <w:tcBorders>
              <w:top w:val="single" w:sz="2" w:space="0" w:color="000000"/>
              <w:left w:val="single" w:sz="2" w:space="0" w:color="000000"/>
              <w:bottom w:val="single" w:sz="2" w:space="0" w:color="000000"/>
              <w:right w:val="single" w:sz="2" w:space="0" w:color="000000"/>
            </w:tcBorders>
            <w:vAlign w:val="center"/>
            <w:hideMark/>
          </w:tcPr>
          <w:p w14:paraId="42C1291A" w14:textId="77777777" w:rsidR="007B7623" w:rsidRPr="007113AC" w:rsidRDefault="007B7623">
            <w:pPr>
              <w:jc w:val="center"/>
              <w:rPr>
                <w:sz w:val="24"/>
                <w:szCs w:val="24"/>
              </w:rPr>
            </w:pPr>
            <w:r w:rsidRPr="007113AC">
              <w:rPr>
                <w:rFonts w:ascii="GHEA Grapalat" w:eastAsia="GHEA Grapalat" w:hAnsi="GHEA Grapalat" w:cs="GHEA Grapalat"/>
                <w:color w:val="000000"/>
                <w:sz w:val="24"/>
                <w:szCs w:val="24"/>
              </w:rPr>
              <w:t>4</w:t>
            </w:r>
          </w:p>
        </w:tc>
      </w:tr>
      <w:tr w:rsidR="002A3919" w:rsidRPr="006E316E" w14:paraId="3EE4CAB3" w14:textId="77777777" w:rsidTr="002A3919">
        <w:tc>
          <w:tcPr>
            <w:tcW w:w="655" w:type="dxa"/>
            <w:tcBorders>
              <w:top w:val="single" w:sz="2" w:space="0" w:color="000000"/>
              <w:left w:val="single" w:sz="2" w:space="0" w:color="000000"/>
              <w:bottom w:val="single" w:sz="2" w:space="0" w:color="000000"/>
              <w:right w:val="single" w:sz="2" w:space="0" w:color="000000"/>
            </w:tcBorders>
            <w:hideMark/>
          </w:tcPr>
          <w:p w14:paraId="0789A0CD" w14:textId="77777777" w:rsidR="002A3919" w:rsidRPr="007113AC" w:rsidRDefault="002A3919" w:rsidP="002A3919">
            <w:pPr>
              <w:jc w:val="center"/>
              <w:rPr>
                <w:sz w:val="24"/>
                <w:szCs w:val="24"/>
              </w:rPr>
            </w:pPr>
            <w:r w:rsidRPr="007113AC">
              <w:rPr>
                <w:rFonts w:ascii="GHEA Grapalat" w:eastAsia="GHEA Grapalat" w:hAnsi="GHEA Grapalat" w:cs="GHEA Grapalat"/>
                <w:color w:val="000000"/>
                <w:sz w:val="24"/>
                <w:szCs w:val="24"/>
              </w:rPr>
              <w:t>1</w:t>
            </w:r>
          </w:p>
        </w:tc>
        <w:tc>
          <w:tcPr>
            <w:tcW w:w="2250" w:type="dxa"/>
            <w:tcBorders>
              <w:top w:val="single" w:sz="2" w:space="0" w:color="000000"/>
              <w:left w:val="single" w:sz="2" w:space="0" w:color="000000"/>
              <w:bottom w:val="single" w:sz="2" w:space="0" w:color="000000"/>
              <w:right w:val="single" w:sz="2" w:space="0" w:color="000000"/>
            </w:tcBorders>
            <w:hideMark/>
          </w:tcPr>
          <w:p w14:paraId="45EA8428" w14:textId="77777777" w:rsidR="002A3919" w:rsidRPr="007113AC" w:rsidRDefault="002A3919" w:rsidP="002A3919">
            <w:pPr>
              <w:jc w:val="center"/>
              <w:rPr>
                <w:sz w:val="24"/>
                <w:szCs w:val="24"/>
              </w:rPr>
            </w:pPr>
            <w:r w:rsidRPr="007113AC">
              <w:rPr>
                <w:rFonts w:ascii="GHEA Grapalat" w:eastAsia="GHEA Grapalat" w:hAnsi="GHEA Grapalat" w:cs="GHEA Grapalat"/>
                <w:color w:val="000000"/>
                <w:sz w:val="24"/>
                <w:szCs w:val="24"/>
              </w:rPr>
              <w:t>Սոնա Սարգսյան</w:t>
            </w:r>
          </w:p>
          <w:p w14:paraId="50DCC866" w14:textId="77777777" w:rsidR="002A3919" w:rsidRPr="007113AC" w:rsidRDefault="002A3919" w:rsidP="002A3919">
            <w:pPr>
              <w:jc w:val="center"/>
              <w:rPr>
                <w:sz w:val="24"/>
                <w:szCs w:val="24"/>
              </w:rPr>
            </w:pPr>
            <w:r w:rsidRPr="007113AC">
              <w:rPr>
                <w:rFonts w:ascii="GHEA Grapalat" w:eastAsia="GHEA Grapalat" w:hAnsi="GHEA Grapalat" w:cs="GHEA Grapalat"/>
                <w:color w:val="000000"/>
                <w:sz w:val="24"/>
                <w:szCs w:val="24"/>
              </w:rPr>
              <w:t>08.05.2025 23:48:31</w:t>
            </w:r>
          </w:p>
        </w:tc>
        <w:tc>
          <w:tcPr>
            <w:tcW w:w="5601" w:type="dxa"/>
            <w:tcBorders>
              <w:top w:val="single" w:sz="2" w:space="0" w:color="000000"/>
              <w:left w:val="single" w:sz="2" w:space="0" w:color="000000"/>
              <w:bottom w:val="single" w:sz="2" w:space="0" w:color="000000"/>
              <w:right w:val="single" w:sz="2" w:space="0" w:color="000000"/>
            </w:tcBorders>
            <w:hideMark/>
          </w:tcPr>
          <w:p w14:paraId="4100D10A" w14:textId="77777777" w:rsidR="002A3919" w:rsidRPr="007113AC" w:rsidRDefault="002A3919" w:rsidP="002A3919">
            <w:pPr>
              <w:jc w:val="center"/>
              <w:rPr>
                <w:sz w:val="24"/>
                <w:szCs w:val="24"/>
              </w:rPr>
            </w:pPr>
            <w:r w:rsidRPr="007113AC">
              <w:rPr>
                <w:rFonts w:ascii="GHEA Grapalat" w:eastAsia="GHEA Grapalat" w:hAnsi="GHEA Grapalat" w:cs="GHEA Grapalat"/>
                <w:color w:val="000000"/>
                <w:sz w:val="24"/>
                <w:szCs w:val="24"/>
              </w:rPr>
              <w:t xml:space="preserve">Բացատրություն՝ ըստ հոդվածների  Հոդված 1 – 2.1 մաս  Ներկայացվում է «եզրակացության» նոր իրավական սահմանումը՝ ընդգրկելով ոչ միայն դասական բժշկական եզրակացությունները, այլև մատյաններում կամ այլ փաստաթղթերում եղած գրառումները:  Սա ենթադրում է, որ վարորդի առողջական վիճակի գնահատումը կարող է հիմք հանդիսանալ վարորդական իրավունքի դադարեցման համար, նույնիսկ եթե պաշտոնական եզրակացություն չկա, բայց կան գրառումներ։   Խնդրահարույց կողմեր:  Այս ձևակերպումը կարող է հանգեցնել չափից ավելի ընդլայնված մեկնաբանությունների՝ որևէ գրառում դիտելով որպես իրավական հիմք։  Կարող է առաջացնել անձնական տվյալների ոչ պատշաճ օգտագործման կամ իրավազոր մարմինների միջև իրավասությունների անցումային խնդիրներ։   </w:t>
            </w:r>
            <w:r w:rsidRPr="007113AC">
              <w:rPr>
                <w:rFonts w:ascii="GHEA Grapalat" w:eastAsia="GHEA Grapalat" w:hAnsi="GHEA Grapalat" w:cs="GHEA Grapalat"/>
                <w:color w:val="000000"/>
                <w:sz w:val="24"/>
                <w:szCs w:val="24"/>
              </w:rPr>
              <w:lastRenderedPageBreak/>
              <w:t xml:space="preserve">Հոդված 1 – 2.2 մաս  Բացատրվում է ավտոմատ փոխգործակցության մեխանիզմը՝ էլեկտրոնային առողջապահության և ՆԳՆ էլեկտրոնային ռեգիստրների միջև։  Հաստատվում է, որ վարորդական իրավունքը կարող է ինքնաշխատ դադարել, եթե առողջապահական համակարգից ստացվում է համապատասխան տեղեկություն։   Նկարային կողմեր:  Բարելավում է արձագանքման արագությունը վտանգավոր վարորդների պարագայում։  Թեթևացնում է վարչական բեռը՝ ավտոմատացման միջոցով։   Բաց կետեր:  Իրավական երաշխիքների բացակայություն՝ չկա հստակ մեխանիզմ, թե ինչպես կարող է անձը բողոքարկել այս որոշումը կամ վերականգնել իրավունքը։  Տեխնիկական վստահելիության հարց՝ համակարգերի սինքրոնիզացիայի կամ սխալ տվյալների մուտքագրման դեպքում կարող են առաջանալ հիմնավորված խախտումներ։  Անձնական տվյալների պաշտպանության ռիսկ՝ առողջության տվյալները կարող են դիտվել որպես «զգայուն տվյալներ», և դրանց փոխանցումը ավտոմատ կերպով կարող է հակասել Գլխավոր տվյալների պաշտպանության դրույթներին (օրինակ՝ ՀՀ Սահմանադրության 31-րդ հոդված)։    ---  Հոդված 2  Նշում է, որ օրենքն ուժի մեջ է մտնում 2025 թվականի դեկտեմբերի 1-ից։ Սա տրամադրում է ժամանակ՝ տեխնիկական և իրավական մեխանիզմների ներդրման համար։   ---  Համադրություն գործող օրենքի հետ  Գործող օրենքը չի նախատեսում այսպիսի փոխկապակցվածություն էլեկտրոնային </w:t>
            </w:r>
            <w:r w:rsidRPr="007113AC">
              <w:rPr>
                <w:rFonts w:ascii="GHEA Grapalat" w:eastAsia="GHEA Grapalat" w:hAnsi="GHEA Grapalat" w:cs="GHEA Grapalat"/>
                <w:color w:val="000000"/>
                <w:sz w:val="24"/>
                <w:szCs w:val="24"/>
              </w:rPr>
              <w:lastRenderedPageBreak/>
              <w:t>առողջապահության համակարգի և ՆԳՆ ռեգիստրի միջև։  Այս նախագծով առաջին անգամ ներդրվում է նման ավտոմատ որոշման մեխանիզմ՝ առանց դատարանի կամ իրավասու վարչական մարմնի ուղիղ մասնակցության։    ---  Հնարավոր սահմանադրական հակասություններ  1. Սահմանադրության 31-րդ հոդված (Անձնական կյանքի անձեռնմխելիությունը) – առողջական տվյալները անձնական կյանքի մաս են, և դրանց փոխանցումը պետք է ունենա հստակ իրավական հիմք ու պաշտպանություն։   2. Սահմանադրության 61-րդ հոդված (Վարչական ակտերի բողոքարկում) – նախագծում չի նշվում բողոքարկման որևէ ընթացակարգ, ինչը կարող է խախտել արդար դատաքննության իրավունքը։   3. Սահմանադրության 78-րդ հոդված (Մեղավորության կանխավարկած) – վարորդի իրավունքը դադարեցվում է առանց հաստատված բուժական եզրակացության, ինչը կարող է դիտվել որպես անուղղակի «մեղադրանք»՝ առանց պաշտպանի իրավունքների։</w:t>
            </w:r>
          </w:p>
        </w:tc>
        <w:tc>
          <w:tcPr>
            <w:tcW w:w="4252" w:type="dxa"/>
            <w:tcBorders>
              <w:top w:val="single" w:sz="2" w:space="0" w:color="000000"/>
              <w:left w:val="single" w:sz="2" w:space="0" w:color="000000"/>
              <w:bottom w:val="single" w:sz="2" w:space="0" w:color="000000"/>
              <w:right w:val="single" w:sz="2" w:space="0" w:color="000000"/>
            </w:tcBorders>
          </w:tcPr>
          <w:p w14:paraId="40250BC8" w14:textId="18BF525F" w:rsidR="002A3919" w:rsidRPr="007113AC" w:rsidRDefault="002A3919" w:rsidP="002A3919">
            <w:pPr>
              <w:tabs>
                <w:tab w:val="center" w:pos="3523"/>
                <w:tab w:val="right" w:pos="6871"/>
              </w:tabs>
              <w:spacing w:after="0" w:line="240" w:lineRule="auto"/>
              <w:jc w:val="center"/>
              <w:rPr>
                <w:rFonts w:ascii="GHEA Grapalat" w:hAnsi="GHEA Grapalat"/>
                <w:b/>
                <w:sz w:val="24"/>
                <w:szCs w:val="24"/>
                <w:lang w:val="hy-AM"/>
              </w:rPr>
            </w:pPr>
            <w:r w:rsidRPr="007113AC">
              <w:rPr>
                <w:rFonts w:ascii="GHEA Grapalat" w:hAnsi="GHEA Grapalat"/>
                <w:b/>
                <w:sz w:val="24"/>
                <w:szCs w:val="24"/>
                <w:lang w:val="hy-AM"/>
              </w:rPr>
              <w:lastRenderedPageBreak/>
              <w:t>Չի ընդունվել</w:t>
            </w:r>
            <w:r w:rsidR="00B06305">
              <w:rPr>
                <w:rFonts w:ascii="GHEA Grapalat" w:hAnsi="GHEA Grapalat"/>
                <w:b/>
                <w:sz w:val="24"/>
                <w:szCs w:val="24"/>
                <w:lang w:val="hy-AM"/>
              </w:rPr>
              <w:t>։</w:t>
            </w:r>
          </w:p>
          <w:p w14:paraId="6841D996" w14:textId="77777777" w:rsidR="002A3919" w:rsidRPr="007113AC" w:rsidRDefault="002A3919" w:rsidP="002A3919">
            <w:pPr>
              <w:tabs>
                <w:tab w:val="right" w:pos="6871"/>
              </w:tabs>
              <w:spacing w:after="0" w:line="240" w:lineRule="auto"/>
              <w:ind w:right="136" w:hanging="5"/>
              <w:jc w:val="center"/>
              <w:rPr>
                <w:rFonts w:ascii="GHEA Grapalat" w:hAnsi="GHEA Grapalat"/>
                <w:color w:val="000000"/>
                <w:sz w:val="24"/>
                <w:szCs w:val="24"/>
                <w:shd w:val="clear" w:color="auto" w:fill="FFFFFF"/>
                <w:lang w:val="hy-AM"/>
              </w:rPr>
            </w:pPr>
            <w:r w:rsidRPr="007113AC">
              <w:rPr>
                <w:rFonts w:ascii="GHEA Grapalat" w:hAnsi="GHEA Grapalat"/>
                <w:sz w:val="24"/>
                <w:szCs w:val="24"/>
                <w:lang w:val="hy-AM"/>
              </w:rPr>
              <w:t xml:space="preserve">«Վարչարարության հիմունքների և վարչական վարույթի մասին» օրենքի (այսուհետ՝ Օրենք) 19-րդ հոդվածի համաձայն՝ </w:t>
            </w:r>
            <w:r w:rsidRPr="007113AC">
              <w:rPr>
                <w:rFonts w:ascii="GHEA Grapalat" w:hAnsi="GHEA Grapalat"/>
                <w:color w:val="000000"/>
                <w:sz w:val="24"/>
                <w:szCs w:val="24"/>
                <w:shd w:val="clear" w:color="auto" w:fill="FFFFFF"/>
                <w:lang w:val="hy-AM"/>
              </w:rPr>
              <w:t xml:space="preserve"> վարչական վարույթը վարչական մարմնի` վարչական ակտ ընդունելուն ուղղված գործունեությունն է, իսկ Օրենքի 59-րդ հոդվածի համաձայն՝  վարչական մարմինը վարույթի մասնակիցներին վարչական ակտի ընդունման մասին իրազեկում է սույն հոդվածով նախատեսված հանձնման կամ հրապարակման եղանակով:</w:t>
            </w:r>
          </w:p>
          <w:p w14:paraId="414538D7" w14:textId="2108A25C" w:rsidR="002A3919" w:rsidRPr="007113AC" w:rsidRDefault="002A3919" w:rsidP="002A3919">
            <w:pPr>
              <w:tabs>
                <w:tab w:val="center" w:pos="3523"/>
                <w:tab w:val="right" w:pos="6871"/>
              </w:tabs>
              <w:spacing w:after="0" w:line="240" w:lineRule="auto"/>
              <w:jc w:val="center"/>
              <w:rPr>
                <w:rFonts w:ascii="GHEA Grapalat" w:hAnsi="GHEA Grapalat"/>
                <w:sz w:val="24"/>
                <w:szCs w:val="24"/>
                <w:lang w:val="hy-AM"/>
              </w:rPr>
            </w:pPr>
            <w:r w:rsidRPr="007113AC">
              <w:rPr>
                <w:rFonts w:ascii="GHEA Grapalat" w:hAnsi="GHEA Grapalat"/>
                <w:sz w:val="24"/>
                <w:szCs w:val="24"/>
                <w:lang w:val="hy-AM"/>
              </w:rPr>
              <w:t xml:space="preserve">Նորմերի բովանդակությունից ակնհայտ է, որ ծանուցման է ենթակա </w:t>
            </w:r>
            <w:r w:rsidRPr="007113AC">
              <w:rPr>
                <w:rFonts w:ascii="GHEA Grapalat" w:hAnsi="GHEA Grapalat"/>
                <w:b/>
                <w:sz w:val="24"/>
                <w:szCs w:val="24"/>
                <w:lang w:val="hy-AM"/>
              </w:rPr>
              <w:t>վարչական ակտը</w:t>
            </w:r>
            <w:r w:rsidRPr="007113AC">
              <w:rPr>
                <w:rFonts w:ascii="GHEA Grapalat" w:hAnsi="GHEA Grapalat"/>
                <w:sz w:val="24"/>
                <w:szCs w:val="24"/>
                <w:lang w:val="hy-AM"/>
              </w:rPr>
              <w:t xml:space="preserve">, իսկ սույն դեպքում </w:t>
            </w:r>
            <w:r w:rsidRPr="007113AC">
              <w:rPr>
                <w:rFonts w:ascii="GHEA Grapalat" w:hAnsi="GHEA Grapalat"/>
                <w:sz w:val="24"/>
                <w:szCs w:val="24"/>
                <w:lang w:val="hy-AM"/>
              </w:rPr>
              <w:lastRenderedPageBreak/>
              <w:t>չի իրականցվում վարչական վարույթ և չի ընդունվում վարչական ակտ, հետևաբար</w:t>
            </w:r>
            <w:r w:rsidR="006E316E">
              <w:rPr>
                <w:rFonts w:ascii="GHEA Grapalat" w:hAnsi="GHEA Grapalat"/>
                <w:sz w:val="24"/>
                <w:szCs w:val="24"/>
                <w:lang w:val="hy-AM"/>
              </w:rPr>
              <w:t>՝</w:t>
            </w:r>
            <w:r w:rsidRPr="007113AC">
              <w:rPr>
                <w:rFonts w:ascii="GHEA Grapalat" w:hAnsi="GHEA Grapalat"/>
                <w:sz w:val="24"/>
                <w:szCs w:val="24"/>
                <w:lang w:val="hy-AM"/>
              </w:rPr>
              <w:t xml:space="preserve"> նաև չկա ծանուցում այդ մասին։</w:t>
            </w:r>
          </w:p>
          <w:p w14:paraId="57603A42" w14:textId="3F3A12E5" w:rsidR="002A3919" w:rsidRPr="007113AC" w:rsidRDefault="002A3919" w:rsidP="002A3919">
            <w:pPr>
              <w:spacing w:line="240" w:lineRule="auto"/>
              <w:jc w:val="center"/>
              <w:rPr>
                <w:sz w:val="24"/>
                <w:szCs w:val="24"/>
                <w:lang w:val="hy-AM"/>
              </w:rPr>
            </w:pPr>
            <w:r w:rsidRPr="007113AC">
              <w:rPr>
                <w:rFonts w:ascii="GHEA Grapalat" w:hAnsi="GHEA Grapalat"/>
                <w:sz w:val="24"/>
                <w:szCs w:val="24"/>
                <w:lang w:val="hy-AM"/>
              </w:rPr>
              <w:t xml:space="preserve">Ավելին, նախագծի հիմնավորմամբ հստակ նշվել է, որ այս բնույթի կարգավորման իրավաչափության մասով իր տեսակետն է հայտնել նաև ՀՀ Սահմանադրական դատարանն իր </w:t>
            </w:r>
            <w:r w:rsidRPr="007113AC">
              <w:rPr>
                <w:rFonts w:ascii="GHEA Grapalat" w:hAnsi="GHEA Grapalat"/>
                <w:color w:val="000000"/>
                <w:sz w:val="24"/>
                <w:szCs w:val="24"/>
                <w:shd w:val="clear" w:color="auto" w:fill="FFFFFF"/>
                <w:lang w:val="hy-AM"/>
              </w:rPr>
              <w:t>2012 թվականի թիվ ՍԴՈ</w:t>
            </w:r>
            <w:r w:rsidRPr="007113AC">
              <w:rPr>
                <w:rFonts w:ascii="GHEA Grapalat" w:hAnsi="GHEA Grapalat"/>
                <w:color w:val="000000"/>
                <w:sz w:val="24"/>
                <w:szCs w:val="24"/>
                <w:shd w:val="clear" w:color="auto" w:fill="FFFFFF"/>
                <w:lang w:val="hy-AM"/>
              </w:rPr>
              <w:noBreakHyphen/>
              <w:t>1056 և ՀՀ Վճռաբեկ դատարանն իր 2017 թվականի թիվ  ՎԴ3/0196/05/16 որոշումներով</w:t>
            </w:r>
            <w:r w:rsidR="006E316E">
              <w:rPr>
                <w:rFonts w:ascii="GHEA Grapalat" w:hAnsi="GHEA Grapalat"/>
                <w:color w:val="000000"/>
                <w:sz w:val="24"/>
                <w:szCs w:val="24"/>
                <w:shd w:val="clear" w:color="auto" w:fill="FFFFFF"/>
                <w:lang w:val="hy-AM"/>
              </w:rPr>
              <w:t>՝</w:t>
            </w:r>
            <w:r w:rsidRPr="007113AC">
              <w:rPr>
                <w:rFonts w:ascii="GHEA Grapalat" w:hAnsi="GHEA Grapalat"/>
                <w:sz w:val="24"/>
                <w:szCs w:val="24"/>
                <w:lang w:val="hy-AM"/>
              </w:rPr>
              <w:t xml:space="preserve"> գտնելով, որ անձի համար իրավական հետևանք առաջացնող գործողությունների համար բացակայում է վարչական ակտ կայացնելու անհրաժեշտությունը և</w:t>
            </w:r>
            <w:r w:rsidR="006E316E">
              <w:rPr>
                <w:rFonts w:ascii="GHEA Grapalat" w:hAnsi="GHEA Grapalat"/>
                <w:sz w:val="24"/>
                <w:szCs w:val="24"/>
                <w:lang w:val="hy-AM"/>
              </w:rPr>
              <w:t>,</w:t>
            </w:r>
            <w:r w:rsidRPr="007113AC">
              <w:rPr>
                <w:rFonts w:ascii="GHEA Grapalat" w:hAnsi="GHEA Grapalat"/>
                <w:sz w:val="24"/>
                <w:szCs w:val="24"/>
                <w:lang w:val="hy-AM"/>
              </w:rPr>
              <w:t xml:space="preserve"> հետևաբար</w:t>
            </w:r>
            <w:r w:rsidR="006E316E">
              <w:rPr>
                <w:rFonts w:ascii="GHEA Grapalat" w:hAnsi="GHEA Grapalat"/>
                <w:sz w:val="24"/>
                <w:szCs w:val="24"/>
                <w:lang w:val="hy-AM"/>
              </w:rPr>
              <w:t>,</w:t>
            </w:r>
            <w:r w:rsidRPr="007113AC">
              <w:rPr>
                <w:rFonts w:ascii="GHEA Grapalat" w:hAnsi="GHEA Grapalat"/>
                <w:sz w:val="24"/>
                <w:szCs w:val="24"/>
                <w:lang w:val="hy-AM"/>
              </w:rPr>
              <w:t xml:space="preserve"> անձը չի ծանուցվում այդ մասին, իսկ հետևանքը վրա է հասնում </w:t>
            </w:r>
            <w:r w:rsidRPr="006E316E">
              <w:rPr>
                <w:rFonts w:ascii="GHEA Grapalat" w:hAnsi="GHEA Grapalat"/>
                <w:b/>
                <w:bCs/>
                <w:sz w:val="24"/>
                <w:szCs w:val="24"/>
                <w:lang w:val="hy-AM"/>
              </w:rPr>
              <w:t>օրենքի ուժով (իրավունքի ուժով)</w:t>
            </w:r>
            <w:r w:rsidR="006E316E">
              <w:rPr>
                <w:rFonts w:ascii="GHEA Grapalat" w:hAnsi="GHEA Grapalat"/>
                <w:b/>
                <w:bCs/>
                <w:sz w:val="24"/>
                <w:szCs w:val="24"/>
                <w:lang w:val="hy-AM"/>
              </w:rPr>
              <w:t>՝</w:t>
            </w:r>
            <w:r w:rsidRPr="007113AC">
              <w:rPr>
                <w:rFonts w:ascii="GHEA Grapalat" w:hAnsi="GHEA Grapalat"/>
                <w:sz w:val="24"/>
                <w:szCs w:val="24"/>
                <w:lang w:val="hy-AM"/>
              </w:rPr>
              <w:t xml:space="preserve"> նշված մեկնաբանությունը չհամարելով ՀՀ Սահմանադրությանը հակասող։</w:t>
            </w:r>
          </w:p>
        </w:tc>
        <w:tc>
          <w:tcPr>
            <w:tcW w:w="2977" w:type="dxa"/>
            <w:tcBorders>
              <w:top w:val="single" w:sz="2" w:space="0" w:color="000000"/>
              <w:left w:val="single" w:sz="2" w:space="0" w:color="000000"/>
              <w:bottom w:val="single" w:sz="2" w:space="0" w:color="000000"/>
              <w:right w:val="single" w:sz="2" w:space="0" w:color="000000"/>
            </w:tcBorders>
          </w:tcPr>
          <w:p w14:paraId="21A7D6B6" w14:textId="77777777" w:rsidR="002A3919" w:rsidRPr="007113AC" w:rsidRDefault="002A3919" w:rsidP="002A3919">
            <w:pPr>
              <w:jc w:val="center"/>
              <w:rPr>
                <w:sz w:val="24"/>
                <w:szCs w:val="24"/>
                <w:lang w:val="hy-AM"/>
              </w:rPr>
            </w:pPr>
          </w:p>
        </w:tc>
      </w:tr>
    </w:tbl>
    <w:p w14:paraId="6A4112E9" w14:textId="77777777" w:rsidR="007B7623" w:rsidRPr="007113AC" w:rsidRDefault="007B7623" w:rsidP="007B7623">
      <w:pPr>
        <w:rPr>
          <w:sz w:val="24"/>
          <w:szCs w:val="24"/>
          <w:lang w:val="hy-AM"/>
        </w:rPr>
      </w:pPr>
    </w:p>
    <w:p w14:paraId="05BAD8B6" w14:textId="77777777" w:rsidR="00660CD5" w:rsidRPr="007113AC" w:rsidRDefault="00660CD5" w:rsidP="00807DA0">
      <w:pPr>
        <w:rPr>
          <w:sz w:val="24"/>
          <w:szCs w:val="24"/>
          <w:lang w:val="hy-AM"/>
        </w:rPr>
      </w:pPr>
    </w:p>
    <w:sectPr w:rsidR="00660CD5" w:rsidRPr="007113AC" w:rsidSect="00807DA0">
      <w:pgSz w:w="16838" w:h="11906" w:orient="landscape"/>
      <w:pgMar w:top="426" w:right="678" w:bottom="28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393"/>
    <w:rsid w:val="00170393"/>
    <w:rsid w:val="00277EA0"/>
    <w:rsid w:val="002A3919"/>
    <w:rsid w:val="00660CD5"/>
    <w:rsid w:val="006E316E"/>
    <w:rsid w:val="007113AC"/>
    <w:rsid w:val="007534AB"/>
    <w:rsid w:val="007B7623"/>
    <w:rsid w:val="00807DA0"/>
    <w:rsid w:val="00B063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ADB1F"/>
  <w15:chartTrackingRefBased/>
  <w15:docId w15:val="{1AB130A6-C215-4E7C-82AA-96B94AEB6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623"/>
    <w:pPr>
      <w:spacing w:line="256" w:lineRule="auto"/>
    </w:pPr>
    <w:rPr>
      <w:rFonts w:ascii="Arial" w:eastAsia="Arial" w:hAnsi="Arial" w:cs="Arial"/>
      <w:sz w:val="20"/>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7B7623"/>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3227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506</Words>
  <Characters>3569</Characters>
  <Application>Microsoft Office Word</Application>
  <DocSecurity>0</DocSecurity>
  <Lines>140</Lines>
  <Paragraphs>20</Paragraphs>
  <ScaleCrop>false</ScaleCrop>
  <Company/>
  <LinksUpToDate>false</LinksUpToDate>
  <CharactersWithSpaces>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Abgaryan</dc:creator>
  <cp:keywords>https://mul2-mia.gov.am/tasks/5344154/oneclick?token=5e32c67a8fca215ad12c9e542e625989</cp:keywords>
  <dc:description/>
  <cp:lastModifiedBy>Ruslan Marandyan</cp:lastModifiedBy>
  <cp:revision>9</cp:revision>
  <dcterms:created xsi:type="dcterms:W3CDTF">2025-06-02T12:38:00Z</dcterms:created>
  <dcterms:modified xsi:type="dcterms:W3CDTF">2025-12-03T05:54:00Z</dcterms:modified>
</cp:coreProperties>
</file>