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56BD9" w14:textId="2312D106" w:rsidR="000D249C" w:rsidRPr="00D436BB" w:rsidRDefault="000D249C" w:rsidP="00A660F7">
      <w:pPr>
        <w:spacing w:after="0" w:line="276" w:lineRule="auto"/>
        <w:jc w:val="center"/>
        <w:rPr>
          <w:rFonts w:ascii="GHEA Grapalat" w:hAnsi="GHEA Grapalat" w:cs="Times New Roman"/>
          <w:b/>
          <w:sz w:val="24"/>
          <w:szCs w:val="24"/>
          <w:lang w:val="hy-AM"/>
        </w:rPr>
      </w:pPr>
      <w:r w:rsidRPr="00D436BB">
        <w:rPr>
          <w:rFonts w:ascii="GHEA Grapalat" w:hAnsi="GHEA Grapalat" w:cs="Times New Roman"/>
          <w:b/>
          <w:sz w:val="24"/>
          <w:szCs w:val="24"/>
          <w:lang w:val="hy-AM"/>
        </w:rPr>
        <w:t>ԱՄՓՈՓԱԹԵՐԹ</w:t>
      </w:r>
    </w:p>
    <w:p w14:paraId="5AC89D95" w14:textId="364197B3" w:rsidR="000D249C" w:rsidRPr="00D436BB" w:rsidRDefault="000D249C" w:rsidP="00A660F7">
      <w:pPr>
        <w:spacing w:after="0" w:line="276" w:lineRule="auto"/>
        <w:jc w:val="center"/>
        <w:rPr>
          <w:rFonts w:ascii="GHEA Grapalat" w:hAnsi="GHEA Grapalat" w:cs="Times New Roman"/>
          <w:b/>
          <w:color w:val="000000"/>
          <w:sz w:val="24"/>
          <w:szCs w:val="24"/>
          <w:shd w:val="clear" w:color="auto" w:fill="FFFFFF"/>
        </w:rPr>
      </w:pPr>
      <w:r w:rsidRPr="00D436BB">
        <w:rPr>
          <w:rFonts w:ascii="GHEA Grapalat" w:hAnsi="GHEA Grapalat" w:cs="Times New Roman"/>
          <w:b/>
          <w:sz w:val="24"/>
          <w:szCs w:val="24"/>
        </w:rPr>
        <w:t xml:space="preserve">ԱՌՈՂՋՈՒԹՅԱՆ ՀԱՄԸՆԴՀԱՆՈՒՐ ԱՊԱՀՈՎԱԳՐՈՒԹՅԱՆ ՀԻՄՆԱԴՐԱՄԻ </w:t>
      </w:r>
      <w:bookmarkStart w:id="0" w:name="_Hlk137722634"/>
      <w:r w:rsidRPr="00D436BB">
        <w:rPr>
          <w:rFonts w:ascii="GHEA Grapalat" w:hAnsi="GHEA Grapalat" w:cs="Times New Roman"/>
          <w:b/>
          <w:color w:val="000000"/>
          <w:sz w:val="24"/>
          <w:szCs w:val="24"/>
          <w:shd w:val="clear" w:color="auto" w:fill="FFFFFF"/>
        </w:rPr>
        <w:t>ԵՎ ԲԺՇԿԱԿԱՆ ՕԳՆՈՒԹՅՈՒՆ ԵՎ ՍՊԱՍԱՐԿՈՒՄ ԻՐԱԿԱՆԱՑՆՈՂՆԵՐԻ, ԻՆՉՊԵՍ ՆԱԵՎ ԱՌՈՂՋՈՒԹՅԱՆ ՀԱՄԸՆԴՀԱՆՈՒՐ ԱՊԱՀՈՎԱԳՐՈՒԹՅԱՆ ՀԻՄՆԱԴՐԱՄԻ ԵՎ ԴԵՂԱՏՆԵՐԻ ՄԻՋԵՎ ԿՆՔՎՈՂ ՊԱՅՄԱՆԱԳՐԵՐԻ ՕՐԻՆԱԿԵԼԻ ՁԵՎԵՐԸ ՀԱՍՏԱՏԵԼՈՒ ՄԱՍԻՆ</w:t>
      </w:r>
    </w:p>
    <w:p w14:paraId="5D52382A" w14:textId="77777777" w:rsidR="000D249C" w:rsidRPr="00D436BB" w:rsidRDefault="000D249C" w:rsidP="000D249C">
      <w:pPr>
        <w:spacing w:after="0" w:line="276" w:lineRule="auto"/>
        <w:jc w:val="both"/>
        <w:rPr>
          <w:rFonts w:ascii="GHEA Grapalat" w:hAnsi="GHEA Grapalat" w:cs="Times New Roman"/>
          <w:b/>
          <w:sz w:val="24"/>
          <w:szCs w:val="24"/>
        </w:rPr>
      </w:pPr>
    </w:p>
    <w:tbl>
      <w:tblPr>
        <w:tblStyle w:val="af2"/>
        <w:tblW w:w="1458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9600"/>
        <w:gridCol w:w="135"/>
        <w:gridCol w:w="4845"/>
      </w:tblGrid>
      <w:tr w:rsidR="0050622F" w:rsidRPr="00D436BB" w14:paraId="7C04F194" w14:textId="77777777">
        <w:trPr>
          <w:jc w:val="center"/>
        </w:trPr>
        <w:tc>
          <w:tcPr>
            <w:tcW w:w="9600" w:type="dxa"/>
            <w:vMerge w:val="restart"/>
            <w:tcBorders>
              <w:top w:val="single" w:sz="6" w:space="0" w:color="000000"/>
              <w:left w:val="single" w:sz="6" w:space="0" w:color="000000"/>
              <w:bottom w:val="single" w:sz="6" w:space="0" w:color="000000"/>
              <w:right w:val="single" w:sz="6" w:space="0" w:color="000000"/>
            </w:tcBorders>
            <w:shd w:val="clear" w:color="auto" w:fill="D0D0D0"/>
          </w:tcPr>
          <w:bookmarkStart w:id="1" w:name="_heading=h.w294stkm9fn" w:colFirst="0" w:colLast="0"/>
          <w:bookmarkEnd w:id="0"/>
          <w:bookmarkEnd w:id="1"/>
          <w:p w14:paraId="00000007" w14:textId="77777777" w:rsidR="0050622F" w:rsidRPr="00D436BB" w:rsidRDefault="00D436BB">
            <w:pPr>
              <w:numPr>
                <w:ilvl w:val="0"/>
                <w:numId w:val="1"/>
              </w:numPr>
              <w:spacing w:after="0" w:line="276" w:lineRule="auto"/>
              <w:jc w:val="center"/>
              <w:rPr>
                <w:rFonts w:ascii="GHEA Grapalat" w:eastAsia="Times New Roman" w:hAnsi="GHEA Grapalat" w:cs="Times New Roman"/>
                <w:sz w:val="24"/>
                <w:szCs w:val="24"/>
              </w:rPr>
            </w:pPr>
            <w:sdt>
              <w:sdtPr>
                <w:rPr>
                  <w:rFonts w:ascii="GHEA Grapalat" w:hAnsi="GHEA Grapalat"/>
                </w:rPr>
                <w:tag w:val="goog_rdk_6"/>
                <w:id w:val="-662490848"/>
              </w:sdtPr>
              <w:sdtEndPr/>
              <w:sdtContent>
                <w:r w:rsidR="00414B22" w:rsidRPr="00D436BB">
                  <w:rPr>
                    <w:rFonts w:ascii="GHEA Grapalat" w:eastAsia="Tahoma" w:hAnsi="GHEA Grapalat" w:cs="Tahoma"/>
                    <w:b/>
                    <w:bCs/>
                    <w:sz w:val="24"/>
                    <w:szCs w:val="24"/>
                  </w:rPr>
                  <w:t>ՀՀ Ֆինանսների նախարարություն</w:t>
                </w:r>
              </w:sdtContent>
            </w:sdt>
          </w:p>
          <w:p w14:paraId="00000008" w14:textId="77777777" w:rsidR="0050622F" w:rsidRPr="00D436BB" w:rsidRDefault="0050622F">
            <w:pPr>
              <w:spacing w:after="0" w:line="276" w:lineRule="auto"/>
              <w:ind w:left="720"/>
              <w:rPr>
                <w:rFonts w:ascii="GHEA Grapalat" w:eastAsia="Times New Roman" w:hAnsi="GHEA Grapalat" w:cs="Times New Roman"/>
                <w:b/>
                <w:bCs/>
                <w:sz w:val="24"/>
                <w:szCs w:val="24"/>
              </w:rPr>
            </w:pPr>
          </w:p>
        </w:tc>
        <w:tc>
          <w:tcPr>
            <w:tcW w:w="4980" w:type="dxa"/>
            <w:gridSpan w:val="2"/>
            <w:tcBorders>
              <w:top w:val="single" w:sz="6" w:space="0" w:color="000000"/>
              <w:left w:val="single" w:sz="6" w:space="0" w:color="000000"/>
              <w:bottom w:val="single" w:sz="6" w:space="0" w:color="000000"/>
              <w:right w:val="single" w:sz="6" w:space="0" w:color="000000"/>
            </w:tcBorders>
            <w:shd w:val="clear" w:color="auto" w:fill="D0D0D0"/>
          </w:tcPr>
          <w:p w14:paraId="00000009" w14:textId="53A18F21" w:rsidR="0050622F" w:rsidRPr="00D436BB" w:rsidRDefault="00414B22">
            <w:pPr>
              <w:spacing w:after="0" w:line="276" w:lineRule="auto"/>
              <w:jc w:val="center"/>
              <w:rPr>
                <w:rFonts w:ascii="GHEA Grapalat" w:eastAsia="Tahoma" w:hAnsi="GHEA Grapalat" w:cs="Tahoma"/>
                <w:b/>
                <w:bCs/>
                <w:i/>
                <w:iCs/>
                <w:sz w:val="24"/>
                <w:szCs w:val="24"/>
              </w:rPr>
            </w:pPr>
            <w:r w:rsidRPr="00D436BB">
              <w:rPr>
                <w:rFonts w:ascii="GHEA Grapalat" w:eastAsia="Tahoma" w:hAnsi="GHEA Grapalat" w:cs="Tahoma"/>
                <w:b/>
                <w:bCs/>
                <w:i/>
                <w:iCs/>
                <w:sz w:val="24"/>
                <w:szCs w:val="24"/>
              </w:rPr>
              <w:t>10.12.2025թ.</w:t>
            </w:r>
          </w:p>
        </w:tc>
      </w:tr>
      <w:tr w:rsidR="0050622F" w:rsidRPr="00D436BB" w14:paraId="5BC8134D" w14:textId="77777777">
        <w:trPr>
          <w:jc w:val="center"/>
        </w:trPr>
        <w:tc>
          <w:tcPr>
            <w:tcW w:w="9600" w:type="dxa"/>
            <w:vMerge/>
            <w:tcBorders>
              <w:top w:val="single" w:sz="6" w:space="0" w:color="000000"/>
              <w:left w:val="single" w:sz="6" w:space="0" w:color="000000"/>
              <w:bottom w:val="single" w:sz="6" w:space="0" w:color="000000"/>
              <w:right w:val="single" w:sz="6" w:space="0" w:color="000000"/>
            </w:tcBorders>
            <w:shd w:val="clear" w:color="auto" w:fill="D0D0D0"/>
          </w:tcPr>
          <w:p w14:paraId="0000000B" w14:textId="77777777" w:rsidR="0050622F" w:rsidRPr="00D436BB" w:rsidRDefault="0050622F">
            <w:pPr>
              <w:widowControl w:val="0"/>
              <w:pBdr>
                <w:top w:val="nil"/>
                <w:left w:val="nil"/>
                <w:bottom w:val="nil"/>
                <w:right w:val="nil"/>
                <w:between w:val="nil"/>
              </w:pBdr>
              <w:spacing w:after="0" w:line="276" w:lineRule="auto"/>
              <w:rPr>
                <w:rFonts w:ascii="GHEA Grapalat" w:eastAsia="Times New Roman" w:hAnsi="GHEA Grapalat" w:cs="Times New Roman"/>
                <w:b/>
                <w:bCs/>
                <w:sz w:val="24"/>
                <w:szCs w:val="24"/>
              </w:rPr>
            </w:pPr>
          </w:p>
        </w:tc>
        <w:tc>
          <w:tcPr>
            <w:tcW w:w="4980" w:type="dxa"/>
            <w:gridSpan w:val="2"/>
            <w:tcBorders>
              <w:top w:val="single" w:sz="6" w:space="0" w:color="000000"/>
              <w:left w:val="single" w:sz="6" w:space="0" w:color="000000"/>
              <w:bottom w:val="single" w:sz="6" w:space="0" w:color="000000"/>
              <w:right w:val="single" w:sz="6" w:space="0" w:color="000000"/>
            </w:tcBorders>
            <w:shd w:val="clear" w:color="auto" w:fill="D0D0D0"/>
          </w:tcPr>
          <w:p w14:paraId="0000000C" w14:textId="77777777" w:rsidR="0050622F" w:rsidRPr="00D436BB" w:rsidRDefault="00414B22">
            <w:pPr>
              <w:spacing w:after="0"/>
              <w:jc w:val="center"/>
              <w:rPr>
                <w:rFonts w:ascii="GHEA Grapalat" w:eastAsia="Times New Roman" w:hAnsi="GHEA Grapalat" w:cs="Times New Roman"/>
                <w:b/>
                <w:bCs/>
                <w:sz w:val="24"/>
                <w:szCs w:val="24"/>
                <w:highlight w:val="yellow"/>
              </w:rPr>
            </w:pPr>
            <w:bookmarkStart w:id="2" w:name="_heading=h.6jq961l2jjsr" w:colFirst="0" w:colLast="0"/>
            <w:bookmarkEnd w:id="2"/>
            <w:r w:rsidRPr="00D436BB">
              <w:rPr>
                <w:rFonts w:ascii="GHEA Grapalat" w:eastAsia="Times New Roman" w:hAnsi="GHEA Grapalat" w:cs="Times New Roman"/>
                <w:b/>
                <w:bCs/>
                <w:sz w:val="24"/>
                <w:szCs w:val="24"/>
              </w:rPr>
              <w:t>N 01/34-2/28159-</w:t>
            </w:r>
            <w:sdt>
              <w:sdtPr>
                <w:rPr>
                  <w:rFonts w:ascii="GHEA Grapalat" w:hAnsi="GHEA Grapalat"/>
                </w:rPr>
                <w:tag w:val="goog_rdk_7"/>
                <w:id w:val="-1729900871"/>
              </w:sdtPr>
              <w:sdtEndPr/>
              <w:sdtContent/>
            </w:sdt>
            <w:r w:rsidRPr="00D436BB">
              <w:rPr>
                <w:rFonts w:ascii="GHEA Grapalat" w:eastAsia="Times New Roman" w:hAnsi="GHEA Grapalat" w:cs="Times New Roman"/>
                <w:b/>
                <w:bCs/>
                <w:sz w:val="24"/>
                <w:szCs w:val="24"/>
              </w:rPr>
              <w:t>2025</w:t>
            </w:r>
          </w:p>
        </w:tc>
      </w:tr>
      <w:tr w:rsidR="0050622F" w:rsidRPr="00D436BB" w14:paraId="259950A8" w14:textId="77777777">
        <w:trPr>
          <w:jc w:val="center"/>
        </w:trPr>
        <w:tc>
          <w:tcPr>
            <w:tcW w:w="9600" w:type="dxa"/>
            <w:tcBorders>
              <w:top w:val="single" w:sz="6" w:space="0" w:color="000000"/>
              <w:left w:val="single" w:sz="6" w:space="0" w:color="000000"/>
              <w:bottom w:val="single" w:sz="6" w:space="0" w:color="000000"/>
              <w:right w:val="single" w:sz="6" w:space="0" w:color="000000"/>
            </w:tcBorders>
            <w:shd w:val="clear" w:color="auto" w:fill="FFFFFF"/>
          </w:tcPr>
          <w:p w14:paraId="0000000E" w14:textId="77777777" w:rsidR="0050622F" w:rsidRPr="00D436BB" w:rsidRDefault="00414B22">
            <w:pPr>
              <w:spacing w:after="0" w:line="276" w:lineRule="auto"/>
              <w:jc w:val="both"/>
              <w:rPr>
                <w:rFonts w:ascii="GHEA Grapalat" w:eastAsia="Times New Roman" w:hAnsi="GHEA Grapalat" w:cs="Times New Roman"/>
                <w:b/>
                <w:bCs/>
                <w:i/>
                <w:iCs/>
                <w:sz w:val="24"/>
                <w:szCs w:val="24"/>
              </w:rPr>
            </w:pPr>
            <w:r w:rsidRPr="00D436BB">
              <w:rPr>
                <w:rFonts w:ascii="GHEA Grapalat" w:eastAsia="Times New Roman" w:hAnsi="GHEA Grapalat" w:cs="Times New Roman"/>
                <w:sz w:val="24"/>
                <w:szCs w:val="24"/>
              </w:rPr>
              <w:t xml:space="preserve">      </w:t>
            </w:r>
            <w:sdt>
              <w:sdtPr>
                <w:rPr>
                  <w:rFonts w:ascii="GHEA Grapalat" w:hAnsi="GHEA Grapalat"/>
                </w:rPr>
                <w:tag w:val="goog_rdk_8"/>
                <w:id w:val="1303702232"/>
              </w:sdtPr>
              <w:sdtEndPr/>
              <w:sdtContent>
                <w:r w:rsidRPr="00D436BB">
                  <w:rPr>
                    <w:rFonts w:ascii="GHEA Grapalat" w:eastAsia="Tahoma" w:hAnsi="GHEA Grapalat" w:cs="Tahoma"/>
                    <w:b/>
                    <w:bCs/>
                    <w:i/>
                    <w:iCs/>
                    <w:sz w:val="24"/>
                    <w:szCs w:val="24"/>
                  </w:rPr>
                  <w:t>«Առողջության համընդհանուր ապահովագրության հիմնադրամի և բժշկական կազմակերպությունների միջև հօգուտ ապահովագրված անձի կնքվող պայմանագրի օրինակելի ձևը հաստատելու մասին» (այսուհետ՝ Պայմանագիր 1) և «Առողջության համընդհանուր ապահովագրության հիմնադրամի և դեղատների միջև հօգուտ ապահովագրված անձի կնքվող պայմանագրի օրինակելի ձևը հաստատելու մասին» (այսուհետ՝ Պայմանագրեր 2) ՀՀ կառավարության որոշման նախագծերի վերաբերյալ հայտնում ենք հետևյալը.</w:t>
                </w:r>
              </w:sdtContent>
            </w:sdt>
          </w:p>
          <w:p w14:paraId="0000000F" w14:textId="77777777" w:rsidR="0050622F" w:rsidRPr="00D436BB" w:rsidRDefault="0050622F">
            <w:pPr>
              <w:spacing w:after="0" w:line="276" w:lineRule="auto"/>
              <w:jc w:val="both"/>
              <w:rPr>
                <w:rFonts w:ascii="GHEA Grapalat" w:eastAsia="Times New Roman" w:hAnsi="GHEA Grapalat" w:cs="Times New Roman"/>
                <w:b/>
                <w:bCs/>
                <w:i/>
                <w:iCs/>
                <w:sz w:val="24"/>
                <w:szCs w:val="24"/>
              </w:rPr>
            </w:pPr>
          </w:p>
          <w:p w14:paraId="00000010"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9"/>
                <w:id w:val="349626402"/>
              </w:sdtPr>
              <w:sdtEndPr/>
              <w:sdtContent>
                <w:r w:rsidR="00414B22" w:rsidRPr="00D436BB">
                  <w:rPr>
                    <w:rFonts w:ascii="GHEA Grapalat" w:eastAsia="Tahoma" w:hAnsi="GHEA Grapalat" w:cs="Tahoma"/>
                    <w:sz w:val="24"/>
                    <w:szCs w:val="24"/>
                  </w:rPr>
                  <w:t>1. Առաջարկում ենք Պայմանագիր 1 և Պայմանագիր 2-ի «Կատարողը պարտավոր է» բաժնում կատարողի կողմից Հիմնադրամին օրենսդրությամբ պահանջվող հաշվետվությունների ներկայացման համար, ինչպես նաև բժշկական կազմակերպությունների և դեղատների լուծարման կամ սնանկացման գործընթաց սկսելու մասին տեղեկատվություն ներկայացնելու համար սահմանել հստակ ժամկետներ:</w:t>
                </w:r>
              </w:sdtContent>
            </w:sdt>
          </w:p>
          <w:p w14:paraId="00000011"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2"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3"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4"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5"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6"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7"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8"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9"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A"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B"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C"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1D" w14:textId="77777777" w:rsidR="0050622F" w:rsidRPr="00D436BB" w:rsidRDefault="00D436BB">
            <w:pP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10"/>
                <w:id w:val="-52306360"/>
              </w:sdtPr>
              <w:sdtEndPr/>
              <w:sdtContent>
                <w:r w:rsidR="00414B22" w:rsidRPr="00D436BB">
                  <w:rPr>
                    <w:rFonts w:ascii="GHEA Grapalat" w:eastAsia="Tahoma" w:hAnsi="GHEA Grapalat" w:cs="Tahoma"/>
                    <w:sz w:val="24"/>
                    <w:szCs w:val="24"/>
                  </w:rPr>
                  <w:t>2. Պայմանագիր 2-ի 3.3.10.  Չվճարել ապահովագրական հատուցումը, եթե՝» բաժնի 4-8-րդ կետերով նախատեսված ապահովագրական հատուցումը մերժելու համար հիմք հանդիսացող դրույթները («ապահովված անձը հրաժարվել է բուժումից», «ապահովագրված անձը չի կատարել բժշկի ցուցումները», «ապահովագրավճարը վճարված չէ», «առկա է առողջության խաթարման իրավիճակ ապահովագրված անձի դիտավորությամբ», «դեղերը ստացվել են մինչև պայմանագրի ուժի մեջ մտնելը») հանել, նկատի ունենալով, որ  դեղատունը չի կարող պատասխանատու լինել իր կողմից չիրականացվող գործառույթների և այն հանգամանքների համար, որոնց վրա չունի վերահսկողություն։</w:t>
                </w:r>
              </w:sdtContent>
            </w:sdt>
          </w:p>
          <w:p w14:paraId="0000001E"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1F"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0"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1"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2"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3"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4"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5"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6"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7"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8"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9"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A"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B"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C"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D"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E"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2F"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30"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31"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32"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33"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34"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35" w14:textId="77777777" w:rsidR="0050622F" w:rsidRPr="00D436BB" w:rsidRDefault="0050622F">
            <w:pPr>
              <w:tabs>
                <w:tab w:val="left" w:pos="851"/>
              </w:tabs>
              <w:spacing w:after="0" w:line="276" w:lineRule="auto"/>
              <w:ind w:firstLine="567"/>
              <w:jc w:val="both"/>
              <w:rPr>
                <w:rFonts w:ascii="GHEA Grapalat" w:eastAsia="Times New Roman" w:hAnsi="GHEA Grapalat" w:cs="Times New Roman"/>
                <w:sz w:val="24"/>
                <w:szCs w:val="24"/>
              </w:rPr>
            </w:pPr>
          </w:p>
          <w:p w14:paraId="00000036" w14:textId="77777777" w:rsidR="0050622F" w:rsidRPr="00D436BB" w:rsidRDefault="00D436BB">
            <w:pP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11"/>
                <w:id w:val="-1798282505"/>
              </w:sdtPr>
              <w:sdtEndPr/>
              <w:sdtContent>
                <w:r w:rsidR="00414B22" w:rsidRPr="00D436BB">
                  <w:rPr>
                    <w:rFonts w:ascii="GHEA Grapalat" w:eastAsia="Tahoma" w:hAnsi="GHEA Grapalat" w:cs="Tahoma"/>
                    <w:sz w:val="24"/>
                    <w:szCs w:val="24"/>
                  </w:rPr>
                  <w:t>3. Պայմանագիր 2-ի մի շարք դրույթներում օգտագործվում է «բժշկական պարագաներ» ձևակերպումը՝ ապահովագրական փաթեթում ներառված ծառայությունների շրջանակներում։ Միաժամանակ, հարկ է նշել, որ ԱՀԱ-ի օրենքի նախագծում ԱՀԱ-ի փաթեթի շրջանակներում բժշկական պարագաների հատուցում նախատեսված չէ։</w:t>
                </w:r>
              </w:sdtContent>
            </w:sdt>
          </w:p>
          <w:p w14:paraId="00000037" w14:textId="77777777" w:rsidR="0050622F" w:rsidRPr="00D436BB" w:rsidRDefault="00D436BB">
            <w:pP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12"/>
                <w:id w:val="36753399"/>
              </w:sdtPr>
              <w:sdtEndPr/>
              <w:sdtContent>
                <w:r w:rsidR="00414B22" w:rsidRPr="00D436BB">
                  <w:rPr>
                    <w:rFonts w:ascii="GHEA Grapalat" w:eastAsia="Tahoma" w:hAnsi="GHEA Grapalat" w:cs="Tahoma"/>
                    <w:sz w:val="24"/>
                    <w:szCs w:val="24"/>
                  </w:rPr>
                  <w:t xml:space="preserve">Հիմք ընդունելով վերոգրյալը՝ առաջարկում ենք Պայմանագիր 2-ից ամբողջությամբ հանել «բժշկական պարագաներ» արտահայտությունը, քանի որ այն չի </w:t>
                </w:r>
                <w:r w:rsidR="00414B22" w:rsidRPr="00D436BB">
                  <w:rPr>
                    <w:rFonts w:ascii="GHEA Grapalat" w:eastAsia="Tahoma" w:hAnsi="GHEA Grapalat" w:cs="Tahoma"/>
                    <w:sz w:val="24"/>
                    <w:szCs w:val="24"/>
                  </w:rPr>
                  <w:lastRenderedPageBreak/>
                  <w:t>համատեղվում ԱՀԱ-ի օրենքի փաթեթի կառուցվածքի, տրամաբանության և իրավական հիմքերի հետ։</w:t>
                </w:r>
              </w:sdtContent>
            </w:sdt>
          </w:p>
          <w:p w14:paraId="00000038"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39" w14:textId="77777777" w:rsidR="0050622F" w:rsidRPr="00D436BB" w:rsidRDefault="0050622F">
            <w:pPr>
              <w:spacing w:after="0" w:line="276" w:lineRule="auto"/>
              <w:jc w:val="center"/>
              <w:rPr>
                <w:rFonts w:ascii="GHEA Grapalat" w:eastAsia="Times New Roman" w:hAnsi="GHEA Grapalat" w:cs="Times New Roman"/>
                <w:sz w:val="24"/>
                <w:szCs w:val="24"/>
              </w:rPr>
            </w:pPr>
          </w:p>
        </w:tc>
        <w:tc>
          <w:tcPr>
            <w:tcW w:w="135" w:type="dxa"/>
            <w:tcBorders>
              <w:top w:val="single" w:sz="6" w:space="0" w:color="000000"/>
              <w:left w:val="single" w:sz="6" w:space="0" w:color="000000"/>
              <w:bottom w:val="single" w:sz="6" w:space="0" w:color="000000"/>
              <w:right w:val="nil"/>
            </w:tcBorders>
            <w:shd w:val="clear" w:color="auto" w:fill="FFFFFF"/>
          </w:tcPr>
          <w:p w14:paraId="0000003A" w14:textId="77777777" w:rsidR="0050622F" w:rsidRPr="00D436BB" w:rsidRDefault="0050622F">
            <w:pPr>
              <w:spacing w:after="0" w:line="276" w:lineRule="auto"/>
              <w:jc w:val="center"/>
              <w:rPr>
                <w:rFonts w:ascii="GHEA Grapalat" w:eastAsia="Times New Roman" w:hAnsi="GHEA Grapalat" w:cs="Times New Roman"/>
                <w:sz w:val="24"/>
                <w:szCs w:val="24"/>
              </w:rPr>
            </w:pPr>
          </w:p>
        </w:tc>
        <w:tc>
          <w:tcPr>
            <w:tcW w:w="4845" w:type="dxa"/>
            <w:tcBorders>
              <w:top w:val="single" w:sz="6" w:space="0" w:color="000000"/>
              <w:left w:val="nil"/>
              <w:bottom w:val="single" w:sz="6" w:space="0" w:color="000000"/>
              <w:right w:val="single" w:sz="6" w:space="0" w:color="000000"/>
            </w:tcBorders>
            <w:shd w:val="clear" w:color="auto" w:fill="FFFFFF"/>
          </w:tcPr>
          <w:p w14:paraId="00000042" w14:textId="77777777" w:rsidR="0050622F" w:rsidRPr="00D436BB" w:rsidRDefault="0050622F" w:rsidP="00414B22">
            <w:pPr>
              <w:spacing w:after="0" w:line="276" w:lineRule="auto"/>
              <w:rPr>
                <w:rFonts w:ascii="GHEA Grapalat" w:eastAsia="Times New Roman" w:hAnsi="GHEA Grapalat" w:cs="Times New Roman"/>
                <w:sz w:val="24"/>
                <w:szCs w:val="24"/>
              </w:rPr>
            </w:pPr>
          </w:p>
          <w:p w14:paraId="00000043"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13"/>
                <w:id w:val="-480018055"/>
              </w:sdtPr>
              <w:sdtEndPr/>
              <w:sdtContent>
                <w:r w:rsidR="00414B22" w:rsidRPr="00D436BB">
                  <w:rPr>
                    <w:rFonts w:ascii="GHEA Grapalat" w:eastAsia="Tahoma" w:hAnsi="GHEA Grapalat" w:cs="Tahoma"/>
                    <w:sz w:val="24"/>
                    <w:szCs w:val="24"/>
                  </w:rPr>
                  <w:t>1</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մասնակի։ Նախագծում կատարվել է փոփոխություն։ Հստակեցվել են լուծարման, սնանկացման դեպքում տեղեկություն ներկայացնելու ժամկետները, իսկ հաշվետվությունների ներկայացման ժամկետների մասով նախագծում մնացել  է նույն կարգավորումը, քանի որ </w:t>
                </w:r>
              </w:sdtContent>
            </w:sdt>
            <w:r w:rsidR="00414B22" w:rsidRPr="00D436BB">
              <w:rPr>
                <w:rFonts w:ascii="GHEA Grapalat" w:eastAsia="Times New Roman" w:hAnsi="GHEA Grapalat" w:cs="Times New Roman"/>
                <w:sz w:val="24"/>
                <w:szCs w:val="24"/>
              </w:rPr>
              <w:t>«</w:t>
            </w:r>
            <w:sdt>
              <w:sdtPr>
                <w:rPr>
                  <w:rFonts w:ascii="GHEA Grapalat" w:hAnsi="GHEA Grapalat"/>
                </w:rPr>
                <w:tag w:val="goog_rdk_14"/>
                <w:id w:val="-163489305"/>
              </w:sdtPr>
              <w:sdtEndPr/>
              <w:sdtContent>
                <w:r w:rsidR="00414B22" w:rsidRPr="00D436BB">
                  <w:rPr>
                    <w:rFonts w:ascii="GHEA Grapalat" w:eastAsia="Tahoma" w:hAnsi="GHEA Grapalat" w:cs="Tahoma"/>
                    <w:sz w:val="24"/>
                    <w:szCs w:val="24"/>
                  </w:rPr>
                  <w:t>Առողջության համընդհանուր ապահովագրության  մասին</w:t>
                </w:r>
              </w:sdtContent>
            </w:sdt>
            <w:r w:rsidR="00414B22" w:rsidRPr="00D436BB">
              <w:rPr>
                <w:rFonts w:ascii="GHEA Grapalat" w:eastAsia="Times New Roman" w:hAnsi="GHEA Grapalat" w:cs="Times New Roman"/>
                <w:sz w:val="24"/>
                <w:szCs w:val="24"/>
              </w:rPr>
              <w:t>»</w:t>
            </w:r>
            <w:sdt>
              <w:sdtPr>
                <w:rPr>
                  <w:rFonts w:ascii="GHEA Grapalat" w:hAnsi="GHEA Grapalat"/>
                </w:rPr>
                <w:tag w:val="goog_rdk_15"/>
                <w:id w:val="-811116625"/>
              </w:sdtPr>
              <w:sdtEndPr/>
              <w:sdtContent>
                <w:r w:rsidR="00414B22" w:rsidRPr="00D436BB">
                  <w:rPr>
                    <w:rFonts w:ascii="GHEA Grapalat" w:eastAsia="Tahoma" w:hAnsi="GHEA Grapalat" w:cs="Tahoma"/>
                    <w:sz w:val="24"/>
                    <w:szCs w:val="24"/>
                  </w:rPr>
                  <w:t xml:space="preserve"> օրենքի </w:t>
                </w:r>
              </w:sdtContent>
            </w:sdt>
            <w:sdt>
              <w:sdtPr>
                <w:rPr>
                  <w:rFonts w:ascii="GHEA Grapalat" w:hAnsi="GHEA Grapalat"/>
                </w:rPr>
                <w:tag w:val="goog_rdk_16"/>
                <w:id w:val="262135997"/>
              </w:sdtPr>
              <w:sdtEndPr/>
              <w:sdtContent>
                <w:r w:rsidR="00414B22" w:rsidRPr="00D436BB">
                  <w:rPr>
                    <w:rFonts w:ascii="GHEA Grapalat" w:eastAsia="Tahoma" w:hAnsi="GHEA Grapalat" w:cs="Tahoma"/>
                    <w:sz w:val="24"/>
                    <w:szCs w:val="24"/>
                  </w:rPr>
                  <w:t>20-21-րդ հոդվածների հ</w:t>
                </w:r>
              </w:sdtContent>
            </w:sdt>
            <w:sdt>
              <w:sdtPr>
                <w:rPr>
                  <w:rFonts w:ascii="GHEA Grapalat" w:hAnsi="GHEA Grapalat"/>
                </w:rPr>
                <w:tag w:val="goog_rdk_17"/>
                <w:id w:val="-1093782949"/>
              </w:sdtPr>
              <w:sdtEndPr/>
              <w:sdtContent>
                <w:r w:rsidR="00414B22" w:rsidRPr="00D436BB">
                  <w:rPr>
                    <w:rFonts w:ascii="GHEA Grapalat" w:eastAsia="Tahoma" w:hAnsi="GHEA Grapalat" w:cs="Tahoma"/>
                    <w:sz w:val="24"/>
                    <w:szCs w:val="24"/>
                  </w:rPr>
                  <w:t>ամաձայն ապահովագրական փաթեթի տրամադրման վերաբերյալ հաշվետվությունների ներկայացման կարգը սահմանելու է Հիմնադրամի հոգաբարձուների խորհուրդը։</w:t>
                </w:r>
              </w:sdtContent>
            </w:sdt>
          </w:p>
          <w:p w14:paraId="00000044"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45"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46"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47"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48"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18"/>
                <w:id w:val="800473882"/>
              </w:sdtPr>
              <w:sdtEndPr/>
              <w:sdtContent>
                <w:r w:rsidR="00414B22" w:rsidRPr="00D436BB">
                  <w:rPr>
                    <w:rFonts w:ascii="GHEA Grapalat" w:eastAsia="Tahoma" w:hAnsi="GHEA Grapalat" w:cs="Tahoma"/>
                    <w:sz w:val="24"/>
                    <w:szCs w:val="24"/>
                  </w:rPr>
                  <w:t>2</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Չի ընդունվել։ Նախ հարկ է նշել, որ </w:t>
                </w:r>
              </w:sdtContent>
            </w:sdt>
            <w:r w:rsidR="00414B22" w:rsidRPr="00D436BB">
              <w:rPr>
                <w:rFonts w:ascii="GHEA Grapalat" w:eastAsia="Times New Roman" w:hAnsi="GHEA Grapalat" w:cs="Times New Roman"/>
                <w:sz w:val="24"/>
                <w:szCs w:val="24"/>
              </w:rPr>
              <w:t>«</w:t>
            </w:r>
            <w:sdt>
              <w:sdtPr>
                <w:rPr>
                  <w:rFonts w:ascii="GHEA Grapalat" w:hAnsi="GHEA Grapalat"/>
                </w:rPr>
                <w:tag w:val="goog_rdk_19"/>
                <w:id w:val="1262518681"/>
              </w:sdtPr>
              <w:sdtEndPr/>
              <w:sdtContent>
                <w:r w:rsidR="00414B22" w:rsidRPr="00D436BB">
                  <w:rPr>
                    <w:rFonts w:ascii="GHEA Grapalat" w:eastAsia="Tahoma" w:hAnsi="GHEA Grapalat" w:cs="Tahoma"/>
                    <w:sz w:val="24"/>
                    <w:szCs w:val="24"/>
                  </w:rPr>
                  <w:t>Առողջության համընդհանուր ապահովագրության  մասին</w:t>
                </w:r>
              </w:sdtContent>
            </w:sdt>
            <w:sdt>
              <w:sdtPr>
                <w:rPr>
                  <w:rFonts w:ascii="GHEA Grapalat" w:hAnsi="GHEA Grapalat"/>
                </w:rPr>
                <w:tag w:val="goog_rdk_20"/>
                <w:id w:val="-136263087"/>
              </w:sdtPr>
              <w:sdtEndPr/>
              <w:sdtContent>
                <w:r w:rsidR="00414B22" w:rsidRPr="00D436BB">
                  <w:rPr>
                    <w:rFonts w:ascii="GHEA Grapalat" w:eastAsia="Tahoma" w:hAnsi="GHEA Grapalat" w:cs="Tahoma"/>
                    <w:sz w:val="24"/>
                    <w:szCs w:val="24"/>
                  </w:rPr>
                  <w:t xml:space="preserve">» օրենքի </w:t>
                </w:r>
              </w:sdtContent>
            </w:sdt>
            <w:sdt>
              <w:sdtPr>
                <w:rPr>
                  <w:rFonts w:ascii="GHEA Grapalat" w:hAnsi="GHEA Grapalat"/>
                </w:rPr>
                <w:tag w:val="goog_rdk_21"/>
                <w:id w:val="-1122457830"/>
              </w:sdtPr>
              <w:sdtEndPr/>
              <w:sdtContent>
                <w:r w:rsidR="00414B22" w:rsidRPr="00D436BB">
                  <w:rPr>
                    <w:rFonts w:ascii="GHEA Grapalat" w:eastAsia="Tahoma" w:hAnsi="GHEA Grapalat" w:cs="Tahoma"/>
                    <w:sz w:val="24"/>
                    <w:szCs w:val="24"/>
                  </w:rPr>
                  <w:t xml:space="preserve">22-րդ հոդվածի համաձայն Հիմնադրամն իրավունք ունի մերժելու վճարման ենթակա ապահովագրական հատուցման վճարումը, եթե՝ ապահովագրական դեպքը առաջացել է ապահովագրված անձի դիտավորությամբ կատարված գործողությունների հետևանքով, </w:t>
                </w:r>
              </w:sdtContent>
            </w:sdt>
          </w:p>
          <w:p w14:paraId="00000049"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22"/>
                <w:id w:val="-1480384622"/>
              </w:sdtPr>
              <w:sdtEndPr/>
              <w:sdtContent>
                <w:r w:rsidR="00414B22" w:rsidRPr="00D436BB">
                  <w:rPr>
                    <w:rFonts w:ascii="GHEA Grapalat" w:eastAsia="Tahoma" w:hAnsi="GHEA Grapalat" w:cs="Tahoma"/>
                    <w:sz w:val="24"/>
                    <w:szCs w:val="24"/>
                  </w:rPr>
                  <w:t>առկա են ապահովագրական հատուցման վճարումը նվազեցնելու կամ մերժելու` պայմանագրով նախատեսված այլ հիմքեր:</w:t>
                </w:r>
              </w:sdtContent>
            </w:sdt>
          </w:p>
          <w:p w14:paraId="0000004A" w14:textId="77777777" w:rsidR="0050622F" w:rsidRPr="00D436BB" w:rsidRDefault="00D436BB">
            <w:pPr>
              <w:spacing w:after="0" w:line="276" w:lineRule="auto"/>
              <w:jc w:val="both"/>
              <w:rPr>
                <w:rFonts w:ascii="GHEA Grapalat" w:eastAsia="Times New Roman" w:hAnsi="GHEA Grapalat" w:cs="Times New Roman"/>
                <w:sz w:val="24"/>
                <w:szCs w:val="24"/>
                <w:highlight w:val="yellow"/>
              </w:rPr>
            </w:pPr>
            <w:sdt>
              <w:sdtPr>
                <w:rPr>
                  <w:rFonts w:ascii="GHEA Grapalat" w:hAnsi="GHEA Grapalat"/>
                </w:rPr>
                <w:tag w:val="goog_rdk_23"/>
                <w:id w:val="638255990"/>
              </w:sdtPr>
              <w:sdtEndPr/>
              <w:sdtContent>
                <w:r w:rsidR="00414B22" w:rsidRPr="00D436BB">
                  <w:rPr>
                    <w:rFonts w:ascii="GHEA Grapalat" w:eastAsia="Tahoma" w:hAnsi="GHEA Grapalat" w:cs="Tahoma"/>
                    <w:sz w:val="24"/>
                    <w:szCs w:val="24"/>
                  </w:rPr>
                  <w:t xml:space="preserve">Կառավարության ն որոշման նախագծերով նախատեսված կարգավորումների պարագայում, եթե առկա լինեն ապահովագրական հատուցման մերժման հիմքերը՝ մասնավորապես եթե  </w:t>
                </w:r>
              </w:sdtContent>
            </w:sdt>
            <w:sdt>
              <w:sdtPr>
                <w:rPr>
                  <w:rFonts w:ascii="GHEA Grapalat" w:hAnsi="GHEA Grapalat"/>
                </w:rPr>
                <w:tag w:val="goog_rdk_24"/>
                <w:id w:val="-1787737964"/>
              </w:sdtPr>
              <w:sdtEndPr/>
              <w:sdtContent>
                <w:r w:rsidR="00414B22" w:rsidRPr="00D436BB">
                  <w:rPr>
                    <w:rFonts w:ascii="GHEA Grapalat" w:eastAsia="Tahoma" w:hAnsi="GHEA Grapalat" w:cs="Tahoma"/>
                    <w:sz w:val="24"/>
                    <w:szCs w:val="24"/>
                  </w:rPr>
                  <w:t xml:space="preserve">«ապահովվագրված անձը հրաժարվել է բուժումից», «ապահովագրված անձը չի կատարել բժշկի ցուցումները», «ապահովագրավճարը վճարված չէ», «առկա է առողջության խաթարման </w:t>
                </w:r>
                <w:r w:rsidR="00414B22" w:rsidRPr="00D436BB">
                  <w:rPr>
                    <w:rFonts w:ascii="GHEA Grapalat" w:eastAsia="Tahoma" w:hAnsi="GHEA Grapalat" w:cs="Tahoma"/>
                    <w:sz w:val="24"/>
                    <w:szCs w:val="24"/>
                  </w:rPr>
                  <w:lastRenderedPageBreak/>
                  <w:t>իրավիճակ ապահովագրված անձի դիտավորությամբ», «դեղերը ստացվել են մինչև պայմանագրի ուժի մեջ մտնելը»</w:t>
                </w:r>
              </w:sdtContent>
            </w:sdt>
            <w:r w:rsidR="00414B22" w:rsidRPr="00D436BB">
              <w:rPr>
                <w:rFonts w:ascii="GHEA Grapalat" w:eastAsia="Times New Roman" w:hAnsi="GHEA Grapalat" w:cs="Times New Roman"/>
                <w:sz w:val="24"/>
                <w:szCs w:val="24"/>
              </w:rPr>
              <w:t xml:space="preserve"> </w:t>
            </w:r>
            <w:sdt>
              <w:sdtPr>
                <w:rPr>
                  <w:rFonts w:ascii="GHEA Grapalat" w:hAnsi="GHEA Grapalat"/>
                </w:rPr>
                <w:tag w:val="goog_rdk_25"/>
                <w:id w:val="-174595193"/>
              </w:sdtPr>
              <w:sdtEndPr/>
              <w:sdtContent>
                <w:r w:rsidR="00414B22" w:rsidRPr="00D436BB">
                  <w:rPr>
                    <w:rFonts w:ascii="GHEA Grapalat" w:eastAsia="Tahoma" w:hAnsi="GHEA Grapalat" w:cs="Tahoma"/>
                    <w:sz w:val="24"/>
                    <w:szCs w:val="24"/>
                    <w:highlight w:val="white"/>
                  </w:rPr>
                  <w:t>դեղատունը պետք է պահանջ ներկայացնի ապահովագված անձի դեմ, որպես տրամադրած դեղերի կամ օրինակ բժշկական հաստատությունը մատուցված ծառայությունների համար չվճարած գումար և այն բռնագանձելու պահանջ ներկայացնի ապահովագրված անձի դեմ։</w:t>
                </w:r>
              </w:sdtContent>
            </w:sdt>
          </w:p>
          <w:p w14:paraId="0000004B"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4C"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26"/>
                <w:id w:val="-1229131530"/>
              </w:sdtPr>
              <w:sdtEndPr/>
              <w:sdtContent>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Նախագծում կատարվել է փոփոխություն։</w:t>
                </w:r>
              </w:sdtContent>
            </w:sdt>
          </w:p>
        </w:tc>
      </w:tr>
      <w:tr w:rsidR="0050622F" w:rsidRPr="00D436BB" w14:paraId="02101DAA" w14:textId="77777777">
        <w:trPr>
          <w:trHeight w:val="705"/>
          <w:jc w:val="center"/>
        </w:trPr>
        <w:tc>
          <w:tcPr>
            <w:tcW w:w="9600"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04D" w14:textId="77777777" w:rsidR="0050622F" w:rsidRPr="00D436BB" w:rsidRDefault="00D436BB">
            <w:pPr>
              <w:numPr>
                <w:ilvl w:val="0"/>
                <w:numId w:val="1"/>
              </w:numPr>
              <w:spacing w:after="0" w:line="276" w:lineRule="auto"/>
              <w:jc w:val="center"/>
              <w:rPr>
                <w:rFonts w:ascii="GHEA Grapalat" w:eastAsia="Times New Roman" w:hAnsi="GHEA Grapalat" w:cs="Times New Roman"/>
                <w:sz w:val="24"/>
                <w:szCs w:val="24"/>
              </w:rPr>
            </w:pPr>
            <w:sdt>
              <w:sdtPr>
                <w:rPr>
                  <w:rFonts w:ascii="GHEA Grapalat" w:hAnsi="GHEA Grapalat"/>
                </w:rPr>
                <w:tag w:val="goog_rdk_28"/>
                <w:id w:val="-1590197522"/>
              </w:sdtPr>
              <w:sdtEndPr/>
              <w:sdtContent>
                <w:r w:rsidR="00414B22" w:rsidRPr="00D436BB">
                  <w:rPr>
                    <w:rFonts w:ascii="GHEA Grapalat" w:eastAsia="Tahoma" w:hAnsi="GHEA Grapalat" w:cs="Tahoma"/>
                    <w:b/>
                    <w:bCs/>
                    <w:sz w:val="24"/>
                    <w:szCs w:val="24"/>
                  </w:rPr>
                  <w:t xml:space="preserve">ՀՀ Արդարադատության </w:t>
                </w:r>
              </w:sdtContent>
            </w:sdt>
            <w:sdt>
              <w:sdtPr>
                <w:rPr>
                  <w:rFonts w:ascii="GHEA Grapalat" w:hAnsi="GHEA Grapalat"/>
                </w:rPr>
                <w:tag w:val="goog_rdk_27"/>
                <w:id w:val="-1743046929"/>
              </w:sdtPr>
              <w:sdtEndPr/>
              <w:sdtContent/>
            </w:sdt>
            <w:sdt>
              <w:sdtPr>
                <w:rPr>
                  <w:rFonts w:ascii="GHEA Grapalat" w:hAnsi="GHEA Grapalat"/>
                </w:rPr>
                <w:tag w:val="goog_rdk_29"/>
                <w:id w:val="-299356826"/>
              </w:sdtPr>
              <w:sdtEndPr/>
              <w:sdtContent>
                <w:r w:rsidR="00414B22" w:rsidRPr="00D436BB">
                  <w:rPr>
                    <w:rFonts w:ascii="GHEA Grapalat" w:eastAsia="Tahoma" w:hAnsi="GHEA Grapalat" w:cs="Tahoma"/>
                    <w:b/>
                    <w:bCs/>
                    <w:sz w:val="24"/>
                    <w:szCs w:val="24"/>
                  </w:rPr>
                  <w:t>նախարարություն</w:t>
                </w:r>
              </w:sdtContent>
            </w:sdt>
          </w:p>
          <w:p w14:paraId="0000004E" w14:textId="77777777" w:rsidR="0050622F" w:rsidRPr="00D436BB" w:rsidRDefault="0050622F">
            <w:pPr>
              <w:spacing w:after="0" w:line="276" w:lineRule="auto"/>
              <w:ind w:left="720"/>
              <w:rPr>
                <w:rFonts w:ascii="GHEA Grapalat" w:eastAsia="Times New Roman" w:hAnsi="GHEA Grapalat" w:cs="Times New Roman"/>
                <w:b/>
                <w:bCs/>
                <w:sz w:val="24"/>
                <w:szCs w:val="24"/>
              </w:rPr>
            </w:pPr>
          </w:p>
        </w:tc>
        <w:tc>
          <w:tcPr>
            <w:tcW w:w="4980" w:type="dxa"/>
            <w:gridSpan w:val="2"/>
            <w:tcBorders>
              <w:top w:val="single" w:sz="6" w:space="0" w:color="000000"/>
              <w:left w:val="single" w:sz="6" w:space="0" w:color="000000"/>
              <w:bottom w:val="single" w:sz="6" w:space="0" w:color="000000"/>
              <w:right w:val="single" w:sz="6" w:space="0" w:color="000000"/>
            </w:tcBorders>
            <w:shd w:val="clear" w:color="auto" w:fill="D0D0D0"/>
          </w:tcPr>
          <w:p w14:paraId="0000004F" w14:textId="6A73B98F" w:rsidR="0050622F" w:rsidRPr="00D436BB" w:rsidRDefault="000D249C">
            <w:pPr>
              <w:spacing w:after="0" w:line="276" w:lineRule="auto"/>
              <w:jc w:val="center"/>
              <w:rPr>
                <w:rFonts w:ascii="GHEA Grapalat" w:eastAsia="Times New Roman" w:hAnsi="GHEA Grapalat" w:cs="Times New Roman"/>
                <w:b/>
                <w:bCs/>
                <w:sz w:val="24"/>
                <w:szCs w:val="24"/>
              </w:rPr>
            </w:pPr>
            <w:r w:rsidRPr="00D436BB">
              <w:rPr>
                <w:rFonts w:ascii="GHEA Grapalat" w:hAnsi="GHEA Grapalat"/>
                <w:color w:val="000000"/>
                <w:sz w:val="18"/>
                <w:szCs w:val="18"/>
                <w:shd w:val="clear" w:color="auto" w:fill="FFFFFF"/>
              </w:rPr>
              <w:t>/27.3/58443-2025</w:t>
            </w:r>
          </w:p>
        </w:tc>
      </w:tr>
      <w:tr w:rsidR="0050622F" w:rsidRPr="00D436BB" w14:paraId="3F4EA17B" w14:textId="77777777">
        <w:trPr>
          <w:jc w:val="center"/>
        </w:trPr>
        <w:tc>
          <w:tcPr>
            <w:tcW w:w="9600" w:type="dxa"/>
            <w:vMerge/>
            <w:tcBorders>
              <w:top w:val="single" w:sz="6" w:space="0" w:color="000000"/>
              <w:left w:val="single" w:sz="6" w:space="0" w:color="000000"/>
              <w:bottom w:val="single" w:sz="6" w:space="0" w:color="000000"/>
              <w:right w:val="single" w:sz="6" w:space="0" w:color="000000"/>
            </w:tcBorders>
            <w:shd w:val="clear" w:color="auto" w:fill="D0D0D0"/>
          </w:tcPr>
          <w:p w14:paraId="00000051" w14:textId="77777777" w:rsidR="0050622F" w:rsidRPr="00D436BB" w:rsidRDefault="0050622F">
            <w:pPr>
              <w:widowControl w:val="0"/>
              <w:pBdr>
                <w:top w:val="nil"/>
                <w:left w:val="nil"/>
                <w:bottom w:val="nil"/>
                <w:right w:val="nil"/>
                <w:between w:val="nil"/>
              </w:pBdr>
              <w:spacing w:after="0" w:line="276" w:lineRule="auto"/>
              <w:rPr>
                <w:rFonts w:ascii="GHEA Grapalat" w:eastAsia="Times New Roman" w:hAnsi="GHEA Grapalat" w:cs="Times New Roman"/>
                <w:b/>
                <w:bCs/>
                <w:sz w:val="24"/>
                <w:szCs w:val="24"/>
              </w:rPr>
            </w:pPr>
          </w:p>
        </w:tc>
        <w:tc>
          <w:tcPr>
            <w:tcW w:w="4980" w:type="dxa"/>
            <w:gridSpan w:val="2"/>
            <w:tcBorders>
              <w:top w:val="single" w:sz="6" w:space="0" w:color="000000"/>
              <w:left w:val="single" w:sz="6" w:space="0" w:color="000000"/>
              <w:bottom w:val="single" w:sz="6" w:space="0" w:color="000000"/>
              <w:right w:val="single" w:sz="6" w:space="0" w:color="000000"/>
            </w:tcBorders>
            <w:shd w:val="clear" w:color="auto" w:fill="D0D0D0"/>
          </w:tcPr>
          <w:p w14:paraId="00000052" w14:textId="567D5196" w:rsidR="0050622F" w:rsidRPr="00D436BB" w:rsidRDefault="000D249C">
            <w:pPr>
              <w:spacing w:after="0" w:line="276" w:lineRule="auto"/>
              <w:jc w:val="center"/>
              <w:rPr>
                <w:rFonts w:ascii="GHEA Grapalat" w:eastAsia="Times New Roman" w:hAnsi="GHEA Grapalat" w:cs="Times New Roman"/>
                <w:b/>
                <w:bCs/>
                <w:sz w:val="24"/>
                <w:szCs w:val="24"/>
                <w:lang w:val="hy-AM"/>
              </w:rPr>
            </w:pPr>
            <w:r w:rsidRPr="00D436BB">
              <w:rPr>
                <w:rFonts w:ascii="GHEA Grapalat" w:eastAsia="Times New Roman" w:hAnsi="GHEA Grapalat" w:cs="Times New Roman"/>
                <w:b/>
                <w:bCs/>
                <w:sz w:val="24"/>
                <w:szCs w:val="24"/>
                <w:lang w:val="hy-AM"/>
              </w:rPr>
              <w:t>19.12.2025</w:t>
            </w:r>
          </w:p>
        </w:tc>
      </w:tr>
      <w:tr w:rsidR="0050622F" w:rsidRPr="00D436BB" w14:paraId="4695B14B" w14:textId="77777777">
        <w:trPr>
          <w:trHeight w:val="462"/>
          <w:jc w:val="center"/>
        </w:trPr>
        <w:tc>
          <w:tcPr>
            <w:tcW w:w="9600" w:type="dxa"/>
            <w:tcBorders>
              <w:top w:val="single" w:sz="6" w:space="0" w:color="000000"/>
              <w:left w:val="single" w:sz="6" w:space="0" w:color="000000"/>
              <w:bottom w:val="single" w:sz="6" w:space="0" w:color="000000"/>
              <w:right w:val="single" w:sz="6" w:space="0" w:color="000000"/>
            </w:tcBorders>
            <w:shd w:val="clear" w:color="auto" w:fill="FFFFFF"/>
          </w:tcPr>
          <w:p w14:paraId="00000054" w14:textId="77777777" w:rsidR="0050622F" w:rsidRPr="00D436BB" w:rsidRDefault="0050622F">
            <w:pPr>
              <w:spacing w:after="0" w:line="276" w:lineRule="auto"/>
              <w:ind w:firstLine="540"/>
              <w:jc w:val="both"/>
              <w:rPr>
                <w:rFonts w:ascii="GHEA Grapalat" w:eastAsia="Times New Roman" w:hAnsi="GHEA Grapalat" w:cs="Times New Roman"/>
                <w:sz w:val="24"/>
                <w:szCs w:val="24"/>
              </w:rPr>
            </w:pPr>
          </w:p>
          <w:p w14:paraId="00000055"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0"/>
                <w:id w:val="276682533"/>
              </w:sdtPr>
              <w:sdtEndPr/>
              <w:sdtContent>
                <w:r w:rsidR="00414B22" w:rsidRPr="00D436BB">
                  <w:rPr>
                    <w:rFonts w:ascii="GHEA Grapalat" w:eastAsia="Tahoma" w:hAnsi="GHEA Grapalat" w:cs="Tahoma"/>
                    <w:sz w:val="24"/>
                    <w:szCs w:val="24"/>
                  </w:rPr>
                  <w:t>45</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w:t>
                </w:r>
                <w:r w:rsidR="00414B22" w:rsidRPr="00D436BB">
                  <w:rPr>
                    <w:rFonts w:ascii="GHEA Grapalat" w:eastAsia="Tahoma" w:hAnsi="GHEA Grapalat" w:cs="GHEA Grapalat"/>
                    <w:sz w:val="24"/>
                    <w:szCs w:val="24"/>
                  </w:rPr>
                  <w:t>«</w:t>
                </w:r>
                <w:r w:rsidR="00414B22" w:rsidRPr="00D436BB">
                  <w:rPr>
                    <w:rFonts w:ascii="GHEA Grapalat" w:eastAsia="Tahoma" w:hAnsi="GHEA Grapalat" w:cs="Tahoma"/>
                    <w:sz w:val="24"/>
                    <w:szCs w:val="24"/>
                  </w:rPr>
                  <w:t>Առողջության համընդհանուր ապահովագրության հիմնադրամի և բժշկական կազմակերպությունների միջև հօգուտ ապահովագրված անձի կնքվող պայմանագրի օրինակելի ձևը հաստատելու մասին» Հայաստանի Հանրապետության կառավարության որոշման նախագծի (այսուհետ՝ Նախագիծ 1) վերնագրում «բժշկական կազմակերպությունների» բառերն առաջարկում ենք փոխարինել «բժշկական օգնություն և սպասարկում իրականացնողների» բառերով՝ նկատի ունենալով Օրենքի 19-րդ հոդվածի 5-րդ մասը։</w:t>
                </w:r>
              </w:sdtContent>
            </w:sdt>
          </w:p>
          <w:p w14:paraId="00000056"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57"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1"/>
                <w:id w:val="1339893006"/>
              </w:sdtPr>
              <w:sdtEndPr/>
              <w:sdtContent>
                <w:r w:rsidR="00414B22" w:rsidRPr="00D436BB">
                  <w:rPr>
                    <w:rFonts w:ascii="GHEA Grapalat" w:eastAsia="Tahoma" w:hAnsi="GHEA Grapalat" w:cs="Tahoma"/>
                    <w:sz w:val="24"/>
                    <w:szCs w:val="24"/>
                  </w:rPr>
                  <w:t>46</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Նախագիծ 1-ի Հավելված 1-ի (այսուհետ՝ Հավելված 1)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9-րդ կետի համաձայն՝ կատարողը պարտավոր է հիմնադրամի հոգաբարձուների խորհրդի կողմից սահմանված կարգով Հիմնադրամին ներկայացնել ապահովագրական փաթեթի  տրամադրման  վերաբերյալ հաշվետվություններ։</w:t>
                </w:r>
              </w:sdtContent>
            </w:sdt>
          </w:p>
          <w:p w14:paraId="00000058"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2"/>
                <w:id w:val="-529893210"/>
              </w:sdtPr>
              <w:sdtEndPr/>
              <w:sdtContent>
                <w:r w:rsidR="00414B22" w:rsidRPr="00D436BB">
                  <w:rPr>
                    <w:rFonts w:ascii="GHEA Grapalat" w:eastAsia="Tahoma" w:hAnsi="GHEA Grapalat" w:cs="Tahoma"/>
                    <w:sz w:val="24"/>
                    <w:szCs w:val="24"/>
                  </w:rPr>
                  <w:t>Սույն դեպքում, անհրաժեշտ է  լրացուցիչ պարզաբանել, թե որ լիազորող նորմի հիման վրա է հիմնադրամի հոգաբարձուների խորհուրդը սահմանելու ապահովագրական փաթեթի  տրամադրման  վերաբերյալ հաշվետվությունների ներկայացման կարգը։</w:t>
                </w:r>
              </w:sdtContent>
            </w:sdt>
          </w:p>
          <w:p w14:paraId="00000059"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5A"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5B"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5C"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5D"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5E"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3"/>
                <w:id w:val="868125500"/>
              </w:sdtPr>
              <w:sdtEndPr/>
              <w:sdtContent>
                <w:r w:rsidR="00414B22" w:rsidRPr="00D436BB">
                  <w:rPr>
                    <w:rFonts w:ascii="GHEA Grapalat" w:eastAsia="Tahoma" w:hAnsi="GHEA Grapalat" w:cs="Tahoma"/>
                    <w:sz w:val="24"/>
                    <w:szCs w:val="24"/>
                  </w:rPr>
                  <w:t>47</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Հավելված 1-ի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13-րդ կետի համաձայն՝ կատարողը պարտավոր է պայմանագրի գործողության ողջ ընթացքում ապահովել Հիմնադրամի և բժշկական կազմակերպությունների միջև Պայմանագիր կնքելու համար նախատեսված նվազագույն պահանջների առկայությունը և դրանց պահպանումը (այդ թվում` որակի)։</w:t>
                </w:r>
              </w:sdtContent>
            </w:sdt>
          </w:p>
          <w:p w14:paraId="0000005F"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4"/>
                <w:id w:val="924305449"/>
              </w:sdtPr>
              <w:sdtEndPr/>
              <w:sdtContent>
                <w:r w:rsidR="00414B22" w:rsidRPr="00D436BB">
                  <w:rPr>
                    <w:rFonts w:ascii="GHEA Grapalat" w:eastAsia="Tahoma" w:hAnsi="GHEA Grapalat" w:cs="Tahoma"/>
                    <w:sz w:val="24"/>
                    <w:szCs w:val="24"/>
                  </w:rPr>
                  <w:t>Սույն դեպքում անհրաժեշտ է լրացուցիչ պարզաբանել, թե որտեղ են սահմանված պայմանագիր կնքելու համար նախատեսված նվազագույն պահանջները։</w:t>
                </w:r>
              </w:sdtContent>
            </w:sdt>
          </w:p>
          <w:p w14:paraId="00000060"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1"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2"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3"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4"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5"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5"/>
                <w:id w:val="678268714"/>
              </w:sdtPr>
              <w:sdtEndPr/>
              <w:sdtContent>
                <w:r w:rsidR="00414B22" w:rsidRPr="00D436BB">
                  <w:rPr>
                    <w:rFonts w:ascii="GHEA Grapalat" w:eastAsia="Tahoma" w:hAnsi="GHEA Grapalat" w:cs="Tahoma"/>
                    <w:sz w:val="24"/>
                    <w:szCs w:val="24"/>
                  </w:rPr>
                  <w:t>48</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Հավելված 1-ի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30-րդ կետի համաձայն՝ պատվիրատուն իրավունք ունի ինչպես էլեկտրոնային առողջապահական համակարգի միջոցով, այնպես էլ տեղում իրականացնել դիտարկումներ, ուսումնասիրություններ և մշտադիտարկումներ, փորձագիտական աշխատանքներ կամ համանման այլ աշխատանքներ՝ այդ թվում փորձագիտական գնահատում՝ Կատարողի կողմից Պայմանագրով, առողջապահության ոլորտը կարգավորող իրավական ակտերով, Հիմնադրամի իրավասու մարմինների կողմից ընդունած ակտերով  սահմանված պահանջների պահպանումը ստուգելու, Կատարողի գործունեությունը բնութագրող տեղեկատվության արժանահավատության և ստացված ֆինանսական միջոցների արդյունավետ ու նպատակային օգտագործման և իրավական ու այլ ակտերով սահմանված այլ </w:t>
                </w:r>
                <w:r w:rsidR="00414B22" w:rsidRPr="00D436BB">
                  <w:rPr>
                    <w:rFonts w:ascii="GHEA Grapalat" w:eastAsia="Tahoma" w:hAnsi="GHEA Grapalat" w:cs="Tahoma"/>
                    <w:sz w:val="24"/>
                    <w:szCs w:val="24"/>
                  </w:rPr>
                  <w:lastRenderedPageBreak/>
                  <w:t>պահանջների կատարման և պահպանման վերաբերյալ, սահմանել հայտնաբերված թերությունները վերացնելու համար ողջամիտ ժամկետ։</w:t>
                </w:r>
              </w:sdtContent>
            </w:sdt>
          </w:p>
          <w:p w14:paraId="00000066"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6"/>
                <w:id w:val="-1721008674"/>
              </w:sdtPr>
              <w:sdtEndPr/>
              <w:sdtContent>
                <w:r w:rsidR="00414B22" w:rsidRPr="00D436BB">
                  <w:rPr>
                    <w:rFonts w:ascii="GHEA Grapalat" w:eastAsia="Tahoma" w:hAnsi="GHEA Grapalat" w:cs="Tahoma"/>
                    <w:sz w:val="24"/>
                    <w:szCs w:val="24"/>
                  </w:rPr>
                  <w:t>Օրենքի 30-րդ հոդվածի 10-րդ մասի 14-րդ կետի համաձայն՝ Հոգաբարձուների խորհրդի իրավասություններն են բժշկական օգնություն և սպասարկում իրականացնողների, դեղատների և Հիմնադրամի միջև կնքված պայմանագրերի կատարման նկատմամբ ստուգումների, մշտադիտարկումների, դիտարկումների և փորձագիտական աշխատանքների իրականացման կարգի սահմանումը։</w:t>
                </w:r>
              </w:sdtContent>
            </w:sdt>
          </w:p>
          <w:p w14:paraId="00000067"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7"/>
                <w:id w:val="1987696177"/>
              </w:sdtPr>
              <w:sdtEndPr/>
              <w:sdtContent>
                <w:r w:rsidR="00414B22" w:rsidRPr="00D436BB">
                  <w:rPr>
                    <w:rFonts w:ascii="GHEA Grapalat" w:eastAsia="Tahoma" w:hAnsi="GHEA Grapalat" w:cs="Tahoma"/>
                    <w:sz w:val="24"/>
                    <w:szCs w:val="24"/>
                  </w:rPr>
                  <w:t>Վերոգրյալից ելնելով, անհրաժեշտ է Հավելված 1-ի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30-րդ կետի և Օրենքի 30-րդ հոդվածի 10-րդ մասի 14-րդ կետի ձևակերպումները համապատասխանեցնել միմյանց։</w:t>
                </w:r>
              </w:sdtContent>
            </w:sdt>
          </w:p>
          <w:p w14:paraId="00000068"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8"/>
                <w:id w:val="-663137933"/>
              </w:sdtPr>
              <w:sdtEndPr/>
              <w:sdtContent>
                <w:r w:rsidR="00414B22" w:rsidRPr="00D436BB">
                  <w:rPr>
                    <w:rFonts w:ascii="GHEA Grapalat" w:eastAsia="Tahoma" w:hAnsi="GHEA Grapalat" w:cs="Tahoma"/>
                    <w:sz w:val="24"/>
                    <w:szCs w:val="24"/>
                  </w:rPr>
                  <w:t>Նույն դիտարկումը վերաբերում է «Առողջության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նախագծին։</w:t>
                </w:r>
              </w:sdtContent>
            </w:sdt>
          </w:p>
          <w:p w14:paraId="00000069"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A"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39"/>
                <w:id w:val="-1311013257"/>
              </w:sdtPr>
              <w:sdtEndPr/>
              <w:sdtContent>
                <w:r w:rsidR="00414B22" w:rsidRPr="00D436BB">
                  <w:rPr>
                    <w:rFonts w:ascii="GHEA Grapalat" w:eastAsia="Tahoma" w:hAnsi="GHEA Grapalat" w:cs="Tahoma"/>
                    <w:sz w:val="24"/>
                    <w:szCs w:val="24"/>
                  </w:rPr>
                  <w:t>48</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Հավելված 1-ի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38-րդ կետի համաձայն պատվիրատու իրավունք ունի նվազեցնելու կամ մերժելու վճարման ենթակա ապահովագրական հատուցման վճարումը, եթե (...)</w:t>
                </w:r>
              </w:sdtContent>
            </w:sdt>
          </w:p>
          <w:p w14:paraId="0000006B"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0"/>
                <w:id w:val="916637584"/>
              </w:sdtPr>
              <w:sdtEndPr/>
              <w:sdtContent>
                <w:r w:rsidR="00414B22" w:rsidRPr="00D436BB">
                  <w:rPr>
                    <w:rFonts w:ascii="GHEA Grapalat" w:eastAsia="Tahoma" w:hAnsi="GHEA Grapalat" w:cs="Tahoma"/>
                    <w:sz w:val="24"/>
                    <w:szCs w:val="24"/>
                  </w:rPr>
                  <w:t>Սույն դեպքում պարզ չէ, ինչպես է որոշվելու, թե որ դեպքում է նվազեցվելու և որ դեպքում մերժվելու վճարման ենթակա ապահովագրական հատուցման վճարումը, ուստի այս մասով  կարգավորումն ունի հստակեցման կարիք։</w:t>
                </w:r>
              </w:sdtContent>
            </w:sdt>
          </w:p>
          <w:p w14:paraId="0000006C"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1"/>
                <w:id w:val="-1550493175"/>
              </w:sdtPr>
              <w:sdtEndPr/>
              <w:sdtContent>
                <w:r w:rsidR="00414B22" w:rsidRPr="00D436BB">
                  <w:rPr>
                    <w:rFonts w:ascii="GHEA Grapalat" w:eastAsia="Tahoma" w:hAnsi="GHEA Grapalat" w:cs="Tahoma"/>
                    <w:sz w:val="24"/>
                    <w:szCs w:val="24"/>
                  </w:rPr>
                  <w:t>Նույն դիտարկումը վերաբերում է «Առողջության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նախագծին։</w:t>
                </w:r>
              </w:sdtContent>
            </w:sdt>
          </w:p>
          <w:p w14:paraId="0000006D"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E"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6F"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0"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1"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2"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3"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4"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5"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6"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7"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8"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9"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A"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B"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C"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D"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E"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7F"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0"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1"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2"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3"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4"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5"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6"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7"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8"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9"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A"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B"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C"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D"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E"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8F"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90"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2"/>
                <w:id w:val="490106451"/>
              </w:sdtPr>
              <w:sdtEndPr/>
              <w:sdtContent>
                <w:r w:rsidR="00414B22" w:rsidRPr="00D436BB">
                  <w:rPr>
                    <w:rFonts w:ascii="GHEA Grapalat" w:eastAsia="Tahoma" w:hAnsi="GHEA Grapalat" w:cs="Tahoma"/>
                    <w:sz w:val="24"/>
                    <w:szCs w:val="24"/>
                  </w:rPr>
                  <w:t>49</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Հավելված 1-ի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39-րդ կետի համաձայն՝ պատվիրատուն իրավունք ունի ամբողջությամբ կամ համապատասխան մասով ազատվել ապահովագրական հատուցում վճարելուց և պահանջելու վերադարձնել վճարված հատուցման գումարը, եթե ապահովագրված անձը հրաժարվել է Հիմնադրամի կողմից հատուցված վնասների համար պատասխանատու անձի նկատմամբ պահանջի իրավունքից, կամ այդ իրավունքն իրականացնելն անհնարին է դարձել ապահովագրված անձի մեղքով։</w:t>
                </w:r>
              </w:sdtContent>
            </w:sdt>
          </w:p>
          <w:p w14:paraId="00000091"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3"/>
                <w:id w:val="164926749"/>
              </w:sdtPr>
              <w:sdtEndPr/>
              <w:sdtContent>
                <w:r w:rsidR="00414B22" w:rsidRPr="00D436BB">
                  <w:rPr>
                    <w:rFonts w:ascii="GHEA Grapalat" w:eastAsia="Tahoma" w:hAnsi="GHEA Grapalat" w:cs="Tahoma"/>
                    <w:sz w:val="24"/>
                    <w:szCs w:val="24"/>
                  </w:rPr>
                  <w:t>Սույն դեպքում պարզ չէ, թե ով է պատասխանատու անձը, ուստի անհրաժեշտ է ներկայացնել լրացուցիչ պարզաբանում։</w:t>
                </w:r>
              </w:sdtContent>
            </w:sdt>
          </w:p>
          <w:p w14:paraId="00000092"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4"/>
                <w:id w:val="246482972"/>
              </w:sdtPr>
              <w:sdtEndPr/>
              <w:sdtContent>
                <w:r w:rsidR="00414B22" w:rsidRPr="00D436BB">
                  <w:rPr>
                    <w:rFonts w:ascii="GHEA Grapalat" w:eastAsia="Tahoma" w:hAnsi="GHEA Grapalat" w:cs="Tahoma"/>
                    <w:sz w:val="24"/>
                    <w:szCs w:val="24"/>
                  </w:rPr>
                  <w:t>Նույն դիտարկումը վերաբերում է «Առողջության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նախագծին։</w:t>
                </w:r>
              </w:sdtContent>
            </w:sdt>
          </w:p>
          <w:p w14:paraId="00000093"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94"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5"/>
                <w:id w:val="-1579219349"/>
              </w:sdtPr>
              <w:sdtEndPr/>
              <w:sdtContent>
                <w:r w:rsidR="00414B22" w:rsidRPr="00D436BB">
                  <w:rPr>
                    <w:rFonts w:ascii="GHEA Grapalat" w:eastAsia="Tahoma" w:hAnsi="GHEA Grapalat" w:cs="Tahoma"/>
                    <w:sz w:val="24"/>
                    <w:szCs w:val="24"/>
                  </w:rPr>
                  <w:t>50</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Հավելված 1-ի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41-րդ կետի համաձայն՝ պատվիրատուն պարտավոր է հաշվետվությունները ստանալուց հետո ոչ ուշ, քան 15-օրյա ժամկետում ընդունել և </w:t>
                </w:r>
                <w:r w:rsidR="00414B22" w:rsidRPr="00D436BB">
                  <w:rPr>
                    <w:rFonts w:ascii="GHEA Grapalat" w:eastAsia="Tahoma" w:hAnsi="GHEA Grapalat" w:cs="Tahoma"/>
                    <w:sz w:val="24"/>
                    <w:szCs w:val="24"/>
                  </w:rPr>
                  <w:lastRenderedPageBreak/>
                  <w:t>ամփոփել Կատարողի կողմից ներկայացված հաշվետվությունները և ներկայացնել հատուցման: Հատուցումն իրականացվում է անկանխիկ եղանակով՝ գումարը Կատարողի բանկային հաշվեհամարին փոխանցելու միջոցով</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Հաշվետվությունների ընդունումը իրականացվում է այն պարագայում, երբ դրանք լրացվել են ճիշտ և ամբողջական։</w:t>
                </w:r>
              </w:sdtContent>
            </w:sdt>
          </w:p>
          <w:p w14:paraId="00000095"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6"/>
                <w:id w:val="-1025021043"/>
              </w:sdtPr>
              <w:sdtEndPr/>
              <w:sdtContent>
                <w:r w:rsidR="00414B22" w:rsidRPr="00D436BB">
                  <w:rPr>
                    <w:rFonts w:ascii="GHEA Grapalat" w:eastAsia="Tahoma" w:hAnsi="GHEA Grapalat" w:cs="Tahoma"/>
                    <w:sz w:val="24"/>
                    <w:szCs w:val="24"/>
                  </w:rPr>
                  <w:t xml:space="preserve">Սույն դեպքում պարզ չէ, թե ինչ ժամկետում է իրականացվում հատուցումը անկանխիկ եղանակով, ուստի անհրաժեշտ է նշված կարգավորումը հստակեցնել։ </w:t>
                </w:r>
              </w:sdtContent>
            </w:sdt>
          </w:p>
          <w:p w14:paraId="00000096"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7"/>
                <w:id w:val="293435185"/>
              </w:sdtPr>
              <w:sdtEndPr/>
              <w:sdtContent>
                <w:r w:rsidR="00414B22" w:rsidRPr="00D436BB">
                  <w:rPr>
                    <w:rFonts w:ascii="GHEA Grapalat" w:eastAsia="Tahoma" w:hAnsi="GHEA Grapalat" w:cs="Tahoma"/>
                    <w:sz w:val="24"/>
                    <w:szCs w:val="24"/>
                  </w:rPr>
                  <w:t>Նույն դիտարկումը վերաբերում է «Առողջության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նախագծին։</w:t>
                </w:r>
              </w:sdtContent>
            </w:sdt>
          </w:p>
          <w:p w14:paraId="00000097"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98"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8"/>
                <w:id w:val="562568172"/>
              </w:sdtPr>
              <w:sdtEndPr/>
              <w:sdtContent>
                <w:r w:rsidR="00414B22" w:rsidRPr="00D436BB">
                  <w:rPr>
                    <w:rFonts w:ascii="GHEA Grapalat" w:eastAsia="Tahoma" w:hAnsi="GHEA Grapalat" w:cs="Tahoma"/>
                    <w:sz w:val="24"/>
                    <w:szCs w:val="24"/>
                  </w:rPr>
                  <w:t>51</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Հավելված 1-ի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42-րդ կետի համաձայն՝ պատվիրատուն պարտավոր է պատվիրատուի կողմից մատուցված ծառայությունները չընդունելու կամ չմերժելու դեպքում այն համարվում է ընդունված, և Պայմանագրով սահմանված վերջնաժամկետին հաջորդող աշխատանքային օրը Պատվիրատուն Պայմանագրի կողմին է տրամադրում իր կողմից հաստատված հանձնման-ընդունման ակտը: Պայմանագրի արդյունքը Պատվիրատուին հանձնելու փաստն ամրագրվում է երկկողմ հաստատված փաստաթղթով՝ նշելով փաստաթղթի կազմման ամսաթիվը (էլեկտրոնային հասցեով հանձնելու դեպքում հիմք է  ընդունվում Պայմանագրում նշված էլեկտրոնային փոստի հասցեին էլեկտրոնային նամակի ուղարկման ամսաթիվը)։</w:t>
                </w:r>
              </w:sdtContent>
            </w:sdt>
          </w:p>
          <w:p w14:paraId="00000099"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49"/>
                <w:id w:val="-2020397855"/>
              </w:sdtPr>
              <w:sdtEndPr/>
              <w:sdtContent>
                <w:r w:rsidR="00414B22" w:rsidRPr="00D436BB">
                  <w:rPr>
                    <w:rFonts w:ascii="GHEA Grapalat" w:eastAsia="Tahoma" w:hAnsi="GHEA Grapalat" w:cs="Tahoma"/>
                    <w:sz w:val="24"/>
                    <w:szCs w:val="24"/>
                  </w:rPr>
                  <w:t xml:space="preserve">Օրենքի 43-րդ հոդվածի 1-ին մասի համաձայն՝ սույն գլխով նախատեսված դեպքերում ծանուցումներն իրականացվում են «Ինտերնետով հրապարակային և անհատական ծանուցման մասին» օրենքով  ֆիզիկական և իրավաբանական անձանց, </w:t>
                </w:r>
                <w:r w:rsidR="00414B22" w:rsidRPr="00D436BB">
                  <w:rPr>
                    <w:rFonts w:ascii="GHEA Grapalat" w:eastAsia="Tahoma" w:hAnsi="GHEA Grapalat" w:cs="Tahoma"/>
                    <w:sz w:val="24"/>
                    <w:szCs w:val="24"/>
                  </w:rPr>
                  <w:lastRenderedPageBreak/>
                  <w:t>ինչպես նաև անհատ ձեռնարկատերերին ծանուցելու մասին պահանջներին համապատասխան։</w:t>
                </w:r>
              </w:sdtContent>
            </w:sdt>
          </w:p>
          <w:p w14:paraId="0000009A"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0"/>
                <w:id w:val="-120595361"/>
              </w:sdtPr>
              <w:sdtEndPr/>
              <w:sdtContent>
                <w:r w:rsidR="00414B22" w:rsidRPr="00D436BB">
                  <w:rPr>
                    <w:rFonts w:ascii="GHEA Grapalat" w:eastAsia="Tahoma" w:hAnsi="GHEA Grapalat" w:cs="Tahoma"/>
                    <w:sz w:val="24"/>
                    <w:szCs w:val="24"/>
                  </w:rPr>
                  <w:t>Սույն դեպքում անհրաժեշտ է կարգավորումը համապատասխանեցնել «Ինտերնետով հրապարակային և անհատական ծանուցման մասին» օրենքի պահանջներին։</w:t>
                </w:r>
              </w:sdtContent>
            </w:sdt>
          </w:p>
          <w:p w14:paraId="0000009B"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1"/>
                <w:id w:val="595157406"/>
              </w:sdtPr>
              <w:sdtEndPr/>
              <w:sdtContent>
                <w:r w:rsidR="00414B22" w:rsidRPr="00D436BB">
                  <w:rPr>
                    <w:rFonts w:ascii="GHEA Grapalat" w:eastAsia="Tahoma" w:hAnsi="GHEA Grapalat" w:cs="Tahoma"/>
                    <w:sz w:val="24"/>
                    <w:szCs w:val="24"/>
                  </w:rPr>
                  <w:t>Նույն դիտարկումը վերաբերում է «Առողջության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նախագծին։</w:t>
                </w:r>
              </w:sdtContent>
            </w:sdt>
          </w:p>
          <w:p w14:paraId="0000009C"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9D"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9E"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9F"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2"/>
                <w:id w:val="977061343"/>
              </w:sdtPr>
              <w:sdtEndPr/>
              <w:sdtContent>
                <w:r w:rsidR="00414B22" w:rsidRPr="00D436BB">
                  <w:rPr>
                    <w:rFonts w:ascii="GHEA Grapalat" w:eastAsia="Tahoma" w:hAnsi="GHEA Grapalat" w:cs="Tahoma"/>
                    <w:sz w:val="24"/>
                    <w:szCs w:val="24"/>
                  </w:rPr>
                  <w:t>52</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Հավելված 1-ի 5</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4-րդ կետի համաձայն՝ յուրաքանչյուր խախտման համար Կատարողի նկատմամբ նշանակված տուգանքի չափը չի կարող գերազանցել սահմանված նվազագույն աշխատավարձի հարյուրապատիկը՝ բացառությամբ Պայմանագրով նախատեսված այն խախտումների, որոնց համար Պայմանագրով նախատեսված է այլ չափով տուգանքի վճարում: Տուգանքի նշանակումը պետք է համապատասխանի խախտման (խախտումների) բնույթին և տուգանքի գումարի չափը չպետք է հանգեցնի Կատարողի ծանր ֆինանսական վիճակին: </w:t>
                </w:r>
              </w:sdtContent>
            </w:sdt>
          </w:p>
          <w:p w14:paraId="000000A0"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3"/>
                <w:id w:val="1522521317"/>
              </w:sdtPr>
              <w:sdtEndPr/>
              <w:sdtContent>
                <w:r w:rsidR="00414B22" w:rsidRPr="00D436BB">
                  <w:rPr>
                    <w:rFonts w:ascii="GHEA Grapalat" w:eastAsia="Tahoma" w:hAnsi="GHEA Grapalat" w:cs="Tahoma"/>
                    <w:sz w:val="24"/>
                    <w:szCs w:val="24"/>
                  </w:rPr>
                  <w:t>Հավելված 1-ի 5</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5-րդ կետի համաձայն՝ ապահովագրված անձի ընդունման, վարման և դուրս գրման հետ կապված փաստաթղթային (այդ թվում նաև՝ Էլ. համակարգով) ձևակերպումները սահմանված ձևերով, կարգով կամ ժամկետներում չկատարելու դեպքում Կատարողի նկատմամբ յուրաքանչյուր դեպքի համար կարող է նշանակվել տուգանք՝ 5000 ՀՀ դրամի չափով, որը կարող է պահվել նաև </w:t>
                </w:r>
                <w:r w:rsidR="00414B22" w:rsidRPr="00D436BB">
                  <w:rPr>
                    <w:rFonts w:ascii="GHEA Grapalat" w:eastAsia="Tahoma" w:hAnsi="GHEA Grapalat" w:cs="Tahoma"/>
                    <w:sz w:val="24"/>
                    <w:szCs w:val="24"/>
                  </w:rPr>
                  <w:lastRenderedPageBreak/>
                  <w:t>Պայմանագրով սահմանված կարգով Պատվիրատուի կողմից Կատարողին վճարման ենթակա ցանկացած գումարից կամ կարող է հաշվանցվել Պատվիրատուի կողմից:</w:t>
                </w:r>
              </w:sdtContent>
            </w:sdt>
          </w:p>
          <w:p w14:paraId="000000A1"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4"/>
                <w:id w:val="1505730296"/>
              </w:sdtPr>
              <w:sdtEndPr/>
              <w:sdtContent>
                <w:r w:rsidR="00414B22" w:rsidRPr="00D436BB">
                  <w:rPr>
                    <w:rFonts w:ascii="GHEA Grapalat" w:eastAsia="Tahoma" w:hAnsi="GHEA Grapalat" w:cs="Tahoma"/>
                    <w:sz w:val="24"/>
                    <w:szCs w:val="24"/>
                  </w:rPr>
                  <w:t>Իսկ 5</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6-րդ կետի համաձայն՝ ապահովագրված անձին հասանելիք ապահովագրական փաթեթի ծավալների ամբողջովին կամ մասնակի չիրականացման յուրաքանչյուր դեպքում տվյալ դեպքի համար Կատարողի նկատմամբ յուրաքանչյուր դեպքի համար կարող է նշանակվել տուգանք՝ 20,000 ՀՀ դրամի չափով, որը կարող է պահվել նաև Պայմանագրով սահմանված կարգով Պատվիրատուի կողմից Կատարողին վճարման ենթակա ցանկացած գումարից կամ կարող է հաշվանցվել Պատվիրատուի կողմից:</w:t>
                </w:r>
              </w:sdtContent>
            </w:sdt>
          </w:p>
          <w:p w14:paraId="000000A2"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5"/>
                <w:id w:val="190962964"/>
              </w:sdtPr>
              <w:sdtEndPr/>
              <w:sdtContent>
                <w:r w:rsidR="00414B22" w:rsidRPr="00D436BB">
                  <w:rPr>
                    <w:rFonts w:ascii="GHEA Grapalat" w:eastAsia="Tahoma" w:hAnsi="GHEA Grapalat" w:cs="Tahoma"/>
                    <w:sz w:val="24"/>
                    <w:szCs w:val="24"/>
                  </w:rPr>
                  <w:t>Այս կապակցությամբ հարկ է նկատի ունենալ Հայաստանի Հանրապետության քաղաքացիական օրենսգրքի 372-րդ հոդվածի 1-ին մասը, համաձայն որի՝ պայմանագրով որոշված տուժանքի տարեկան առավելագույն չափը չի կարող գերազանցել Հայաստանի Հանրապետության կենտրոնական բանկի սահմանած բանկային տոկոսի հաշվարկային դրույքի քառապատիկը, եթե այլ բան նախատեսված չէ օրենքով: Պայմանագրով որոշված բոլոր տուժանքների հանրագումարի չափը չի կարող գերազանցել տվյալ պահին առկա պարտքի հիմնական գումարը:</w:t>
                </w:r>
              </w:sdtContent>
            </w:sdt>
          </w:p>
          <w:p w14:paraId="000000A3"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6"/>
                <w:id w:val="1302559861"/>
              </w:sdtPr>
              <w:sdtEndPr/>
              <w:sdtContent>
                <w:r w:rsidR="00414B22" w:rsidRPr="00D436BB">
                  <w:rPr>
                    <w:rFonts w:ascii="GHEA Grapalat" w:eastAsia="Tahoma" w:hAnsi="GHEA Grapalat" w:cs="Tahoma"/>
                    <w:sz w:val="24"/>
                    <w:szCs w:val="24"/>
                  </w:rPr>
                  <w:t>Նույն դիտարկումը վերաբերում է «Առողջության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նախագծին։</w:t>
                </w:r>
              </w:sdtContent>
            </w:sdt>
          </w:p>
          <w:p w14:paraId="000000A4"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A5"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A6"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7"/>
                <w:id w:val="-1349412473"/>
              </w:sdtPr>
              <w:sdtEndPr/>
              <w:sdtContent>
                <w:r w:rsidR="00414B22" w:rsidRPr="00D436BB">
                  <w:rPr>
                    <w:rFonts w:ascii="GHEA Grapalat" w:eastAsia="Tahoma" w:hAnsi="GHEA Grapalat" w:cs="Tahoma"/>
                    <w:sz w:val="24"/>
                    <w:szCs w:val="24"/>
                  </w:rPr>
                  <w:t>53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Հավելված 1-ի 8</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9-րդ կետի համաձայն՝  պայմանագրում կողմերի նշված էլ. փոստի միջոցով ուղարկված Պայմանագրի պայմաններին՝ այդ թվում դրանց փոփոխությունների ու լրացումներին կողմի տված համաձայնությունը դիտվում է որպես </w:t>
                </w:r>
                <w:r w:rsidR="00414B22" w:rsidRPr="00D436BB">
                  <w:rPr>
                    <w:rFonts w:ascii="GHEA Grapalat" w:eastAsia="Tahoma" w:hAnsi="GHEA Grapalat" w:cs="Tahoma"/>
                    <w:sz w:val="24"/>
                    <w:szCs w:val="24"/>
                  </w:rPr>
                  <w:lastRenderedPageBreak/>
                  <w:t>Պայմանագրի ակցեպտավորում և համարվում այդ պայմաններով Պայմանագրի կնքում՝ այդ թվում փոփոխությունների ու լրացումների կատարում՝ առանց պայմանագրում փոփոխություններ ու լրացումներ կատարելու մասին համաձայնագրի լրացուցիչ ստորագրման:</w:t>
                </w:r>
              </w:sdtContent>
            </w:sdt>
          </w:p>
          <w:p w14:paraId="000000A7"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8"/>
                <w:id w:val="174059580"/>
              </w:sdtPr>
              <w:sdtEndPr/>
              <w:sdtContent>
                <w:r w:rsidR="00414B22" w:rsidRPr="00D436BB">
                  <w:rPr>
                    <w:rFonts w:ascii="GHEA Grapalat" w:eastAsia="Tahoma" w:hAnsi="GHEA Grapalat" w:cs="Tahoma"/>
                    <w:sz w:val="24"/>
                    <w:szCs w:val="24"/>
                  </w:rPr>
                  <w:t>Սույն կարգավորումից պարզ չէ, թե ինչպես է տրամադրվում համաձայնությունը, ուստի անհրաժեշտ է  նշված կարգավորումը հստակեցնել։</w:t>
                </w:r>
              </w:sdtContent>
            </w:sdt>
          </w:p>
          <w:p w14:paraId="000000A8"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59"/>
                <w:id w:val="640756793"/>
              </w:sdtPr>
              <w:sdtEndPr/>
              <w:sdtContent>
                <w:r w:rsidR="00414B22" w:rsidRPr="00D436BB">
                  <w:rPr>
                    <w:rFonts w:ascii="GHEA Grapalat" w:eastAsia="Tahoma" w:hAnsi="GHEA Grapalat" w:cs="Tahoma"/>
                    <w:sz w:val="24"/>
                    <w:szCs w:val="24"/>
                  </w:rPr>
                  <w:t>Նույն դիտարկումը վերաբերում է «Առողջության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նախագծին։</w:t>
                </w:r>
              </w:sdtContent>
            </w:sdt>
          </w:p>
          <w:p w14:paraId="000000A9"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AA"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AB"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AC"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AD"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60"/>
                <w:id w:val="503989453"/>
              </w:sdtPr>
              <w:sdtEndPr/>
              <w:sdtContent>
                <w:r w:rsidR="00414B22" w:rsidRPr="00D436BB">
                  <w:rPr>
                    <w:rFonts w:ascii="GHEA Grapalat" w:eastAsia="Tahoma" w:hAnsi="GHEA Grapalat" w:cs="Tahoma"/>
                    <w:sz w:val="24"/>
                    <w:szCs w:val="24"/>
                  </w:rPr>
                  <w:t>54</w:t>
                </w:r>
                <w:r w:rsidR="00414B22" w:rsidRPr="00D436BB">
                  <w:rPr>
                    <w:rFonts w:ascii="Cambria Math" w:eastAsia="Tahoma" w:hAnsi="Cambria Math" w:cs="Cambria Math"/>
                    <w:sz w:val="24"/>
                    <w:szCs w:val="24"/>
                  </w:rPr>
                  <w:t>․</w:t>
                </w:r>
                <w:r w:rsidR="00414B22" w:rsidRPr="00D436BB">
                  <w:rPr>
                    <w:rFonts w:ascii="GHEA Grapalat" w:eastAsia="Tahoma" w:hAnsi="GHEA Grapalat" w:cs="GHEA Grapalat"/>
                    <w:sz w:val="24"/>
                    <w:szCs w:val="24"/>
                  </w:rPr>
                  <w:t>«</w:t>
                </w:r>
                <w:r w:rsidR="00414B22" w:rsidRPr="00D436BB">
                  <w:rPr>
                    <w:rFonts w:ascii="GHEA Grapalat" w:eastAsia="Tahoma" w:hAnsi="GHEA Grapalat" w:cs="Tahoma"/>
                    <w:sz w:val="24"/>
                    <w:szCs w:val="24"/>
                  </w:rPr>
                  <w:t>Առողջության համընդհանուր ապահովագրության հիմնադրամի և դեղատների միջև հօգուտ ապահովագրված անձի կնքվող պայմանագրի օրինակելի ձևը հաստատելու մասին» Հայաստանի Հանրապետության կառավարության որոշման նախագծի նախաբանում անհրաժեշտ է հղում կատարել համապատասխան լիազորող նորմին։</w:t>
                </w:r>
              </w:sdtContent>
            </w:sdt>
          </w:p>
          <w:p w14:paraId="000000AE"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61"/>
                <w:id w:val="-1037296794"/>
              </w:sdtPr>
              <w:sdtEndPr/>
              <w:sdtContent>
                <w:r w:rsidR="00414B22" w:rsidRPr="00D436BB">
                  <w:rPr>
                    <w:rFonts w:ascii="GHEA Grapalat" w:eastAsia="Tahoma" w:hAnsi="GHEA Grapalat" w:cs="Tahoma"/>
                    <w:sz w:val="24"/>
                    <w:szCs w:val="24"/>
                  </w:rPr>
                  <w:t xml:space="preserve">Նախագծերում՝ որպես ուժի մեջ մտնելու ժամկետ նախատեսված է </w:t>
                </w:r>
              </w:sdtContent>
            </w:sdt>
            <w:sdt>
              <w:sdtPr>
                <w:rPr>
                  <w:rFonts w:ascii="GHEA Grapalat" w:hAnsi="GHEA Grapalat"/>
                </w:rPr>
                <w:tag w:val="goog_rdk_62"/>
                <w:id w:val="-144797386"/>
              </w:sdtPr>
              <w:sdtEndPr/>
              <w:sdtContent>
                <w:r w:rsidR="00414B22" w:rsidRPr="00D436BB">
                  <w:rPr>
                    <w:rFonts w:ascii="GHEA Grapalat" w:eastAsia="Tahoma" w:hAnsi="GHEA Grapalat" w:cs="Tahoma"/>
                    <w:sz w:val="24"/>
                    <w:szCs w:val="24"/>
                  </w:rPr>
                  <w:t>պաշտոնական հրապարակմանը հաջորդող օրը, մինչդեռ անհրաժեշտ է նկատի ունենալ, որ որոշումների համար հիմք հանդիսացող՝ «</w:t>
                </w:r>
              </w:sdtContent>
            </w:sdt>
            <w:sdt>
              <w:sdtPr>
                <w:rPr>
                  <w:rFonts w:ascii="GHEA Grapalat" w:hAnsi="GHEA Grapalat"/>
                </w:rPr>
                <w:tag w:val="goog_rdk_63"/>
                <w:id w:val="1096893664"/>
              </w:sdtPr>
              <w:sdtEndPr/>
              <w:sdtContent>
                <w:r w:rsidR="00414B22" w:rsidRPr="00D436BB">
                  <w:rPr>
                    <w:rFonts w:ascii="GHEA Grapalat" w:eastAsia="Tahoma" w:hAnsi="GHEA Grapalat" w:cs="Tahoma"/>
                    <w:sz w:val="24"/>
                    <w:szCs w:val="24"/>
                  </w:rPr>
                  <w:t>Առողջության համընդհանուր ապահովագրության մասին» օրենքը դեռևս ուժի մեջ չի մտել:</w:t>
                </w:r>
              </w:sdtContent>
            </w:sdt>
          </w:p>
          <w:p w14:paraId="000000AF" w14:textId="77777777" w:rsidR="0050622F" w:rsidRPr="00D436BB" w:rsidRDefault="0050622F">
            <w:pPr>
              <w:spacing w:after="0" w:line="276" w:lineRule="auto"/>
              <w:jc w:val="both"/>
              <w:rPr>
                <w:rFonts w:ascii="GHEA Grapalat" w:eastAsia="Times New Roman" w:hAnsi="GHEA Grapalat" w:cs="Times New Roman"/>
                <w:sz w:val="24"/>
                <w:szCs w:val="24"/>
              </w:rPr>
            </w:pPr>
          </w:p>
        </w:tc>
        <w:tc>
          <w:tcPr>
            <w:tcW w:w="135" w:type="dxa"/>
            <w:tcBorders>
              <w:top w:val="single" w:sz="6" w:space="0" w:color="000000"/>
              <w:left w:val="single" w:sz="6" w:space="0" w:color="000000"/>
              <w:bottom w:val="single" w:sz="6" w:space="0" w:color="000000"/>
              <w:right w:val="nil"/>
            </w:tcBorders>
            <w:shd w:val="clear" w:color="auto" w:fill="FFFFFF"/>
          </w:tcPr>
          <w:p w14:paraId="000000B0" w14:textId="77777777" w:rsidR="0050622F" w:rsidRPr="00D436BB" w:rsidRDefault="0050622F">
            <w:pPr>
              <w:spacing w:after="0" w:line="276" w:lineRule="auto"/>
              <w:jc w:val="center"/>
              <w:rPr>
                <w:rFonts w:ascii="GHEA Grapalat" w:eastAsia="Times New Roman" w:hAnsi="GHEA Grapalat" w:cs="Times New Roman"/>
                <w:sz w:val="24"/>
                <w:szCs w:val="24"/>
              </w:rPr>
            </w:pPr>
          </w:p>
        </w:tc>
        <w:tc>
          <w:tcPr>
            <w:tcW w:w="4845" w:type="dxa"/>
            <w:tcBorders>
              <w:top w:val="single" w:sz="6" w:space="0" w:color="000000"/>
              <w:left w:val="nil"/>
              <w:bottom w:val="single" w:sz="6" w:space="0" w:color="000000"/>
              <w:right w:val="single" w:sz="6" w:space="0" w:color="000000"/>
            </w:tcBorders>
            <w:shd w:val="clear" w:color="auto" w:fill="FFFFFF"/>
          </w:tcPr>
          <w:p w14:paraId="000000B1"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0B2"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64"/>
                <w:id w:val="614572236"/>
              </w:sdtPr>
              <w:sdtEndPr/>
              <w:sdtContent>
                <w:r w:rsidR="00414B22" w:rsidRPr="00D436BB">
                  <w:rPr>
                    <w:rFonts w:ascii="GHEA Grapalat" w:eastAsia="Tahoma" w:hAnsi="GHEA Grapalat" w:cs="Tahoma"/>
                    <w:sz w:val="24"/>
                    <w:szCs w:val="24"/>
                  </w:rPr>
                  <w:t>45</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Նախագծում կատարվել է փոփոխություն։</w:t>
                </w:r>
              </w:sdtContent>
            </w:sdt>
          </w:p>
          <w:p w14:paraId="000000B3"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0B4"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0B5"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0B6"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0B7"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0B8"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0B9"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BA"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65"/>
                <w:id w:val="-68157369"/>
              </w:sdtPr>
              <w:sdtEndPr/>
              <w:sdtContent>
                <w:r w:rsidR="00414B22" w:rsidRPr="00D436BB">
                  <w:rPr>
                    <w:rFonts w:ascii="GHEA Grapalat" w:eastAsia="Tahoma" w:hAnsi="GHEA Grapalat" w:cs="Tahoma"/>
                    <w:sz w:val="24"/>
                    <w:szCs w:val="24"/>
                  </w:rPr>
                  <w:t>46</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ի գիտություն։ </w:t>
                </w:r>
              </w:sdtContent>
            </w:sdt>
            <w:sdt>
              <w:sdtPr>
                <w:rPr>
                  <w:rFonts w:ascii="GHEA Grapalat" w:hAnsi="GHEA Grapalat"/>
                </w:rPr>
                <w:tag w:val="goog_rdk_66"/>
                <w:id w:val="1797847855"/>
              </w:sdtPr>
              <w:sdtEndPr/>
              <w:sdtContent>
                <w:r w:rsidR="00414B22" w:rsidRPr="00D436BB">
                  <w:rPr>
                    <w:rFonts w:ascii="GHEA Grapalat" w:eastAsia="Tahoma" w:hAnsi="GHEA Grapalat" w:cs="Tahoma"/>
                    <w:sz w:val="24"/>
                    <w:szCs w:val="24"/>
                  </w:rPr>
                  <w:t xml:space="preserve">Ապահովագրական փաթեթի տրամադրման  վերաբերյալ հաշվետվությունների ներկայացման կարգը Հիմնադրամի հոգաբարձուների խորհրդի կողմից հաստատելու լիազորող նորմը նախատեսված  է «Առողջության համընդհանուր ապահովագրության </w:t>
                </w:r>
                <w:r w:rsidR="00414B22" w:rsidRPr="00D436BB">
                  <w:rPr>
                    <w:rFonts w:ascii="GHEA Grapalat" w:eastAsia="Tahoma" w:hAnsi="GHEA Grapalat" w:cs="Tahoma"/>
                    <w:sz w:val="24"/>
                    <w:szCs w:val="24"/>
                  </w:rPr>
                  <w:lastRenderedPageBreak/>
                  <w:t>մասին» օրենքի՝ (այսուհետ՝ Օրենք) 20-րդ հոդվածի 2-րդ մասի 10-րդ կետում։</w:t>
                </w:r>
              </w:sdtContent>
            </w:sdt>
          </w:p>
          <w:p w14:paraId="000000BB"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BC"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BD"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67"/>
                <w:id w:val="79780349"/>
              </w:sdtPr>
              <w:sdtEndPr/>
              <w:sdtContent>
                <w:r w:rsidR="00414B22" w:rsidRPr="00D436BB">
                  <w:rPr>
                    <w:rFonts w:ascii="GHEA Grapalat" w:eastAsia="Tahoma" w:hAnsi="GHEA Grapalat" w:cs="Tahoma"/>
                    <w:sz w:val="24"/>
                    <w:szCs w:val="24"/>
                  </w:rPr>
                  <w:t>47</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ի գիտություն։ Պայմանագիր կնքելու համար նախատեսված նվազագույն պահանջները սահմանվելու են ՀՀ կառավարության որոշմամբ, ինչպես նախատեսված է Օրենքի 19-րդ հոդվածի 1-ին մասում, և արդեն իսկ նշված որոշման նախագիծը պաշտոնական շրջանառության է ուղարկվել՝ կարծիքներ ստանալու և ամփոփելու նպատակով։</w:t>
                </w:r>
              </w:sdtContent>
            </w:sdt>
          </w:p>
          <w:p w14:paraId="000000BE"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BF"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0" w14:textId="77777777" w:rsidR="0050622F" w:rsidRPr="00D436BB" w:rsidRDefault="00D436BB">
            <w:pPr>
              <w:spacing w:after="0" w:line="276" w:lineRule="auto"/>
              <w:jc w:val="both"/>
              <w:rPr>
                <w:rFonts w:ascii="GHEA Grapalat" w:eastAsia="Times New Roman" w:hAnsi="GHEA Grapalat" w:cs="Times New Roman"/>
                <w:sz w:val="24"/>
                <w:szCs w:val="24"/>
              </w:rPr>
            </w:pPr>
            <w:sdt>
              <w:sdtPr>
                <w:rPr>
                  <w:rFonts w:ascii="GHEA Grapalat" w:hAnsi="GHEA Grapalat"/>
                </w:rPr>
                <w:tag w:val="goog_rdk_68"/>
                <w:id w:val="-2123986384"/>
              </w:sdtPr>
              <w:sdtEndPr/>
              <w:sdtContent>
                <w:r w:rsidR="00414B22" w:rsidRPr="00D436BB">
                  <w:rPr>
                    <w:rFonts w:ascii="GHEA Grapalat" w:eastAsia="Tahoma" w:hAnsi="GHEA Grapalat" w:cs="Tahoma"/>
                    <w:sz w:val="24"/>
                    <w:szCs w:val="24"/>
                  </w:rPr>
                  <w:t>48</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մասնակի։ Նախագծում կատարվել է փոփոխություն։</w:t>
                </w:r>
              </w:sdtContent>
            </w:sdt>
          </w:p>
          <w:p w14:paraId="000000C1"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2"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3"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4"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5"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6"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7"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8"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9"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A"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B"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C"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D"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E"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CF"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D0"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D1"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D2"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D3"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D4"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D5" w14:textId="77777777" w:rsidR="0050622F" w:rsidRPr="00D436BB" w:rsidRDefault="0050622F">
            <w:pPr>
              <w:spacing w:after="0" w:line="276" w:lineRule="auto"/>
              <w:jc w:val="both"/>
              <w:rPr>
                <w:rFonts w:ascii="GHEA Grapalat" w:eastAsia="Times New Roman" w:hAnsi="GHEA Grapalat" w:cs="Times New Roman"/>
                <w:sz w:val="24"/>
                <w:szCs w:val="24"/>
              </w:rPr>
            </w:pPr>
          </w:p>
          <w:p w14:paraId="000000D6"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69"/>
                <w:id w:val="777028888"/>
              </w:sdtPr>
              <w:sdtEndPr/>
              <w:sdtContent>
                <w:r w:rsidR="00414B22" w:rsidRPr="00D436BB">
                  <w:rPr>
                    <w:rFonts w:ascii="GHEA Grapalat" w:eastAsia="Tahoma" w:hAnsi="GHEA Grapalat" w:cs="Tahoma"/>
                    <w:sz w:val="24"/>
                    <w:szCs w:val="24"/>
                  </w:rPr>
                  <w:t>48</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Չի ընդունվել։ Նվազեցման կամ մերժման մասին որոշման կայացումը կախված է գործի կոնկրետ հանգամանքներից՝ հաշվի առնելով, որ տարբեր իրավիճակներում դրանք տարբեր դրսևորումներ կարող են ունենալ։ Դիցուք Հիմնադրամը պետք է գնահատի թույլ տրված խախտման տեսակը, բնույթը, դրա էությունը, որից հետո որոշի, թե համանման պարագայում հիմնավոր է արդյոք հատուցման տրամադրման բացարձակ մերժումը, թե նվազեցումը։ Նշված </w:t>
                </w:r>
                <w:r w:rsidR="00414B22" w:rsidRPr="00D436BB">
                  <w:rPr>
                    <w:rFonts w:ascii="GHEA Grapalat" w:eastAsia="Tahoma" w:hAnsi="GHEA Grapalat" w:cs="Tahoma"/>
                    <w:sz w:val="24"/>
                    <w:szCs w:val="24"/>
                  </w:rPr>
                  <w:lastRenderedPageBreak/>
                  <w:t xml:space="preserve">մոտեցումը ապահովում է առավել ճկունություն։ Ուշադրության է արժանի նաև այն հանգամանքը, որ ներկայումս ևս մասնավոր ապահովագրության ոլորտում համանման կարգավորում է նախատեսվում նաև ՀՀ քաղաքացիական օրենսգրքում՝ մասնավորապես ՀՀ քաղաքացիական օրենսգրքի 1003 1 հոդվածի 1-ին մասի համաձայն </w:t>
                </w:r>
              </w:sdtContent>
            </w:sdt>
          </w:p>
          <w:p w14:paraId="000000D7"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70"/>
                <w:id w:val="-1222007735"/>
              </w:sdtPr>
              <w:sdtEndPr/>
              <w:sdtContent>
                <w:r w:rsidR="00414B22" w:rsidRPr="00D436BB">
                  <w:rPr>
                    <w:rFonts w:ascii="GHEA Grapalat" w:eastAsia="Tahoma" w:hAnsi="GHEA Grapalat" w:cs="Tahoma"/>
                    <w:sz w:val="24"/>
                    <w:szCs w:val="24"/>
                  </w:rPr>
                  <w:t>Ապահովագրական ընկերությունն իրավունք ունի նվազեցնելու կամ մերժելու ապահովագրական պայմանագրով վճարման ենթակա ապահովագրական հատուցման վճարումը, եթե՝</w:t>
                </w:r>
              </w:sdtContent>
            </w:sdt>
          </w:p>
          <w:p w14:paraId="000000D8"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71"/>
                <w:id w:val="1900278029"/>
              </w:sdtPr>
              <w:sdtEndPr/>
              <w:sdtContent>
                <w:r w:rsidR="00414B22" w:rsidRPr="00D436BB">
                  <w:rPr>
                    <w:rFonts w:ascii="GHEA Grapalat" w:eastAsia="Tahoma" w:hAnsi="GHEA Grapalat" w:cs="Tahoma"/>
                    <w:sz w:val="24"/>
                    <w:szCs w:val="24"/>
                  </w:rPr>
                  <w:t>1) ապահովագրական պատահարն առաջացել է ապահովադրի կամ ապահովագրված անձի կամ շահառուի դիտավորությամբ կատարված գործողությունների հետևանքով.</w:t>
                </w:r>
              </w:sdtContent>
            </w:sdt>
          </w:p>
          <w:p w14:paraId="000000D9"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72"/>
                <w:id w:val="983531578"/>
              </w:sdtPr>
              <w:sdtEndPr/>
              <w:sdtContent>
                <w:r w:rsidR="00414B22" w:rsidRPr="00D436BB">
                  <w:rPr>
                    <w:rFonts w:ascii="GHEA Grapalat" w:eastAsia="Tahoma" w:hAnsi="GHEA Grapalat" w:cs="Tahoma"/>
                    <w:sz w:val="24"/>
                    <w:szCs w:val="24"/>
                  </w:rPr>
                  <w:t>2) ապահովագրության պայմանագիր կնքելիս ապահովադիրն ապահովագրության օբյեկտի վերաբերյալ ներկայացրել է կեղծ տեղեկություններ կամ թաքցրել է դրանք.</w:t>
                </w:r>
              </w:sdtContent>
            </w:sdt>
          </w:p>
          <w:p w14:paraId="000000DA"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73"/>
                <w:id w:val="798661658"/>
              </w:sdtPr>
              <w:sdtEndPr/>
              <w:sdtContent>
                <w:r w:rsidR="00414B22" w:rsidRPr="00D436BB">
                  <w:rPr>
                    <w:rFonts w:ascii="GHEA Grapalat" w:eastAsia="Tahoma" w:hAnsi="GHEA Grapalat" w:cs="Tahoma"/>
                    <w:sz w:val="24"/>
                    <w:szCs w:val="24"/>
                  </w:rPr>
                  <w:t>3) ապահովադիրը հատուցում է ստացել երրորդ անձից, որը պատասխանատու է պատճառված վնասի համար այն չափով, որքանով հատուցում ստացվել է վնաս պատճառած անձից.</w:t>
                </w:r>
              </w:sdtContent>
            </w:sdt>
          </w:p>
          <w:p w14:paraId="000000DB"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74"/>
                <w:id w:val="2025411502"/>
              </w:sdtPr>
              <w:sdtEndPr/>
              <w:sdtContent>
                <w:r w:rsidR="00414B22" w:rsidRPr="00D436BB">
                  <w:rPr>
                    <w:rFonts w:ascii="GHEA Grapalat" w:eastAsia="Tahoma" w:hAnsi="GHEA Grapalat" w:cs="Tahoma"/>
                    <w:sz w:val="24"/>
                    <w:szCs w:val="24"/>
                  </w:rPr>
                  <w:t>4) առկա են ապահովագրական հատուցման վճարումը նվազեցնելու կամ մերժելու` օրենքով կամ պայմանագրով նախատեսված այլ հիմքեր:</w:t>
                </w:r>
              </w:sdtContent>
            </w:sdt>
          </w:p>
          <w:p w14:paraId="000000DC"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DD"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DE" w14:textId="77777777" w:rsidR="0050622F" w:rsidRPr="00D436BB" w:rsidRDefault="00D436BB">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sdt>
              <w:sdtPr>
                <w:rPr>
                  <w:rFonts w:ascii="GHEA Grapalat" w:hAnsi="GHEA Grapalat"/>
                </w:rPr>
                <w:tag w:val="goog_rdk_75"/>
                <w:id w:val="1162317427"/>
              </w:sdtPr>
              <w:sdtEndPr/>
              <w:sdtContent>
                <w:r w:rsidR="00414B22" w:rsidRPr="00D436BB">
                  <w:rPr>
                    <w:rFonts w:ascii="GHEA Grapalat" w:eastAsia="Tahoma" w:hAnsi="GHEA Grapalat" w:cs="Tahoma"/>
                    <w:sz w:val="24"/>
                    <w:szCs w:val="24"/>
                  </w:rPr>
                  <w:t>49</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ի գիտություն։ Պայմանագրի 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39 կետից բխում է, որ խոսքը վերաբերում է պատճառված վնասի համար պատասխանատու անձին՝ այլ կերպ ասած այն անձին, որը վնաս է պատճաել կամ վնասների համար պատասխանատու անձ է հանդիսանում։</w:t>
                </w:r>
              </w:sdtContent>
            </w:sdt>
          </w:p>
          <w:p w14:paraId="000000DF"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E0"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E1"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E2"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E3" w14:textId="77777777" w:rsidR="0050622F" w:rsidRPr="00D436BB" w:rsidRDefault="0050622F">
            <w:pPr>
              <w:pBdr>
                <w:top w:val="nil"/>
                <w:left w:val="nil"/>
                <w:bottom w:val="nil"/>
                <w:right w:val="nil"/>
                <w:between w:val="nil"/>
              </w:pBdr>
              <w:tabs>
                <w:tab w:val="left" w:pos="851"/>
              </w:tabs>
              <w:spacing w:after="0" w:line="276" w:lineRule="auto"/>
              <w:ind w:firstLine="567"/>
              <w:jc w:val="both"/>
              <w:rPr>
                <w:rFonts w:ascii="GHEA Grapalat" w:eastAsia="Times New Roman" w:hAnsi="GHEA Grapalat" w:cs="Times New Roman"/>
                <w:sz w:val="24"/>
                <w:szCs w:val="24"/>
              </w:rPr>
            </w:pPr>
          </w:p>
          <w:p w14:paraId="000000E4"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5" w14:textId="77777777" w:rsidR="0050622F" w:rsidRPr="00D436BB" w:rsidRDefault="00D436BB">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sdt>
              <w:sdtPr>
                <w:rPr>
                  <w:rFonts w:ascii="GHEA Grapalat" w:hAnsi="GHEA Grapalat"/>
                </w:rPr>
                <w:tag w:val="goog_rdk_76"/>
                <w:id w:val="1698603882"/>
              </w:sdtPr>
              <w:sdtEndPr/>
              <w:sdtContent>
                <w:r w:rsidR="00414B22" w:rsidRPr="00D436BB">
                  <w:rPr>
                    <w:rFonts w:ascii="GHEA Grapalat" w:eastAsia="Tahoma" w:hAnsi="GHEA Grapalat" w:cs="Tahoma"/>
                    <w:sz w:val="24"/>
                    <w:szCs w:val="24"/>
                  </w:rPr>
                  <w:t>50</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Նախագծում կատարվել է փոփոխություն։</w:t>
                </w:r>
              </w:sdtContent>
            </w:sdt>
          </w:p>
          <w:p w14:paraId="000000E6"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7"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8"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9"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A"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B"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C"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D"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E"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EF"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0"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1" w14:textId="77777777" w:rsidR="0050622F" w:rsidRPr="00D436BB" w:rsidRDefault="00D436BB">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sdt>
              <w:sdtPr>
                <w:rPr>
                  <w:rFonts w:ascii="GHEA Grapalat" w:hAnsi="GHEA Grapalat"/>
                </w:rPr>
                <w:tag w:val="goog_rdk_77"/>
                <w:id w:val="-263217236"/>
              </w:sdtPr>
              <w:sdtEndPr/>
              <w:sdtContent>
                <w:r w:rsidR="00414B22" w:rsidRPr="00D436BB">
                  <w:rPr>
                    <w:rFonts w:ascii="GHEA Grapalat" w:eastAsia="Tahoma" w:hAnsi="GHEA Grapalat" w:cs="Tahoma"/>
                    <w:sz w:val="24"/>
                    <w:szCs w:val="24"/>
                  </w:rPr>
                  <w:t>51</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Չի ընդունվել։ Հարկ է նշել, որ Օրենքի 43-րդ հոդվածի 1-ին մասը վերաբերում է Օրենքի կոնկրետ գլխի՝ այն է գլուխ 8-ի հետ կապված ծանուցումներ իրականացնելուն։ Օրենքի 8-րդ գլուխը որը կարգավորում է Հիմնադրամի դեմ ապահովագրված անձի կողմից ներկայացված բողոք պահանջների քննության և լուծման կարգի հետ կապված հարցերը, և միայն բողոքարկման պրոցեսի հետ կապված հարցերով ծանուցումներն են, որ իրականացվելու են «Ինտերնետով հրապարակային և անհատական </w:t>
                </w:r>
                <w:r w:rsidR="00414B22" w:rsidRPr="00D436BB">
                  <w:rPr>
                    <w:rFonts w:ascii="GHEA Grapalat" w:eastAsia="Tahoma" w:hAnsi="GHEA Grapalat" w:cs="Tahoma"/>
                    <w:sz w:val="24"/>
                    <w:szCs w:val="24"/>
                  </w:rPr>
                  <w:lastRenderedPageBreak/>
                  <w:t>ծանուցման մասին» օրենքով  ֆիզիկական և իրավաբանական անձանց, ինչպես նաև անհատ ձեռնարկատերերին ծանուցելու մասին պահանջներին համապատասխան։</w:t>
                </w:r>
              </w:sdtContent>
            </w:sdt>
          </w:p>
          <w:p w14:paraId="000000F2" w14:textId="77777777" w:rsidR="0050622F" w:rsidRPr="00D436BB" w:rsidRDefault="00D436BB">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sdt>
              <w:sdtPr>
                <w:rPr>
                  <w:rFonts w:ascii="GHEA Grapalat" w:hAnsi="GHEA Grapalat"/>
                </w:rPr>
                <w:tag w:val="goog_rdk_78"/>
                <w:id w:val="372672101"/>
              </w:sdtPr>
              <w:sdtEndPr/>
              <w:sdtContent>
                <w:r w:rsidR="00414B22" w:rsidRPr="00D436BB">
                  <w:rPr>
                    <w:rFonts w:ascii="GHEA Grapalat" w:eastAsia="Tahoma" w:hAnsi="GHEA Grapalat" w:cs="Tahoma"/>
                    <w:sz w:val="24"/>
                    <w:szCs w:val="24"/>
                  </w:rPr>
                  <w:t>Նշված պահանջը որևէ կերպ չի առնչվում պայմանագրային հարաբերությունների շրջանակում կատարողի և պատվիրատուի՝ միմյանց ծանուցելու կարգին։</w:t>
                </w:r>
              </w:sdtContent>
            </w:sdt>
          </w:p>
          <w:p w14:paraId="000000F3"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4"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b/>
                <w:bCs/>
                <w:sz w:val="24"/>
                <w:szCs w:val="24"/>
                <w:highlight w:val="white"/>
              </w:rPr>
            </w:pPr>
          </w:p>
          <w:p w14:paraId="000000F5" w14:textId="77777777" w:rsidR="0050622F" w:rsidRPr="00D436BB" w:rsidRDefault="00D436BB">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sdt>
              <w:sdtPr>
                <w:rPr>
                  <w:rFonts w:ascii="GHEA Grapalat" w:hAnsi="GHEA Grapalat"/>
                </w:rPr>
                <w:tag w:val="goog_rdk_79"/>
                <w:id w:val="-451155357"/>
              </w:sdtPr>
              <w:sdtEndPr/>
              <w:sdtContent>
                <w:r w:rsidR="00414B22" w:rsidRPr="00D436BB">
                  <w:rPr>
                    <w:rFonts w:ascii="GHEA Grapalat" w:eastAsia="Tahoma" w:hAnsi="GHEA Grapalat" w:cs="Tahoma"/>
                    <w:sz w:val="24"/>
                    <w:szCs w:val="24"/>
                  </w:rPr>
                  <w:t>52</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Չի ընդունվել։ Նախ պայմանագրով որպես պարտավորության չկատարման կամ ոչ պատշաճ կատարման համար պատասխանատվության միջոց նախատեսված է տուգանքի կիրառման հնարավորություն։  Այլ կերպ ասած՝ այս պարագայում պայմանագրով նախատեսել է տուգանքը՝ որպես ֆիքսված գումար, որը կարող է կիրառվել որոշակի խախտման համար, և ոչ թե որպես ուշացման կամ համանման այլ խախտման համար տոկոսային արտահայտությամբ որոշված տույժ/տուժանք։</w:t>
                </w:r>
              </w:sdtContent>
            </w:sdt>
          </w:p>
          <w:p w14:paraId="000000F6" w14:textId="77777777" w:rsidR="0050622F" w:rsidRPr="00D436BB" w:rsidRDefault="00D436BB">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sdt>
              <w:sdtPr>
                <w:rPr>
                  <w:rFonts w:ascii="GHEA Grapalat" w:hAnsi="GHEA Grapalat"/>
                </w:rPr>
                <w:tag w:val="goog_rdk_80"/>
                <w:id w:val="-407182730"/>
              </w:sdtPr>
              <w:sdtEndPr/>
              <w:sdtContent>
                <w:r w:rsidR="00414B22" w:rsidRPr="00D436BB">
                  <w:rPr>
                    <w:rFonts w:ascii="GHEA Grapalat" w:eastAsia="Tahoma" w:hAnsi="GHEA Grapalat" w:cs="Tahoma"/>
                    <w:sz w:val="24"/>
                    <w:szCs w:val="24"/>
                  </w:rPr>
                  <w:t xml:space="preserve">Ընդ որում, տուգանքի նշանակման տեսնակյունից, նաև կատարողի </w:t>
                </w:r>
                <w:r w:rsidR="00414B22" w:rsidRPr="00D436BB">
                  <w:rPr>
                    <w:rFonts w:ascii="GHEA Grapalat" w:eastAsia="Tahoma" w:hAnsi="GHEA Grapalat" w:cs="Tahoma"/>
                    <w:sz w:val="24"/>
                    <w:szCs w:val="24"/>
                  </w:rPr>
                  <w:lastRenderedPageBreak/>
                  <w:t>իրավունքների պաշտպանությունն ապահովելու համար, նշվել է, որ տուգանքի նշանակումը պետք է համապատասխանի խախտման (խախտումների) բնույթին և տուգանքի գումարի չափը չպետք է հանգեցնի Կատարողի ծանր ֆինանսական վիճակին: Պարզ չէ, թե ներկայացված դիտարկման մեջ ինչ խնդրահարույց հարց է տեսել իրավասու գերատեսչությունը, քանի որ առկա կարգավորումը իր ողջ տրամաբանության մեջ համապատասխանում է ՀՀ քաղաքացիական օրենսգրքին։</w:t>
                </w:r>
              </w:sdtContent>
            </w:sdt>
          </w:p>
          <w:p w14:paraId="000000F7"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8"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9"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A"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B"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C"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D"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0FE" w14:textId="77777777" w:rsidR="0050622F" w:rsidRPr="00D436BB" w:rsidRDefault="00D436BB">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sdt>
              <w:sdtPr>
                <w:rPr>
                  <w:rFonts w:ascii="GHEA Grapalat" w:hAnsi="GHEA Grapalat"/>
                </w:rPr>
                <w:tag w:val="goog_rdk_81"/>
                <w:id w:val="-1846177439"/>
              </w:sdtPr>
              <w:sdtEndPr/>
              <w:sdtContent>
                <w:r w:rsidR="00414B22" w:rsidRPr="00D436BB">
                  <w:rPr>
                    <w:rFonts w:ascii="GHEA Grapalat" w:eastAsia="Tahoma" w:hAnsi="GHEA Grapalat" w:cs="Tahoma"/>
                    <w:sz w:val="24"/>
                    <w:szCs w:val="24"/>
                  </w:rPr>
                  <w:t>53</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Չի ընդունվել։ Նախատեսված կարգավորումից հստակ երևում է, որ պատվիրատուի և կատարողի միջև կնքված պայմանագրում նշվելու են երկու կողմերի էլեկտրոնային փոստի հասցեները։ Այսինքն </w:t>
                </w:r>
                <w:r w:rsidR="00414B22" w:rsidRPr="00D436BB">
                  <w:rPr>
                    <w:rFonts w:ascii="GHEA Grapalat" w:eastAsia="Tahoma" w:hAnsi="GHEA Grapalat" w:cs="Tahoma"/>
                    <w:sz w:val="24"/>
                    <w:szCs w:val="24"/>
                  </w:rPr>
                  <w:lastRenderedPageBreak/>
                  <w:t>պայմանագրի փոփոխությունները և լրացումները սահմանող դրույթները, պայմանագրի պայմանների հետ կապված դրույթները մի կողմից պայմանագրի մյուս կողմին ուղարկվելու են էլեկտրոնային փոստի միջոցով՝ առանց համաձայնագրի լրացուցիչ ստորագրման, իսկ մյուս կողմը իր համաձայնությունը՝ ակցեպտը կամ առարկությունը կարող է հայտնել էլեկտրոնային փոստի միջոցով։</w:t>
                </w:r>
              </w:sdtContent>
            </w:sdt>
          </w:p>
          <w:p w14:paraId="000000FF"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100" w14:textId="77777777" w:rsidR="0050622F" w:rsidRPr="00D436BB" w:rsidRDefault="0050622F">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p>
          <w:p w14:paraId="00000101" w14:textId="77777777" w:rsidR="0050622F" w:rsidRPr="00D436BB" w:rsidRDefault="00D436BB">
            <w:pPr>
              <w:pBdr>
                <w:top w:val="nil"/>
                <w:left w:val="nil"/>
                <w:bottom w:val="nil"/>
                <w:right w:val="nil"/>
                <w:between w:val="nil"/>
              </w:pBdr>
              <w:tabs>
                <w:tab w:val="left" w:pos="851"/>
              </w:tabs>
              <w:spacing w:after="0" w:line="276" w:lineRule="auto"/>
              <w:jc w:val="both"/>
              <w:rPr>
                <w:rFonts w:ascii="GHEA Grapalat" w:eastAsia="Times New Roman" w:hAnsi="GHEA Grapalat" w:cs="Times New Roman"/>
                <w:sz w:val="24"/>
                <w:szCs w:val="24"/>
              </w:rPr>
            </w:pPr>
            <w:sdt>
              <w:sdtPr>
                <w:rPr>
                  <w:rFonts w:ascii="GHEA Grapalat" w:hAnsi="GHEA Grapalat"/>
                </w:rPr>
                <w:tag w:val="goog_rdk_82"/>
                <w:id w:val="1827988388"/>
              </w:sdtPr>
              <w:sdtEndPr/>
              <w:sdtContent>
                <w:r w:rsidR="00414B22" w:rsidRPr="00D436BB">
                  <w:rPr>
                    <w:rFonts w:ascii="GHEA Grapalat" w:eastAsia="Tahoma" w:hAnsi="GHEA Grapalat" w:cs="Tahoma"/>
                    <w:sz w:val="24"/>
                    <w:szCs w:val="24"/>
                  </w:rPr>
                  <w:t>54</w:t>
                </w:r>
                <w:r w:rsidR="00414B22" w:rsidRPr="00D436BB">
                  <w:rPr>
                    <w:rFonts w:ascii="Cambria Math" w:eastAsia="Tahoma" w:hAnsi="Cambria Math" w:cs="Cambria Math"/>
                    <w:sz w:val="24"/>
                    <w:szCs w:val="24"/>
                  </w:rPr>
                  <w:t>․</w:t>
                </w:r>
                <w:r w:rsidR="00414B22" w:rsidRPr="00D436BB">
                  <w:rPr>
                    <w:rFonts w:ascii="GHEA Grapalat" w:eastAsia="Tahoma" w:hAnsi="GHEA Grapalat" w:cs="Tahoma"/>
                    <w:sz w:val="24"/>
                    <w:szCs w:val="24"/>
                  </w:rPr>
                  <w:t xml:space="preserve"> Ընդունվել է մասնակի։ Նախագծում կատարվել է փոփոխություն։</w:t>
                </w:r>
              </w:sdtContent>
            </w:sdt>
          </w:p>
        </w:tc>
      </w:tr>
      <w:tr w:rsidR="0050622F" w:rsidRPr="00D436BB" w14:paraId="77BF7145" w14:textId="77777777">
        <w:trPr>
          <w:jc w:val="center"/>
        </w:trPr>
        <w:tc>
          <w:tcPr>
            <w:tcW w:w="9600" w:type="dxa"/>
            <w:vMerge w:val="restart"/>
            <w:tcBorders>
              <w:top w:val="single" w:sz="6" w:space="0" w:color="000000"/>
              <w:left w:val="single" w:sz="6" w:space="0" w:color="000000"/>
              <w:bottom w:val="single" w:sz="6" w:space="0" w:color="000000"/>
              <w:right w:val="single" w:sz="6" w:space="0" w:color="000000"/>
            </w:tcBorders>
            <w:shd w:val="clear" w:color="auto" w:fill="D0D0D0"/>
          </w:tcPr>
          <w:p w14:paraId="00000102" w14:textId="77777777" w:rsidR="0050622F" w:rsidRPr="00D436BB" w:rsidRDefault="0050622F">
            <w:pPr>
              <w:numPr>
                <w:ilvl w:val="0"/>
                <w:numId w:val="1"/>
              </w:numPr>
              <w:spacing w:after="0" w:line="276" w:lineRule="auto"/>
              <w:jc w:val="center"/>
              <w:rPr>
                <w:rFonts w:ascii="GHEA Grapalat" w:eastAsia="Times New Roman" w:hAnsi="GHEA Grapalat" w:cs="Times New Roman"/>
                <w:sz w:val="24"/>
                <w:szCs w:val="24"/>
              </w:rPr>
            </w:pPr>
          </w:p>
          <w:p w14:paraId="00000103" w14:textId="77777777" w:rsidR="0050622F" w:rsidRPr="00D436BB" w:rsidRDefault="0050622F">
            <w:pPr>
              <w:spacing w:after="0" w:line="276" w:lineRule="auto"/>
              <w:jc w:val="center"/>
              <w:rPr>
                <w:rFonts w:ascii="GHEA Grapalat" w:eastAsia="Times New Roman" w:hAnsi="GHEA Grapalat" w:cs="Times New Roman"/>
                <w:b/>
                <w:bCs/>
                <w:sz w:val="24"/>
                <w:szCs w:val="24"/>
              </w:rPr>
            </w:pPr>
          </w:p>
        </w:tc>
        <w:tc>
          <w:tcPr>
            <w:tcW w:w="4980" w:type="dxa"/>
            <w:gridSpan w:val="2"/>
            <w:tcBorders>
              <w:top w:val="single" w:sz="6" w:space="0" w:color="000000"/>
              <w:left w:val="single" w:sz="6" w:space="0" w:color="000000"/>
              <w:bottom w:val="single" w:sz="6" w:space="0" w:color="000000"/>
              <w:right w:val="single" w:sz="6" w:space="0" w:color="000000"/>
            </w:tcBorders>
            <w:shd w:val="clear" w:color="auto" w:fill="D0D0D0"/>
          </w:tcPr>
          <w:p w14:paraId="00000104" w14:textId="77777777" w:rsidR="0050622F" w:rsidRPr="00D436BB" w:rsidRDefault="0050622F">
            <w:pPr>
              <w:spacing w:after="0" w:line="276" w:lineRule="auto"/>
              <w:jc w:val="center"/>
              <w:rPr>
                <w:rFonts w:ascii="GHEA Grapalat" w:eastAsia="Times New Roman" w:hAnsi="GHEA Grapalat" w:cs="Times New Roman"/>
                <w:b/>
                <w:bCs/>
                <w:sz w:val="24"/>
                <w:szCs w:val="24"/>
              </w:rPr>
            </w:pPr>
          </w:p>
        </w:tc>
      </w:tr>
      <w:tr w:rsidR="0050622F" w:rsidRPr="00D436BB" w14:paraId="06695AE8" w14:textId="77777777">
        <w:trPr>
          <w:jc w:val="center"/>
        </w:trPr>
        <w:tc>
          <w:tcPr>
            <w:tcW w:w="9600" w:type="dxa"/>
            <w:vMerge/>
            <w:tcBorders>
              <w:top w:val="single" w:sz="6" w:space="0" w:color="000000"/>
              <w:left w:val="single" w:sz="6" w:space="0" w:color="000000"/>
              <w:bottom w:val="single" w:sz="6" w:space="0" w:color="000000"/>
              <w:right w:val="single" w:sz="6" w:space="0" w:color="000000"/>
            </w:tcBorders>
            <w:shd w:val="clear" w:color="auto" w:fill="D0D0D0"/>
          </w:tcPr>
          <w:p w14:paraId="00000106" w14:textId="77777777" w:rsidR="0050622F" w:rsidRPr="00D436BB" w:rsidRDefault="0050622F">
            <w:pPr>
              <w:widowControl w:val="0"/>
              <w:pBdr>
                <w:top w:val="nil"/>
                <w:left w:val="nil"/>
                <w:bottom w:val="nil"/>
                <w:right w:val="nil"/>
                <w:between w:val="nil"/>
              </w:pBdr>
              <w:spacing w:after="0" w:line="276" w:lineRule="auto"/>
              <w:rPr>
                <w:rFonts w:ascii="GHEA Grapalat" w:eastAsia="Times New Roman" w:hAnsi="GHEA Grapalat" w:cs="Times New Roman"/>
                <w:b/>
                <w:bCs/>
                <w:sz w:val="24"/>
                <w:szCs w:val="24"/>
              </w:rPr>
            </w:pPr>
          </w:p>
        </w:tc>
        <w:tc>
          <w:tcPr>
            <w:tcW w:w="4980" w:type="dxa"/>
            <w:gridSpan w:val="2"/>
            <w:tcBorders>
              <w:top w:val="single" w:sz="6" w:space="0" w:color="000000"/>
              <w:left w:val="single" w:sz="6" w:space="0" w:color="000000"/>
              <w:bottom w:val="single" w:sz="6" w:space="0" w:color="000000"/>
              <w:right w:val="single" w:sz="6" w:space="0" w:color="000000"/>
            </w:tcBorders>
            <w:shd w:val="clear" w:color="auto" w:fill="D0D0D0"/>
          </w:tcPr>
          <w:p w14:paraId="00000107" w14:textId="77777777" w:rsidR="0050622F" w:rsidRPr="00D436BB" w:rsidRDefault="0050622F">
            <w:pPr>
              <w:spacing w:after="0" w:line="276" w:lineRule="auto"/>
              <w:jc w:val="center"/>
              <w:rPr>
                <w:rFonts w:ascii="GHEA Grapalat" w:eastAsia="Times New Roman" w:hAnsi="GHEA Grapalat" w:cs="Times New Roman"/>
                <w:b/>
                <w:bCs/>
                <w:sz w:val="24"/>
                <w:szCs w:val="24"/>
              </w:rPr>
            </w:pPr>
          </w:p>
        </w:tc>
      </w:tr>
      <w:tr w:rsidR="0050622F" w:rsidRPr="00D436BB" w14:paraId="12D12D0F" w14:textId="77777777">
        <w:trPr>
          <w:trHeight w:val="646"/>
          <w:jc w:val="center"/>
        </w:trPr>
        <w:tc>
          <w:tcPr>
            <w:tcW w:w="9600" w:type="dxa"/>
            <w:tcBorders>
              <w:top w:val="single" w:sz="6" w:space="0" w:color="000000"/>
              <w:left w:val="single" w:sz="6" w:space="0" w:color="000000"/>
              <w:bottom w:val="single" w:sz="6" w:space="0" w:color="000000"/>
              <w:right w:val="single" w:sz="6" w:space="0" w:color="000000"/>
            </w:tcBorders>
            <w:shd w:val="clear" w:color="auto" w:fill="FFFFFF"/>
          </w:tcPr>
          <w:p w14:paraId="00000109" w14:textId="77777777" w:rsidR="0050622F" w:rsidRPr="00D436BB" w:rsidRDefault="0050622F">
            <w:pPr>
              <w:spacing w:after="0" w:line="276" w:lineRule="auto"/>
              <w:ind w:firstLine="900"/>
              <w:jc w:val="both"/>
              <w:rPr>
                <w:rFonts w:ascii="GHEA Grapalat" w:eastAsia="Times New Roman" w:hAnsi="GHEA Grapalat" w:cs="Times New Roman"/>
                <w:sz w:val="24"/>
                <w:szCs w:val="24"/>
              </w:rPr>
            </w:pPr>
          </w:p>
          <w:p w14:paraId="0000010A" w14:textId="77777777" w:rsidR="0050622F" w:rsidRPr="00D436BB" w:rsidRDefault="0050622F">
            <w:pPr>
              <w:shd w:val="clear" w:color="auto" w:fill="FFFFFF"/>
              <w:spacing w:after="0" w:line="276" w:lineRule="auto"/>
              <w:ind w:left="116" w:right="133" w:firstLine="259"/>
              <w:jc w:val="both"/>
              <w:rPr>
                <w:rFonts w:ascii="GHEA Grapalat" w:eastAsia="Times New Roman" w:hAnsi="GHEA Grapalat" w:cs="Times New Roman"/>
                <w:sz w:val="24"/>
                <w:szCs w:val="24"/>
              </w:rPr>
            </w:pPr>
          </w:p>
        </w:tc>
        <w:tc>
          <w:tcPr>
            <w:tcW w:w="135" w:type="dxa"/>
            <w:tcBorders>
              <w:top w:val="single" w:sz="6" w:space="0" w:color="000000"/>
              <w:left w:val="single" w:sz="6" w:space="0" w:color="000000"/>
              <w:bottom w:val="single" w:sz="6" w:space="0" w:color="000000"/>
              <w:right w:val="nil"/>
            </w:tcBorders>
            <w:shd w:val="clear" w:color="auto" w:fill="FFFFFF"/>
          </w:tcPr>
          <w:p w14:paraId="0000010B" w14:textId="77777777" w:rsidR="0050622F" w:rsidRPr="00D436BB" w:rsidRDefault="0050622F">
            <w:pPr>
              <w:spacing w:after="0" w:line="276" w:lineRule="auto"/>
              <w:jc w:val="center"/>
              <w:rPr>
                <w:rFonts w:ascii="GHEA Grapalat" w:eastAsia="Times New Roman" w:hAnsi="GHEA Grapalat" w:cs="Times New Roman"/>
                <w:sz w:val="24"/>
                <w:szCs w:val="24"/>
              </w:rPr>
            </w:pPr>
          </w:p>
        </w:tc>
        <w:tc>
          <w:tcPr>
            <w:tcW w:w="4845" w:type="dxa"/>
            <w:tcBorders>
              <w:top w:val="single" w:sz="6" w:space="0" w:color="000000"/>
              <w:left w:val="nil"/>
              <w:bottom w:val="single" w:sz="6" w:space="0" w:color="000000"/>
              <w:right w:val="single" w:sz="6" w:space="0" w:color="000000"/>
            </w:tcBorders>
            <w:shd w:val="clear" w:color="auto" w:fill="FFFFFF"/>
          </w:tcPr>
          <w:p w14:paraId="0000010C"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10D"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10E"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10F"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110" w14:textId="77777777" w:rsidR="0050622F" w:rsidRPr="00D436BB" w:rsidRDefault="0050622F">
            <w:pPr>
              <w:spacing w:after="0" w:line="276" w:lineRule="auto"/>
              <w:jc w:val="center"/>
              <w:rPr>
                <w:rFonts w:ascii="GHEA Grapalat" w:eastAsia="Times New Roman" w:hAnsi="GHEA Grapalat" w:cs="Times New Roman"/>
                <w:sz w:val="24"/>
                <w:szCs w:val="24"/>
              </w:rPr>
            </w:pPr>
          </w:p>
        </w:tc>
      </w:tr>
      <w:tr w:rsidR="0050622F" w:rsidRPr="00D436BB" w14:paraId="7DBA4374" w14:textId="77777777">
        <w:trPr>
          <w:trHeight w:val="345"/>
          <w:jc w:val="center"/>
        </w:trPr>
        <w:tc>
          <w:tcPr>
            <w:tcW w:w="9600" w:type="dxa"/>
            <w:vMerge w:val="restart"/>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0000111" w14:textId="77777777" w:rsidR="0050622F" w:rsidRPr="00D436BB" w:rsidRDefault="0050622F">
            <w:pPr>
              <w:numPr>
                <w:ilvl w:val="0"/>
                <w:numId w:val="1"/>
              </w:numPr>
              <w:spacing w:after="0" w:line="276" w:lineRule="auto"/>
              <w:jc w:val="center"/>
              <w:rPr>
                <w:rFonts w:ascii="GHEA Grapalat" w:eastAsia="Times New Roman" w:hAnsi="GHEA Grapalat" w:cs="Times New Roman"/>
                <w:sz w:val="24"/>
                <w:szCs w:val="24"/>
              </w:rPr>
            </w:pPr>
          </w:p>
          <w:p w14:paraId="00000112" w14:textId="77777777" w:rsidR="0050622F" w:rsidRPr="00D436BB" w:rsidRDefault="0050622F">
            <w:pPr>
              <w:spacing w:after="0" w:line="276" w:lineRule="auto"/>
              <w:ind w:left="720"/>
              <w:rPr>
                <w:rFonts w:ascii="GHEA Grapalat" w:eastAsia="Times New Roman" w:hAnsi="GHEA Grapalat" w:cs="Times New Roman"/>
                <w:b/>
                <w:bCs/>
                <w:sz w:val="24"/>
                <w:szCs w:val="24"/>
                <w:highlight w:val="white"/>
              </w:rPr>
            </w:pPr>
          </w:p>
        </w:tc>
        <w:tc>
          <w:tcPr>
            <w:tcW w:w="4980"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0000113" w14:textId="77777777" w:rsidR="0050622F" w:rsidRPr="00D436BB" w:rsidRDefault="0050622F">
            <w:pPr>
              <w:spacing w:after="0" w:line="276" w:lineRule="auto"/>
              <w:jc w:val="center"/>
              <w:rPr>
                <w:rFonts w:ascii="GHEA Grapalat" w:eastAsia="Times New Roman" w:hAnsi="GHEA Grapalat" w:cs="Times New Roman"/>
                <w:b/>
                <w:bCs/>
                <w:sz w:val="24"/>
                <w:szCs w:val="24"/>
              </w:rPr>
            </w:pPr>
          </w:p>
        </w:tc>
      </w:tr>
      <w:tr w:rsidR="0050622F" w:rsidRPr="00D436BB" w14:paraId="6DBAC362" w14:textId="77777777">
        <w:trPr>
          <w:trHeight w:val="155"/>
          <w:jc w:val="center"/>
        </w:trPr>
        <w:tc>
          <w:tcPr>
            <w:tcW w:w="9600" w:type="dxa"/>
            <w:vMerge/>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0000115" w14:textId="77777777" w:rsidR="0050622F" w:rsidRPr="00D436BB" w:rsidRDefault="0050622F">
            <w:pPr>
              <w:widowControl w:val="0"/>
              <w:pBdr>
                <w:top w:val="nil"/>
                <w:left w:val="nil"/>
                <w:bottom w:val="nil"/>
                <w:right w:val="nil"/>
                <w:between w:val="nil"/>
              </w:pBdr>
              <w:spacing w:after="0" w:line="276" w:lineRule="auto"/>
              <w:rPr>
                <w:rFonts w:ascii="GHEA Grapalat" w:eastAsia="Times New Roman" w:hAnsi="GHEA Grapalat" w:cs="Times New Roman"/>
                <w:b/>
                <w:bCs/>
                <w:sz w:val="24"/>
                <w:szCs w:val="24"/>
              </w:rPr>
            </w:pPr>
          </w:p>
        </w:tc>
        <w:tc>
          <w:tcPr>
            <w:tcW w:w="4980"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0000116" w14:textId="77777777" w:rsidR="0050622F" w:rsidRPr="00D436BB" w:rsidRDefault="0050622F">
            <w:pPr>
              <w:spacing w:after="0" w:line="276" w:lineRule="auto"/>
              <w:jc w:val="center"/>
              <w:rPr>
                <w:rFonts w:ascii="GHEA Grapalat" w:eastAsia="Times New Roman" w:hAnsi="GHEA Grapalat" w:cs="Times New Roman"/>
                <w:b/>
                <w:bCs/>
                <w:sz w:val="24"/>
                <w:szCs w:val="24"/>
              </w:rPr>
            </w:pPr>
          </w:p>
          <w:p w14:paraId="00000117" w14:textId="77777777" w:rsidR="0050622F" w:rsidRPr="00D436BB" w:rsidRDefault="0050622F">
            <w:pPr>
              <w:spacing w:after="0" w:line="276" w:lineRule="auto"/>
              <w:jc w:val="center"/>
              <w:rPr>
                <w:rFonts w:ascii="GHEA Grapalat" w:eastAsia="Times New Roman" w:hAnsi="GHEA Grapalat" w:cs="Times New Roman"/>
                <w:b/>
                <w:bCs/>
                <w:sz w:val="24"/>
                <w:szCs w:val="24"/>
              </w:rPr>
            </w:pPr>
          </w:p>
        </w:tc>
      </w:tr>
      <w:tr w:rsidR="0050622F" w:rsidRPr="00D436BB" w14:paraId="30E66563" w14:textId="77777777">
        <w:trPr>
          <w:trHeight w:val="330"/>
          <w:jc w:val="center"/>
        </w:trPr>
        <w:tc>
          <w:tcPr>
            <w:tcW w:w="96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000119" w14:textId="77777777" w:rsidR="0050622F" w:rsidRPr="00D436BB" w:rsidRDefault="0050622F">
            <w:pPr>
              <w:tabs>
                <w:tab w:val="center" w:pos="4844"/>
              </w:tabs>
              <w:spacing w:after="0" w:line="276" w:lineRule="auto"/>
              <w:ind w:firstLine="720"/>
              <w:jc w:val="both"/>
              <w:rPr>
                <w:rFonts w:ascii="GHEA Grapalat" w:eastAsia="Times New Roman" w:hAnsi="GHEA Grapalat" w:cs="Times New Roman"/>
                <w:sz w:val="24"/>
                <w:szCs w:val="24"/>
              </w:rPr>
            </w:pPr>
          </w:p>
        </w:tc>
        <w:tc>
          <w:tcPr>
            <w:tcW w:w="498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0000011A"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11B" w14:textId="77777777" w:rsidR="0050622F" w:rsidRPr="00D436BB" w:rsidRDefault="0050622F">
            <w:pPr>
              <w:spacing w:after="0" w:line="276" w:lineRule="auto"/>
              <w:jc w:val="center"/>
              <w:rPr>
                <w:rFonts w:ascii="GHEA Grapalat" w:eastAsia="Times New Roman" w:hAnsi="GHEA Grapalat" w:cs="Times New Roman"/>
                <w:sz w:val="24"/>
                <w:szCs w:val="24"/>
              </w:rPr>
            </w:pPr>
          </w:p>
          <w:p w14:paraId="0000011C" w14:textId="77777777" w:rsidR="0050622F" w:rsidRPr="00D436BB" w:rsidRDefault="0050622F">
            <w:pPr>
              <w:spacing w:after="0" w:line="276" w:lineRule="auto"/>
              <w:jc w:val="center"/>
              <w:rPr>
                <w:rFonts w:ascii="GHEA Grapalat" w:eastAsia="Times New Roman" w:hAnsi="GHEA Grapalat" w:cs="Times New Roman"/>
                <w:sz w:val="24"/>
                <w:szCs w:val="24"/>
              </w:rPr>
            </w:pPr>
          </w:p>
        </w:tc>
      </w:tr>
    </w:tbl>
    <w:p w14:paraId="0000011E" w14:textId="77777777" w:rsidR="0050622F" w:rsidRPr="00D436BB" w:rsidRDefault="0050622F">
      <w:pPr>
        <w:shd w:val="clear" w:color="auto" w:fill="FFFFFF"/>
        <w:spacing w:after="0" w:line="276" w:lineRule="auto"/>
        <w:ind w:left="-180" w:firstLine="540"/>
        <w:rPr>
          <w:rFonts w:ascii="GHEA Grapalat" w:eastAsia="Times New Roman" w:hAnsi="GHEA Grapalat" w:cs="Times New Roman"/>
          <w:b/>
          <w:bCs/>
          <w:sz w:val="24"/>
          <w:szCs w:val="24"/>
        </w:rPr>
      </w:pPr>
    </w:p>
    <w:sectPr w:rsidR="0050622F" w:rsidRPr="00D436BB">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embedRegular r:id="rId1" w:fontKey="{182569AA-EAAE-4FFF-8C12-AA5A85C444F2}"/>
    <w:embedBold r:id="rId2" w:fontKey="{18D8509D-4D21-4B1F-AF50-2248D2BC0BFB}"/>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99D8E4E-D5D0-4A08-8E45-D1685C92D02E}"/>
  </w:font>
  <w:font w:name="Tahoma">
    <w:panose1 w:val="020B0604030504040204"/>
    <w:charset w:val="00"/>
    <w:family w:val="swiss"/>
    <w:pitch w:val="variable"/>
    <w:sig w:usb0="E1002EFF" w:usb1="C000605B" w:usb2="00000029" w:usb3="00000000" w:csb0="000101FF" w:csb1="00000000"/>
    <w:embedRegular r:id="rId4" w:fontKey="{6539166C-AE49-4311-9A12-30A7C93BB01C}"/>
    <w:embedBold r:id="rId5" w:fontKey="{80EF3AB6-60C8-484D-8B29-AFC74CE8373D}"/>
    <w:embedBoldItalic r:id="rId6" w:fontKey="{59835187-9446-4803-B89A-781B9BC392D1}"/>
  </w:font>
  <w:font w:name="Cambria Math">
    <w:panose1 w:val="02040503050406030204"/>
    <w:charset w:val="00"/>
    <w:family w:val="roman"/>
    <w:pitch w:val="variable"/>
    <w:sig w:usb0="E00006FF" w:usb1="420024FF" w:usb2="02000000" w:usb3="00000000" w:csb0="0000019F" w:csb1="00000000"/>
    <w:embedRegular r:id="rId7" w:fontKey="{F48A3B11-8256-41C5-A45F-E7366E05853F}"/>
  </w:font>
  <w:font w:name="Calibri Light">
    <w:panose1 w:val="020F0302020204030204"/>
    <w:charset w:val="00"/>
    <w:family w:val="swiss"/>
    <w:pitch w:val="variable"/>
    <w:sig w:usb0="E4002EFF" w:usb1="C200247B" w:usb2="00000009" w:usb3="00000000" w:csb0="000001FF" w:csb1="00000000"/>
    <w:embedRegular r:id="rId8" w:fontKey="{9B1F7E00-D0F0-4F27-AAC9-B41A22A58D5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E1FFC"/>
    <w:multiLevelType w:val="multilevel"/>
    <w:tmpl w:val="954E4888"/>
    <w:lvl w:ilvl="0">
      <w:start w:val="1"/>
      <w:numFmt w:val="decimal"/>
      <w:lvlText w:val="%1."/>
      <w:lvlJc w:val="left"/>
      <w:pPr>
        <w:ind w:left="720" w:hanging="360"/>
      </w:pPr>
      <w:rPr>
        <w:rFonts w:ascii="GHEA Grapalat" w:eastAsia="GHEA Grapalat" w:hAnsi="GHEA Grapalat" w:cs="GHEA Grapalat"/>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22F"/>
    <w:rsid w:val="000D249C"/>
    <w:rsid w:val="00414B22"/>
    <w:rsid w:val="0050622F"/>
    <w:rsid w:val="00BB0352"/>
    <w:rsid w:val="00D436B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921F"/>
  <w15:docId w15:val="{48FC8A93-CC77-4553-B23C-FD74C74E3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hy-AM"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List Paragraph"/>
    <w:aliases w:val="Akapit z listą BS,List Paragraph 1,List_Paragraph,Multilevel para_II,List Paragraph (numbered (a)),OBC Bullet,List Paragraph11,Normal numbered,List Paragraph1,List Paragraph-ExecSummary,Paragraphe de liste PBLH,Bullets,List Paragra,lp1"/>
    <w:basedOn w:val="a"/>
    <w:link w:val="a5"/>
    <w:uiPriority w:val="34"/>
    <w:qFormat/>
    <w:rsid w:val="00914507"/>
    <w:pPr>
      <w:ind w:left="720"/>
      <w:contextualSpacing/>
    </w:pPr>
  </w:style>
  <w:style w:type="paragraph" w:styleId="a6">
    <w:name w:val="footnote text"/>
    <w:basedOn w:val="a"/>
    <w:link w:val="a7"/>
    <w:uiPriority w:val="99"/>
    <w:semiHidden/>
    <w:unhideWhenUsed/>
    <w:rsid w:val="00914507"/>
    <w:pPr>
      <w:spacing w:after="0" w:line="240" w:lineRule="auto"/>
    </w:pPr>
    <w:rPr>
      <w:sz w:val="20"/>
      <w:szCs w:val="20"/>
    </w:rPr>
  </w:style>
  <w:style w:type="character" w:customStyle="1" w:styleId="a7">
    <w:name w:val="Текст сноски Знак"/>
    <w:basedOn w:val="a0"/>
    <w:link w:val="a6"/>
    <w:uiPriority w:val="99"/>
    <w:semiHidden/>
    <w:rsid w:val="00914507"/>
    <w:rPr>
      <w:sz w:val="20"/>
      <w:szCs w:val="20"/>
    </w:rPr>
  </w:style>
  <w:style w:type="character" w:styleId="a8">
    <w:name w:val="footnote reference"/>
    <w:basedOn w:val="a0"/>
    <w:uiPriority w:val="99"/>
    <w:semiHidden/>
    <w:unhideWhenUsed/>
    <w:rsid w:val="00914507"/>
    <w:rPr>
      <w:vertAlign w:val="superscript"/>
    </w:rPr>
  </w:style>
  <w:style w:type="character" w:customStyle="1" w:styleId="a9">
    <w:name w:val="Основной текст_"/>
    <w:basedOn w:val="a0"/>
    <w:link w:val="10"/>
    <w:rsid w:val="00A60432"/>
    <w:rPr>
      <w:rFonts w:ascii="Arial" w:eastAsia="Arial" w:hAnsi="Arial" w:cs="Arial"/>
      <w:color w:val="323439"/>
    </w:rPr>
  </w:style>
  <w:style w:type="paragraph" w:customStyle="1" w:styleId="10">
    <w:name w:val="Основной текст1"/>
    <w:basedOn w:val="a"/>
    <w:link w:val="a9"/>
    <w:rsid w:val="00A60432"/>
    <w:pPr>
      <w:widowControl w:val="0"/>
      <w:spacing w:after="0" w:line="324" w:lineRule="auto"/>
      <w:ind w:firstLine="400"/>
    </w:pPr>
    <w:rPr>
      <w:rFonts w:ascii="Arial" w:eastAsia="Arial" w:hAnsi="Arial" w:cs="Arial"/>
      <w:color w:val="323439"/>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a"/>
    <w:link w:val="ab"/>
    <w:uiPriority w:val="99"/>
    <w:unhideWhenUsed/>
    <w:qFormat/>
    <w:rsid w:val="00A6043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Placeholder Text"/>
    <w:basedOn w:val="a0"/>
    <w:uiPriority w:val="99"/>
    <w:semiHidden/>
    <w:rsid w:val="00F11CD9"/>
    <w:rPr>
      <w:color w:val="808080"/>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List Paragraph-ExecSummary Знак"/>
    <w:link w:val="a4"/>
    <w:uiPriority w:val="34"/>
    <w:locked/>
    <w:rsid w:val="005A5A84"/>
  </w:style>
  <w:style w:type="character" w:styleId="ad">
    <w:name w:val="Strong"/>
    <w:basedOn w:val="a0"/>
    <w:uiPriority w:val="22"/>
    <w:qFormat/>
    <w:rsid w:val="00BA4A8F"/>
    <w:rPr>
      <w:b/>
      <w:bCs/>
    </w:rPr>
  </w:style>
  <w:style w:type="character" w:customStyle="1" w:styleId="ab">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ebb Знак"/>
    <w:link w:val="aa"/>
    <w:uiPriority w:val="99"/>
    <w:locked/>
    <w:rsid w:val="00BA4A8F"/>
    <w:rPr>
      <w:rFonts w:ascii="Times New Roman" w:eastAsia="Times New Roman" w:hAnsi="Times New Roman" w:cs="Times New Roman"/>
      <w:sz w:val="24"/>
      <w:szCs w:val="24"/>
    </w:rPr>
  </w:style>
  <w:style w:type="character" w:styleId="ae">
    <w:name w:val="Hyperlink"/>
    <w:basedOn w:val="a0"/>
    <w:uiPriority w:val="99"/>
    <w:unhideWhenUsed/>
    <w:rsid w:val="00E16451"/>
    <w:rPr>
      <w:color w:val="0563C1" w:themeColor="hyperlink"/>
      <w:u w:val="single"/>
    </w:rPr>
  </w:style>
  <w:style w:type="character" w:styleId="af">
    <w:name w:val="Emphasis"/>
    <w:qFormat/>
    <w:rsid w:val="000A094B"/>
    <w:rPr>
      <w:i/>
      <w:iCs/>
    </w:rPr>
  </w:style>
  <w:style w:type="character" w:styleId="af0">
    <w:name w:val="FollowedHyperlink"/>
    <w:basedOn w:val="a0"/>
    <w:uiPriority w:val="99"/>
    <w:semiHidden/>
    <w:unhideWhenUsed/>
    <w:rsid w:val="00475A2F"/>
    <w:rPr>
      <w:color w:val="954F72" w:themeColor="followedHyperlink"/>
      <w:u w:val="single"/>
    </w:rPr>
  </w:style>
  <w:style w:type="paragraph" w:styleId="af1">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2">
    <w:basedOn w:val="a1"/>
    <w:tblPr>
      <w:tblStyleRowBandSize w:val="1"/>
      <w:tblStyleColBandSize w:val="1"/>
      <w:tblCellMar>
        <w:left w:w="0" w:type="dxa"/>
        <w:right w:w="0" w:type="dxa"/>
      </w:tblCellMar>
    </w:tblPr>
  </w:style>
  <w:style w:type="paragraph" w:styleId="af3">
    <w:name w:val="annotation text"/>
    <w:basedOn w:val="a"/>
    <w:link w:val="af4"/>
    <w:uiPriority w:val="99"/>
    <w:semiHidden/>
    <w:unhideWhenUsed/>
    <w:pPr>
      <w:spacing w:line="240" w:lineRule="auto"/>
    </w:pPr>
    <w:rPr>
      <w:sz w:val="20"/>
      <w:szCs w:val="20"/>
    </w:rPr>
  </w:style>
  <w:style w:type="character" w:customStyle="1" w:styleId="af4">
    <w:name w:val="Текст примечания Знак"/>
    <w:basedOn w:val="a0"/>
    <w:link w:val="af3"/>
    <w:uiPriority w:val="99"/>
    <w:semiHidden/>
    <w:rPr>
      <w:sz w:val="20"/>
      <w:szCs w:val="20"/>
    </w:rPr>
  </w:style>
  <w:style w:type="character" w:styleId="af5">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thVxS4vYwBh2wSZG4y5qk66Ecw==">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2686</Words>
  <Characters>15315</Characters>
  <Application>Microsoft Office Word</Application>
  <DocSecurity>0</DocSecurity>
  <Lines>127</Lines>
  <Paragraphs>35</Paragraphs>
  <ScaleCrop>false</ScaleCrop>
  <Company/>
  <LinksUpToDate>false</LinksUpToDate>
  <CharactersWithSpaces>17966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Tatoyan</dc:creator>
  <cp:lastModifiedBy>Samvel Tashchyan</cp:lastModifiedBy>
  <cp:revision>2</cp:revision>
  <dcterms:created xsi:type="dcterms:W3CDTF">2025-12-24T20:29:00Z</dcterms:created>
  <dcterms:modified xsi:type="dcterms:W3CDTF">2025-12-24T20:29:00Z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d2b7b98da51ed55d70b71c7b638eaa56a1a9ddf1b471830285df45807c13aaa8</vt:lpwstr>
  </property>
</Properties>
</file>