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F3312" w:rsidRPr="00BF3312" w:rsidRDefault="005A3863" w:rsidP="00BF3312">
      <w:pPr>
        <w:shd w:val="clear" w:color="auto" w:fill="FFFFFF"/>
        <w:jc w:val="center"/>
        <w:rPr>
          <w:rFonts w:ascii="GHEA Mariam" w:eastAsia="GHEA Grapalat" w:hAnsi="GHEA Mariam" w:cs="GHEA Grapalat"/>
          <w:color w:val="000000"/>
          <w:sz w:val="24"/>
          <w:szCs w:val="24"/>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N </w:t>
      </w:r>
      <w:r w:rsidR="00296E5B">
        <w:rPr>
          <w:rFonts w:ascii="GHEA Mariam" w:hAnsi="GHEA Mariam"/>
          <w:sz w:val="24"/>
          <w:szCs w:val="24"/>
          <w:lang w:val="hy-AM"/>
        </w:rPr>
        <w:t xml:space="preserve">           </w:t>
      </w:r>
      <w:r w:rsidR="00BF3312" w:rsidRPr="00BF3312">
        <w:rPr>
          <w:rFonts w:ascii="GHEA Mariam" w:eastAsia="GHEA Grapalat" w:hAnsi="GHEA Mariam" w:cs="GHEA Grapalat"/>
          <w:color w:val="000000"/>
          <w:sz w:val="24"/>
          <w:szCs w:val="24"/>
        </w:rPr>
        <w:t>-</w:t>
      </w:r>
      <w:r w:rsidR="00BF3312">
        <w:rPr>
          <w:rFonts w:ascii="GHEA Mariam" w:eastAsia="GHEA Grapalat" w:hAnsi="GHEA Mariam" w:cs="GHEA Grapalat"/>
          <w:color w:val="000000"/>
          <w:sz w:val="24"/>
          <w:szCs w:val="24"/>
          <w:lang w:val="hy-AM"/>
        </w:rPr>
        <w:t xml:space="preserve"> </w:t>
      </w:r>
      <w:r w:rsidR="00BF3312" w:rsidRPr="00BF3312">
        <w:rPr>
          <w:rFonts w:ascii="GHEA Mariam" w:eastAsia="GHEA Grapalat" w:hAnsi="GHEA Mariam" w:cs="GHEA Grapalat"/>
          <w:color w:val="000000"/>
          <w:sz w:val="24"/>
          <w:szCs w:val="24"/>
        </w:rPr>
        <w:t>Լ</w:t>
      </w:r>
    </w:p>
    <w:p w:rsidR="00BF3312" w:rsidRPr="00BF3312" w:rsidRDefault="00BF3312" w:rsidP="00BF3312">
      <w:pPr>
        <w:shd w:val="clear" w:color="auto" w:fill="FFFFFF"/>
        <w:jc w:val="center"/>
        <w:rPr>
          <w:rFonts w:ascii="GHEA Mariam" w:eastAsia="GHEA Grapalat" w:hAnsi="GHEA Mariam" w:cs="GHEA Grapalat"/>
          <w:color w:val="000000"/>
          <w:sz w:val="24"/>
          <w:szCs w:val="24"/>
        </w:rPr>
      </w:pPr>
      <w:r w:rsidRPr="00BF3312">
        <w:rPr>
          <w:rFonts w:ascii="Calibri" w:eastAsia="Calibri" w:hAnsi="Calibri" w:cs="Calibri"/>
          <w:color w:val="000000"/>
          <w:sz w:val="24"/>
          <w:szCs w:val="24"/>
        </w:rPr>
        <w:t> </w:t>
      </w:r>
    </w:p>
    <w:p w:rsidR="00BF3312" w:rsidRDefault="00BF3312" w:rsidP="00BF3312">
      <w:pPr>
        <w:shd w:val="clear" w:color="auto" w:fill="FFFFFF"/>
        <w:ind w:firstLine="375"/>
        <w:jc w:val="center"/>
        <w:rPr>
          <w:rFonts w:ascii="GHEA Mariam" w:eastAsia="GHEA Grapalat" w:hAnsi="GHEA Mariam" w:cs="GHEA Grapalat"/>
          <w:b/>
          <w:color w:val="000000"/>
          <w:sz w:val="24"/>
          <w:szCs w:val="24"/>
        </w:rPr>
      </w:pPr>
    </w:p>
    <w:p w:rsidR="00BF3312" w:rsidRDefault="00BF3312" w:rsidP="00BF3312">
      <w:pPr>
        <w:shd w:val="clear" w:color="auto" w:fill="FFFFFF"/>
        <w:jc w:val="center"/>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t xml:space="preserve">ՀԱՅԱՍՏԱՆԻ ՀԱՆՐԱՊԵՏՈՒԹՅԱՆ ԿԱՌԱՎԱՐՈՒԹՅԱՆ 2021 ԹՎԱԿԱՆԻ </w:t>
      </w:r>
      <w:r w:rsidRPr="00BF3312">
        <w:rPr>
          <w:rFonts w:ascii="GHEA Mariam" w:eastAsia="GHEA Grapalat" w:hAnsi="GHEA Mariam" w:cs="GHEA Grapalat"/>
          <w:color w:val="000000"/>
          <w:spacing w:val="-2"/>
          <w:sz w:val="24"/>
          <w:szCs w:val="24"/>
        </w:rPr>
        <w:t>ՓԵՏՐՎԱՐԻ 25-Ի N 252-Լ ՈՐՈՇՄԱՆ ՄԵՋ ՓՈՓՈԽՈՒԹՅՈՒՆ ԵՎ ԼՐԱՑՈՒՄ</w:t>
      </w:r>
      <w:r w:rsidRPr="00BF3312">
        <w:rPr>
          <w:rFonts w:ascii="GHEA Mariam" w:eastAsia="GHEA Grapalat" w:hAnsi="GHEA Mariam" w:cs="GHEA Grapalat"/>
          <w:color w:val="000000"/>
          <w:sz w:val="24"/>
          <w:szCs w:val="24"/>
        </w:rPr>
        <w:t xml:space="preserve"> ԿԱՏԱՐԵԼՈՒ ՄԱՍԻՆ</w:t>
      </w:r>
    </w:p>
    <w:p w:rsidR="00BF3312" w:rsidRPr="00BF3312" w:rsidRDefault="00BF3312" w:rsidP="00BF3312">
      <w:pPr>
        <w:shd w:val="clear" w:color="auto" w:fill="FFFFFF"/>
        <w:jc w:val="center"/>
        <w:rPr>
          <w:rFonts w:ascii="GHEA Mariam" w:eastAsia="GHEA Grapalat" w:hAnsi="GHEA Mariam" w:cs="GHEA Grapalat"/>
          <w:color w:val="000000"/>
          <w:sz w:val="24"/>
          <w:szCs w:val="24"/>
          <w:lang w:val="hy-AM"/>
        </w:rPr>
      </w:pPr>
      <w:r>
        <w:rPr>
          <w:rFonts w:ascii="GHEA Mariam" w:eastAsia="GHEA Grapalat" w:hAnsi="GHEA Mariam" w:cs="GHEA Grapalat"/>
          <w:color w:val="000000"/>
          <w:sz w:val="24"/>
          <w:szCs w:val="24"/>
          <w:lang w:val="hy-AM"/>
        </w:rPr>
        <w:t>----------------------------------------------------------------------------------------------------------</w:t>
      </w:r>
    </w:p>
    <w:p w:rsidR="00BF3312" w:rsidRPr="00BF3312" w:rsidRDefault="00BF3312" w:rsidP="00BF3312">
      <w:pPr>
        <w:shd w:val="clear" w:color="auto" w:fill="FFFFFF"/>
        <w:ind w:firstLine="375"/>
        <w:jc w:val="center"/>
        <w:rPr>
          <w:rFonts w:ascii="GHEA Mariam" w:eastAsia="GHEA Grapalat" w:hAnsi="GHEA Mariam" w:cs="GHEA Grapalat"/>
          <w:color w:val="000000"/>
          <w:sz w:val="24"/>
          <w:szCs w:val="24"/>
        </w:rPr>
      </w:pPr>
    </w:p>
    <w:p w:rsidR="00BF3312" w:rsidRPr="00BF3312" w:rsidRDefault="00BF3312" w:rsidP="00BF3312">
      <w:pPr>
        <w:shd w:val="clear" w:color="auto" w:fill="FFFFFF"/>
        <w:ind w:firstLine="375"/>
        <w:rPr>
          <w:rFonts w:ascii="GHEA Mariam" w:eastAsia="GHEA Grapalat" w:hAnsi="GHEA Mariam" w:cs="GHEA Grapalat"/>
          <w:color w:val="000000"/>
          <w:sz w:val="24"/>
          <w:szCs w:val="24"/>
        </w:rPr>
      </w:pPr>
    </w:p>
    <w:p w:rsidR="00BF3312" w:rsidRPr="00471C0F" w:rsidRDefault="00BF3312" w:rsidP="00471C0F">
      <w:pPr>
        <w:shd w:val="clear" w:color="auto" w:fill="FFFFFF"/>
        <w:spacing w:before="240" w:line="360" w:lineRule="auto"/>
        <w:ind w:firstLine="720"/>
        <w:contextualSpacing/>
        <w:jc w:val="both"/>
        <w:rPr>
          <w:rFonts w:ascii="GHEA Mariam" w:eastAsia="GHEA Grapalat" w:hAnsi="GHEA Mariam" w:cs="GHEA Grapalat"/>
          <w:color w:val="000000"/>
          <w:sz w:val="24"/>
          <w:szCs w:val="24"/>
        </w:rPr>
      </w:pPr>
      <w:r w:rsidRPr="00471C0F">
        <w:rPr>
          <w:rFonts w:ascii="GHEA Mariam" w:eastAsia="GHEA Grapalat" w:hAnsi="GHEA Mariam" w:cs="GHEA Grapalat"/>
          <w:color w:val="000000"/>
          <w:spacing w:val="-4"/>
          <w:sz w:val="24"/>
          <w:szCs w:val="24"/>
        </w:rPr>
        <w:t>Հիմք ընդունելով «Կառավարության կառուցվածքի և գործունեության մասին</w:t>
      </w:r>
      <w:r w:rsidRPr="00BF3312">
        <w:rPr>
          <w:rFonts w:ascii="GHEA Mariam" w:eastAsia="GHEA Grapalat" w:hAnsi="GHEA Mariam" w:cs="GHEA Grapalat"/>
          <w:color w:val="000000"/>
          <w:sz w:val="24"/>
          <w:szCs w:val="24"/>
        </w:rPr>
        <w:t>» օրենքի 12-րդ հոդվածի 1-ին և 2-րդ մասերը և «Նորմատիվ իրավական ակտերի մասին» օրենքի 33-րդ և 34-րդ հոդվածները՝ Հայաստանի Հանրապետության կառավարությունը</w:t>
      </w:r>
      <w:r w:rsidRPr="00BF3312">
        <w:rPr>
          <w:rFonts w:ascii="Calibri" w:eastAsia="Calibri" w:hAnsi="Calibri" w:cs="Calibri"/>
          <w:color w:val="000000"/>
          <w:sz w:val="24"/>
          <w:szCs w:val="24"/>
        </w:rPr>
        <w:t> </w:t>
      </w:r>
      <w:r w:rsidR="00471C0F">
        <w:rPr>
          <w:rFonts w:ascii="Calibri" w:eastAsia="Calibri" w:hAnsi="Calibri" w:cs="Calibri"/>
          <w:color w:val="000000"/>
          <w:sz w:val="24"/>
          <w:szCs w:val="24"/>
          <w:lang w:val="hy-AM"/>
        </w:rPr>
        <w:t xml:space="preserve">   </w:t>
      </w:r>
      <w:r w:rsidRPr="00471C0F">
        <w:rPr>
          <w:rFonts w:ascii="GHEA Mariam" w:eastAsia="GHEA Grapalat" w:hAnsi="GHEA Mariam" w:cs="GHEA Grapalat"/>
          <w:color w:val="000000"/>
          <w:sz w:val="24"/>
          <w:szCs w:val="24"/>
        </w:rPr>
        <w:t>ո</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ր</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ո</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շ</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ու</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մ</w:t>
      </w:r>
      <w:r w:rsidR="00471C0F">
        <w:rPr>
          <w:rFonts w:ascii="GHEA Mariam" w:eastAsia="GHEA Grapalat" w:hAnsi="GHEA Mariam" w:cs="GHEA Grapalat"/>
          <w:color w:val="000000"/>
          <w:sz w:val="24"/>
          <w:szCs w:val="24"/>
          <w:lang w:val="hy-AM"/>
        </w:rPr>
        <w:t xml:space="preserve">   </w:t>
      </w:r>
      <w:r w:rsidRPr="00471C0F">
        <w:rPr>
          <w:rFonts w:ascii="GHEA Mariam" w:eastAsia="GHEA Grapalat" w:hAnsi="GHEA Mariam" w:cs="GHEA Grapalat"/>
          <w:color w:val="000000"/>
          <w:sz w:val="24"/>
          <w:szCs w:val="24"/>
        </w:rPr>
        <w:t xml:space="preserve"> է.</w:t>
      </w:r>
    </w:p>
    <w:p w:rsidR="00BF3312" w:rsidRPr="00BF3312" w:rsidRDefault="00BF3312" w:rsidP="00471C0F">
      <w:pPr>
        <w:numPr>
          <w:ilvl w:val="0"/>
          <w:numId w:val="1"/>
        </w:numPr>
        <w:pBdr>
          <w:top w:val="nil"/>
          <w:left w:val="nil"/>
          <w:bottom w:val="nil"/>
          <w:right w:val="nil"/>
          <w:between w:val="nil"/>
        </w:pBdr>
        <w:shd w:val="clear" w:color="auto" w:fill="FFFFFF"/>
        <w:tabs>
          <w:tab w:val="left" w:pos="900"/>
        </w:tabs>
        <w:spacing w:before="240" w:line="360" w:lineRule="auto"/>
        <w:ind w:left="0" w:firstLine="720"/>
        <w:contextualSpacing/>
        <w:jc w:val="both"/>
        <w:rPr>
          <w:rFonts w:ascii="GHEA Mariam" w:eastAsia="GHEA Grapalat" w:hAnsi="GHEA Mariam" w:cs="GHEA Grapalat"/>
          <w:color w:val="000000"/>
          <w:sz w:val="24"/>
          <w:szCs w:val="24"/>
        </w:rPr>
      </w:pPr>
      <w:r w:rsidRPr="005A25EE">
        <w:rPr>
          <w:rFonts w:ascii="GHEA Mariam" w:eastAsia="GHEA Grapalat" w:hAnsi="GHEA Mariam" w:cs="GHEA Grapalat"/>
          <w:color w:val="000000"/>
          <w:spacing w:val="-8"/>
          <w:sz w:val="24"/>
          <w:szCs w:val="24"/>
        </w:rPr>
        <w:t>Հայաստանի Հանրապետության կառավարության 2021 թվականի փետրվարի</w:t>
      </w:r>
      <w:r w:rsidRPr="00BF3312">
        <w:rPr>
          <w:rFonts w:ascii="GHEA Mariam" w:eastAsia="GHEA Grapalat" w:hAnsi="GHEA Mariam" w:cs="GHEA Grapalat"/>
          <w:color w:val="000000"/>
          <w:sz w:val="24"/>
          <w:szCs w:val="24"/>
        </w:rPr>
        <w:t xml:space="preserve"> 25-ի «Կառավարության աշխատակարգը հաստատելու մասին» N 252-Լ որոշման հավելվածում կատարել հետևյալ փոփոխությունը և լրացումը</w:t>
      </w:r>
      <w:r w:rsidRPr="00BF3312">
        <w:rPr>
          <w:rFonts w:ascii="GHEA Mariam" w:eastAsia="MS Gothic" w:hAnsi="GHEA Mariam" w:cs="MS Gothic"/>
          <w:color w:val="000000"/>
          <w:sz w:val="24"/>
          <w:szCs w:val="24"/>
        </w:rPr>
        <w:t>.</w:t>
      </w:r>
      <w:r w:rsidRPr="00BF3312">
        <w:rPr>
          <w:rFonts w:ascii="GHEA Mariam" w:eastAsia="GHEA Grapalat" w:hAnsi="GHEA Mariam" w:cs="GHEA Grapalat"/>
          <w:color w:val="000000"/>
          <w:sz w:val="24"/>
          <w:szCs w:val="24"/>
        </w:rPr>
        <w:t xml:space="preserve"> </w:t>
      </w:r>
    </w:p>
    <w:p w:rsidR="00BF3312" w:rsidRPr="00BF3312" w:rsidRDefault="00BF3312" w:rsidP="005A25EE">
      <w:pPr>
        <w:numPr>
          <w:ilvl w:val="1"/>
          <w:numId w:val="1"/>
        </w:numPr>
        <w:pBdr>
          <w:top w:val="nil"/>
          <w:left w:val="nil"/>
          <w:bottom w:val="nil"/>
          <w:right w:val="nil"/>
          <w:between w:val="nil"/>
        </w:pBdr>
        <w:shd w:val="clear" w:color="auto" w:fill="FFFFFF"/>
        <w:tabs>
          <w:tab w:val="left" w:pos="990"/>
        </w:tabs>
        <w:spacing w:before="240" w:line="360" w:lineRule="auto"/>
        <w:ind w:left="0" w:firstLine="720"/>
        <w:contextualSpacing/>
        <w:jc w:val="both"/>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t>152-րդ կետի 1-ին ենթակետը շարադրել հետևյալ խմբագրությամբ</w:t>
      </w:r>
      <w:r w:rsidR="005A25EE">
        <w:rPr>
          <w:rFonts w:ascii="GHEA Mariam" w:eastAsia="GHEA Grapalat" w:hAnsi="GHEA Mariam" w:cs="GHEA Grapalat"/>
          <w:color w:val="000000"/>
          <w:sz w:val="24"/>
          <w:szCs w:val="24"/>
          <w:lang w:val="hy-AM"/>
        </w:rPr>
        <w:t>՝</w:t>
      </w:r>
    </w:p>
    <w:p w:rsidR="00BF3312" w:rsidRPr="00BF3312" w:rsidRDefault="00BF3312" w:rsidP="00471C0F">
      <w:pPr>
        <w:pBdr>
          <w:top w:val="nil"/>
          <w:left w:val="nil"/>
          <w:bottom w:val="nil"/>
          <w:right w:val="nil"/>
          <w:between w:val="nil"/>
        </w:pBdr>
        <w:shd w:val="clear" w:color="auto" w:fill="FFFFFF"/>
        <w:spacing w:before="240" w:line="360" w:lineRule="auto"/>
        <w:ind w:firstLine="720"/>
        <w:contextualSpacing/>
        <w:jc w:val="both"/>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t>«1) աստիճանակարգության վերևում դոկտրինն է՝ իր ազդեցության ցուցա</w:t>
      </w:r>
      <w:r w:rsidR="005A25EE">
        <w:rPr>
          <w:rFonts w:ascii="GHEA Mariam" w:eastAsia="GHEA Grapalat" w:hAnsi="GHEA Mariam" w:cs="GHEA Grapalat"/>
          <w:color w:val="000000"/>
          <w:sz w:val="24"/>
          <w:szCs w:val="24"/>
        </w:rPr>
        <w:softHyphen/>
      </w:r>
      <w:r w:rsidRPr="00BF3312">
        <w:rPr>
          <w:rFonts w:ascii="GHEA Mariam" w:eastAsia="GHEA Grapalat" w:hAnsi="GHEA Mariam" w:cs="GHEA Grapalat"/>
          <w:color w:val="000000"/>
          <w:sz w:val="24"/>
          <w:szCs w:val="24"/>
        </w:rPr>
        <w:t>նիշներով։ Այն սահմանում է զարգացման երկարաժամկետ տեսլականը</w:t>
      </w:r>
      <w:r w:rsidRPr="00BF3312">
        <w:rPr>
          <w:rFonts w:ascii="Cambria Math" w:eastAsia="GHEA Grapalat" w:hAnsi="Cambria Math" w:cs="Cambria Math"/>
          <w:color w:val="000000"/>
          <w:sz w:val="24"/>
          <w:szCs w:val="24"/>
        </w:rPr>
        <w:t>․</w:t>
      </w:r>
      <w:r w:rsidRPr="00BF3312">
        <w:rPr>
          <w:rFonts w:ascii="GHEA Mariam" w:eastAsia="GHEA Grapalat" w:hAnsi="GHEA Mariam" w:cs="GHEA Grapalat"/>
          <w:color w:val="000000"/>
          <w:sz w:val="24"/>
          <w:szCs w:val="24"/>
        </w:rPr>
        <w:t>»</w:t>
      </w:r>
      <w:r w:rsidR="003D7BE1">
        <w:rPr>
          <w:rFonts w:ascii="GHEA Mariam" w:eastAsia="GHEA Grapalat" w:hAnsi="GHEA Mariam" w:cs="GHEA Grapalat"/>
          <w:color w:val="000000"/>
          <w:sz w:val="24"/>
          <w:szCs w:val="24"/>
          <w:lang w:val="hy-AM"/>
        </w:rPr>
        <w:t>.</w:t>
      </w:r>
      <w:bookmarkStart w:id="0" w:name="_GoBack"/>
      <w:bookmarkEnd w:id="0"/>
      <w:r w:rsidRPr="00BF3312">
        <w:rPr>
          <w:rFonts w:ascii="GHEA Mariam" w:eastAsia="GHEA Grapalat" w:hAnsi="GHEA Mariam" w:cs="GHEA Grapalat"/>
          <w:color w:val="000000"/>
          <w:sz w:val="24"/>
          <w:szCs w:val="24"/>
        </w:rPr>
        <w:t xml:space="preserve"> </w:t>
      </w:r>
    </w:p>
    <w:p w:rsidR="00BF3312" w:rsidRPr="00BF3312" w:rsidRDefault="00BF3312" w:rsidP="005A25EE">
      <w:pPr>
        <w:numPr>
          <w:ilvl w:val="1"/>
          <w:numId w:val="1"/>
        </w:numPr>
        <w:pBdr>
          <w:top w:val="nil"/>
          <w:left w:val="nil"/>
          <w:bottom w:val="nil"/>
          <w:right w:val="nil"/>
          <w:between w:val="nil"/>
        </w:pBdr>
        <w:shd w:val="clear" w:color="auto" w:fill="FFFFFF"/>
        <w:tabs>
          <w:tab w:val="left" w:pos="1080"/>
        </w:tabs>
        <w:spacing w:before="240" w:line="360" w:lineRule="auto"/>
        <w:ind w:left="0" w:firstLine="720"/>
        <w:contextualSpacing/>
        <w:jc w:val="both"/>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t>152-րդ կետի 1-ին ենթակետից հետո լրացնել հետևյալ բովանդա</w:t>
      </w:r>
      <w:r w:rsidR="00D233C1">
        <w:rPr>
          <w:rFonts w:ascii="GHEA Mariam" w:eastAsia="GHEA Grapalat" w:hAnsi="GHEA Mariam" w:cs="GHEA Grapalat"/>
          <w:color w:val="000000"/>
          <w:sz w:val="24"/>
          <w:szCs w:val="24"/>
        </w:rPr>
        <w:softHyphen/>
      </w:r>
      <w:r w:rsidRPr="00BF3312">
        <w:rPr>
          <w:rFonts w:ascii="GHEA Mariam" w:eastAsia="GHEA Grapalat" w:hAnsi="GHEA Mariam" w:cs="GHEA Grapalat"/>
          <w:color w:val="000000"/>
          <w:sz w:val="24"/>
          <w:szCs w:val="24"/>
        </w:rPr>
        <w:t>կու</w:t>
      </w:r>
      <w:r w:rsidR="00D233C1">
        <w:rPr>
          <w:rFonts w:ascii="GHEA Mariam" w:eastAsia="GHEA Grapalat" w:hAnsi="GHEA Mariam" w:cs="GHEA Grapalat"/>
          <w:color w:val="000000"/>
          <w:sz w:val="24"/>
          <w:szCs w:val="24"/>
        </w:rPr>
        <w:softHyphen/>
      </w:r>
      <w:r w:rsidRPr="00BF3312">
        <w:rPr>
          <w:rFonts w:ascii="GHEA Mariam" w:eastAsia="GHEA Grapalat" w:hAnsi="GHEA Mariam" w:cs="GHEA Grapalat"/>
          <w:color w:val="000000"/>
          <w:sz w:val="24"/>
          <w:szCs w:val="24"/>
        </w:rPr>
        <w:t>թյամբ նոր</w:t>
      </w:r>
      <w:r w:rsidR="00D233C1">
        <w:rPr>
          <w:rFonts w:ascii="GHEA Mariam" w:eastAsia="GHEA Grapalat" w:hAnsi="GHEA Mariam" w:cs="GHEA Grapalat"/>
          <w:color w:val="000000"/>
          <w:sz w:val="24"/>
          <w:szCs w:val="24"/>
          <w:lang w:val="hy-AM"/>
        </w:rPr>
        <w:t>՝</w:t>
      </w:r>
      <w:r w:rsidR="00A92E50">
        <w:rPr>
          <w:rFonts w:ascii="GHEA Mariam" w:eastAsia="GHEA Grapalat" w:hAnsi="GHEA Mariam" w:cs="GHEA Grapalat"/>
          <w:color w:val="000000"/>
          <w:sz w:val="24"/>
          <w:szCs w:val="24"/>
        </w:rPr>
        <w:t xml:space="preserve"> 1.1-</w:t>
      </w:r>
      <w:r w:rsidRPr="00BF3312">
        <w:rPr>
          <w:rFonts w:ascii="GHEA Mariam" w:eastAsia="GHEA Grapalat" w:hAnsi="GHEA Mariam" w:cs="GHEA Grapalat"/>
          <w:color w:val="000000"/>
          <w:sz w:val="24"/>
          <w:szCs w:val="24"/>
        </w:rPr>
        <w:t>ին ենթակետ</w:t>
      </w:r>
      <w:r w:rsidR="00D233C1">
        <w:rPr>
          <w:rFonts w:ascii="GHEA Mariam" w:eastAsia="GHEA Grapalat" w:hAnsi="GHEA Mariam" w:cs="GHEA Grapalat"/>
          <w:color w:val="000000"/>
          <w:sz w:val="24"/>
          <w:szCs w:val="24"/>
          <w:lang w:val="hy-AM"/>
        </w:rPr>
        <w:t>ով՝</w:t>
      </w:r>
    </w:p>
    <w:p w:rsidR="00BF3312" w:rsidRPr="00BF3312" w:rsidRDefault="00BF3312" w:rsidP="00471C0F">
      <w:pPr>
        <w:pBdr>
          <w:top w:val="nil"/>
          <w:left w:val="nil"/>
          <w:bottom w:val="nil"/>
          <w:right w:val="nil"/>
          <w:between w:val="nil"/>
        </w:pBdr>
        <w:shd w:val="clear" w:color="auto" w:fill="FFFFFF"/>
        <w:spacing w:before="240" w:line="360" w:lineRule="auto"/>
        <w:ind w:firstLine="720"/>
        <w:contextualSpacing/>
        <w:jc w:val="both"/>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lastRenderedPageBreak/>
        <w:t>«1.1) դոկտրինից բխում են ռազմավարությունները՝ իրենց վերջնարդյունքի և միջանկյալ արդյունքի ցուցանիշներով</w:t>
      </w:r>
      <w:r w:rsidRPr="00BF3312">
        <w:rPr>
          <w:rFonts w:ascii="Cambria Math" w:eastAsia="GHEA Grapalat" w:hAnsi="Cambria Math" w:cs="Cambria Math"/>
          <w:color w:val="000000"/>
          <w:sz w:val="24"/>
          <w:szCs w:val="24"/>
        </w:rPr>
        <w:t>․</w:t>
      </w:r>
      <w:r w:rsidRPr="00BF3312">
        <w:rPr>
          <w:rFonts w:ascii="GHEA Mariam" w:eastAsia="GHEA Grapalat" w:hAnsi="GHEA Mariam" w:cs="GHEA Grapalat"/>
          <w:color w:val="000000"/>
          <w:sz w:val="24"/>
          <w:szCs w:val="24"/>
        </w:rPr>
        <w:t>»։</w:t>
      </w:r>
    </w:p>
    <w:p w:rsidR="00BF3312" w:rsidRPr="00BF3312" w:rsidRDefault="00BF3312" w:rsidP="00D233C1">
      <w:pPr>
        <w:numPr>
          <w:ilvl w:val="0"/>
          <w:numId w:val="1"/>
        </w:numPr>
        <w:pBdr>
          <w:top w:val="nil"/>
          <w:left w:val="nil"/>
          <w:bottom w:val="nil"/>
          <w:right w:val="nil"/>
          <w:between w:val="nil"/>
        </w:pBdr>
        <w:shd w:val="clear" w:color="auto" w:fill="FFFFFF"/>
        <w:tabs>
          <w:tab w:val="left" w:pos="990"/>
        </w:tabs>
        <w:spacing w:before="240" w:line="360" w:lineRule="auto"/>
        <w:ind w:left="0" w:firstLine="720"/>
        <w:contextualSpacing/>
        <w:jc w:val="both"/>
        <w:rPr>
          <w:rFonts w:ascii="GHEA Mariam" w:eastAsia="GHEA Grapalat" w:hAnsi="GHEA Mariam" w:cs="GHEA Grapalat"/>
          <w:color w:val="000000"/>
          <w:sz w:val="24"/>
          <w:szCs w:val="24"/>
        </w:rPr>
      </w:pPr>
      <w:r w:rsidRPr="00BF3312">
        <w:rPr>
          <w:rFonts w:ascii="GHEA Mariam" w:eastAsia="GHEA Grapalat" w:hAnsi="GHEA Mariam" w:cs="GHEA Grapalat"/>
          <w:color w:val="000000"/>
          <w:sz w:val="24"/>
          <w:szCs w:val="24"/>
        </w:rPr>
        <w:t>Սույն որոշումն ուժի մեջ է մտնում հրապարակմանը հաջորդող օրվանից։</w:t>
      </w:r>
    </w:p>
    <w:p w:rsidR="00296E5B" w:rsidRPr="00BF3312" w:rsidRDefault="00296E5B" w:rsidP="00296E5B">
      <w:pPr>
        <w:jc w:val="center"/>
        <w:rPr>
          <w:rFonts w:ascii="GHEA Mariam" w:hAnsi="GHEA Mariam"/>
          <w:sz w:val="24"/>
          <w:szCs w:val="24"/>
          <w:lang w:val="hy-AM"/>
        </w:rPr>
      </w:pPr>
      <w:r w:rsidRPr="00BF3312">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82646B" w:rsidRPr="00F035AF" w:rsidRDefault="00530530"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530530">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530530">
        <w:rPr>
          <w:rFonts w:ascii="GHEA Mariam" w:hAnsi="GHEA Mariam" w:cs="Arial Armenian"/>
          <w:sz w:val="24"/>
          <w:szCs w:val="24"/>
          <w:lang w:val="hy-AM"/>
        </w:rPr>
        <w:tab/>
      </w:r>
      <w:r w:rsidR="00530530">
        <w:rPr>
          <w:rFonts w:ascii="GHEA Mariam" w:hAnsi="GHEA Mariam" w:cs="Arial Armenian"/>
          <w:sz w:val="24"/>
          <w:szCs w:val="24"/>
          <w:lang w:val="hy-AM"/>
        </w:rPr>
        <w:tab/>
      </w:r>
      <w:r w:rsidR="00530530">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530530"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471C0F">
      <w:headerReference w:type="even" r:id="rId8"/>
      <w:headerReference w:type="default" r:id="rId9"/>
      <w:footerReference w:type="even" r:id="rId10"/>
      <w:pgSz w:w="11909" w:h="16834" w:code="9"/>
      <w:pgMar w:top="1620" w:right="1440" w:bottom="162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B5184" w:rsidRDefault="00BB5184">
      <w:r>
        <w:separator/>
      </w:r>
    </w:p>
  </w:endnote>
  <w:endnote w:type="continuationSeparator" w:id="0">
    <w:p w:rsidR="00BB5184" w:rsidRDefault="00BB5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B5184" w:rsidRDefault="00BB5184">
      <w:r>
        <w:separator/>
      </w:r>
    </w:p>
  </w:footnote>
  <w:footnote w:type="continuationSeparator" w:id="0">
    <w:p w:rsidR="00BB5184" w:rsidRDefault="00BB518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7BE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675F5B"/>
    <w:multiLevelType w:val="multilevel"/>
    <w:tmpl w:val="DEF84B02"/>
    <w:lvl w:ilvl="0">
      <w:start w:val="1"/>
      <w:numFmt w:val="decimal"/>
      <w:lvlText w:val="%1."/>
      <w:lvlJc w:val="left"/>
      <w:pPr>
        <w:ind w:left="735" w:hanging="360"/>
      </w:pPr>
    </w:lvl>
    <w:lvl w:ilvl="1">
      <w:start w:val="1"/>
      <w:numFmt w:val="decimal"/>
      <w:lvlText w:val="%2)"/>
      <w:lvlJc w:val="left"/>
      <w:pPr>
        <w:ind w:left="810"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BE1"/>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C0F"/>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530"/>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25EE"/>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2E50"/>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184"/>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312"/>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3C1"/>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11"/>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6BC6F0"/>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195</Words>
  <Characters>1115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227</cp:revision>
  <dcterms:created xsi:type="dcterms:W3CDTF">2022-03-23T13:26:00Z</dcterms:created>
  <dcterms:modified xsi:type="dcterms:W3CDTF">2025-12-23T11:02:00Z</dcterms:modified>
</cp:coreProperties>
</file>