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9AB" w:rsidRPr="00A45195" w:rsidRDefault="0028236F" w:rsidP="00A45195">
      <w:pPr>
        <w:spacing w:after="0" w:line="276" w:lineRule="auto"/>
        <w:jc w:val="center"/>
        <w:rPr>
          <w:rFonts w:ascii="GHEA Grapalat" w:hAnsi="GHEA Grapalat"/>
          <w:b/>
          <w:noProof/>
          <w:color w:val="000000" w:themeColor="text1"/>
          <w:sz w:val="24"/>
          <w:lang w:val="hy-AM"/>
        </w:rPr>
      </w:pPr>
      <w:r w:rsidRPr="00A45195">
        <w:rPr>
          <w:rFonts w:ascii="GHEA Grapalat" w:hAnsi="GHEA Grapalat"/>
          <w:b/>
          <w:noProof/>
          <w:color w:val="000000" w:themeColor="text1"/>
          <w:sz w:val="24"/>
          <w:lang w:val="hy-AM"/>
        </w:rPr>
        <w:t>ՀԻՄՆԱՎՈՐՈՒՄ</w:t>
      </w:r>
    </w:p>
    <w:p w:rsidR="00402585" w:rsidRPr="00A45195" w:rsidRDefault="00402585" w:rsidP="00A45195">
      <w:pPr>
        <w:spacing w:line="276" w:lineRule="auto"/>
        <w:jc w:val="center"/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</w:pPr>
      <w:r w:rsidRPr="00A45195">
        <w:rPr>
          <w:rFonts w:ascii="GHEA Grapalat" w:eastAsia="Times New Roman" w:hAnsi="GHEA Grapalat" w:cs="Sylfaen"/>
          <w:b/>
          <w:noProof/>
          <w:color w:val="000000" w:themeColor="text1"/>
          <w:sz w:val="24"/>
          <w:szCs w:val="24"/>
          <w:lang w:val="hy-AM" w:eastAsia="ru-RU" w:bidi="hy-AM"/>
        </w:rPr>
        <w:t>«</w:t>
      </w:r>
      <w:r w:rsidR="00803E1F" w:rsidRPr="00A45195">
        <w:rPr>
          <w:rFonts w:ascii="GHEA Grapalat" w:eastAsia="Times New Roman" w:hAnsi="GHEA Grapalat" w:cs="Sylfaen"/>
          <w:b/>
          <w:noProof/>
          <w:color w:val="000000" w:themeColor="text1"/>
          <w:sz w:val="24"/>
          <w:szCs w:val="24"/>
          <w:lang w:val="hy-AM" w:eastAsia="ru-RU" w:bidi="hy-AM"/>
        </w:rPr>
        <w:t>«</w:t>
      </w:r>
      <w:r w:rsidRPr="00A45195">
        <w:rPr>
          <w:rFonts w:ascii="GHEA Grapalat" w:hAnsi="GHEA Grapalat"/>
          <w:b/>
          <w:noProof/>
          <w:color w:val="000000" w:themeColor="text1"/>
          <w:lang w:val="hy-AM"/>
        </w:rPr>
        <w:t xml:space="preserve">ՀԱՅԱՍՏԱՆԻ ՀԱՆՐԱՊԵՏՈՒԹՅԱՆ ՀԱՐԿԱՅԻՆ ՕՐԵՆՍԳՐՔՈՒՄ ՓՈՓՈԽՈՒԹՅՈՒՆՆԵՐ ԵՎ ԼՐԱՑՈՒՄՆԵՐ ԿԱՏԱՐԵԼՈՒ ՄԱՍԻՆ» 2024 ԹՎԱԿԱՆԻ ՓԵՏՐՎԱՐԻ 28-Ի ՀՕ-104-Ն ՕՐԵՆՔՈՒՄ ՓՈՓՈԽՈՒԹՅՈՒՆ ԿԱՏԱՐԵԼՈՒ ՄԱՍԻՆ»  ՀԱՅԱՍՏԱՆԻ ՀԱՆՐԱՊԵՏՈՒԹՅԱՆ ՕՐԵՆՔԻ </w:t>
      </w:r>
      <w:r w:rsidR="00EB060A" w:rsidRPr="00A45195">
        <w:rPr>
          <w:rFonts w:ascii="GHEA Grapalat" w:hAnsi="GHEA Grapalat"/>
          <w:b/>
          <w:noProof/>
          <w:color w:val="000000" w:themeColor="text1"/>
          <w:lang w:val="hy-AM"/>
        </w:rPr>
        <w:t>ԵՎ ՀԱՐԱԿԻՑ ՕՐԵՆՔՆԵՐ</w:t>
      </w:r>
      <w:r w:rsidR="000B5EB6">
        <w:rPr>
          <w:rFonts w:ascii="GHEA Grapalat" w:hAnsi="GHEA Grapalat"/>
          <w:b/>
          <w:noProof/>
          <w:color w:val="000000" w:themeColor="text1"/>
          <w:lang w:val="hy-AM"/>
        </w:rPr>
        <w:t>Ի</w:t>
      </w:r>
      <w:r w:rsidR="00EB060A" w:rsidRPr="00A45195">
        <w:rPr>
          <w:rFonts w:ascii="GHEA Grapalat" w:hAnsi="GHEA Grapalat"/>
          <w:b/>
          <w:noProof/>
          <w:color w:val="000000" w:themeColor="text1"/>
          <w:lang w:val="hy-AM"/>
        </w:rPr>
        <w:t xml:space="preserve"> ՆԱԽԱԳԾԵՐԻ </w:t>
      </w:r>
      <w:r w:rsidRPr="00A45195">
        <w:rPr>
          <w:rFonts w:ascii="GHEA Grapalat" w:hAnsi="GHEA Grapalat"/>
          <w:b/>
          <w:noProof/>
          <w:color w:val="000000" w:themeColor="text1"/>
          <w:lang w:val="hy-AM"/>
        </w:rPr>
        <w:t>ԸՆԴՈՒՆՄԱՆ ՎԵՐԱԲԵՐՅԱԼ</w:t>
      </w:r>
    </w:p>
    <w:p w:rsidR="009334B0" w:rsidRPr="00A45195" w:rsidRDefault="009334B0" w:rsidP="00A45195">
      <w:pPr>
        <w:spacing w:after="0" w:line="276" w:lineRule="auto"/>
        <w:jc w:val="center"/>
        <w:rPr>
          <w:rFonts w:ascii="GHEA Grapalat" w:hAnsi="GHEA Grapalat"/>
          <w:noProof/>
          <w:color w:val="000000" w:themeColor="text1"/>
          <w:sz w:val="24"/>
          <w:lang w:val="hy-AM"/>
        </w:rPr>
      </w:pPr>
    </w:p>
    <w:p w:rsidR="00AE2ECE" w:rsidRPr="00A45195" w:rsidRDefault="00AE2ECE" w:rsidP="00A45195">
      <w:pPr>
        <w:pStyle w:val="ListParagraph"/>
        <w:numPr>
          <w:ilvl w:val="0"/>
          <w:numId w:val="1"/>
        </w:numPr>
        <w:spacing w:line="276" w:lineRule="auto"/>
        <w:ind w:left="0" w:firstLine="630"/>
        <w:jc w:val="both"/>
        <w:rPr>
          <w:rFonts w:ascii="GHEA Grapalat" w:hAnsi="GHEA Grapalat"/>
          <w:b/>
          <w:noProof/>
          <w:color w:val="000000" w:themeColor="text1"/>
          <w:sz w:val="24"/>
          <w:lang w:val="hy-AM"/>
        </w:rPr>
      </w:pPr>
      <w:r w:rsidRPr="00A45195">
        <w:rPr>
          <w:rFonts w:ascii="GHEA Grapalat" w:hAnsi="GHEA Grapalat"/>
          <w:b/>
          <w:noProof/>
          <w:color w:val="000000" w:themeColor="text1"/>
          <w:sz w:val="24"/>
          <w:lang w:val="hy-AM"/>
        </w:rPr>
        <w:t>Կարգավորման ենթակա խնդիրը</w:t>
      </w:r>
    </w:p>
    <w:p w:rsidR="0037500E" w:rsidRDefault="0037500E" w:rsidP="00DF7EFB">
      <w:pPr>
        <w:spacing w:line="360" w:lineRule="auto"/>
        <w:ind w:firstLine="630"/>
        <w:jc w:val="both"/>
        <w:rPr>
          <w:rFonts w:ascii="GHEA Grapalat" w:eastAsia="Calibri" w:hAnsi="GHEA Grapalat" w:cs="Times New Roman"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noProof/>
          <w:color w:val="000000" w:themeColor="text1"/>
          <w:sz w:val="24"/>
          <w:szCs w:val="24"/>
          <w:lang w:val="hy-AM"/>
        </w:rPr>
        <w:t>1</w:t>
      </w:r>
      <w:r w:rsidRPr="0037500E">
        <w:rPr>
          <w:rFonts w:ascii="GHEA Grapalat" w:eastAsia="Calibri" w:hAnsi="GHEA Grapalat" w:cs="Times New Roman"/>
          <w:noProof/>
          <w:color w:val="000000" w:themeColor="text1"/>
          <w:sz w:val="24"/>
          <w:szCs w:val="24"/>
          <w:lang w:val="hy-AM"/>
        </w:rPr>
        <w:t>) «Հայաստանի Հանրապետության հարկային օրենսգրքում փոփոխություններ և լրացումներ կատարելու մասին» 2024 թվականի փետրվարի 28-ի ՀՕ-104-Ն օրենքում փոփոխություն կատարելու մասին», «Հայաստանի Հանրապետության պաշտպանության ժամանակ զինծառայողների կյանքին կամ առողջությանը պատճառված վնասների հատուցման մասին» օրենքում փոփոխություններ և լրացումներ կատարելու մասին» 2024 թվականի փետրվարի 28-ի ՀՕ-106-Ն օրենքում փոփոխություն կատարելու մասին», «Պետական տուրքի մասին» օրենքում փոփոխություն կատարելու մասին» 2024 թվականի փետրվարի 28-ի ՀՕ-107-Ն օրենքում փոփոխություն կատարելու մասին», «Կուտակային կենսաթոշակների մասին» օրենքում փոփոխություն կատարելու մասին» 2024 թվականի փետրվարի 28-ի ՀՕ-108-Ն օրենքում փոփոխություն կատարելու մասին», «Վարչարարության հիմունքների և վարչական վարույթի մասին» օրենքում լրացում կատարելու մասին» 2024 թվականի փետրվարի 28-ի ՀՕ-109-Ն օրենքում փոփոխություն կատարելու մասին», «Հայաստանի Հանրապետության վարչական դատավարության օրենսգրքում լրացում կատարելու մասին» 2024 թվականի փետրվարի 28-ի ՀՕ-110-Ն օրենքում փոփոխություն կատարելու մասին»</w:t>
      </w:r>
      <w:r>
        <w:rPr>
          <w:rFonts w:ascii="GHEA Grapalat" w:eastAsia="Calibri" w:hAnsi="GHEA Grapalat" w:cs="Times New Roman"/>
          <w:noProof/>
          <w:color w:val="000000" w:themeColor="text1"/>
          <w:sz w:val="24"/>
          <w:szCs w:val="24"/>
          <w:lang w:val="hy-AM"/>
        </w:rPr>
        <w:t xml:space="preserve"> օրենքների </w:t>
      </w:r>
      <w:r w:rsidR="00AE2ECE" w:rsidRPr="00A45195"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 xml:space="preserve">նախագծերի ընդունման նպատակն է ապահովել </w:t>
      </w:r>
      <w:r w:rsidR="00AE2ECE" w:rsidRPr="00A45195">
        <w:rPr>
          <w:rFonts w:ascii="GHEA Grapalat" w:eastAsia="Calibri" w:hAnsi="GHEA Grapalat" w:cs="Times New Roman"/>
          <w:noProof/>
          <w:color w:val="000000" w:themeColor="text1"/>
          <w:sz w:val="24"/>
          <w:szCs w:val="24"/>
          <w:lang w:val="hy-AM"/>
        </w:rPr>
        <w:t xml:space="preserve">չվճարված հարկային պարտավորությունների կատարումն ապահովող արգելադրման նոր գործիքակազմի իրականացումը </w:t>
      </w:r>
      <w:r w:rsidR="00A45195">
        <w:rPr>
          <w:rFonts w:ascii="GHEA Grapalat" w:eastAsia="Calibri" w:hAnsi="GHEA Grapalat" w:cs="Times New Roman"/>
          <w:noProof/>
          <w:color w:val="000000" w:themeColor="text1"/>
          <w:sz w:val="24"/>
          <w:szCs w:val="24"/>
          <w:lang w:val="hy-AM"/>
        </w:rPr>
        <w:t>2026 թվականի հուլիսի 1-ից</w:t>
      </w:r>
      <w:r>
        <w:rPr>
          <w:rFonts w:ascii="GHEA Grapalat" w:eastAsia="Calibri" w:hAnsi="GHEA Grapalat" w:cs="Times New Roman"/>
          <w:noProof/>
          <w:color w:val="000000" w:themeColor="text1"/>
          <w:sz w:val="24"/>
          <w:szCs w:val="24"/>
          <w:lang w:val="hy-AM"/>
        </w:rPr>
        <w:t>,</w:t>
      </w:r>
    </w:p>
    <w:p w:rsidR="0037500E" w:rsidRPr="0037500E" w:rsidRDefault="0037500E" w:rsidP="00DF7EFB">
      <w:pPr>
        <w:spacing w:line="360" w:lineRule="auto"/>
        <w:ind w:firstLine="630"/>
        <w:jc w:val="both"/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</w:pPr>
      <w:r w:rsidRPr="0037500E">
        <w:rPr>
          <w:rFonts w:ascii="GHEA Grapalat" w:eastAsia="Calibri" w:hAnsi="GHEA Grapalat" w:cs="Times New Roman"/>
          <w:noProof/>
          <w:color w:val="000000" w:themeColor="text1"/>
          <w:sz w:val="24"/>
          <w:szCs w:val="24"/>
          <w:lang w:val="hy-AM"/>
        </w:rPr>
        <w:lastRenderedPageBreak/>
        <w:t>2)</w:t>
      </w:r>
      <w:r w:rsidR="00AE2ECE" w:rsidRPr="00A45195">
        <w:rPr>
          <w:rFonts w:ascii="GHEA Grapalat" w:eastAsia="Calibri" w:hAnsi="GHEA Grapalat" w:cs="Times New Roman"/>
          <w:noProof/>
          <w:color w:val="000000" w:themeColor="text1"/>
          <w:sz w:val="24"/>
          <w:szCs w:val="24"/>
          <w:lang w:val="hy-AM"/>
        </w:rPr>
        <w:t xml:space="preserve"> </w:t>
      </w:r>
      <w:r w:rsidRPr="0037500E">
        <w:rPr>
          <w:rFonts w:ascii="GHEA Grapalat" w:eastAsia="Calibri" w:hAnsi="GHEA Grapalat" w:cs="Times New Roman"/>
          <w:noProof/>
          <w:color w:val="000000" w:themeColor="text1"/>
          <w:sz w:val="24"/>
          <w:szCs w:val="24"/>
          <w:lang w:val="hy-AM"/>
        </w:rPr>
        <w:t xml:space="preserve">«Պետական տուրքի մասին» օրենքում փոփոխություններ և լրացումներ կատարելու մասին» 2024 թվականի սեպտեմբերի 11-ի ՀՕ-339-Ն օրենքում փոփոխություններ կատարելու մասին», «Գործունեության իրականացման ծանուցման մասին» օրենքում փոփոխություններ և լրացումներ կատարելու մասին» 2024 թվականի սեպտեմբերի 11-ի ՀՕ-340-Ն օրենքում փոփոխություն կատարելու մասին» և «Լիցենզավորման մասին» օրենքում փոփոխություններ և լրացումներ կատարելու մասին» 2024 թվականի սեպտեմբերի 11-ի ՀՕ-341-Ն օրենքում փոփոխություն կատարելու մասին»  օրենքների նախագծերի </w:t>
      </w:r>
      <w:r w:rsidRPr="00A45195"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>ընդունման նպատակ</w:t>
      </w:r>
      <w:r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 xml:space="preserve">ը՝ </w:t>
      </w:r>
      <w:r w:rsidRPr="0037500E"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>պետական տուրքի հաշվառման ինքնաշխատ համակարգի ներդրումը և պետական մարմինների միջև պետական տուրքի գծով տեղեկատվության փոխանակման և հաշվառման էլեկտրոնային գործընթացի կատարելագործումն է։</w:t>
      </w:r>
    </w:p>
    <w:p w:rsidR="00AE2ECE" w:rsidRPr="00A45195" w:rsidRDefault="00AE2ECE" w:rsidP="00DF7EFB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b/>
          <w:noProof/>
          <w:color w:val="000000" w:themeColor="text1"/>
          <w:sz w:val="24"/>
          <w:lang w:val="hy-AM"/>
        </w:rPr>
      </w:pPr>
      <w:r w:rsidRPr="00A45195">
        <w:rPr>
          <w:rFonts w:ascii="GHEA Grapalat" w:hAnsi="GHEA Grapalat"/>
          <w:b/>
          <w:noProof/>
          <w:color w:val="000000" w:themeColor="text1"/>
          <w:sz w:val="24"/>
          <w:lang w:val="hy-AM"/>
        </w:rPr>
        <w:t>Ընթացիկ իրավիճակը և իրավական ակտերի ընդունման անհրաժեշտությունը</w:t>
      </w:r>
    </w:p>
    <w:p w:rsidR="00AE2ECE" w:rsidRPr="00A45195" w:rsidRDefault="0037500E" w:rsidP="00DF7EFB">
      <w:pPr>
        <w:spacing w:after="0" w:line="360" w:lineRule="auto"/>
        <w:ind w:firstLine="630"/>
        <w:jc w:val="both"/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1</w:t>
      </w:r>
      <w:r w:rsidRPr="0037500E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) </w:t>
      </w:r>
      <w:r w:rsidR="00AE2ECE"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Հայաստանի Հանրապետության հարկային օրենսգրքում փոփոխություններ և լրացումներ կատարելու մասին 2024 թվականի փետրվարի 28-ի ՀՕ-104-Ն </w:t>
      </w:r>
      <w:r w:rsidRPr="0037500E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o</w:t>
      </w:r>
      <w:r w:rsidR="00AE2ECE"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րենքն </w:t>
      </w:r>
      <w:r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(այսուհետ` Օրենք) </w:t>
      </w:r>
      <w:r w:rsidR="00AE2ECE"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ուժի մեջ է մտնում 2026 թվականի հունվարի 1-ից </w:t>
      </w:r>
      <w:r w:rsidR="00AE2ECE" w:rsidRPr="00A45195">
        <w:rPr>
          <w:rFonts w:ascii="GHEA Grapalat" w:eastAsia="Calibri" w:hAnsi="GHEA Grapalat" w:cs="Courier New"/>
          <w:noProof/>
          <w:color w:val="000000" w:themeColor="text1"/>
          <w:sz w:val="24"/>
          <w:szCs w:val="24"/>
          <w:lang w:val="hy-AM"/>
        </w:rPr>
        <w:t xml:space="preserve">և տարածվում է  </w:t>
      </w:r>
      <w:r w:rsidR="00DF7EFB" w:rsidRPr="00DF7EFB">
        <w:rPr>
          <w:rFonts w:ascii="GHEA Grapalat" w:eastAsia="Calibri" w:hAnsi="GHEA Grapalat" w:cs="Courier New"/>
          <w:noProof/>
          <w:color w:val="000000" w:themeColor="text1"/>
          <w:sz w:val="24"/>
          <w:szCs w:val="24"/>
          <w:lang w:val="hy-AM"/>
        </w:rPr>
        <w:t>O</w:t>
      </w:r>
      <w:r w:rsidR="00AE2ECE" w:rsidRPr="00A45195">
        <w:rPr>
          <w:rFonts w:ascii="GHEA Grapalat" w:eastAsia="Calibri" w:hAnsi="GHEA Grapalat" w:cs="Courier New"/>
          <w:noProof/>
          <w:color w:val="000000" w:themeColor="text1"/>
          <w:sz w:val="24"/>
          <w:szCs w:val="24"/>
          <w:lang w:val="hy-AM"/>
        </w:rPr>
        <w:t>րենքն ուժի մեջ մտնելուց հետո առաջացած հարկային պարտավորությունների վրա, հետևաբար</w:t>
      </w:r>
      <w:r w:rsidR="00DF7EFB" w:rsidRPr="00DF7EFB">
        <w:rPr>
          <w:rFonts w:ascii="GHEA Grapalat" w:eastAsia="Calibri" w:hAnsi="GHEA Grapalat" w:cs="Courier New"/>
          <w:noProof/>
          <w:color w:val="000000" w:themeColor="text1"/>
          <w:sz w:val="24"/>
          <w:szCs w:val="24"/>
          <w:lang w:val="hy-AM"/>
        </w:rPr>
        <w:t>`</w:t>
      </w:r>
      <w:r w:rsidR="00AE2ECE" w:rsidRPr="00A45195">
        <w:rPr>
          <w:rFonts w:ascii="GHEA Grapalat" w:eastAsia="Calibri" w:hAnsi="GHEA Grapalat" w:cs="Courier New"/>
          <w:noProof/>
          <w:color w:val="000000" w:themeColor="text1"/>
          <w:sz w:val="24"/>
          <w:szCs w:val="24"/>
          <w:lang w:val="hy-AM"/>
        </w:rPr>
        <w:t xml:space="preserve"> էլեկտրոնային համակարգի միջոցով կարգավորումները կտարածվեն 2026 թվականի հունվարի 1-ից հետո առաջացած հարկային պարտավորությունների վրա</w:t>
      </w:r>
      <w:r w:rsidR="00AE2ECE"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:</w:t>
      </w:r>
    </w:p>
    <w:p w:rsidR="00AE2ECE" w:rsidRPr="00A45195" w:rsidRDefault="00AE2ECE" w:rsidP="00DF7EFB">
      <w:pPr>
        <w:spacing w:after="0" w:line="360" w:lineRule="auto"/>
        <w:ind w:firstLine="630"/>
        <w:jc w:val="both"/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</w:pPr>
      <w:r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Միաժամանակ, Օրենքի համաձայն` մինչև Օրենքն ուժի մեջ մտնելը առաջացած և չկատարված կամ չգանձված հարկային պարտավորությունների ապահովման՝ գանձման և (կամ) արգելանքի որոշման կայացման ժամկետները կհաշվարկվեն </w:t>
      </w:r>
      <w:r w:rsidR="00DF7EFB" w:rsidRPr="00DF7EFB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O</w:t>
      </w:r>
      <w:r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րենքն ուժի մեջ մտնելուց հետո 10-րդ օրվանից:</w:t>
      </w:r>
    </w:p>
    <w:p w:rsidR="00AE2ECE" w:rsidRPr="00A45195" w:rsidRDefault="00AE2ECE" w:rsidP="00DF7EFB">
      <w:pPr>
        <w:spacing w:after="0" w:line="360" w:lineRule="auto"/>
        <w:ind w:firstLine="630"/>
        <w:jc w:val="both"/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</w:pPr>
      <w:r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ab/>
        <w:t>Ելնելով վերոգրյալից</w:t>
      </w:r>
      <w:r w:rsidR="00DF7EFB" w:rsidRPr="00DF7EFB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`</w:t>
      </w:r>
      <w:r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և հաշվի առնելով, որ  Օրենքի նպատակը չվճարված հարկային պարտավորությունների կատարումն ապահովող արգելադրման նոր </w:t>
      </w:r>
      <w:r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lastRenderedPageBreak/>
        <w:t>գործիքակազմի ներդրումն է, ուստի նշվածով պայմանավորված  անհրաժեշտություն է առաջացել ձեռք բերել խորհրդատվական ծառայություններ (</w:t>
      </w:r>
      <w:r w:rsidRPr="00A45195">
        <w:rPr>
          <w:rFonts w:ascii="GHEA Grapalat" w:eastAsia="Calibri" w:hAnsi="GHEA Grapalat"/>
          <w:bCs/>
          <w:noProof/>
          <w:color w:val="000000" w:themeColor="text1"/>
          <w:sz w:val="24"/>
          <w:szCs w:val="24"/>
          <w:lang w:val="hy-AM"/>
        </w:rPr>
        <w:t>Հարկատու 3 համակարգի «Իրավական վարույթներ» ենթահամակարգում չվճարված հարկային պարտավորությունների գանձման գործընթացի և արգելանք կիրառելու մասով համապատասխան մոդուլների փոփոխության խորհրդատվական ծառայություններ</w:t>
      </w:r>
      <w:r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), որի նպատակով ՀՀ պետական եկամուտների կոմիտեի կողմից կազմակերպվել է գնման գործընթաց, մասնավորապես՝ 21.02.2025թ</w:t>
      </w:r>
      <w:r w:rsidRPr="00A45195">
        <w:rPr>
          <w:rFonts w:ascii="Cambria Math" w:hAnsi="Cambria Math" w:cs="Cambria Math"/>
          <w:noProof/>
          <w:color w:val="000000" w:themeColor="text1"/>
          <w:sz w:val="24"/>
          <w:szCs w:val="24"/>
          <w:lang w:val="hy-AM"/>
        </w:rPr>
        <w:t>․</w:t>
      </w:r>
      <w:r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հրապարակվել են ՊԵԿ-ԲՄԽԾՁԲ-25/1  ծածկագրով գնումների էլեկտրոնային (ARMEPS) համակարգի միջոցով բաց մրցույթով Ծառայության գնման հայտարարությունը և հրավերը։</w:t>
      </w:r>
    </w:p>
    <w:p w:rsidR="00AE2ECE" w:rsidRPr="00A45195" w:rsidRDefault="00DF7EFB" w:rsidP="00DF7EFB">
      <w:pPr>
        <w:spacing w:after="0" w:line="360" w:lineRule="auto"/>
        <w:ind w:firstLine="630"/>
        <w:jc w:val="both"/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Գ</w:t>
      </w:r>
      <w:r w:rsidR="00AE2ECE"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նահատող հանձնաժողովի կողմից որոշվել է համատեղ գործունեության կարգով (կոնսորցիումով)՝ «ԼուիՍոֆտ» ՍՊԸ-ին և «ԻԲՍ Էքսպերտիզա» ՍՊԸ-ին ճանաչել ընտրված մասնակիցներ, որոնց հետ 28</w:t>
      </w:r>
      <w:r w:rsidR="00AE2ECE" w:rsidRPr="00A45195">
        <w:rPr>
          <w:rFonts w:ascii="Cambria Math" w:hAnsi="Cambria Math" w:cs="Cambria Math"/>
          <w:noProof/>
          <w:color w:val="000000" w:themeColor="text1"/>
          <w:sz w:val="24"/>
          <w:szCs w:val="24"/>
          <w:lang w:val="hy-AM"/>
        </w:rPr>
        <w:t>․</w:t>
      </w:r>
      <w:r w:rsidR="00AE2ECE"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04</w:t>
      </w:r>
      <w:r w:rsidR="00AE2ECE" w:rsidRPr="00A45195">
        <w:rPr>
          <w:rFonts w:ascii="Cambria Math" w:hAnsi="Cambria Math" w:cs="Cambria Math"/>
          <w:noProof/>
          <w:color w:val="000000" w:themeColor="text1"/>
          <w:sz w:val="24"/>
          <w:szCs w:val="24"/>
          <w:lang w:val="hy-AM"/>
        </w:rPr>
        <w:t>․</w:t>
      </w:r>
      <w:r w:rsidR="00AE2ECE"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2025թ</w:t>
      </w:r>
      <w:r w:rsidR="00AE2ECE" w:rsidRPr="00A45195">
        <w:rPr>
          <w:rFonts w:ascii="Cambria Math" w:hAnsi="Cambria Math" w:cs="Cambria Math"/>
          <w:noProof/>
          <w:color w:val="000000" w:themeColor="text1"/>
          <w:sz w:val="24"/>
          <w:szCs w:val="24"/>
          <w:lang w:val="hy-AM"/>
        </w:rPr>
        <w:t>․</w:t>
      </w:r>
      <w:r w:rsidR="00AE2ECE"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-ին կնքվել է պայմանագիր։ Համապատասխան ֆինանսական միջոցների հատկացման նպատակով 2025 թվականի հունիսի 20-ին ընդունվել է ՀՀ կառավարության N 824-Ն որոշումը։ Այնուհետև քայլեր են ձեռնարկվել պայմանագրի շրջանակներում ֆինանսական պարտավորությունները հաստատելու վերաբերյալ  համաձայնագրի կնքման ուղղությամբ: Մասնավորապես</w:t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,</w:t>
      </w:r>
      <w:r w:rsidR="00AE2ECE"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տեխնիկական առաջադրանքի կազմման և համաձայնեցման գործընթացը դեռևս ավարտված չէ:</w:t>
      </w:r>
    </w:p>
    <w:p w:rsidR="00AE2ECE" w:rsidRPr="00A45195" w:rsidRDefault="00AE2ECE" w:rsidP="00DF7EFB">
      <w:pPr>
        <w:spacing w:after="0" w:line="360" w:lineRule="auto"/>
        <w:ind w:firstLine="630"/>
        <w:jc w:val="both"/>
        <w:rPr>
          <w:rFonts w:ascii="GHEA Grapalat" w:hAnsi="GHEA Grapalat" w:cs="Arial"/>
          <w:noProof/>
          <w:color w:val="000000" w:themeColor="text1"/>
          <w:sz w:val="24"/>
          <w:szCs w:val="24"/>
          <w:shd w:val="clear" w:color="auto" w:fill="FFFFFF"/>
          <w:lang w:val="hy-AM"/>
        </w:rPr>
      </w:pPr>
      <w:r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Օրենքն ուժի մեջ է մտնելու 2026 թվականի հունվարի 1-ից, սակայն էլեկտրոնային համակարգի ներդրման նպատակով տեխնիկական առաջադրանքի կազմման և համաձայնեցման գործընթացը դեռևս ավարտված չէ, ավելին՝ առկա են կապալառու կազմակերպության կողմից տեխնիկական առաջադրանքի կազմման որոշակի խնդիրներ, ինչի կապակցությամբ ներկայումս ՊԵԿ-ի և կապալառու կազմակերպության միջև ընթանում են համապատասխան աշխատանքներ, սակայն առկա է մտավախություն մինչև Օրենքի ուժի մեջ մտնելը էլեկտրոնային համակարգի ներդրման աշխատանքներն ավարտին հասցնելու մասով, ուստի, նշվածով </w:t>
      </w:r>
      <w:r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lastRenderedPageBreak/>
        <w:t>պայմանավորված անհրաժեշտություն է առաջացել համապատասխան օրենսդրական փոփոխությամբ Օրենքի ուժի մեջ մտնելու ժամկետը փոփոխել և 2026 թվականի հունվարի 1-ի փոխարեն սահմանել</w:t>
      </w:r>
      <w:r w:rsid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2026 թվականի հուլիսի 1-ը</w:t>
      </w:r>
      <w:r w:rsidRPr="00A45195">
        <w:rPr>
          <w:rFonts w:ascii="GHEA Grapalat" w:hAnsi="GHEA Grapalat" w:cs="Arial"/>
          <w:noProof/>
          <w:color w:val="000000" w:themeColor="text1"/>
          <w:sz w:val="24"/>
          <w:szCs w:val="24"/>
          <w:shd w:val="clear" w:color="auto" w:fill="FFFFFF"/>
          <w:lang w:val="hy-AM"/>
        </w:rPr>
        <w:t xml:space="preserve">: </w:t>
      </w:r>
    </w:p>
    <w:p w:rsidR="00AE2ECE" w:rsidRDefault="00AE2ECE" w:rsidP="00DF7EFB">
      <w:pPr>
        <w:spacing w:after="0" w:line="360" w:lineRule="auto"/>
        <w:ind w:firstLine="630"/>
        <w:jc w:val="both"/>
        <w:rPr>
          <w:rFonts w:ascii="GHEA Grapalat" w:hAnsi="GHEA Grapalat" w:cs="Arial"/>
          <w:noProof/>
          <w:color w:val="000000" w:themeColor="text1"/>
          <w:sz w:val="24"/>
          <w:szCs w:val="24"/>
          <w:shd w:val="clear" w:color="auto" w:fill="FFFFFF"/>
          <w:lang w:val="hy-AM"/>
        </w:rPr>
      </w:pPr>
      <w:r w:rsidRPr="00A45195">
        <w:rPr>
          <w:rFonts w:ascii="GHEA Grapalat" w:hAnsi="GHEA Grapalat" w:cs="Arial"/>
          <w:noProof/>
          <w:color w:val="000000" w:themeColor="text1"/>
          <w:sz w:val="24"/>
          <w:szCs w:val="24"/>
          <w:shd w:val="clear" w:color="auto" w:fill="FFFFFF"/>
          <w:lang w:val="hy-AM"/>
        </w:rPr>
        <w:t xml:space="preserve">Նշվածով պայմանավորված փոփոխություններ են կատարվել նաև </w:t>
      </w:r>
      <w:r w:rsidRPr="00A45195"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>2024 թվականի փետրվարի 28-ին ընդունված</w:t>
      </w:r>
      <w:r w:rsidR="00DF7EFB"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>՝</w:t>
      </w:r>
      <w:r w:rsidRPr="00A45195"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 xml:space="preserve"> «Հայաստանի Հանրապետության պաշտպանության ժամանակ զինծառայողների կյանքին կամ առողջությանը պատճառված վնասների հատուցման մասին» օրենքում փոփոխություններ և լրացումներ կատարելու մասին» թիվ ՀՕ-106-Ն,</w:t>
      </w:r>
      <w:r w:rsidRPr="00A45195">
        <w:rPr>
          <w:rFonts w:ascii="GHEA Grapalat" w:hAnsi="GHEA Grapalat" w:cs="Arial"/>
          <w:noProof/>
          <w:color w:val="000000" w:themeColor="text1"/>
          <w:sz w:val="24"/>
          <w:szCs w:val="24"/>
          <w:shd w:val="clear" w:color="auto" w:fill="FFFFFF"/>
          <w:lang w:val="hy-AM"/>
        </w:rPr>
        <w:t xml:space="preserve"> «Պետական տուրքի մասին» օրենքում փոփոխություն կատարելու մասին» թիվ ՀՕ-107-Ն,</w:t>
      </w:r>
      <w:r w:rsidRPr="00A45195"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 xml:space="preserve"> </w:t>
      </w:r>
      <w:r w:rsidRPr="00A45195">
        <w:rPr>
          <w:rFonts w:ascii="GHEA Grapalat" w:hAnsi="GHEA Grapalat" w:cs="Arial"/>
          <w:noProof/>
          <w:color w:val="000000" w:themeColor="text1"/>
          <w:sz w:val="24"/>
          <w:szCs w:val="24"/>
          <w:shd w:val="clear" w:color="auto" w:fill="FFFFFF"/>
          <w:lang w:val="hy-AM"/>
        </w:rPr>
        <w:t xml:space="preserve">«Կուտակային կենսաթոշակների մասին» օրենքում փոփոխություն կատարելու մասին» թիվ ՀՕ-108-Ն, «Վարչարարության հիմունքների և վարչական վարույթի մասին» օրենքում լրացում կատարելու մասին» թիվ ՀՕ-109-Ն և </w:t>
      </w:r>
      <w:r w:rsidRPr="00A45195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«</w:t>
      </w:r>
      <w:r w:rsidRPr="00A45195">
        <w:rPr>
          <w:rFonts w:ascii="GHEA Grapalat" w:hAnsi="GHEA Grapalat" w:cs="Arial"/>
          <w:noProof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վարչական դատավարության օրենսգրքում լրացում կատարելու մասին»  ՀՕ-110-Ն օրենքներում</w:t>
      </w:r>
      <w:r w:rsidR="00DF7EFB">
        <w:rPr>
          <w:rFonts w:ascii="GHEA Grapalat" w:hAnsi="GHEA Grapalat" w:cs="Arial"/>
          <w:noProof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:rsidR="00DF7EFB" w:rsidRDefault="00DF7EFB" w:rsidP="00DF7EFB">
      <w:pPr>
        <w:tabs>
          <w:tab w:val="left" w:pos="567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 w:eastAsia="hy-AM"/>
        </w:rPr>
      </w:pPr>
      <w:r>
        <w:rPr>
          <w:rFonts w:ascii="GHEA Grapalat" w:hAnsi="GHEA Grapalat" w:cs="Arial"/>
          <w:noProof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Pr="00DF7EFB">
        <w:rPr>
          <w:rFonts w:ascii="GHEA Grapalat" w:hAnsi="GHEA Grapalat" w:cs="Arial"/>
          <w:noProof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Pr="00DF7EFB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Pr="00E421E4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2024թ.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ս</w:t>
      </w:r>
      <w:r w:rsidRPr="00E421E4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եպտեմբերի 11-ին ընդունվել են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Pr="00E421E4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 w:eastAsia="hy-AM"/>
        </w:rPr>
        <w:t>«Պետական տուրքի մասին» օրենքում փոփոխություններ և լրացումներ կատարելու մասին» ՀՕ-339-Ն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 w:eastAsia="hy-AM"/>
        </w:rPr>
        <w:t xml:space="preserve">, </w:t>
      </w:r>
      <w:r w:rsidRPr="00E421E4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 w:eastAsia="hy-AM"/>
        </w:rPr>
        <w:t>«Գործունեության իրականացման ծանուցման մասին» օրենքում փոփոխություններ և լրացումներ կատարելու մասին» ՀՕ-340-Ն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 w:eastAsia="hy-AM"/>
        </w:rPr>
        <w:t xml:space="preserve">, </w:t>
      </w:r>
      <w:r w:rsidRPr="00E421E4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 w:eastAsia="hy-AM"/>
        </w:rPr>
        <w:t>«Լիցենզավորման մասին» օրենքում փոփոխություններ և լրացումներ կատարելու մասին» ՀՕ-341-Ն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 w:eastAsia="hy-AM"/>
        </w:rPr>
        <w:t xml:space="preserve"> օրենքները, որոնք ուժի մեջ են մտնելու 2026 թվականի հունվարի 1-ից։ </w:t>
      </w:r>
    </w:p>
    <w:p w:rsidR="00DF7EFB" w:rsidRDefault="00DF7EFB" w:rsidP="00DF7EFB">
      <w:pPr>
        <w:tabs>
          <w:tab w:val="left" w:pos="567"/>
        </w:tabs>
        <w:spacing w:after="0" w:line="360" w:lineRule="auto"/>
        <w:ind w:right="65"/>
        <w:jc w:val="both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 w:eastAsia="hy-AM"/>
        </w:rPr>
        <w:tab/>
        <w:t>Նշված օրենքների կիրառումը հնարավոր է «Պետական տուրքի հաշվառման ինքնաշխատ համակարգ»-ի ներդրմանը և գործարկմանը զուգահեռ, որի մասով պետք է հայտարարվի գնման գործընթաց։ Հաշվի առնելով այն, որ համակարգին միանալու են շուրջ 15 լիազոր մարմիններ, ուստի համակարգի ծրագրավորման աշխատանքների համար պահանջվում է զգալի ժամանակ։</w:t>
      </w:r>
    </w:p>
    <w:p w:rsidR="00AE2ECE" w:rsidRDefault="00AE2ECE" w:rsidP="00DF7EFB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noProof/>
          <w:color w:val="000000" w:themeColor="text1"/>
          <w:sz w:val="24"/>
          <w:lang w:val="hy-AM"/>
        </w:rPr>
      </w:pPr>
      <w:r w:rsidRPr="00A45195">
        <w:rPr>
          <w:rFonts w:ascii="GHEA Grapalat" w:hAnsi="GHEA Grapalat"/>
          <w:b/>
          <w:noProof/>
          <w:color w:val="000000" w:themeColor="text1"/>
          <w:sz w:val="24"/>
          <w:lang w:val="hy-AM"/>
        </w:rPr>
        <w:t>Առաջարկվող կարգավորման բնույթը</w:t>
      </w:r>
    </w:p>
    <w:p w:rsidR="00BC0A1F" w:rsidRPr="00A45195" w:rsidRDefault="00BC0A1F" w:rsidP="00BC0A1F">
      <w:pPr>
        <w:spacing w:after="0" w:line="360" w:lineRule="auto"/>
        <w:ind w:firstLine="630"/>
        <w:jc w:val="both"/>
        <w:rPr>
          <w:rFonts w:ascii="GHEA Grapalat" w:hAnsi="GHEA Grapalat" w:cs="Arial"/>
          <w:noProof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 w:themeColor="text1"/>
          <w:sz w:val="24"/>
          <w:lang w:val="hy-AM"/>
        </w:rPr>
        <w:lastRenderedPageBreak/>
        <w:t>Ներկայացված նախագծերով առաջարկվում է վերոնշյալ օ</w:t>
      </w:r>
      <w:r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րենք</w:t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ների</w:t>
      </w:r>
      <w:r w:rsidRPr="00A4519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ուժի մեջ մտնելու ժամկետը փոփոխել և 2026 թվականի հունվարի 1-ի փոխարեն սահմանել</w:t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2026 թվականի հուլիսի 1-ը</w:t>
      </w:r>
      <w:r w:rsidRPr="00A45195">
        <w:rPr>
          <w:rFonts w:ascii="GHEA Grapalat" w:hAnsi="GHEA Grapalat" w:cs="Arial"/>
          <w:noProof/>
          <w:color w:val="000000" w:themeColor="text1"/>
          <w:sz w:val="24"/>
          <w:szCs w:val="24"/>
          <w:shd w:val="clear" w:color="auto" w:fill="FFFFFF"/>
          <w:lang w:val="hy-AM"/>
        </w:rPr>
        <w:t xml:space="preserve">: </w:t>
      </w:r>
    </w:p>
    <w:p w:rsidR="00AE2ECE" w:rsidRPr="00A45195" w:rsidRDefault="00AE2ECE" w:rsidP="00DF7EFB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noProof/>
          <w:color w:val="000000" w:themeColor="text1"/>
          <w:sz w:val="24"/>
          <w:lang w:val="hy-AM"/>
        </w:rPr>
      </w:pPr>
      <w:r w:rsidRPr="00A45195">
        <w:rPr>
          <w:rFonts w:ascii="GHEA Grapalat" w:hAnsi="GHEA Grapalat"/>
          <w:b/>
          <w:noProof/>
          <w:color w:val="000000" w:themeColor="text1"/>
          <w:sz w:val="24"/>
          <w:lang w:val="hy-AM"/>
        </w:rPr>
        <w:t>Նախագծերի մշակման գործընթացում ներգրավված ինստիտուտները և անձինք</w:t>
      </w:r>
    </w:p>
    <w:p w:rsidR="00BC0A1F" w:rsidRDefault="00AE2ECE" w:rsidP="00BC0A1F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A45195">
        <w:rPr>
          <w:rFonts w:ascii="GHEA Grapalat" w:hAnsi="GHEA Grapalat"/>
          <w:noProof/>
          <w:color w:val="000000" w:themeColor="text1"/>
          <w:sz w:val="24"/>
          <w:lang w:val="hy-AM"/>
        </w:rPr>
        <w:t>Նախագ</w:t>
      </w:r>
      <w:r w:rsidR="00BC0A1F">
        <w:rPr>
          <w:rFonts w:ascii="GHEA Grapalat" w:hAnsi="GHEA Grapalat"/>
          <w:noProof/>
          <w:color w:val="000000" w:themeColor="text1"/>
          <w:sz w:val="24"/>
          <w:lang w:val="hy-AM"/>
        </w:rPr>
        <w:t xml:space="preserve">ծերի փաթեթը </w:t>
      </w:r>
      <w:r w:rsidRPr="00A45195">
        <w:rPr>
          <w:rFonts w:ascii="GHEA Grapalat" w:hAnsi="GHEA Grapalat"/>
          <w:noProof/>
          <w:color w:val="000000" w:themeColor="text1"/>
          <w:sz w:val="24"/>
          <w:lang w:val="hy-AM"/>
        </w:rPr>
        <w:t xml:space="preserve">մշակվել է </w:t>
      </w:r>
      <w:r w:rsidR="00BC0A1F" w:rsidRPr="00535C35">
        <w:rPr>
          <w:rFonts w:ascii="GHEA Grapalat" w:hAnsi="GHEA Grapalat" w:cs="GHEA Grapalat"/>
          <w:noProof/>
          <w:sz w:val="24"/>
          <w:szCs w:val="24"/>
          <w:lang w:val="hy-AM"/>
        </w:rPr>
        <w:t>ՄԹ կառավարության Լավ Կառավարման Հիմնադրամի ֆինանսավորմամբ Համաշխարհային Բանկի կողմից իրականացվող</w:t>
      </w:r>
      <w:r w:rsidR="00BC0A1F">
        <w:rPr>
          <w:rFonts w:ascii="GHEA Grapalat" w:hAnsi="GHEA Grapalat" w:cs="GHEA Grapalat"/>
          <w:noProof/>
          <w:sz w:val="24"/>
          <w:szCs w:val="24"/>
          <w:lang w:val="hy-AM"/>
        </w:rPr>
        <w:t>՝</w:t>
      </w:r>
      <w:r w:rsidR="00BC0A1F" w:rsidRPr="00535C35">
        <w:rPr>
          <w:rFonts w:ascii="GHEA Grapalat" w:hAnsi="GHEA Grapalat" w:cs="GHEA Grapalat"/>
          <w:noProof/>
          <w:sz w:val="24"/>
          <w:szCs w:val="24"/>
          <w:lang w:val="hy-AM"/>
        </w:rPr>
        <w:t xml:space="preserve"> «Հարկային և մաքսային վարչարարության արդիականացման» ծրագրի շրջանակներում կապալառու կազմակերպության և </w:t>
      </w:r>
      <w:r w:rsidR="00BC0A1F" w:rsidRPr="00535C3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ՀՀ պետական եկամուտների կոմիտեի կողմից:</w:t>
      </w:r>
    </w:p>
    <w:p w:rsidR="00AE2ECE" w:rsidRPr="00A45195" w:rsidRDefault="00AE2ECE" w:rsidP="00DF7EFB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noProof/>
          <w:color w:val="000000" w:themeColor="text1"/>
          <w:sz w:val="24"/>
          <w:lang w:val="hy-AM"/>
        </w:rPr>
      </w:pPr>
      <w:r w:rsidRPr="00A45195">
        <w:rPr>
          <w:rFonts w:ascii="GHEA Grapalat" w:hAnsi="GHEA Grapalat"/>
          <w:b/>
          <w:noProof/>
          <w:color w:val="000000" w:themeColor="text1"/>
          <w:sz w:val="24"/>
          <w:lang w:val="hy-AM"/>
        </w:rPr>
        <w:t>Կապը ռազմավարական փաստաթղթերի հետ</w:t>
      </w:r>
    </w:p>
    <w:p w:rsidR="00BC0A1F" w:rsidRDefault="00AE2ECE" w:rsidP="00DF7EFB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noProof/>
          <w:color w:val="000000" w:themeColor="text1"/>
          <w:sz w:val="24"/>
          <w:lang w:val="hy-AM"/>
        </w:rPr>
      </w:pPr>
      <w:r w:rsidRPr="00A45195">
        <w:rPr>
          <w:rFonts w:ascii="GHEA Grapalat" w:hAnsi="GHEA Grapalat"/>
          <w:noProof/>
          <w:color w:val="000000" w:themeColor="text1"/>
          <w:sz w:val="24"/>
          <w:lang w:val="hy-AM"/>
        </w:rPr>
        <w:t>Նախագծ</w:t>
      </w:r>
      <w:r w:rsidR="00BC0A1F">
        <w:rPr>
          <w:rFonts w:ascii="GHEA Grapalat" w:hAnsi="GHEA Grapalat"/>
          <w:noProof/>
          <w:color w:val="000000" w:themeColor="text1"/>
          <w:sz w:val="24"/>
          <w:lang w:val="hy-AM"/>
        </w:rPr>
        <w:t>երի</w:t>
      </w:r>
      <w:r w:rsidRPr="00A45195">
        <w:rPr>
          <w:rFonts w:ascii="GHEA Grapalat" w:hAnsi="GHEA Grapalat"/>
          <w:noProof/>
          <w:color w:val="000000" w:themeColor="text1"/>
          <w:sz w:val="24"/>
          <w:lang w:val="hy-AM"/>
        </w:rPr>
        <w:t xml:space="preserve"> ընդունումը բխում է</w:t>
      </w:r>
      <w:r w:rsidR="00BC0A1F">
        <w:rPr>
          <w:rFonts w:ascii="GHEA Grapalat" w:hAnsi="GHEA Grapalat"/>
          <w:noProof/>
          <w:color w:val="000000" w:themeColor="text1"/>
          <w:sz w:val="24"/>
          <w:lang w:val="hy-AM"/>
        </w:rPr>
        <w:t>՝</w:t>
      </w:r>
    </w:p>
    <w:p w:rsidR="00AE2ECE" w:rsidRPr="00BC0A1F" w:rsidRDefault="00BC0A1F" w:rsidP="00DF7EFB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noProof/>
          <w:color w:val="000000" w:themeColor="text1"/>
          <w:sz w:val="24"/>
          <w:lang w:val="hy-AM"/>
        </w:rPr>
      </w:pPr>
      <w:r>
        <w:rPr>
          <w:rFonts w:ascii="GHEA Grapalat" w:hAnsi="GHEA Grapalat"/>
          <w:noProof/>
          <w:color w:val="000000" w:themeColor="text1"/>
          <w:sz w:val="24"/>
          <w:lang w:val="hy-AM"/>
        </w:rPr>
        <w:t>1</w:t>
      </w:r>
      <w:r w:rsidRPr="00BC0A1F">
        <w:rPr>
          <w:rFonts w:ascii="GHEA Grapalat" w:hAnsi="GHEA Grapalat"/>
          <w:noProof/>
          <w:color w:val="000000" w:themeColor="text1"/>
          <w:sz w:val="24"/>
          <w:lang w:val="hy-AM"/>
        </w:rPr>
        <w:t>)</w:t>
      </w:r>
      <w:r w:rsidR="00AE2ECE" w:rsidRPr="00A45195">
        <w:rPr>
          <w:rFonts w:ascii="GHEA Grapalat" w:hAnsi="GHEA Grapalat"/>
          <w:noProof/>
          <w:color w:val="000000" w:themeColor="text1"/>
          <w:sz w:val="24"/>
          <w:lang w:val="hy-AM"/>
        </w:rPr>
        <w:t xml:space="preserve"> ՀՀ կառավարության 2019 թվականի դեկտեմբերի 12-ի թիվ 1830-Լ որոշմամբ հաստատված Հայաստանի Հանրապետության պետական եկամուտների կոմիտեի զարգացման և վարչարարության բարելավման ռազմավարության 2-րդ` Վարչարարության արդյունավետության բարձրացում, եկամուտների ավելացում, ստվերի կրճատում զարգացման ռազմավարական նպատակի 2.1.14-րդ միջոցառումից, այն է` ներդնել հարկային պարտավորությունների կատարումն ապահովող արգելադրման արդյունավետ գործիքակազմ</w:t>
      </w:r>
      <w:r w:rsidRPr="00BC0A1F">
        <w:rPr>
          <w:rFonts w:ascii="GHEA Grapalat" w:hAnsi="GHEA Grapalat"/>
          <w:noProof/>
          <w:color w:val="000000" w:themeColor="text1"/>
          <w:sz w:val="24"/>
          <w:lang w:val="hy-AM"/>
        </w:rPr>
        <w:t>,</w:t>
      </w:r>
    </w:p>
    <w:p w:rsidR="00BC0A1F" w:rsidRPr="00AF673C" w:rsidRDefault="00BC0A1F" w:rsidP="00BC0A1F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BC0A1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2)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ՀՀ կ</w:t>
      </w:r>
      <w:r w:rsidRPr="000C7AE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առավարության 12.12.2019թ. «Հայաստանի Հանրապետության պետական եկամուտների կոմիտեի զարգացման և վարչարարության բարելավման ռազմավարական ծրագիրը հաստատելու մասին» N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1830-Լ որոշման N1</w:t>
      </w:r>
      <w:r w:rsidRPr="000C7AE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հավելվածի</w:t>
      </w:r>
      <w:r w:rsidRPr="000C7AE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«</w:t>
      </w:r>
      <w:r w:rsidRPr="000C7AE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ԶՌՆ 1. Կառավարման համակարգերի կատարելագործում, հարկ վճարողներին թվայնացված ծառայությունների մատուցում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» զ</w:t>
      </w:r>
      <w:r w:rsidRPr="000C7AE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արգացման ռազմավարական նպատակ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ի «</w:t>
      </w:r>
      <w:r w:rsidRPr="000C7AE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1.1. Էլեկտրոնային և թվային գործիքակազմի ներդրում և զարգացում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»</w:t>
      </w:r>
      <w:r w:rsidRPr="000C7AE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ե</w:t>
      </w:r>
      <w:r w:rsidRPr="000C7AE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նթանպատակ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ի «</w:t>
      </w:r>
      <w:r w:rsidRPr="000C7AE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1.1.11. Պետական տուրքի հաշվառման ինքնաշխատ համակարգի ներդրում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» միջոցառ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ումներից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։</w:t>
      </w:r>
    </w:p>
    <w:p w:rsidR="00AE2ECE" w:rsidRPr="00A45195" w:rsidRDefault="00AE2ECE" w:rsidP="00DF7EFB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noProof/>
          <w:color w:val="000000" w:themeColor="text1"/>
          <w:sz w:val="24"/>
          <w:lang w:val="hy-AM"/>
        </w:rPr>
      </w:pPr>
      <w:r w:rsidRPr="00A45195">
        <w:rPr>
          <w:rFonts w:ascii="GHEA Grapalat" w:hAnsi="GHEA Grapalat"/>
          <w:b/>
          <w:noProof/>
          <w:color w:val="000000" w:themeColor="text1"/>
          <w:sz w:val="24"/>
          <w:lang w:val="hy-AM"/>
        </w:rPr>
        <w:t>Նպատակը և ակնկալվող արդյունքը</w:t>
      </w:r>
    </w:p>
    <w:p w:rsidR="00BC0A1F" w:rsidRDefault="00AE2ECE" w:rsidP="00BC0A1F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A45195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Նախագծ</w:t>
      </w:r>
      <w:r w:rsidR="00BC0A1F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երի փաթեթի </w:t>
      </w:r>
      <w:r w:rsidRPr="00A45195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ընդունման արդյունքում</w:t>
      </w:r>
      <w:r w:rsidR="00BC0A1F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ակնկալվում է, որ </w:t>
      </w:r>
      <w:r w:rsidRPr="00A45195">
        <w:rPr>
          <w:rFonts w:ascii="GHEA Grapalat" w:eastAsia="Calibri" w:hAnsi="GHEA Grapalat" w:cs="Courier New"/>
          <w:noProof/>
          <w:color w:val="000000" w:themeColor="text1"/>
          <w:sz w:val="24"/>
          <w:szCs w:val="24"/>
          <w:lang w:val="hy-AM"/>
        </w:rPr>
        <w:t>հարկային պարտավորությունների կատարումն ապահովող արգելադրման արդյունավետ գործիքակազմը կկիրառվի էլեկտրոնային համակարգի ներդրման պահից</w:t>
      </w:r>
      <w:r w:rsidR="00BC0A1F">
        <w:rPr>
          <w:rFonts w:ascii="GHEA Grapalat" w:eastAsia="Calibri" w:hAnsi="GHEA Grapalat" w:cs="Courier New"/>
          <w:noProof/>
          <w:color w:val="000000" w:themeColor="text1"/>
          <w:sz w:val="24"/>
          <w:szCs w:val="24"/>
          <w:lang w:val="hy-AM"/>
        </w:rPr>
        <w:t>, իսկ պ</w:t>
      </w:r>
      <w:r w:rsidR="00BC0A1F" w:rsidRPr="00AF673C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ետական տուրքի հաշվառման էլեկտրոնային համակարգի ներդրման արդյունքում</w:t>
      </w:r>
      <w:r w:rsidR="00BC0A1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,</w:t>
      </w:r>
      <w:r w:rsidR="00BC0A1F" w:rsidRPr="00AF673C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գրեթե առանց ձեռքի միջամտության կապահովվի պետական տուրքի </w:t>
      </w:r>
      <w:r w:rsidR="00BC0A1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գծով </w:t>
      </w:r>
      <w:r w:rsidR="00BC0A1F" w:rsidRPr="00AF673C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պարտավորությունների ճշգրիտ հաշվառում՝ հիմք ընդունելով լիազոր մարմինների կողմից </w:t>
      </w:r>
      <w:r w:rsidR="00BC0A1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առցանց</w:t>
      </w:r>
      <w:r w:rsidR="00BC0A1F" w:rsidRPr="00AF673C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ռեժիմով պարբերաբար ներկայացվող նոր կամ ճշգրտված տեղեկատվությունը:</w:t>
      </w:r>
    </w:p>
    <w:p w:rsidR="00AE2ECE" w:rsidRPr="00A45195" w:rsidRDefault="00AE2ECE" w:rsidP="00DF7EFB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noProof/>
          <w:color w:val="000000" w:themeColor="text1"/>
          <w:sz w:val="24"/>
          <w:lang w:val="hy-AM"/>
        </w:rPr>
      </w:pPr>
      <w:r w:rsidRPr="00A45195">
        <w:rPr>
          <w:rFonts w:ascii="GHEA Grapalat" w:hAnsi="GHEA Grapalat"/>
          <w:b/>
          <w:noProof/>
          <w:color w:val="000000" w:themeColor="text1"/>
          <w:sz w:val="24"/>
          <w:lang w:val="hy-AM"/>
        </w:rPr>
        <w:t>Այլ տեղեկություններ</w:t>
      </w:r>
    </w:p>
    <w:p w:rsidR="00AE2ECE" w:rsidRPr="00A45195" w:rsidRDefault="00BC0A1F" w:rsidP="00DF7EFB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noProof/>
          <w:color w:val="000000" w:themeColor="text1"/>
          <w:sz w:val="24"/>
          <w:lang w:val="hy-AM"/>
        </w:rPr>
      </w:pPr>
      <w:r w:rsidRPr="00A45195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Նախագծ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երի փաթեթի</w:t>
      </w:r>
      <w:r w:rsidR="00AE2ECE" w:rsidRPr="00A45195">
        <w:rPr>
          <w:rFonts w:ascii="GHEA Grapalat" w:hAnsi="GHEA Grapalat"/>
          <w:noProof/>
          <w:color w:val="000000" w:themeColor="text1"/>
          <w:sz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15330C" w:rsidRPr="00A45195" w:rsidRDefault="0015330C" w:rsidP="00DF7EFB">
      <w:pPr>
        <w:pStyle w:val="ListParagraph"/>
        <w:spacing w:line="360" w:lineRule="auto"/>
        <w:ind w:left="630"/>
        <w:jc w:val="both"/>
        <w:rPr>
          <w:rFonts w:ascii="GHEA Grapalat" w:hAnsi="GHEA Grapalat"/>
          <w:noProof/>
          <w:color w:val="000000" w:themeColor="text1"/>
          <w:sz w:val="24"/>
          <w:lang w:val="hy-AM"/>
        </w:rPr>
      </w:pPr>
      <w:bookmarkStart w:id="0" w:name="_GoBack"/>
      <w:bookmarkEnd w:id="0"/>
    </w:p>
    <w:sectPr w:rsidR="0015330C" w:rsidRPr="00A45195" w:rsidSect="008C5761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C6D" w:rsidRDefault="00A34C6D" w:rsidP="00BA1942">
      <w:pPr>
        <w:spacing w:after="0" w:line="240" w:lineRule="auto"/>
      </w:pPr>
      <w:r>
        <w:separator/>
      </w:r>
    </w:p>
  </w:endnote>
  <w:endnote w:type="continuationSeparator" w:id="0">
    <w:p w:rsidR="00A34C6D" w:rsidRDefault="00A34C6D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C6D" w:rsidRDefault="00A34C6D" w:rsidP="00BA1942">
      <w:pPr>
        <w:spacing w:after="0" w:line="240" w:lineRule="auto"/>
      </w:pPr>
      <w:r>
        <w:separator/>
      </w:r>
    </w:p>
  </w:footnote>
  <w:footnote w:type="continuationSeparator" w:id="0">
    <w:p w:rsidR="00A34C6D" w:rsidRDefault="00A34C6D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7"/>
    <w:rsid w:val="00067A35"/>
    <w:rsid w:val="00077401"/>
    <w:rsid w:val="00085363"/>
    <w:rsid w:val="000B5EB6"/>
    <w:rsid w:val="000E745A"/>
    <w:rsid w:val="0010041D"/>
    <w:rsid w:val="00117FA8"/>
    <w:rsid w:val="00125499"/>
    <w:rsid w:val="00130802"/>
    <w:rsid w:val="00151BA6"/>
    <w:rsid w:val="001530BB"/>
    <w:rsid w:val="0015330C"/>
    <w:rsid w:val="00174171"/>
    <w:rsid w:val="00174DCF"/>
    <w:rsid w:val="001B2E7C"/>
    <w:rsid w:val="001D05E7"/>
    <w:rsid w:val="001E49F3"/>
    <w:rsid w:val="0020363D"/>
    <w:rsid w:val="00207F14"/>
    <w:rsid w:val="00214195"/>
    <w:rsid w:val="00216178"/>
    <w:rsid w:val="00226BEF"/>
    <w:rsid w:val="00257B33"/>
    <w:rsid w:val="00270283"/>
    <w:rsid w:val="0028236F"/>
    <w:rsid w:val="00296652"/>
    <w:rsid w:val="002B68E7"/>
    <w:rsid w:val="00301857"/>
    <w:rsid w:val="0037500E"/>
    <w:rsid w:val="00375741"/>
    <w:rsid w:val="00390D6E"/>
    <w:rsid w:val="003B528B"/>
    <w:rsid w:val="003C014E"/>
    <w:rsid w:val="003D3665"/>
    <w:rsid w:val="00402585"/>
    <w:rsid w:val="004267FE"/>
    <w:rsid w:val="004368B3"/>
    <w:rsid w:val="00484FBB"/>
    <w:rsid w:val="00492CA7"/>
    <w:rsid w:val="004E18F3"/>
    <w:rsid w:val="004F42B6"/>
    <w:rsid w:val="005065B1"/>
    <w:rsid w:val="00523799"/>
    <w:rsid w:val="005265D0"/>
    <w:rsid w:val="00530D77"/>
    <w:rsid w:val="00543044"/>
    <w:rsid w:val="005640C5"/>
    <w:rsid w:val="005A06E2"/>
    <w:rsid w:val="005E3BAD"/>
    <w:rsid w:val="005F4F91"/>
    <w:rsid w:val="0060078D"/>
    <w:rsid w:val="00605EC5"/>
    <w:rsid w:val="00607283"/>
    <w:rsid w:val="00655BA7"/>
    <w:rsid w:val="00660CF2"/>
    <w:rsid w:val="00665720"/>
    <w:rsid w:val="006772D0"/>
    <w:rsid w:val="00687FE8"/>
    <w:rsid w:val="006A7836"/>
    <w:rsid w:val="006C248A"/>
    <w:rsid w:val="006D3075"/>
    <w:rsid w:val="006D763E"/>
    <w:rsid w:val="00742358"/>
    <w:rsid w:val="00766FEE"/>
    <w:rsid w:val="00787493"/>
    <w:rsid w:val="007A15F2"/>
    <w:rsid w:val="007C3893"/>
    <w:rsid w:val="007D4727"/>
    <w:rsid w:val="007E1DD9"/>
    <w:rsid w:val="00803E1F"/>
    <w:rsid w:val="00820FA3"/>
    <w:rsid w:val="0083476B"/>
    <w:rsid w:val="00835641"/>
    <w:rsid w:val="00846668"/>
    <w:rsid w:val="008547C4"/>
    <w:rsid w:val="00890870"/>
    <w:rsid w:val="008C5761"/>
    <w:rsid w:val="008E029C"/>
    <w:rsid w:val="009334B0"/>
    <w:rsid w:val="00941CBD"/>
    <w:rsid w:val="009435F8"/>
    <w:rsid w:val="00991E45"/>
    <w:rsid w:val="009C43CC"/>
    <w:rsid w:val="009D65B9"/>
    <w:rsid w:val="009F4D07"/>
    <w:rsid w:val="009F5DB5"/>
    <w:rsid w:val="00A34C6D"/>
    <w:rsid w:val="00A45195"/>
    <w:rsid w:val="00A56583"/>
    <w:rsid w:val="00A64631"/>
    <w:rsid w:val="00A838FE"/>
    <w:rsid w:val="00A8724B"/>
    <w:rsid w:val="00A92CF0"/>
    <w:rsid w:val="00AC77A2"/>
    <w:rsid w:val="00AD2664"/>
    <w:rsid w:val="00AE2ECE"/>
    <w:rsid w:val="00AF3C7F"/>
    <w:rsid w:val="00B0654E"/>
    <w:rsid w:val="00B25389"/>
    <w:rsid w:val="00B510EB"/>
    <w:rsid w:val="00B53DF6"/>
    <w:rsid w:val="00B94D57"/>
    <w:rsid w:val="00BA1942"/>
    <w:rsid w:val="00BB65B1"/>
    <w:rsid w:val="00BC0A1F"/>
    <w:rsid w:val="00BF5C7B"/>
    <w:rsid w:val="00C44D68"/>
    <w:rsid w:val="00C62800"/>
    <w:rsid w:val="00C736E6"/>
    <w:rsid w:val="00C868B6"/>
    <w:rsid w:val="00CD44E0"/>
    <w:rsid w:val="00CF1A4B"/>
    <w:rsid w:val="00D01360"/>
    <w:rsid w:val="00D40A11"/>
    <w:rsid w:val="00D42AB9"/>
    <w:rsid w:val="00D516EE"/>
    <w:rsid w:val="00D76EBF"/>
    <w:rsid w:val="00D95044"/>
    <w:rsid w:val="00DB6252"/>
    <w:rsid w:val="00DE33F1"/>
    <w:rsid w:val="00DF7EFB"/>
    <w:rsid w:val="00E53C09"/>
    <w:rsid w:val="00E569AB"/>
    <w:rsid w:val="00EB060A"/>
    <w:rsid w:val="00EB0CC4"/>
    <w:rsid w:val="00EB38C2"/>
    <w:rsid w:val="00EC1A46"/>
    <w:rsid w:val="00ED6F6F"/>
    <w:rsid w:val="00EE0D7A"/>
    <w:rsid w:val="00EE7ECD"/>
    <w:rsid w:val="00F249B1"/>
    <w:rsid w:val="00F52727"/>
    <w:rsid w:val="00F7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67D38"/>
  <w15:docId w15:val="{B32D54CE-3785-440A-ABC3-41C2A20B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B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E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0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010D-741C-4A37-A839-24CE0A4F9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1273</Words>
  <Characters>7258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8514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/>
  <dc:description/>
  <cp:lastModifiedBy>Andranik Muradyan</cp:lastModifiedBy>
  <cp:revision>2</cp:revision>
  <dcterms:created xsi:type="dcterms:W3CDTF">2025-12-10T12:07:00Z</dcterms:created>
  <dcterms:modified xsi:type="dcterms:W3CDTF">2025-12-10T12:07:00Z</dcterms:modified>
</cp:coreProperties>
</file>