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3EB" w:rsidRDefault="001723EB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3EB" w:rsidRDefault="001723EB" w:rsidP="00E042E5">
      <w:pPr>
        <w:jc w:val="center"/>
      </w:pPr>
    </w:p>
    <w:p w:rsidR="001723EB" w:rsidRDefault="001723EB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723EB" w:rsidRDefault="001723EB" w:rsidP="00E042E5">
      <w:pPr>
        <w:pStyle w:val="mechtex"/>
        <w:rPr>
          <w:rFonts w:ascii="GHEA Mariam" w:hAnsi="GHEA Mariam"/>
          <w:b/>
        </w:rPr>
      </w:pPr>
    </w:p>
    <w:p w:rsidR="001723EB" w:rsidRDefault="001723EB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723EB" w:rsidRPr="008E1B5A" w:rsidRDefault="001723EB" w:rsidP="00E042E5">
      <w:pPr>
        <w:jc w:val="center"/>
        <w:rPr>
          <w:rFonts w:ascii="GHEA Mariam" w:hAnsi="GHEA Mariam"/>
          <w:sz w:val="24"/>
          <w:szCs w:val="24"/>
        </w:rPr>
      </w:pPr>
    </w:p>
    <w:p w:rsidR="001723EB" w:rsidRPr="00691610" w:rsidRDefault="001723EB" w:rsidP="00E042E5">
      <w:pPr>
        <w:jc w:val="center"/>
        <w:rPr>
          <w:rFonts w:ascii="GHEA Mariam" w:hAnsi="GHEA Mariam"/>
          <w:sz w:val="12"/>
          <w:szCs w:val="24"/>
        </w:rPr>
      </w:pPr>
    </w:p>
    <w:p w:rsidR="001723EB" w:rsidRPr="008E1B5A" w:rsidRDefault="001723EB" w:rsidP="00E042E5">
      <w:pPr>
        <w:jc w:val="center"/>
        <w:rPr>
          <w:rFonts w:ascii="GHEA Mariam" w:hAnsi="GHEA Mariam"/>
          <w:sz w:val="24"/>
          <w:szCs w:val="24"/>
        </w:rPr>
      </w:pPr>
    </w:p>
    <w:p w:rsidR="001723EB" w:rsidRPr="001723EB" w:rsidRDefault="001723EB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723EB" w:rsidRDefault="001723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723EB" w:rsidRDefault="001723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723EB" w:rsidRPr="000F4671" w:rsidRDefault="001723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723EB" w:rsidRDefault="001723EB" w:rsidP="001723E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723EB">
        <w:rPr>
          <w:rFonts w:ascii="GHEA Mariam" w:hAnsi="GHEA Mariam" w:cs="Arial"/>
          <w:sz w:val="24"/>
          <w:szCs w:val="24"/>
          <w:lang w:val="hy-AM"/>
        </w:rPr>
        <w:t>ՏԱՐԱԾՔ</w:t>
      </w:r>
      <w:r w:rsidRPr="001723EB">
        <w:rPr>
          <w:rFonts w:ascii="GHEA Mariam" w:hAnsi="GHEA Mariam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Arial"/>
          <w:sz w:val="24"/>
          <w:szCs w:val="24"/>
          <w:lang w:val="hy-AM"/>
        </w:rPr>
        <w:t>ՀԵՏ</w:t>
      </w:r>
      <w:r w:rsidRPr="001723EB">
        <w:rPr>
          <w:rFonts w:ascii="GHEA Mariam" w:hAnsi="GHEA Mariam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1723EB">
        <w:rPr>
          <w:rFonts w:ascii="GHEA Mariam" w:hAnsi="GHEA Mariam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Arial"/>
          <w:sz w:val="24"/>
          <w:szCs w:val="24"/>
          <w:lang w:val="hy-AM"/>
        </w:rPr>
        <w:t>ԵՎ</w:t>
      </w:r>
      <w:r w:rsidRPr="001723EB">
        <w:rPr>
          <w:rFonts w:ascii="GHEA Mariam" w:hAnsi="GHEA Mariam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1723EB">
        <w:rPr>
          <w:rFonts w:ascii="GHEA Mariam" w:hAnsi="GHEA Mariam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723EB" w:rsidRDefault="001723EB" w:rsidP="001723E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</w:t>
      </w:r>
    </w:p>
    <w:p w:rsidR="001723EB" w:rsidRPr="001723EB" w:rsidRDefault="001723EB" w:rsidP="001723E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723EB" w:rsidRPr="001723EB" w:rsidRDefault="001723EB" w:rsidP="001723EB">
      <w:pPr>
        <w:pStyle w:val="mechtex"/>
        <w:rPr>
          <w:rFonts w:ascii="GHEA Mariam" w:hAnsi="GHEA Mariam"/>
          <w:kern w:val="32"/>
          <w:sz w:val="24"/>
          <w:szCs w:val="24"/>
          <w:lang w:val="pt-BR"/>
        </w:rPr>
      </w:pPr>
    </w:p>
    <w:p w:rsidR="001723EB" w:rsidRPr="001723EB" w:rsidRDefault="001723EB" w:rsidP="001723E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723EB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1723EB">
        <w:rPr>
          <w:rFonts w:ascii="GHEA Mariam" w:hAnsi="GHEA Mariam"/>
          <w:sz w:val="24"/>
          <w:szCs w:val="24"/>
          <w:lang w:val="pt-BR"/>
        </w:rPr>
        <w:t>«</w:t>
      </w:r>
      <w:r w:rsidRPr="001723EB">
        <w:rPr>
          <w:rFonts w:ascii="GHEA Mariam" w:hAnsi="GHEA Mariam"/>
          <w:sz w:val="24"/>
          <w:szCs w:val="24"/>
          <w:lang w:val="hy-AM"/>
        </w:rPr>
        <w:t>Կ</w:t>
      </w:r>
      <w:r w:rsidRPr="001723EB">
        <w:rPr>
          <w:rFonts w:ascii="GHEA Mariam" w:hAnsi="GHEA Mariam"/>
          <w:kern w:val="32"/>
          <w:sz w:val="24"/>
          <w:szCs w:val="24"/>
          <w:lang w:val="hy-AM"/>
        </w:rPr>
        <w:t>առավարչական</w:t>
      </w:r>
      <w:r w:rsidRPr="001723EB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/>
          <w:kern w:val="32"/>
          <w:sz w:val="24"/>
          <w:szCs w:val="24"/>
          <w:lang w:val="hy-AM"/>
        </w:rPr>
        <w:t>իրավահարաբերությունների</w:t>
      </w:r>
      <w:r w:rsidRPr="001723EB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/>
          <w:kern w:val="32"/>
          <w:sz w:val="24"/>
          <w:szCs w:val="24"/>
          <w:lang w:val="hy-AM"/>
        </w:rPr>
        <w:t>կարգա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1723EB">
        <w:rPr>
          <w:rFonts w:ascii="GHEA Mariam" w:hAnsi="GHEA Mariam"/>
          <w:kern w:val="32"/>
          <w:sz w:val="24"/>
          <w:szCs w:val="24"/>
          <w:lang w:val="hy-AM"/>
        </w:rPr>
        <w:t>վորման</w:t>
      </w:r>
      <w:r w:rsidRPr="001723EB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1723EB">
        <w:rPr>
          <w:rFonts w:ascii="GHEA Mariam" w:hAnsi="GHEA Mariam"/>
          <w:sz w:val="24"/>
          <w:szCs w:val="24"/>
          <w:lang w:val="pt-BR"/>
        </w:rPr>
        <w:t xml:space="preserve">» </w:t>
      </w:r>
      <w:r w:rsidRPr="001723EB">
        <w:rPr>
          <w:rFonts w:ascii="GHEA Mariam" w:hAnsi="GHEA Mariam"/>
          <w:kern w:val="32"/>
          <w:sz w:val="24"/>
          <w:szCs w:val="24"/>
          <w:lang w:val="pt-BR"/>
        </w:rPr>
        <w:t>օրենքի 5-րդ հոդվածի 5-րդ, 6-րդ</w:t>
      </w:r>
      <w:r w:rsidRPr="001723EB">
        <w:rPr>
          <w:rFonts w:ascii="GHEA Mariam" w:hAnsi="GHEA Mariam"/>
          <w:kern w:val="32"/>
          <w:sz w:val="24"/>
          <w:szCs w:val="24"/>
          <w:lang w:val="hy-AM"/>
        </w:rPr>
        <w:t xml:space="preserve"> և 7-րդ</w:t>
      </w:r>
      <w:r w:rsidRPr="001723EB">
        <w:rPr>
          <w:rFonts w:ascii="GHEA Mariam" w:hAnsi="GHEA Mariam"/>
          <w:kern w:val="32"/>
          <w:sz w:val="24"/>
          <w:szCs w:val="24"/>
          <w:lang w:val="pt-BR"/>
        </w:rPr>
        <w:t xml:space="preserve"> մասերը` </w:t>
      </w:r>
      <w:r w:rsidRPr="001723E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23E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23E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723EB">
        <w:rPr>
          <w:rFonts w:ascii="GHEA Mariam" w:hAnsi="GHEA Mariam" w:cs="Sylfaen"/>
          <w:sz w:val="24"/>
          <w:szCs w:val="22"/>
          <w:lang w:val="de-DE"/>
        </w:rPr>
        <w:t>ո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23EB">
        <w:rPr>
          <w:rFonts w:ascii="GHEA Mariam" w:hAnsi="GHEA Mariam" w:cs="Sylfaen"/>
          <w:sz w:val="24"/>
          <w:szCs w:val="22"/>
          <w:lang w:val="de-DE"/>
        </w:rPr>
        <w:t>ր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23EB">
        <w:rPr>
          <w:rFonts w:ascii="GHEA Mariam" w:hAnsi="GHEA Mariam" w:cs="Sylfaen"/>
          <w:sz w:val="24"/>
          <w:szCs w:val="22"/>
          <w:lang w:val="de-DE"/>
        </w:rPr>
        <w:t>ո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23EB">
        <w:rPr>
          <w:rFonts w:ascii="GHEA Mariam" w:hAnsi="GHEA Mariam" w:cs="Sylfaen"/>
          <w:sz w:val="24"/>
          <w:szCs w:val="22"/>
          <w:lang w:val="de-DE"/>
        </w:rPr>
        <w:t>շ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23EB">
        <w:rPr>
          <w:rFonts w:ascii="GHEA Mariam" w:hAnsi="GHEA Mariam" w:cs="Sylfaen"/>
          <w:sz w:val="24"/>
          <w:szCs w:val="22"/>
          <w:lang w:val="de-DE"/>
        </w:rPr>
        <w:t>ու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23EB">
        <w:rPr>
          <w:rFonts w:ascii="GHEA Mariam" w:hAnsi="GHEA Mariam" w:cs="Sylfaen"/>
          <w:sz w:val="24"/>
          <w:szCs w:val="22"/>
          <w:lang w:val="de-DE"/>
        </w:rPr>
        <w:t>մ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723EB">
        <w:rPr>
          <w:rFonts w:ascii="GHEA Mariam" w:hAnsi="GHEA Mariam" w:cs="Sylfaen"/>
          <w:sz w:val="24"/>
          <w:szCs w:val="22"/>
          <w:lang w:val="de-DE"/>
        </w:rPr>
        <w:t>է</w:t>
      </w:r>
      <w:r w:rsidRPr="001723E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723EB" w:rsidRPr="001723EB" w:rsidRDefault="001723EB" w:rsidP="001723EB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1723EB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Հայաստանի Հանրապետության սեփականությունը հանդիսացող՝ Վայոց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ձորի մարզի քաղաք Եղեգնաձորի Միկոյան փողոցի 23 հասցեում գտնվող դատա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կան դեպարտամենտի նստավայրի 1297,20 ք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առ. 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 ընդհանուր մակերեսով շինու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թյունը,</w:t>
      </w:r>
      <w:r w:rsidRPr="001723EB">
        <w:rPr>
          <w:rFonts w:ascii="GHEA Mariam" w:hAnsi="GHEA Mariam"/>
          <w:sz w:val="24"/>
          <w:szCs w:val="24"/>
          <w:lang w:val="hy-AM"/>
        </w:rPr>
        <w:t xml:space="preserve"> 31.6 ք</w:t>
      </w:r>
      <w:r>
        <w:rPr>
          <w:rFonts w:ascii="GHEA Mariam" w:hAnsi="GHEA Mariam"/>
          <w:sz w:val="24"/>
          <w:szCs w:val="24"/>
          <w:lang w:val="hy-AM"/>
        </w:rPr>
        <w:t xml:space="preserve">առ. </w:t>
      </w:r>
      <w:r w:rsidRPr="001723EB">
        <w:rPr>
          <w:rFonts w:ascii="GHEA Mariam" w:hAnsi="GHEA Mariam"/>
          <w:sz w:val="24"/>
          <w:szCs w:val="24"/>
          <w:lang w:val="hy-AM"/>
        </w:rPr>
        <w:t>մ մակերեսով պարիսպը,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0,2 հա մակերեսով հողամասը՝ 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133,079,145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դրամ շուկայական մոտարկված կադաստրային արժեքով (այսուհետ՝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ույք, անշարժ գույքի նկատմամբ իրավունքների պետական գրանցման թիվ </w:t>
      </w:r>
      <w:r w:rsidRPr="001723EB">
        <w:rPr>
          <w:rFonts w:ascii="GHEA Mariam" w:hAnsi="GHEA Mariam"/>
          <w:sz w:val="24"/>
          <w:szCs w:val="24"/>
          <w:lang w:val="hy-AM"/>
        </w:rPr>
        <w:t>2668173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վկայական), ինչպես նաև առկա անբաժանելի մաս հանդիսացող գույքը (օդափոխության և օդորակման համակարգ՝ ջերմային և ծխային տվիչներ, ջեռուց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ման համակարգ՝ կաթսա, մարտկոց, տեսահսկման համակարգ՝ տեսաձայնագրիչ, տեսախցիկ, հակահրդեհային և ահազանգման համակարգ և այլ գույք)</w:t>
      </w:r>
      <w:r w:rsidRPr="001723EB">
        <w:rPr>
          <w:rFonts w:cs="Calibri"/>
          <w:noProof/>
          <w:color w:val="000000"/>
          <w:sz w:val="24"/>
          <w:szCs w:val="24"/>
          <w:lang w:val="hy-AM"/>
        </w:rPr>
        <w:t> 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հետ </w:t>
      </w:r>
      <w:r w:rsidRPr="001723EB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վերցնել Հայաստանի Հանրապետության դատական դեպարտամենտից և ամրաց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նել Հայաստանի Հանրապետության ներքին գործերի նախարարությանը:</w:t>
      </w:r>
    </w:p>
    <w:p w:rsidR="001723EB" w:rsidRPr="001723EB" w:rsidRDefault="001723EB" w:rsidP="001723EB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1723EB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lastRenderedPageBreak/>
        <w:t>Հայաստանի Հանրապետության ներքին գործերի նախարարին՝ Հայաս</w:t>
      </w:r>
      <w:r w:rsidRPr="001723EB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softHyphen/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տանի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Հանրապետության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դատական</w:t>
      </w:r>
      <w:r w:rsidRPr="001723EB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Sylfaen"/>
          <w:sz w:val="24"/>
          <w:szCs w:val="24"/>
          <w:lang w:val="hy-AM"/>
        </w:rPr>
        <w:t xml:space="preserve">դեպարտամենտի ղեկավարի 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հետ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համա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տեղ</w:t>
      </w:r>
      <w:r w:rsidRPr="001723EB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pt-BR"/>
        </w:rPr>
        <w:t>սույն որոշումն ուժի մեջ մտնելուց հետո երկ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hy-AM"/>
        </w:rPr>
        <w:t>ամսյա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ժամկետում իրակա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1723EB">
        <w:rPr>
          <w:rFonts w:ascii="GHEA Mariam" w:hAnsi="GHEA Mariam" w:cs="Arial"/>
          <w:bCs/>
          <w:kern w:val="32"/>
          <w:sz w:val="24"/>
          <w:szCs w:val="24"/>
          <w:lang w:val="pt-BR"/>
        </w:rPr>
        <w:t>նացնել սույն որոշման 1-ին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pt-BR"/>
        </w:rPr>
        <w:t>կետ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ում 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pt-BR"/>
        </w:rPr>
        <w:t>նշված տարածք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 և գույքի </w:t>
      </w:r>
      <w:r w:rsidRPr="001723EB">
        <w:rPr>
          <w:rFonts w:ascii="GHEA Mariam" w:hAnsi="GHEA Mariam" w:cs="Arial"/>
          <w:bCs/>
          <w:kern w:val="32"/>
          <w:sz w:val="24"/>
          <w:szCs w:val="24"/>
          <w:lang w:val="pt-BR"/>
        </w:rPr>
        <w:t>հանձնման-ընդուն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Pr="001723EB">
        <w:rPr>
          <w:rFonts w:ascii="GHEA Mariam" w:hAnsi="GHEA Mariam" w:cs="Arial"/>
          <w:bCs/>
          <w:kern w:val="32"/>
          <w:sz w:val="24"/>
          <w:szCs w:val="24"/>
          <w:lang w:val="pt-BR"/>
        </w:rPr>
        <w:t>ման աշխատանքները:</w:t>
      </w:r>
    </w:p>
    <w:p w:rsidR="001723EB" w:rsidRPr="001723EB" w:rsidRDefault="001723EB" w:rsidP="00E042E5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1723EB" w:rsidRPr="00B45A61" w:rsidRDefault="001723EB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723EB" w:rsidRPr="00B45A61" w:rsidRDefault="001723EB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723EB" w:rsidRPr="000F4671" w:rsidRDefault="001723EB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723EB" w:rsidRPr="000F4671" w:rsidRDefault="001723E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7FCE" w:rsidRPr="007651EF" w:rsidRDefault="00577FCE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77FCE" w:rsidRPr="007651EF" w:rsidRDefault="00577FCE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577FCE" w:rsidRPr="007651EF" w:rsidRDefault="00577FCE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577FCE" w:rsidRDefault="00577FCE" w:rsidP="00B402CC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1F225D" w:rsidRPr="001723EB" w:rsidRDefault="001F225D" w:rsidP="001723EB">
      <w:pPr>
        <w:pStyle w:val="mechtex"/>
        <w:jc w:val="left"/>
        <w:rPr>
          <w:rFonts w:ascii="Arial" w:hAnsi="Arial" w:cs="Arial"/>
          <w:lang w:val="hy-AM"/>
        </w:rPr>
      </w:pPr>
      <w:bookmarkStart w:id="0" w:name="_GoBack"/>
      <w:bookmarkEnd w:id="0"/>
    </w:p>
    <w:sectPr w:rsidR="001F225D" w:rsidRPr="001723E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C3D" w:rsidRDefault="00637C3D">
      <w:r>
        <w:separator/>
      </w:r>
    </w:p>
  </w:endnote>
  <w:endnote w:type="continuationSeparator" w:id="0">
    <w:p w:rsidR="00637C3D" w:rsidRDefault="0063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84CA7" w:rsidRDefault="00637C3D" w:rsidP="00E84CA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84CA7">
      <w:rPr>
        <w:noProof/>
      </w:rPr>
      <w:t>TK352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C3D" w:rsidRDefault="00637C3D">
      <w:r>
        <w:separator/>
      </w:r>
    </w:p>
  </w:footnote>
  <w:footnote w:type="continuationSeparator" w:id="0">
    <w:p w:rsidR="00637C3D" w:rsidRDefault="00637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7F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253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3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3EB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77FCE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3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07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CA7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C73627"/>
  <w15:chartTrackingRefBased/>
  <w15:docId w15:val="{0F6A7BF4-C5A8-4BAF-8165-0D41362F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723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723E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723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1723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723EB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2025-12-09T07:04:00Z</dcterms:created>
  <dcterms:modified xsi:type="dcterms:W3CDTF">2025-12-10T06:21:00Z</dcterms:modified>
</cp:coreProperties>
</file>