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291E57" w14:textId="77777777" w:rsidR="00BF1B70" w:rsidRDefault="00BF1B70">
      <w:pPr>
        <w:tabs>
          <w:tab w:val="left" w:pos="851"/>
        </w:tabs>
        <w:spacing w:line="360" w:lineRule="auto"/>
        <w:ind w:right="49"/>
        <w:outlineLvl w:val="2"/>
        <w:rPr>
          <w:rFonts w:ascii="GHEA Grapalat" w:hAnsi="GHEA Grapalat"/>
          <w:b/>
          <w:bCs/>
          <w:highlight w:val="yellow"/>
          <w:lang w:val="en-US"/>
        </w:rPr>
      </w:pPr>
    </w:p>
    <w:p w14:paraId="3B7DCD57" w14:textId="77777777" w:rsidR="00BF1B70" w:rsidRDefault="00206D15">
      <w:pPr>
        <w:widowControl w:val="0"/>
        <w:tabs>
          <w:tab w:val="left" w:pos="851"/>
        </w:tabs>
        <w:spacing w:line="360" w:lineRule="auto"/>
        <w:ind w:right="49" w:firstLine="567"/>
        <w:rPr>
          <w:rFonts w:ascii="GHEA Grapalat" w:hAnsi="GHEA Grapalat"/>
          <w:b/>
          <w:bCs/>
          <w:iCs/>
          <w:lang w:val="en-US"/>
        </w:rPr>
      </w:pPr>
      <w:r>
        <w:rPr>
          <w:rFonts w:ascii="GHEA Grapalat" w:hAnsi="GHEA Grapalat"/>
          <w:b/>
          <w:bCs/>
          <w:iCs/>
          <w:lang w:val="en-US"/>
        </w:rPr>
        <w:t xml:space="preserve">                                                 ՀԻՄՆԱՎՈՐՈՒՄ</w:t>
      </w:r>
    </w:p>
    <w:p w14:paraId="643B655C" w14:textId="77777777" w:rsidR="00BF1B70" w:rsidRDefault="00206D15">
      <w:pPr>
        <w:widowControl w:val="0"/>
        <w:tabs>
          <w:tab w:val="left" w:pos="851"/>
        </w:tabs>
        <w:spacing w:line="360" w:lineRule="auto"/>
        <w:ind w:right="49" w:firstLine="567"/>
        <w:jc w:val="center"/>
        <w:rPr>
          <w:rFonts w:ascii="GHEA Grapalat" w:hAnsi="GHEA Grapalat" w:cs="GHEA Grapalat"/>
          <w:b/>
          <w:bCs/>
          <w:lang w:val="en-US"/>
        </w:rPr>
      </w:pPr>
      <w:r>
        <w:rPr>
          <w:rFonts w:ascii="GHEA Grapalat" w:hAnsi="GHEA Grapalat"/>
          <w:b/>
          <w:lang w:val="en-US"/>
        </w:rPr>
        <w:t xml:space="preserve">««ՔԱՂԱՔԱՑԻԱԿԱՆ ԿԱՑՈՒԹՅԱՆ ԱԿՏԵՐԻ ԳՐԱՆՑՄԱՆ ՄԱՍԻՆ» ՕՐԵՆՔՈՒՄ ՓՈՓՈԽՈՒԹՅՈՒՆՆԵՐ ԿԱՏԱՐԵԼՈՒ ՄԱՍԻՆ, «ՏԵՂԱԿԱՆ ԻՆՔՆԱԿԱՌԱՎԱՐՄԱՆ ՄԱՍԻՆ» ՕՐԵՆՔՈՒՄ ՓՈՓՈԽՈՒԹՅՈՒՆՆԵՐ ԿԱՏԱՐԵԼՈՒ ՄԱՍԻՆ, «ԵՐԵՎԱՆ ՔԱՂԱՔՈՒՄ ՏԵՂԱԿԱՆ ԻՆՔՆԱԿԱՌԱՎԱՐՄԱՆ ՄԱՍԻՆ» ՕՐԵՆՔՈՒՄ ՓՈՓՈԽՈՒԹՅՈՒՆՆԵՐ ԿԱՏԱՐԵԼՈՒ ՄԱՍԻՆ», </w:t>
      </w:r>
      <w:r w:rsidR="007B579A" w:rsidRPr="007B579A">
        <w:rPr>
          <w:rFonts w:ascii="GHEA Grapalat" w:hAnsi="GHEA Grapalat"/>
          <w:b/>
          <w:lang w:val="en-US"/>
        </w:rPr>
        <w:t>«</w:t>
      </w:r>
      <w:r w:rsidR="007B579A">
        <w:rPr>
          <w:rFonts w:ascii="GHEA Grapalat" w:hAnsi="GHEA Grapalat"/>
          <w:b/>
        </w:rPr>
        <w:t>ՀԱՄԱՅՆՔԱՅԻՆ ԾԱՌԱՅՈՒԹՅԱՆ</w:t>
      </w:r>
      <w:r w:rsidR="007B579A" w:rsidRPr="007B579A">
        <w:rPr>
          <w:rFonts w:ascii="GHEA Grapalat" w:hAnsi="GHEA Grapalat"/>
          <w:b/>
          <w:lang w:val="en-US"/>
        </w:rPr>
        <w:t xml:space="preserve"> ՄԱՍԻՆ» ՕՐԵՆՔՈՒՄ ՓՈՓՈԽՈՒԹՅՈՒՆՆԵՐ ԿԱՏԱՐԵԼՈՒ ՄԱՍԻՆ</w:t>
      </w:r>
      <w:r w:rsidR="007B579A">
        <w:rPr>
          <w:rFonts w:ascii="GHEA Grapalat" w:hAnsi="GHEA Grapalat"/>
          <w:b/>
          <w:lang w:val="en-US"/>
        </w:rPr>
        <w:t xml:space="preserve">, </w:t>
      </w:r>
      <w:r>
        <w:rPr>
          <w:rFonts w:ascii="GHEA Grapalat" w:hAnsi="GHEA Grapalat"/>
          <w:b/>
          <w:lang w:val="en-US"/>
        </w:rPr>
        <w:t>«ՀԱՅԱՍՏԱՆԻ ՀԱՆՐԱՊԵՏՈՒԹՅԱՆ ԲՅՈՒՋԵՏԱՅԻՆ ՀԱՄԱԿԱՐԳԻ ՄԱՍԻՆ» ՕՐԵՆՔՈՒՄ ՓՈՓՈԽՈՒԹՅՈՒՆ ԿԱՏԱՐԵԼՈՒ ՄԱՍԻՆ», «ՊԵՏԱԿԱՆ ՏՈՒՐՔԻ ՄԱՍԻՆ» ՕՐԵՆՔՈՒՄ ՓՈՓՈԽՈՒԹՅՈՒՆՆԵՐ ԵՎ ԼՐԱՑՈՒՄՆԵՐ ԿԱՏԱՐԵԼՈՒ ՄԱՍԻՆ»</w:t>
      </w:r>
      <w:r>
        <w:rPr>
          <w:rFonts w:ascii="GHEA Grapalat" w:hAnsi="GHEA Grapalat"/>
          <w:b/>
        </w:rPr>
        <w:t>,</w:t>
      </w:r>
      <w:r>
        <w:rPr>
          <w:rFonts w:ascii="GHEA Grapalat" w:hAnsi="GHEA Grapalat"/>
          <w:b/>
          <w:lang w:val="en-US"/>
        </w:rPr>
        <w:t xml:space="preserve">  «ՀԱՅԱՍՏԱՆԻ ՀԱՆՐԱՊԵՏՈՒԹՅԱՆ ՊԱՇՏՈՆԱԿԱՆ ՓԱՍՏԱԹՂԹԵՐԸ ԱՊՈՍՏԻԼՈՎ ՎԱՎԵՐԱՑՆԵԼՈՒ ՄԱՍԻՆ» ՕՐԵՆՔՈՒՄ ՓՈՓՈԽՈՒԹՅՈՒՆ ԿԱՏԱՐԵԼՈՒ ՄԱՍԻՆ»</w:t>
      </w:r>
      <w:r>
        <w:rPr>
          <w:rFonts w:ascii="GHEA Grapalat" w:hAnsi="GHEA Grapalat"/>
          <w:b/>
        </w:rPr>
        <w:t xml:space="preserve"> </w:t>
      </w:r>
      <w:r>
        <w:rPr>
          <w:rFonts w:ascii="GHEA Grapalat" w:hAnsi="GHEA Grapalat"/>
          <w:b/>
          <w:lang w:val="en-US"/>
        </w:rPr>
        <w:t>ՕՐԵՆՔՆԵՐԻ ՆԱԽԱԳԾԵՐԻ</w:t>
      </w:r>
      <w:r>
        <w:rPr>
          <w:rFonts w:ascii="GHEA Grapalat" w:hAnsi="GHEA Grapalat"/>
          <w:b/>
        </w:rPr>
        <w:t xml:space="preserve"> </w:t>
      </w:r>
      <w:r>
        <w:rPr>
          <w:rFonts w:ascii="GHEA Grapalat" w:hAnsi="GHEA Grapalat"/>
          <w:b/>
          <w:bCs/>
          <w:iCs/>
          <w:lang w:val="en-US"/>
        </w:rPr>
        <w:t>ԸՆԴՈՒՆՄԱՆ</w:t>
      </w:r>
    </w:p>
    <w:p w14:paraId="55AC63B2" w14:textId="77777777" w:rsidR="00BF1B70" w:rsidRDefault="00BF1B70">
      <w:pPr>
        <w:widowControl w:val="0"/>
        <w:tabs>
          <w:tab w:val="left" w:pos="851"/>
        </w:tabs>
        <w:spacing w:line="360" w:lineRule="auto"/>
        <w:ind w:right="49" w:firstLine="567"/>
        <w:jc w:val="both"/>
        <w:rPr>
          <w:rFonts w:ascii="GHEA Grapalat" w:hAnsi="GHEA Grapalat"/>
          <w:highlight w:val="yellow"/>
          <w:lang w:val="en-US"/>
        </w:rPr>
      </w:pPr>
      <w:bookmarkStart w:id="0" w:name="_GoBack"/>
      <w:bookmarkEnd w:id="0"/>
    </w:p>
    <w:p w14:paraId="5179855F" w14:textId="77777777" w:rsidR="00BF1B70" w:rsidRDefault="00206D15">
      <w:pPr>
        <w:pStyle w:val="ListParagraph"/>
        <w:numPr>
          <w:ilvl w:val="0"/>
          <w:numId w:val="1"/>
        </w:numPr>
        <w:shd w:val="clear" w:color="auto" w:fill="FFFFFF"/>
        <w:tabs>
          <w:tab w:val="left" w:pos="567"/>
          <w:tab w:val="left" w:pos="851"/>
          <w:tab w:val="left" w:pos="10490"/>
        </w:tabs>
        <w:ind w:left="0" w:right="49" w:firstLine="567"/>
        <w:rPr>
          <w:rFonts w:ascii="GHEA Grapalat" w:hAnsi="GHEA Grapalat" w:cs="Arian AMU"/>
          <w:b/>
          <w:bCs/>
          <w:sz w:val="24"/>
          <w:szCs w:val="24"/>
          <w:lang w:val="en-US" w:eastAsia="hy-AM"/>
        </w:rPr>
      </w:pPr>
      <w:r>
        <w:rPr>
          <w:rFonts w:ascii="GHEA Grapalat" w:hAnsi="GHEA Grapalat" w:cs="Arial"/>
          <w:b/>
          <w:sz w:val="24"/>
          <w:szCs w:val="24"/>
          <w:lang w:val="en-US"/>
        </w:rPr>
        <w:t>Կարգավորման</w:t>
      </w:r>
      <w:r>
        <w:rPr>
          <w:rFonts w:ascii="GHEA Grapalat" w:hAnsi="GHEA Grapalat" w:cs="Arial Armenian"/>
          <w:b/>
          <w:sz w:val="24"/>
          <w:szCs w:val="24"/>
          <w:lang w:val="en-US"/>
        </w:rPr>
        <w:t xml:space="preserve"> </w:t>
      </w:r>
      <w:r>
        <w:rPr>
          <w:rFonts w:ascii="GHEA Grapalat" w:hAnsi="GHEA Grapalat" w:cs="Arial"/>
          <w:b/>
          <w:sz w:val="24"/>
          <w:szCs w:val="24"/>
          <w:lang w:val="en-US"/>
        </w:rPr>
        <w:t>ենթակա</w:t>
      </w:r>
      <w:r>
        <w:rPr>
          <w:rFonts w:ascii="GHEA Grapalat" w:hAnsi="GHEA Grapalat" w:cs="Arial Armenian"/>
          <w:b/>
          <w:sz w:val="24"/>
          <w:szCs w:val="24"/>
          <w:lang w:val="en-US"/>
        </w:rPr>
        <w:t xml:space="preserve"> </w:t>
      </w:r>
      <w:r>
        <w:rPr>
          <w:rFonts w:ascii="GHEA Grapalat" w:hAnsi="GHEA Grapalat" w:cs="Arial"/>
          <w:b/>
          <w:sz w:val="24"/>
          <w:szCs w:val="24"/>
          <w:lang w:val="en-US"/>
        </w:rPr>
        <w:t>ոլորտի</w:t>
      </w:r>
      <w:r>
        <w:rPr>
          <w:rFonts w:ascii="GHEA Grapalat" w:hAnsi="GHEA Grapalat" w:cs="Arial Armenian"/>
          <w:b/>
          <w:sz w:val="24"/>
          <w:szCs w:val="24"/>
          <w:lang w:val="en-US"/>
        </w:rPr>
        <w:t xml:space="preserve"> </w:t>
      </w:r>
      <w:r>
        <w:rPr>
          <w:rFonts w:ascii="GHEA Grapalat" w:hAnsi="GHEA Grapalat" w:cs="Arial"/>
          <w:b/>
          <w:sz w:val="24"/>
          <w:szCs w:val="24"/>
          <w:lang w:val="en-US"/>
        </w:rPr>
        <w:t>կամ</w:t>
      </w:r>
      <w:r>
        <w:rPr>
          <w:rFonts w:ascii="GHEA Grapalat" w:hAnsi="GHEA Grapalat" w:cs="Arial Armenian"/>
          <w:b/>
          <w:sz w:val="24"/>
          <w:szCs w:val="24"/>
          <w:lang w:val="en-US"/>
        </w:rPr>
        <w:t xml:space="preserve"> </w:t>
      </w:r>
      <w:r>
        <w:rPr>
          <w:rFonts w:ascii="GHEA Grapalat" w:hAnsi="GHEA Grapalat" w:cs="Arial"/>
          <w:b/>
          <w:sz w:val="24"/>
          <w:szCs w:val="24"/>
          <w:lang w:val="en-US"/>
        </w:rPr>
        <w:t>խնդրի</w:t>
      </w:r>
      <w:r>
        <w:rPr>
          <w:rFonts w:ascii="GHEA Grapalat" w:hAnsi="GHEA Grapalat" w:cs="Arial Armenian"/>
          <w:b/>
          <w:sz w:val="24"/>
          <w:szCs w:val="24"/>
          <w:lang w:val="en-US"/>
        </w:rPr>
        <w:t xml:space="preserve"> </w:t>
      </w:r>
      <w:r>
        <w:rPr>
          <w:rFonts w:ascii="GHEA Grapalat" w:hAnsi="GHEA Grapalat" w:cs="Arial"/>
          <w:b/>
          <w:sz w:val="24"/>
          <w:szCs w:val="24"/>
          <w:lang w:val="en-US"/>
        </w:rPr>
        <w:t>սահմանումը.</w:t>
      </w:r>
    </w:p>
    <w:p w14:paraId="3DFE61F5" w14:textId="77777777" w:rsidR="00BF1B70" w:rsidRDefault="00206D15">
      <w:pPr>
        <w:tabs>
          <w:tab w:val="left" w:pos="10490"/>
        </w:tabs>
        <w:spacing w:line="360" w:lineRule="auto"/>
        <w:ind w:right="49" w:firstLine="567"/>
        <w:jc w:val="both"/>
        <w:rPr>
          <w:rFonts w:ascii="GHEA Grapalat" w:hAnsi="GHEA Grapalat"/>
          <w:lang w:val="en-US"/>
        </w:rPr>
      </w:pPr>
      <w:r>
        <w:rPr>
          <w:rFonts w:ascii="GHEA Grapalat" w:hAnsi="GHEA Grapalat"/>
          <w:lang w:val="en-US"/>
        </w:rPr>
        <w:t xml:space="preserve">Հայաստանի Հանրապետությունում քաղաքացիական կացության ակտերի գրանցման (ՔԿԱԳ) համակարգի գործունեության արդյունքում քաղաքացիներին տրամադրվում են տարաբնույթ ծառայություններ, որոնց մատուցման պատշաճությունն ու բարձր որակը հիմնարար ու կարևոր դերակատարում ունեն քաղաքացու և պետության փոխհարաբերությունների ամրապնդման գործում։ </w:t>
      </w:r>
    </w:p>
    <w:p w14:paraId="6300C2AD" w14:textId="77777777" w:rsidR="00BF1B70" w:rsidRDefault="00206D15">
      <w:pPr>
        <w:tabs>
          <w:tab w:val="left" w:pos="10490"/>
        </w:tabs>
        <w:spacing w:line="360" w:lineRule="auto"/>
        <w:ind w:right="49" w:firstLine="567"/>
        <w:jc w:val="both"/>
        <w:rPr>
          <w:rFonts w:ascii="GHEA Grapalat" w:hAnsi="GHEA Grapalat"/>
          <w:lang w:val="en-US"/>
        </w:rPr>
      </w:pPr>
      <w:r>
        <w:rPr>
          <w:rFonts w:ascii="GHEA Grapalat" w:hAnsi="GHEA Grapalat"/>
          <w:lang w:val="en-US"/>
        </w:rPr>
        <w:t xml:space="preserve">Ըստ այդմ՝ պետության կողմից պատվիրակված լիազորությունները պետք է իրականացվեն պատշաճ, իսկ դրանց կատարման նկատմամբ անհրաժեշտ է ապահովել համապատասխան վերահսկողություն։ Այս առումով հարկ է նկատել, որ 2021 </w:t>
      </w:r>
      <w:r>
        <w:rPr>
          <w:rFonts w:ascii="GHEA Grapalat" w:hAnsi="GHEA Grapalat" w:cs="Sylfaen"/>
          <w:lang w:val="en-US"/>
        </w:rPr>
        <w:t>թվականի</w:t>
      </w:r>
      <w:r>
        <w:rPr>
          <w:rFonts w:ascii="GHEA Grapalat" w:hAnsi="GHEA Grapalat"/>
          <w:lang w:val="en-US"/>
        </w:rPr>
        <w:t xml:space="preserve"> </w:t>
      </w:r>
      <w:r>
        <w:rPr>
          <w:rFonts w:ascii="GHEA Grapalat" w:hAnsi="GHEA Grapalat" w:cs="Sylfaen"/>
          <w:lang w:val="en-US"/>
        </w:rPr>
        <w:t>մայիսի</w:t>
      </w:r>
      <w:r>
        <w:rPr>
          <w:rFonts w:ascii="GHEA Grapalat" w:hAnsi="GHEA Grapalat"/>
          <w:lang w:val="en-US"/>
        </w:rPr>
        <w:t xml:space="preserve"> 16-</w:t>
      </w:r>
      <w:r>
        <w:rPr>
          <w:rFonts w:ascii="GHEA Grapalat" w:hAnsi="GHEA Grapalat" w:cs="Sylfaen"/>
          <w:lang w:val="en-US"/>
        </w:rPr>
        <w:t>ից՝</w:t>
      </w:r>
      <w:r>
        <w:rPr>
          <w:rFonts w:ascii="GHEA Grapalat" w:hAnsi="GHEA Grapalat"/>
          <w:lang w:val="en-US"/>
        </w:rPr>
        <w:t xml:space="preserve"> </w:t>
      </w:r>
      <w:r>
        <w:rPr>
          <w:rFonts w:ascii="GHEA Grapalat" w:hAnsi="GHEA Grapalat" w:cs="Sylfaen"/>
          <w:lang w:val="en-US"/>
        </w:rPr>
        <w:t>քաղաքացիական</w:t>
      </w:r>
      <w:r>
        <w:rPr>
          <w:rFonts w:ascii="GHEA Grapalat" w:hAnsi="GHEA Grapalat"/>
          <w:lang w:val="en-US"/>
        </w:rPr>
        <w:t xml:space="preserve"> </w:t>
      </w:r>
      <w:r>
        <w:rPr>
          <w:rFonts w:ascii="GHEA Grapalat" w:hAnsi="GHEA Grapalat" w:cs="Sylfaen"/>
          <w:lang w:val="en-US"/>
        </w:rPr>
        <w:t>կացության</w:t>
      </w:r>
      <w:r>
        <w:rPr>
          <w:rFonts w:ascii="GHEA Grapalat" w:hAnsi="GHEA Grapalat"/>
          <w:lang w:val="en-US"/>
        </w:rPr>
        <w:t xml:space="preserve"> </w:t>
      </w:r>
      <w:r>
        <w:rPr>
          <w:rFonts w:ascii="GHEA Grapalat" w:hAnsi="GHEA Grapalat" w:cs="Sylfaen"/>
          <w:lang w:val="en-US"/>
        </w:rPr>
        <w:t>ակտերի</w:t>
      </w:r>
      <w:r>
        <w:rPr>
          <w:rFonts w:ascii="GHEA Grapalat" w:hAnsi="GHEA Grapalat"/>
          <w:lang w:val="en-US"/>
        </w:rPr>
        <w:t xml:space="preserve"> </w:t>
      </w:r>
      <w:r>
        <w:rPr>
          <w:rFonts w:ascii="GHEA Grapalat" w:hAnsi="GHEA Grapalat" w:cs="Sylfaen"/>
          <w:lang w:val="en-US"/>
        </w:rPr>
        <w:t>գրանցման</w:t>
      </w:r>
      <w:r>
        <w:rPr>
          <w:rFonts w:ascii="GHEA Grapalat" w:hAnsi="GHEA Grapalat"/>
          <w:lang w:val="en-US"/>
        </w:rPr>
        <w:t xml:space="preserve"> </w:t>
      </w:r>
      <w:r>
        <w:rPr>
          <w:rFonts w:ascii="GHEA Grapalat" w:hAnsi="GHEA Grapalat" w:cs="Sylfaen"/>
          <w:lang w:val="en-US"/>
        </w:rPr>
        <w:t>ոլորտը</w:t>
      </w:r>
      <w:r>
        <w:rPr>
          <w:rFonts w:ascii="GHEA Grapalat" w:hAnsi="GHEA Grapalat"/>
          <w:lang w:val="en-US"/>
        </w:rPr>
        <w:t xml:space="preserve"> </w:t>
      </w:r>
      <w:r>
        <w:rPr>
          <w:rFonts w:ascii="GHEA Grapalat" w:hAnsi="GHEA Grapalat" w:cs="Sylfaen"/>
          <w:lang w:val="en-US"/>
        </w:rPr>
        <w:t>կարգավորող</w:t>
      </w:r>
      <w:r>
        <w:rPr>
          <w:rFonts w:ascii="GHEA Grapalat" w:hAnsi="GHEA Grapalat"/>
          <w:lang w:val="en-US"/>
        </w:rPr>
        <w:t xml:space="preserve"> </w:t>
      </w:r>
      <w:r>
        <w:rPr>
          <w:rFonts w:ascii="GHEA Grapalat" w:hAnsi="GHEA Grapalat" w:cs="Sylfaen"/>
          <w:lang w:val="en-US"/>
        </w:rPr>
        <w:t>նոր</w:t>
      </w:r>
      <w:r>
        <w:rPr>
          <w:rFonts w:ascii="GHEA Grapalat" w:hAnsi="GHEA Grapalat"/>
          <w:lang w:val="en-US"/>
        </w:rPr>
        <w:t xml:space="preserve"> «</w:t>
      </w:r>
      <w:r>
        <w:rPr>
          <w:rFonts w:ascii="GHEA Grapalat" w:hAnsi="GHEA Grapalat" w:cs="Sylfaen"/>
          <w:lang w:val="en-US"/>
        </w:rPr>
        <w:t>Քաղաքացիական</w:t>
      </w:r>
      <w:r>
        <w:rPr>
          <w:rFonts w:ascii="GHEA Grapalat" w:hAnsi="GHEA Grapalat"/>
          <w:lang w:val="en-US"/>
        </w:rPr>
        <w:t xml:space="preserve"> </w:t>
      </w:r>
      <w:r>
        <w:rPr>
          <w:rFonts w:ascii="GHEA Grapalat" w:hAnsi="GHEA Grapalat" w:cs="Sylfaen"/>
          <w:lang w:val="en-US"/>
        </w:rPr>
        <w:t>կացության</w:t>
      </w:r>
      <w:r>
        <w:rPr>
          <w:rFonts w:ascii="GHEA Grapalat" w:hAnsi="GHEA Grapalat"/>
          <w:lang w:val="en-US"/>
        </w:rPr>
        <w:t xml:space="preserve"> </w:t>
      </w:r>
      <w:r>
        <w:rPr>
          <w:rFonts w:ascii="GHEA Grapalat" w:hAnsi="GHEA Grapalat" w:cs="Sylfaen"/>
          <w:lang w:val="en-US"/>
        </w:rPr>
        <w:t>ակտերի</w:t>
      </w:r>
      <w:r>
        <w:rPr>
          <w:rFonts w:ascii="GHEA Grapalat" w:hAnsi="GHEA Grapalat"/>
          <w:lang w:val="en-US"/>
        </w:rPr>
        <w:t xml:space="preserve"> </w:t>
      </w:r>
      <w:r>
        <w:rPr>
          <w:rFonts w:ascii="GHEA Grapalat" w:hAnsi="GHEA Grapalat" w:cs="Sylfaen"/>
          <w:lang w:val="en-US"/>
        </w:rPr>
        <w:t>գրանցման</w:t>
      </w:r>
      <w:r>
        <w:rPr>
          <w:rFonts w:ascii="GHEA Grapalat" w:hAnsi="GHEA Grapalat"/>
          <w:lang w:val="en-US"/>
        </w:rPr>
        <w:t xml:space="preserve"> </w:t>
      </w:r>
      <w:r>
        <w:rPr>
          <w:rFonts w:ascii="GHEA Grapalat" w:hAnsi="GHEA Grapalat" w:cs="Sylfaen"/>
          <w:lang w:val="en-US"/>
        </w:rPr>
        <w:t>մասին</w:t>
      </w:r>
      <w:r>
        <w:rPr>
          <w:rFonts w:ascii="GHEA Grapalat" w:hAnsi="GHEA Grapalat"/>
          <w:lang w:val="en-US"/>
        </w:rPr>
        <w:t xml:space="preserve">» </w:t>
      </w:r>
      <w:r>
        <w:rPr>
          <w:rFonts w:ascii="GHEA Grapalat" w:hAnsi="GHEA Grapalat" w:cs="Sylfaen"/>
          <w:lang w:val="en-US"/>
        </w:rPr>
        <w:t>օրենքի</w:t>
      </w:r>
      <w:r>
        <w:rPr>
          <w:rFonts w:ascii="GHEA Grapalat" w:hAnsi="GHEA Grapalat"/>
          <w:lang w:val="en-US"/>
        </w:rPr>
        <w:t xml:space="preserve"> (</w:t>
      </w:r>
      <w:r>
        <w:rPr>
          <w:rFonts w:ascii="GHEA Grapalat" w:hAnsi="GHEA Grapalat" w:cs="Sylfaen"/>
          <w:lang w:val="en-US"/>
        </w:rPr>
        <w:t>այսուհետ՝ Օրենք</w:t>
      </w:r>
      <w:r>
        <w:rPr>
          <w:rFonts w:ascii="GHEA Grapalat" w:hAnsi="GHEA Grapalat"/>
          <w:lang w:val="en-US"/>
        </w:rPr>
        <w:t xml:space="preserve">) </w:t>
      </w:r>
      <w:r>
        <w:rPr>
          <w:rFonts w:ascii="GHEA Grapalat" w:hAnsi="GHEA Grapalat" w:cs="Sylfaen"/>
          <w:lang w:val="en-US"/>
        </w:rPr>
        <w:t>ուժի</w:t>
      </w:r>
      <w:r>
        <w:rPr>
          <w:rFonts w:ascii="GHEA Grapalat" w:hAnsi="GHEA Grapalat"/>
          <w:lang w:val="en-US"/>
        </w:rPr>
        <w:t xml:space="preserve"> </w:t>
      </w:r>
      <w:r>
        <w:rPr>
          <w:rFonts w:ascii="GHEA Grapalat" w:hAnsi="GHEA Grapalat" w:cs="Sylfaen"/>
          <w:lang w:val="en-US"/>
        </w:rPr>
        <w:t>մեջ</w:t>
      </w:r>
      <w:r>
        <w:rPr>
          <w:rFonts w:ascii="GHEA Grapalat" w:hAnsi="GHEA Grapalat"/>
          <w:lang w:val="en-US"/>
        </w:rPr>
        <w:t xml:space="preserve"> </w:t>
      </w:r>
      <w:r>
        <w:rPr>
          <w:rFonts w:ascii="GHEA Grapalat" w:hAnsi="GHEA Grapalat" w:cs="Sylfaen"/>
          <w:lang w:val="en-US"/>
        </w:rPr>
        <w:lastRenderedPageBreak/>
        <w:t>մտնելուց</w:t>
      </w:r>
      <w:r>
        <w:rPr>
          <w:rFonts w:ascii="GHEA Grapalat" w:hAnsi="GHEA Grapalat"/>
          <w:lang w:val="en-US"/>
        </w:rPr>
        <w:t xml:space="preserve"> </w:t>
      </w:r>
      <w:r>
        <w:rPr>
          <w:rFonts w:ascii="GHEA Grapalat" w:hAnsi="GHEA Grapalat" w:cs="Sylfaen"/>
          <w:lang w:val="en-US"/>
        </w:rPr>
        <w:t>հետո</w:t>
      </w:r>
      <w:r>
        <w:rPr>
          <w:rFonts w:ascii="GHEA Grapalat" w:hAnsi="GHEA Grapalat"/>
          <w:lang w:val="en-US"/>
        </w:rPr>
        <w:t xml:space="preserve">, </w:t>
      </w:r>
      <w:r>
        <w:rPr>
          <w:rFonts w:ascii="GHEA Grapalat" w:hAnsi="GHEA Grapalat" w:cs="Sylfaen"/>
          <w:lang w:val="en-US"/>
        </w:rPr>
        <w:t>տեղի</w:t>
      </w:r>
      <w:r>
        <w:rPr>
          <w:rFonts w:ascii="GHEA Grapalat" w:hAnsi="GHEA Grapalat"/>
          <w:lang w:val="en-US"/>
        </w:rPr>
        <w:t xml:space="preserve"> </w:t>
      </w:r>
      <w:r>
        <w:rPr>
          <w:rFonts w:ascii="GHEA Grapalat" w:hAnsi="GHEA Grapalat" w:cs="Sylfaen"/>
          <w:lang w:val="en-US"/>
        </w:rPr>
        <w:t>է</w:t>
      </w:r>
      <w:r>
        <w:rPr>
          <w:rFonts w:ascii="GHEA Grapalat" w:hAnsi="GHEA Grapalat"/>
          <w:lang w:val="en-US"/>
        </w:rPr>
        <w:t xml:space="preserve"> </w:t>
      </w:r>
      <w:r>
        <w:rPr>
          <w:rFonts w:ascii="GHEA Grapalat" w:hAnsi="GHEA Grapalat" w:cs="Sylfaen"/>
          <w:lang w:val="en-US"/>
        </w:rPr>
        <w:t>ունեցել</w:t>
      </w:r>
      <w:r>
        <w:rPr>
          <w:rFonts w:ascii="GHEA Grapalat" w:hAnsi="GHEA Grapalat"/>
          <w:lang w:val="en-US"/>
        </w:rPr>
        <w:t xml:space="preserve"> </w:t>
      </w:r>
      <w:r>
        <w:rPr>
          <w:rFonts w:ascii="GHEA Grapalat" w:hAnsi="GHEA Grapalat" w:cs="Sylfaen"/>
          <w:lang w:val="en-US"/>
        </w:rPr>
        <w:t>գործառույթների</w:t>
      </w:r>
      <w:r>
        <w:rPr>
          <w:rFonts w:ascii="GHEA Grapalat" w:hAnsi="GHEA Grapalat"/>
          <w:lang w:val="en-US"/>
        </w:rPr>
        <w:t xml:space="preserve"> </w:t>
      </w:r>
      <w:r>
        <w:rPr>
          <w:rFonts w:ascii="GHEA Grapalat" w:hAnsi="GHEA Grapalat" w:cs="Sylfaen"/>
          <w:lang w:val="en-US"/>
        </w:rPr>
        <w:t>տարանջատում</w:t>
      </w:r>
      <w:r>
        <w:rPr>
          <w:rFonts w:ascii="GHEA Grapalat" w:hAnsi="GHEA Grapalat"/>
          <w:lang w:val="en-US"/>
        </w:rPr>
        <w:t xml:space="preserve"> </w:t>
      </w:r>
      <w:r>
        <w:rPr>
          <w:rFonts w:ascii="GHEA Grapalat" w:hAnsi="GHEA Grapalat" w:cs="Sylfaen"/>
          <w:lang w:val="en-US"/>
        </w:rPr>
        <w:t>ՔԿԱԳ</w:t>
      </w:r>
      <w:r>
        <w:rPr>
          <w:rFonts w:ascii="GHEA Grapalat" w:hAnsi="GHEA Grapalat"/>
          <w:lang w:val="en-US"/>
        </w:rPr>
        <w:t xml:space="preserve"> </w:t>
      </w:r>
      <w:r>
        <w:rPr>
          <w:rFonts w:ascii="GHEA Grapalat" w:hAnsi="GHEA Grapalat" w:cs="Sylfaen"/>
          <w:lang w:val="en-US"/>
        </w:rPr>
        <w:t>գործակալության</w:t>
      </w:r>
      <w:r>
        <w:rPr>
          <w:rFonts w:ascii="GHEA Grapalat" w:hAnsi="GHEA Grapalat"/>
          <w:lang w:val="en-US"/>
        </w:rPr>
        <w:t xml:space="preserve"> (</w:t>
      </w:r>
      <w:r>
        <w:rPr>
          <w:rFonts w:ascii="GHEA Grapalat" w:hAnsi="GHEA Grapalat"/>
        </w:rPr>
        <w:t>այսուհետ նաև՝ Գործակալություն</w:t>
      </w:r>
      <w:r>
        <w:rPr>
          <w:rFonts w:ascii="GHEA Grapalat" w:hAnsi="GHEA Grapalat"/>
          <w:lang w:val="en-US"/>
        </w:rPr>
        <w:t>)</w:t>
      </w:r>
      <w:r>
        <w:rPr>
          <w:rFonts w:ascii="GHEA Grapalat" w:hAnsi="GHEA Grapalat"/>
        </w:rPr>
        <w:t xml:space="preserve"> </w:t>
      </w:r>
      <w:r>
        <w:rPr>
          <w:rFonts w:ascii="GHEA Grapalat" w:hAnsi="GHEA Grapalat" w:cs="Sylfaen"/>
          <w:lang w:val="en-US"/>
        </w:rPr>
        <w:t>գործունեության</w:t>
      </w:r>
      <w:r>
        <w:rPr>
          <w:rFonts w:ascii="GHEA Grapalat" w:hAnsi="GHEA Grapalat"/>
          <w:lang w:val="en-US"/>
        </w:rPr>
        <w:t xml:space="preserve"> </w:t>
      </w:r>
      <w:r>
        <w:rPr>
          <w:rFonts w:ascii="GHEA Grapalat" w:hAnsi="GHEA Grapalat" w:cs="Sylfaen"/>
          <w:lang w:val="en-US"/>
        </w:rPr>
        <w:t>և</w:t>
      </w:r>
      <w:r>
        <w:rPr>
          <w:rFonts w:ascii="GHEA Grapalat" w:hAnsi="GHEA Grapalat"/>
          <w:lang w:val="en-US"/>
        </w:rPr>
        <w:t xml:space="preserve"> </w:t>
      </w:r>
      <w:r>
        <w:rPr>
          <w:rFonts w:ascii="GHEA Grapalat" w:hAnsi="GHEA Grapalat" w:cs="Sylfaen"/>
          <w:lang w:val="en-US"/>
        </w:rPr>
        <w:t>քաղաքացիական</w:t>
      </w:r>
      <w:r>
        <w:rPr>
          <w:rFonts w:ascii="GHEA Grapalat" w:hAnsi="GHEA Grapalat"/>
          <w:lang w:val="en-US"/>
        </w:rPr>
        <w:t xml:space="preserve"> </w:t>
      </w:r>
      <w:r>
        <w:rPr>
          <w:rFonts w:ascii="GHEA Grapalat" w:hAnsi="GHEA Grapalat" w:cs="Sylfaen"/>
          <w:lang w:val="en-US"/>
        </w:rPr>
        <w:t>կացության</w:t>
      </w:r>
      <w:r>
        <w:rPr>
          <w:rFonts w:ascii="GHEA Grapalat" w:hAnsi="GHEA Grapalat"/>
          <w:lang w:val="en-US"/>
        </w:rPr>
        <w:t xml:space="preserve"> </w:t>
      </w:r>
      <w:r>
        <w:rPr>
          <w:rFonts w:ascii="GHEA Grapalat" w:hAnsi="GHEA Grapalat" w:cs="Sylfaen"/>
          <w:lang w:val="en-US"/>
        </w:rPr>
        <w:t>ակտերի</w:t>
      </w:r>
      <w:r>
        <w:rPr>
          <w:rFonts w:ascii="GHEA Grapalat" w:hAnsi="GHEA Grapalat"/>
          <w:lang w:val="en-US"/>
        </w:rPr>
        <w:t xml:space="preserve"> </w:t>
      </w:r>
      <w:r>
        <w:rPr>
          <w:rFonts w:ascii="GHEA Grapalat" w:hAnsi="GHEA Grapalat" w:cs="Sylfaen"/>
          <w:lang w:val="en-US"/>
        </w:rPr>
        <w:t>գրանցման</w:t>
      </w:r>
      <w:r>
        <w:rPr>
          <w:rFonts w:ascii="GHEA Grapalat" w:hAnsi="GHEA Grapalat"/>
          <w:lang w:val="en-US"/>
        </w:rPr>
        <w:t xml:space="preserve"> </w:t>
      </w:r>
      <w:r>
        <w:rPr>
          <w:rFonts w:ascii="GHEA Grapalat" w:hAnsi="GHEA Grapalat" w:cs="Sylfaen"/>
          <w:lang w:val="en-US"/>
        </w:rPr>
        <w:t>տարածքային</w:t>
      </w:r>
      <w:r>
        <w:rPr>
          <w:rFonts w:ascii="GHEA Grapalat" w:hAnsi="GHEA Grapalat"/>
          <w:lang w:val="en-US"/>
        </w:rPr>
        <w:t xml:space="preserve"> </w:t>
      </w:r>
      <w:r>
        <w:rPr>
          <w:rFonts w:ascii="GHEA Grapalat" w:hAnsi="GHEA Grapalat" w:cs="Sylfaen"/>
          <w:lang w:val="en-US"/>
        </w:rPr>
        <w:t>բաժինների</w:t>
      </w:r>
      <w:r>
        <w:rPr>
          <w:rFonts w:ascii="GHEA Grapalat" w:hAnsi="GHEA Grapalat"/>
          <w:lang w:val="en-US"/>
        </w:rPr>
        <w:t xml:space="preserve"> </w:t>
      </w:r>
      <w:r>
        <w:rPr>
          <w:rFonts w:ascii="GHEA Grapalat" w:hAnsi="GHEA Grapalat" w:cs="Sylfaen"/>
          <w:lang w:val="en-US"/>
        </w:rPr>
        <w:t>միջև,</w:t>
      </w:r>
      <w:r>
        <w:rPr>
          <w:rFonts w:ascii="GHEA Grapalat" w:hAnsi="GHEA Grapalat"/>
          <w:lang w:val="en-US"/>
        </w:rPr>
        <w:t xml:space="preserve"> ինչի արդյունքում Հայաստանի Հանրապետությունում ՔԿԱԳ ծառայությունը գործում է մասնակի ապակենտրոնացված մոդելով՝ բաժանված լինելով երկու կառավարման մակարդակի՝ Արդարադատության նախարարության (այսուհետ</w:t>
      </w:r>
      <w:r>
        <w:rPr>
          <w:rFonts w:ascii="GHEA Grapalat" w:hAnsi="GHEA Grapalat"/>
        </w:rPr>
        <w:t xml:space="preserve"> նաև</w:t>
      </w:r>
      <w:r>
        <w:rPr>
          <w:rFonts w:ascii="GHEA Grapalat" w:hAnsi="GHEA Grapalat"/>
          <w:lang w:val="en-US"/>
        </w:rPr>
        <w:t>՝ ԱՆ) և համայնքային կառույցների միջև, որոնց պատվիրակվել է որոշ գործառույթների իրականացում:</w:t>
      </w:r>
    </w:p>
    <w:p w14:paraId="2F395C69" w14:textId="77777777" w:rsidR="00BF1B70" w:rsidRDefault="00206D15">
      <w:pPr>
        <w:tabs>
          <w:tab w:val="left" w:pos="10490"/>
        </w:tabs>
        <w:spacing w:line="360" w:lineRule="auto"/>
        <w:ind w:right="49" w:firstLine="567"/>
        <w:jc w:val="both"/>
        <w:rPr>
          <w:rFonts w:ascii="GHEA Grapalat" w:hAnsi="GHEA Grapalat"/>
          <w:lang w:val="en-US"/>
        </w:rPr>
      </w:pPr>
      <w:r>
        <w:rPr>
          <w:rFonts w:ascii="GHEA Grapalat" w:hAnsi="GHEA Grapalat"/>
          <w:lang w:val="en-US"/>
        </w:rPr>
        <w:t xml:space="preserve"> ՔԿԱԳ տարածքային բաժինները վերածվել են ՔԿԱԳ սպասարկման կենտրոնների՝ տարանջատվելով՝ որպես փաստաթղթեր ընդունող մարմինների, որոնց իրավասությանն է պատկանում քաղաքացիական կացության ակտերի գրանցման հետ կապված գործառույթների կատարման համար անհրաժեշտ խորհրդատվության տրամադրումը, դիմումների ընդունումը և այդ գործառույթների արդյունքում կազմված փաստաթղթերի տրամադրում</w:t>
      </w:r>
      <w:r>
        <w:rPr>
          <w:rFonts w:ascii="GHEA Grapalat" w:hAnsi="GHEA Grapalat"/>
        </w:rPr>
        <w:t>ը</w:t>
      </w:r>
      <w:r>
        <w:rPr>
          <w:rFonts w:ascii="GHEA Grapalat" w:hAnsi="GHEA Grapalat"/>
          <w:lang w:val="en-US"/>
        </w:rPr>
        <w:t>՝ ստեղծելով մի իրավիճակ, երբ ՔԿԱԳ գործառույթներն իրականացվում են ինչպես անմիջականորեն ՔԿԱԳ գործակալության համակարգմամբ և վերահսկմամբ, այնպես էլ</w:t>
      </w:r>
      <w:r>
        <w:rPr>
          <w:rFonts w:ascii="GHEA Grapalat" w:hAnsi="GHEA Grapalat"/>
        </w:rPr>
        <w:t>՝</w:t>
      </w:r>
      <w:r>
        <w:rPr>
          <w:rFonts w:ascii="GHEA Grapalat" w:hAnsi="GHEA Grapalat"/>
          <w:lang w:val="en-US"/>
        </w:rPr>
        <w:t xml:space="preserve"> </w:t>
      </w:r>
      <w:r>
        <w:rPr>
          <w:rFonts w:ascii="GHEA Grapalat" w:hAnsi="GHEA Grapalat"/>
        </w:rPr>
        <w:t>առանց</w:t>
      </w:r>
      <w:r>
        <w:rPr>
          <w:rFonts w:ascii="GHEA Grapalat" w:hAnsi="GHEA Grapalat"/>
          <w:lang w:val="en-US"/>
        </w:rPr>
        <w:t xml:space="preserve"> համակարգման և վերահսկման, քանի որ գործող օրենսդրության պայմաններում առկա չէ այլ իրավական լիազորություն, քան միայն համայնքներում գործող սպասարկման կենտրոնների նկատմամբ մեթոդական ղեկավարման իրականացումը, որը բավարար գործիք չէ կարգավորելու առկա խնդիրները:</w:t>
      </w:r>
    </w:p>
    <w:p w14:paraId="469B01C2" w14:textId="77777777" w:rsidR="00BF1B70" w:rsidRDefault="00206D15">
      <w:pPr>
        <w:tabs>
          <w:tab w:val="left" w:pos="10490"/>
        </w:tabs>
        <w:spacing w:line="360" w:lineRule="auto"/>
        <w:ind w:right="49" w:firstLine="567"/>
        <w:jc w:val="both"/>
        <w:rPr>
          <w:rFonts w:ascii="GHEA Grapalat" w:hAnsi="GHEA Grapalat"/>
          <w:lang w:val="en-US"/>
        </w:rPr>
      </w:pPr>
      <w:r>
        <w:rPr>
          <w:lang w:val="en-US"/>
        </w:rPr>
        <w:t xml:space="preserve"> </w:t>
      </w:r>
      <w:r>
        <w:rPr>
          <w:rFonts w:ascii="GHEA Grapalat" w:hAnsi="GHEA Grapalat"/>
          <w:lang w:val="en-US"/>
        </w:rPr>
        <w:t xml:space="preserve">2021 թվականի օրենսդրական փոփոխություններից հետո, երբ ներդրվեց ՔԿԱԳ սպասարկման </w:t>
      </w:r>
      <w:r>
        <w:rPr>
          <w:rFonts w:ascii="GHEA Grapalat" w:hAnsi="GHEA Grapalat"/>
        </w:rPr>
        <w:t xml:space="preserve">առաջնային գրասենյակի </w:t>
      </w:r>
      <w:r>
        <w:rPr>
          <w:rFonts w:ascii="GHEA Grapalat" w:hAnsi="GHEA Grapalat"/>
          <w:lang w:val="en-US"/>
        </w:rPr>
        <w:t xml:space="preserve">(«front office») և </w:t>
      </w:r>
      <w:r>
        <w:rPr>
          <w:rFonts w:ascii="GHEA Grapalat" w:hAnsi="GHEA Grapalat"/>
        </w:rPr>
        <w:t xml:space="preserve">հետնային գրասենյակի </w:t>
      </w:r>
      <w:r>
        <w:rPr>
          <w:rFonts w:ascii="GHEA Grapalat" w:hAnsi="GHEA Grapalat"/>
          <w:lang w:val="en-US"/>
        </w:rPr>
        <w:t xml:space="preserve">(«back office») ձևաչափը, համայնքային գրասենյակներն իրականացնում են միայն </w:t>
      </w:r>
      <w:r>
        <w:rPr>
          <w:rFonts w:ascii="GHEA Grapalat" w:hAnsi="GHEA Grapalat"/>
        </w:rPr>
        <w:t>առաջնային գրասենյակի</w:t>
      </w:r>
      <w:r>
        <w:rPr>
          <w:rFonts w:ascii="GHEA Grapalat" w:hAnsi="GHEA Grapalat"/>
          <w:lang w:val="en-US"/>
        </w:rPr>
        <w:t xml:space="preserve"> դեր, և գրանցման ողջ գործառույթը վերապահված է </w:t>
      </w:r>
      <w:r>
        <w:rPr>
          <w:rFonts w:ascii="GHEA Grapalat" w:hAnsi="GHEA Grapalat"/>
        </w:rPr>
        <w:t xml:space="preserve">հետնային գրասենյակին՝ </w:t>
      </w:r>
      <w:r>
        <w:rPr>
          <w:rFonts w:ascii="GHEA Grapalat" w:hAnsi="GHEA Grapalat"/>
          <w:lang w:val="en-US"/>
        </w:rPr>
        <w:t xml:space="preserve">ԱՆ ՔԿԱԳ գործակալությանը, հետևաբար՝ համայնքային գրասենյակի սխալների և վրիպակների համար ևս պատասխանատվությունը կրում է կենտրոնական մարմինը: Այսպիսով, երկատված կառավարման համակարգի պայմաններում ընդհանրապես բացակայում է միասնական մոտեցումը ՔԿԱԳ համակարգի վերաբերյալ, օրինակ՝ Իջևանում և Գյումրիում  </w:t>
      </w:r>
      <w:r>
        <w:rPr>
          <w:rFonts w:ascii="GHEA Grapalat" w:hAnsi="GHEA Grapalat"/>
          <w:lang w:val="en-US"/>
        </w:rPr>
        <w:lastRenderedPageBreak/>
        <w:t xml:space="preserve">ծառայությունները մատուցվում են ԱՆ ՔԿԱԳ աշխատակիցների կողմից, որոնք քաղաքացիական ծառայողներ են, ինչի արդյունքում ստացվում է, որ միևնույն գործառույթներ իրականացնող համայնքային գրասենյակներից երկուսում աշխատողները գործում են ՔԿԱԳ անմիջական ենթակայությամբ, իսկ մյուս համայնքներում՝ համայնքային ենթակայությամբ: </w:t>
      </w:r>
    </w:p>
    <w:p w14:paraId="439F529B" w14:textId="77777777" w:rsidR="00BF1B70" w:rsidRDefault="00206D15">
      <w:pPr>
        <w:tabs>
          <w:tab w:val="left" w:pos="10490"/>
        </w:tabs>
        <w:spacing w:line="360" w:lineRule="auto"/>
        <w:ind w:right="49" w:firstLine="567"/>
        <w:jc w:val="both"/>
        <w:rPr>
          <w:rFonts w:ascii="GHEA Grapalat" w:hAnsi="GHEA Grapalat"/>
          <w:lang w:val="en-US"/>
        </w:rPr>
      </w:pPr>
      <w:r>
        <w:rPr>
          <w:rFonts w:ascii="GHEA Grapalat" w:hAnsi="GHEA Grapalat"/>
          <w:lang w:val="en-US"/>
        </w:rPr>
        <w:t xml:space="preserve">Նման տարանջատումը առաջացնում է բազմաթիվ խնդիրներ: Ընդ որում, խնդիրները բազմիցս բարձրաձայնվել են նաև տեղական ինքնակառավարման մարմինների կողմից, սակայն վերջիններս չունեն բավարար լիազորություններ և ռեսուրսներ լուծելու առաջացած խնդիրները: </w:t>
      </w:r>
      <w:r>
        <w:rPr>
          <w:rFonts w:ascii="GHEA Grapalat" w:hAnsi="GHEA Grapalat"/>
        </w:rPr>
        <w:t>Հարկ է նաև նշել, որ կառավարման նման մոդելը չունի լայն տարածում</w:t>
      </w:r>
      <w:r>
        <w:rPr>
          <w:rFonts w:ascii="GHEA Grapalat" w:hAnsi="GHEA Grapalat"/>
          <w:lang w:val="en-US"/>
        </w:rPr>
        <w:t xml:space="preserve">: </w:t>
      </w:r>
    </w:p>
    <w:p w14:paraId="5230EA0F" w14:textId="77777777" w:rsidR="00BF1B70" w:rsidRDefault="00206D15">
      <w:pPr>
        <w:tabs>
          <w:tab w:val="left" w:pos="10490"/>
        </w:tabs>
        <w:spacing w:line="360" w:lineRule="auto"/>
        <w:ind w:right="49" w:firstLine="567"/>
        <w:jc w:val="both"/>
        <w:rPr>
          <w:rFonts w:ascii="GHEA Grapalat" w:hAnsi="GHEA Grapalat"/>
          <w:lang w:val="en-US"/>
        </w:rPr>
      </w:pPr>
      <w:r>
        <w:rPr>
          <w:rFonts w:ascii="GHEA Grapalat" w:hAnsi="GHEA Grapalat"/>
          <w:lang w:val="en-US"/>
        </w:rPr>
        <w:t>Այսպես</w:t>
      </w:r>
      <w:r>
        <w:rPr>
          <w:rFonts w:ascii="GHEA Grapalat" w:hAnsi="GHEA Grapalat"/>
        </w:rPr>
        <w:t>,</w:t>
      </w:r>
      <w:r>
        <w:rPr>
          <w:rFonts w:ascii="GHEA Grapalat" w:hAnsi="GHEA Grapalat"/>
          <w:lang w:val="en-US"/>
        </w:rPr>
        <w:t xml:space="preserve"> օրինակ՝ Վրաստանում քաղաքացիական կացության ակտերի գրանցման մարմիններն են Վրաստանի արդարադատության նախարարության կառավարման ներքո գործող հանրային ծառայությունների զարգացման գործակալությունը, որն իր լիազորություններն իրականացնում է իր տարածքային գրասենյակների միջոցով, որոնք գտնվում են </w:t>
      </w:r>
      <w:r>
        <w:rPr>
          <w:rFonts w:ascii="GHEA Grapalat" w:hAnsi="GHEA Grapalat"/>
        </w:rPr>
        <w:t>նախարարությանը ենթակա</w:t>
      </w:r>
      <w:r>
        <w:rPr>
          <w:rFonts w:ascii="GHEA Grapalat" w:hAnsi="GHEA Grapalat"/>
          <w:lang w:val="en-US"/>
        </w:rPr>
        <w:t xml:space="preserve"> վարչության ներքո: </w:t>
      </w:r>
    </w:p>
    <w:p w14:paraId="399034EA" w14:textId="77777777" w:rsidR="00BF1B70" w:rsidRDefault="00206D15">
      <w:pPr>
        <w:tabs>
          <w:tab w:val="left" w:pos="10490"/>
        </w:tabs>
        <w:spacing w:line="360" w:lineRule="auto"/>
        <w:ind w:right="49" w:firstLine="567"/>
        <w:jc w:val="both"/>
        <w:rPr>
          <w:rFonts w:ascii="GHEA Grapalat" w:hAnsi="GHEA Grapalat"/>
          <w:lang w:val="en-US"/>
        </w:rPr>
      </w:pPr>
      <w:r>
        <w:rPr>
          <w:rFonts w:ascii="GHEA Grapalat" w:hAnsi="GHEA Grapalat"/>
          <w:lang w:val="en-US"/>
        </w:rPr>
        <w:t xml:space="preserve">Լատվիայում և Լիտվայում քաղաքացիական կացության ակտերի գրանցումներն առավելապես իրականացվում են  ՔԿԱԳ տարածքային մարմինների կամ մունիցիպալ մարմինների կողմից: </w:t>
      </w:r>
    </w:p>
    <w:p w14:paraId="6C4ACB53" w14:textId="77777777" w:rsidR="00BF1B70" w:rsidRDefault="00206D15">
      <w:pPr>
        <w:tabs>
          <w:tab w:val="left" w:pos="10490"/>
        </w:tabs>
        <w:spacing w:line="360" w:lineRule="auto"/>
        <w:ind w:right="49" w:firstLine="567"/>
        <w:jc w:val="both"/>
        <w:rPr>
          <w:rFonts w:ascii="GHEA Grapalat" w:hAnsi="GHEA Grapalat"/>
          <w:lang w:val="en-US"/>
        </w:rPr>
      </w:pPr>
      <w:r>
        <w:rPr>
          <w:rFonts w:ascii="GHEA Grapalat" w:hAnsi="GHEA Grapalat"/>
        </w:rPr>
        <w:t>Հայաստանի Հանրապետությունում</w:t>
      </w:r>
      <w:r>
        <w:rPr>
          <w:rFonts w:ascii="GHEA Grapalat" w:hAnsi="GHEA Grapalat"/>
          <w:lang w:val="en-US"/>
        </w:rPr>
        <w:t xml:space="preserve"> գործող մոդելին որոշակիորեն նման է Էստոնիայի փորձը, որտեղ գործում է ՔԿԱԳ մարմինների խառը համակարգ, երբ ՔԿԱԳ մարմինների շարքին են դասվում՝ տեղական ինքնակառավարման մարմինները, միասնական գրասենյակը, արտաքին և ներքին գործերի նախարարությունները, բացի այդ, Էստոնիայում կիրառվում է նաև «մասնավոր ՔԿԱԳ-ի» մոդելը, երբ անձը, ով համապատասխանում է օրենքով սահմանված պահանջներին և հանձնել է որակավորման քննություն</w:t>
      </w:r>
      <w:r>
        <w:rPr>
          <w:rFonts w:ascii="GHEA Grapalat" w:hAnsi="GHEA Grapalat"/>
        </w:rPr>
        <w:t>,</w:t>
      </w:r>
      <w:r>
        <w:rPr>
          <w:rFonts w:ascii="GHEA Grapalat" w:hAnsi="GHEA Grapalat"/>
          <w:lang w:val="en-US"/>
        </w:rPr>
        <w:t xml:space="preserve"> իրավունք է ստանում իրականացնել օրենքով սահմանված ՔԿԱԳ մարմնի լիազորությունները՝ նշանակվելով որպես պատասխանատու պաշտոնատար անձ: Այստեղ, սակայն, հատկանշական է այն, որ Էստոնիայում նման խառը համակարգը արդյունավետ է գործում, քանի որ ողջ համակարգը, այդ թվում՝ արխիվը, թվայնացված է, մինչդեռ Հայաստանում նման </w:t>
      </w:r>
      <w:r>
        <w:rPr>
          <w:rFonts w:ascii="GHEA Grapalat" w:hAnsi="GHEA Grapalat"/>
        </w:rPr>
        <w:t>ծավալի</w:t>
      </w:r>
      <w:r>
        <w:rPr>
          <w:rFonts w:ascii="GHEA Grapalat" w:hAnsi="GHEA Grapalat"/>
          <w:lang w:val="en-US"/>
        </w:rPr>
        <w:t xml:space="preserve"> թվայնացման համար </w:t>
      </w:r>
      <w:r>
        <w:rPr>
          <w:rFonts w:ascii="GHEA Grapalat" w:hAnsi="GHEA Grapalat"/>
          <w:lang w:val="en-US"/>
        </w:rPr>
        <w:lastRenderedPageBreak/>
        <w:t xml:space="preserve">երկար ժամանակ և մեծ ֆինանսական միջոցներ են անհրաժեշտ, հետևապես՝ անհրաժեշտ է </w:t>
      </w:r>
      <w:r>
        <w:rPr>
          <w:rFonts w:ascii="GHEA Grapalat" w:hAnsi="GHEA Grapalat"/>
        </w:rPr>
        <w:t xml:space="preserve">համակարգը բարեփոխել </w:t>
      </w:r>
      <w:r>
        <w:rPr>
          <w:rFonts w:ascii="GHEA Grapalat" w:hAnsi="GHEA Grapalat"/>
          <w:lang w:val="en-US"/>
        </w:rPr>
        <w:t xml:space="preserve">այս պահին առկա միջոցներով: </w:t>
      </w:r>
    </w:p>
    <w:p w14:paraId="0C671296" w14:textId="77777777" w:rsidR="00BF1B70" w:rsidRDefault="00206D15">
      <w:pPr>
        <w:tabs>
          <w:tab w:val="left" w:pos="10490"/>
        </w:tabs>
        <w:spacing w:line="360" w:lineRule="auto"/>
        <w:ind w:right="49" w:firstLine="567"/>
        <w:jc w:val="both"/>
        <w:rPr>
          <w:rFonts w:ascii="GHEA Grapalat" w:hAnsi="GHEA Grapalat"/>
          <w:lang w:val="en-US"/>
        </w:rPr>
      </w:pPr>
      <w:r>
        <w:rPr>
          <w:rFonts w:ascii="GHEA Grapalat" w:hAnsi="GHEA Grapalat"/>
          <w:lang w:val="en-US"/>
        </w:rPr>
        <w:t xml:space="preserve">Հատկանշական է նաև այն, որ համայնքային սպասարկման կենտրոնների կողմից իրականացվող ՔԿԱԳ գործառույթների համար քաղաքացիների վճարած </w:t>
      </w:r>
      <w:r>
        <w:rPr>
          <w:rFonts w:ascii="GHEA Grapalat" w:hAnsi="GHEA Grapalat"/>
        </w:rPr>
        <w:t>տուրքերն ուղղվում են ոչ թե պետական, այլ՝ համայնքային բյուջե</w:t>
      </w:r>
      <w:r>
        <w:rPr>
          <w:rFonts w:ascii="GHEA Grapalat" w:hAnsi="GHEA Grapalat"/>
          <w:lang w:val="en-US"/>
        </w:rPr>
        <w:t xml:space="preserve">: </w:t>
      </w:r>
    </w:p>
    <w:p w14:paraId="6940B977" w14:textId="77777777" w:rsidR="00BF1B70" w:rsidRDefault="00206D15">
      <w:pPr>
        <w:tabs>
          <w:tab w:val="left" w:pos="10490"/>
        </w:tabs>
        <w:spacing w:line="360" w:lineRule="auto"/>
        <w:ind w:right="49" w:firstLine="567"/>
        <w:jc w:val="both"/>
        <w:rPr>
          <w:rFonts w:ascii="GHEA Grapalat" w:hAnsi="GHEA Grapalat"/>
          <w:lang w:val="en-US"/>
        </w:rPr>
      </w:pPr>
      <w:r>
        <w:rPr>
          <w:rFonts w:ascii="GHEA Grapalat" w:hAnsi="GHEA Grapalat"/>
          <w:lang w:val="en-US"/>
        </w:rPr>
        <w:t>Վերոնշյալի արդյունքում արձանագրված են բազմաթիվ խնդիրներ, որոնց լուծմանն էլ միտված է Նախագծերի փաթեթը</w:t>
      </w:r>
      <w:r>
        <w:rPr>
          <w:rFonts w:ascii="GHEA Grapalat" w:hAnsi="GHEA Grapalat"/>
        </w:rPr>
        <w:t>։</w:t>
      </w:r>
      <w:r>
        <w:rPr>
          <w:rFonts w:ascii="GHEA Grapalat" w:hAnsi="GHEA Grapalat"/>
          <w:lang w:val="en-US"/>
        </w:rPr>
        <w:t xml:space="preserve"> </w:t>
      </w:r>
      <w:r>
        <w:rPr>
          <w:rFonts w:ascii="GHEA Grapalat" w:hAnsi="GHEA Grapalat"/>
        </w:rPr>
        <w:t>Մ</w:t>
      </w:r>
      <w:r>
        <w:rPr>
          <w:rFonts w:ascii="GHEA Grapalat" w:hAnsi="GHEA Grapalat"/>
          <w:lang w:val="en-US"/>
        </w:rPr>
        <w:t>ասնավորապես՝ նույնպիսի գործառույթներ իրականացնող աշխատակիցների անհավասար պայմաններ և ռոտացիայի անհնարինություն, մատուցվող ծառայությունների որակի նկատմամբ վերահսկողության, բողոքարկման և պատասխանատվության մեխանիզմների բացակայություն, տվյալների կառավարման տարանջատվածություն (այդ թվում՝ ՔԿԱԳ արխիվի և համայնքային արխիվի) և վերահսկողության կորուստ, վարչարարության թերություններ և կոռուպցիոն ռիսկեր</w:t>
      </w:r>
      <w:r>
        <w:rPr>
          <w:rFonts w:ascii="GHEA Grapalat" w:hAnsi="GHEA Grapalat"/>
        </w:rPr>
        <w:t>։</w:t>
      </w:r>
      <w:r>
        <w:rPr>
          <w:rFonts w:ascii="GHEA Grapalat" w:hAnsi="GHEA Grapalat"/>
          <w:lang w:val="en-US"/>
        </w:rPr>
        <w:t xml:space="preserve"> </w:t>
      </w:r>
      <w:r>
        <w:rPr>
          <w:rFonts w:ascii="GHEA Grapalat" w:hAnsi="GHEA Grapalat"/>
        </w:rPr>
        <w:t>Նշված խնդիրները պահանջում են այնպիսի գործիքակազմի ներդրում, ինչի արդյունքում</w:t>
      </w:r>
      <w:r>
        <w:rPr>
          <w:rFonts w:ascii="GHEA Grapalat" w:hAnsi="GHEA Grapalat"/>
          <w:lang w:val="en-US"/>
        </w:rPr>
        <w:t xml:space="preserve"> </w:t>
      </w:r>
      <w:r>
        <w:rPr>
          <w:rFonts w:ascii="GHEA Grapalat" w:hAnsi="GHEA Grapalat"/>
        </w:rPr>
        <w:t xml:space="preserve">հնարավոր կլինի ապահովել </w:t>
      </w:r>
      <w:r>
        <w:rPr>
          <w:rFonts w:ascii="GHEA Grapalat" w:hAnsi="GHEA Grapalat"/>
          <w:lang w:val="en-US"/>
        </w:rPr>
        <w:t xml:space="preserve">քաղաքացիներին մատուցվող ծառայությունների </w:t>
      </w:r>
      <w:r>
        <w:rPr>
          <w:rFonts w:ascii="GHEA Grapalat" w:hAnsi="GHEA Grapalat"/>
        </w:rPr>
        <w:t>վերահսկողություն</w:t>
      </w:r>
      <w:r>
        <w:rPr>
          <w:rFonts w:ascii="GHEA Grapalat" w:hAnsi="GHEA Grapalat"/>
          <w:lang w:val="en-US"/>
        </w:rPr>
        <w:t>, բարձր որակ, խնդիրների լուծմանն ուղղված որոշումների ընդունում, աշխատակիցների կարգավիճակի ու ռեսուրսների բաշխում, մատուցվող ծառայությունների առնչությամբ քաղաքացիների կողմից ներկայացվող բողոք-դիմումների պատշաճ քննություն։</w:t>
      </w:r>
    </w:p>
    <w:p w14:paraId="7317F42D" w14:textId="77777777" w:rsidR="00BF1B70" w:rsidRDefault="00206D15">
      <w:pPr>
        <w:tabs>
          <w:tab w:val="left" w:pos="10490"/>
        </w:tabs>
        <w:spacing w:line="360" w:lineRule="auto"/>
        <w:ind w:right="49" w:firstLine="567"/>
        <w:jc w:val="both"/>
        <w:rPr>
          <w:rFonts w:ascii="GHEA Grapalat" w:hAnsi="GHEA Grapalat"/>
        </w:rPr>
      </w:pPr>
      <w:r>
        <w:rPr>
          <w:rFonts w:ascii="GHEA Grapalat" w:hAnsi="GHEA Grapalat"/>
          <w:lang w:val="en-US"/>
        </w:rPr>
        <w:t xml:space="preserve"> </w:t>
      </w:r>
      <w:r>
        <w:rPr>
          <w:rFonts w:ascii="GHEA Grapalat" w:hAnsi="GHEA Grapalat"/>
        </w:rPr>
        <w:t xml:space="preserve">Բացի այդ, </w:t>
      </w:r>
      <w:r>
        <w:rPr>
          <w:rFonts w:ascii="GHEA Grapalat" w:hAnsi="GHEA Grapalat"/>
          <w:lang w:val="en-US"/>
        </w:rPr>
        <w:t>2018 թվականի փետրվարի 21-ին ընդունվել է Համապարփակ և ընդլայնված գործընկերության համաձայնագի</w:t>
      </w:r>
      <w:r>
        <w:rPr>
          <w:rFonts w:ascii="GHEA Grapalat" w:hAnsi="GHEA Grapalat"/>
        </w:rPr>
        <w:t>ր</w:t>
      </w:r>
      <w:r>
        <w:rPr>
          <w:rFonts w:ascii="GHEA Grapalat" w:hAnsi="GHEA Grapalat"/>
          <w:lang w:val="en-US"/>
        </w:rPr>
        <w:t xml:space="preserve"> (ՀԸԳՀ)</w:t>
      </w:r>
      <w:r>
        <w:rPr>
          <w:rFonts w:ascii="GHEA Grapalat" w:hAnsi="GHEA Grapalat"/>
        </w:rPr>
        <w:t xml:space="preserve"> ԵՄ-ի և Հայաստանի միջև</w:t>
      </w:r>
      <w:r>
        <w:rPr>
          <w:rFonts w:ascii="GHEA Grapalat" w:hAnsi="GHEA Grapalat"/>
          <w:lang w:val="en-US"/>
        </w:rPr>
        <w:t>, որն ուժի մեջ է մտել 2021 թվականի մարտի 1-ին</w:t>
      </w:r>
      <w:r>
        <w:rPr>
          <w:rFonts w:ascii="GHEA Grapalat" w:hAnsi="GHEA Grapalat"/>
        </w:rPr>
        <w:t xml:space="preserve">։ Հիշյալ համաձայնագրի վրա են հիմնված ԵՄ-ի և Հայաստանի միջև հարաբերությունները, որի շրջանակում ընթանում է նաև ԵՄ-ի և Հայաստանի միջև վիզաների շուրջ երկխոսության գործընթացը։ Նշված գործընթացի շրջանակում մշակվել է վիզաների ազատականացման գործողությունների ծրագիրը (այսուհետ՝ նաև Ծրագիր), որում շեշտադրված են այն բոլոր ջանքներն ու անելիքները, որոնք վիզաների շուրջ երկխոսության գործընթացի կողմերը պետք է ապահովեն՝ այդպիսով ապահովելով առավել գործուն և արդյունավետ կառուցակարգերի ներդրում։ </w:t>
      </w:r>
    </w:p>
    <w:p w14:paraId="78FF5C67" w14:textId="77777777" w:rsidR="00BF1B70" w:rsidRDefault="00206D15">
      <w:pPr>
        <w:tabs>
          <w:tab w:val="left" w:pos="10490"/>
        </w:tabs>
        <w:spacing w:line="360" w:lineRule="auto"/>
        <w:ind w:right="49" w:firstLine="567"/>
        <w:jc w:val="both"/>
        <w:rPr>
          <w:rFonts w:ascii="GHEA Grapalat" w:hAnsi="GHEA Grapalat"/>
        </w:rPr>
      </w:pPr>
      <w:r>
        <w:rPr>
          <w:rFonts w:ascii="GHEA Grapalat" w:hAnsi="GHEA Grapalat"/>
        </w:rPr>
        <w:lastRenderedPageBreak/>
        <w:t>Մասնավորապես՝ Ծրագրի 2-րդ բաժնի 1-ին ոլորտի 1</w:t>
      </w:r>
      <w:r>
        <w:rPr>
          <w:rFonts w:ascii="Cambria Math" w:hAnsi="Cambria Math" w:cs="Cambria Math"/>
        </w:rPr>
        <w:t>․</w:t>
      </w:r>
      <w:r>
        <w:rPr>
          <w:rFonts w:ascii="GHEA Grapalat" w:hAnsi="GHEA Grapalat"/>
        </w:rPr>
        <w:t>1-</w:t>
      </w:r>
      <w:r>
        <w:rPr>
          <w:rFonts w:ascii="GHEA Grapalat" w:hAnsi="GHEA Grapalat" w:cs="GHEA Grapalat"/>
        </w:rPr>
        <w:t>ին</w:t>
      </w:r>
      <w:r>
        <w:rPr>
          <w:rFonts w:ascii="GHEA Grapalat" w:hAnsi="GHEA Grapalat"/>
        </w:rPr>
        <w:t xml:space="preserve"> </w:t>
      </w:r>
      <w:r>
        <w:rPr>
          <w:rFonts w:ascii="GHEA Grapalat" w:hAnsi="GHEA Grapalat" w:cs="GHEA Grapalat"/>
        </w:rPr>
        <w:t>կետի</w:t>
      </w:r>
      <w:r>
        <w:rPr>
          <w:rFonts w:ascii="GHEA Grapalat" w:hAnsi="GHEA Grapalat"/>
        </w:rPr>
        <w:t xml:space="preserve"> </w:t>
      </w:r>
      <w:r>
        <w:rPr>
          <w:rFonts w:ascii="GHEA Grapalat" w:hAnsi="GHEA Grapalat" w:cs="GHEA Grapalat"/>
        </w:rPr>
        <w:t>համաձայն՝</w:t>
      </w:r>
      <w:r>
        <w:rPr>
          <w:rFonts w:ascii="GHEA Grapalat" w:hAnsi="GHEA Grapalat"/>
        </w:rPr>
        <w:t xml:space="preserve"> իրավական և ինստիտուցիոնալ շրջանակի ամրապնդման գործընթացում պետք է իրականացվեն քաղաքացիական կացության և քաղաքացիական գրանցման գործընթացների ամբողջականությունն ու անվտանգությունն ապահովելուն ուղղված գործողություններ, իսկ Ծրագրի 2-րդ բաժնի 3-րդ ոլորտի 3</w:t>
      </w:r>
      <w:r>
        <w:rPr>
          <w:rFonts w:ascii="Cambria Math" w:hAnsi="Cambria Math" w:cs="Cambria Math"/>
        </w:rPr>
        <w:t>․</w:t>
      </w:r>
      <w:r>
        <w:rPr>
          <w:rFonts w:ascii="GHEA Grapalat" w:hAnsi="GHEA Grapalat"/>
        </w:rPr>
        <w:t>1-</w:t>
      </w:r>
      <w:r>
        <w:rPr>
          <w:rFonts w:ascii="GHEA Grapalat" w:hAnsi="GHEA Grapalat" w:cs="GHEA Grapalat"/>
        </w:rPr>
        <w:t>ին</w:t>
      </w:r>
      <w:r>
        <w:rPr>
          <w:rFonts w:ascii="GHEA Grapalat" w:hAnsi="GHEA Grapalat"/>
        </w:rPr>
        <w:t xml:space="preserve"> </w:t>
      </w:r>
      <w:r>
        <w:rPr>
          <w:rFonts w:ascii="GHEA Grapalat" w:hAnsi="GHEA Grapalat" w:cs="GHEA Grapalat"/>
        </w:rPr>
        <w:t>կետի</w:t>
      </w:r>
      <w:r>
        <w:rPr>
          <w:rFonts w:ascii="GHEA Grapalat" w:hAnsi="GHEA Grapalat"/>
        </w:rPr>
        <w:t xml:space="preserve"> 3.1.13-րդ ենթակետի շրջանակում պետք է ապահովվի արդյունավետ էթիկայի կանոնագրքերի մշակում՝ ուղեկցված պետական պաշտոնատար անձանց նկատմամբ կիրառվող պատժամիջոցներով։ Այսպիսով՝ պետության ստանձնած պարտավորություններից է բխում այնպիսի կառուցակարգերի ներդրումը, որոնք հնարավոր կդարձնեն ՔԿԱԳ ոլորտում կիրառելի գործընթացների ամբողջականության ապահովումը, վերջինիս կողմից մատուցվող ծառայություններում ներգրավված աշխատակիցների մասնագիտական և էթիկայի կարողությունների զարգացումը՝ այդպիսով ստեղծելով գործուն մեխանիզմ, որում հնարավոր կլինի ապահովել վերահսկելիությունն ու կոռուպցիոն ռիսկերի կանխարգելումը, ինչը, սակայն, հնարավոր չէ ապահովել այս պահին ՔԿԱԳ ոլորտում մատուցվող ծառայությունների շրջանակում գործող տարանջատված մոդելի առկայության պայմաններում, երբ համայնքային ծառայողների կողմից մատուցվում են ՔԿԱԳ ծառայություններ՝ առանց դրա համար պատասխանատու մարմնի կողմից վերահսկողական արդյունավետ գործիքակազմի առկայության։ Նշված գործընթացը հնարավոր կլինի դարձնել առավել վերահսկելի, երբ համայնքային ծառայողները շարունակեն նույն ծառայությունների մատուցումը որպես քաղաքացիական ծառայողներ, ինչի</w:t>
      </w:r>
      <w:r>
        <w:rPr>
          <w:rFonts w:ascii="Cambria Math" w:hAnsi="Cambria Math"/>
        </w:rPr>
        <w:t xml:space="preserve"> </w:t>
      </w:r>
      <w:r>
        <w:rPr>
          <w:rFonts w:ascii="GHEA Grapalat" w:hAnsi="GHEA Grapalat"/>
        </w:rPr>
        <w:t>արդյունքում հնարավոր կլինի ապահովել քաղաքացիներին մատուցվող ծառայությունների որակական նոր չափանիշներ՝ այդպիսով նաև որոշ ծառայությունների մասով բարձրացնելով պետական տուրքի համար սահմանված վճարներն այն տրամաբանությամբ, որ բարձր որակի մատուցվող ծառայություններն իրենցից ենթադրում են նաև շատ ծախսեր, հետևապես՝ սահմանելով որակական նոր նշաձող, պետք է ապահովել նաև դրանից բխող ծախսերի հատուցումը։</w:t>
      </w:r>
    </w:p>
    <w:p w14:paraId="7788D792" w14:textId="77777777" w:rsidR="00BF1B70" w:rsidRDefault="00206D15">
      <w:pPr>
        <w:tabs>
          <w:tab w:val="left" w:pos="10490"/>
        </w:tabs>
        <w:spacing w:line="360" w:lineRule="auto"/>
        <w:ind w:right="49" w:firstLine="567"/>
        <w:jc w:val="both"/>
        <w:rPr>
          <w:rFonts w:ascii="GHEA Grapalat" w:hAnsi="GHEA Grapalat"/>
        </w:rPr>
      </w:pPr>
      <w:r>
        <w:rPr>
          <w:rFonts w:ascii="GHEA Grapalat" w:hAnsi="GHEA Grapalat"/>
        </w:rPr>
        <w:t xml:space="preserve">Բացի վերահսկողության խնդրից, կարևոր է նաև նշել, որ քաղաքացիական ծառայողների համար արդեն իսկ նախատեսված է վարքագծի կանոնագիրք, հետևաբար, այն դեպքում, երբ </w:t>
      </w:r>
      <w:r>
        <w:rPr>
          <w:rFonts w:ascii="GHEA Grapalat" w:hAnsi="GHEA Grapalat"/>
        </w:rPr>
        <w:lastRenderedPageBreak/>
        <w:t xml:space="preserve">ՔԿԱԳ ծառայություններ մատուցող բոլոր աշխատակիցների կողմից նշված ծառայությունների մատուցումը շարունակվի իրականացվել որպես քաղաքացիական ծառայողներ, նրանց վրա հավասարապես ու նույնությամբ կտարածվեն քաղաքացիական ծառայողների վարքագծի կանոնները, ուստի, կարծում ենք, անհրաժեշտություն չի առաջանա բացառապես ՔԿԱԳ ծառայություններ մատուցող անձանց համար մշակել առանձին էթիկայի կանոնագիրք։ </w:t>
      </w:r>
    </w:p>
    <w:p w14:paraId="57C2FB7E" w14:textId="77777777" w:rsidR="00BF1B70" w:rsidRDefault="00BF1B70">
      <w:pPr>
        <w:tabs>
          <w:tab w:val="left" w:pos="10490"/>
        </w:tabs>
        <w:spacing w:line="360" w:lineRule="auto"/>
        <w:ind w:right="49" w:firstLine="567"/>
        <w:jc w:val="both"/>
        <w:rPr>
          <w:rFonts w:ascii="GHEA Grapalat" w:hAnsi="GHEA Grapalat"/>
        </w:rPr>
      </w:pPr>
    </w:p>
    <w:p w14:paraId="6E36E990" w14:textId="77777777" w:rsidR="00BF1B70" w:rsidRDefault="00BF1B70">
      <w:pPr>
        <w:tabs>
          <w:tab w:val="left" w:pos="10490"/>
        </w:tabs>
        <w:spacing w:line="360" w:lineRule="auto"/>
        <w:ind w:right="49" w:firstLine="567"/>
        <w:jc w:val="both"/>
        <w:rPr>
          <w:rFonts w:ascii="GHEA Grapalat" w:hAnsi="GHEA Grapalat"/>
        </w:rPr>
      </w:pPr>
    </w:p>
    <w:p w14:paraId="4BAB1C84" w14:textId="77777777" w:rsidR="00BF1B70" w:rsidRDefault="00BF1B70">
      <w:pPr>
        <w:tabs>
          <w:tab w:val="left" w:pos="10490"/>
        </w:tabs>
        <w:spacing w:line="360" w:lineRule="auto"/>
        <w:ind w:right="49"/>
        <w:jc w:val="both"/>
        <w:rPr>
          <w:rFonts w:ascii="Sylfaen" w:hAnsi="Sylfaen"/>
        </w:rPr>
      </w:pPr>
    </w:p>
    <w:p w14:paraId="7E71E0AC" w14:textId="77777777" w:rsidR="00BF1B70" w:rsidRDefault="00206D15">
      <w:pPr>
        <w:pStyle w:val="ListParagraph"/>
        <w:numPr>
          <w:ilvl w:val="0"/>
          <w:numId w:val="1"/>
        </w:numPr>
        <w:tabs>
          <w:tab w:val="left" w:pos="10490"/>
        </w:tabs>
        <w:ind w:right="49"/>
        <w:rPr>
          <w:rFonts w:ascii="GHEA Grapalat" w:hAnsi="GHEA Grapalat"/>
          <w:b/>
          <w:lang w:val="hy-AM"/>
        </w:rPr>
      </w:pPr>
      <w:r>
        <w:rPr>
          <w:rFonts w:ascii="GHEA Grapalat" w:hAnsi="GHEA Grapalat" w:cs="GHEA Mariam"/>
          <w:b/>
          <w:lang w:val="hy-AM"/>
        </w:rPr>
        <w:t>Ընթացիկ</w:t>
      </w:r>
      <w:r>
        <w:rPr>
          <w:rFonts w:ascii="GHEA Grapalat" w:hAnsi="GHEA Grapalat"/>
          <w:b/>
          <w:lang w:val="hy-AM"/>
        </w:rPr>
        <w:t xml:space="preserve"> իրավիճակը և իրավական ակտի ընդունման անհրաժեշտությունը.</w:t>
      </w:r>
    </w:p>
    <w:p w14:paraId="71C515D3" w14:textId="77777777" w:rsidR="00BF1B70" w:rsidRDefault="00206D15">
      <w:pPr>
        <w:tabs>
          <w:tab w:val="left" w:pos="10490"/>
        </w:tabs>
        <w:spacing w:line="360" w:lineRule="auto"/>
        <w:ind w:right="49"/>
        <w:jc w:val="both"/>
        <w:rPr>
          <w:rFonts w:ascii="GHEA Grapalat" w:hAnsi="GHEA Grapalat"/>
        </w:rPr>
      </w:pPr>
      <w:r>
        <w:rPr>
          <w:rFonts w:ascii="GHEA Grapalat" w:hAnsi="GHEA Grapalat" w:cs="Sylfaen"/>
        </w:rPr>
        <w:t xml:space="preserve">         Գործող կարգավորումների ուժով համայնքային</w:t>
      </w:r>
      <w:r>
        <w:rPr>
          <w:rFonts w:ascii="GHEA Grapalat" w:hAnsi="GHEA Grapalat"/>
        </w:rPr>
        <w:t xml:space="preserve"> </w:t>
      </w:r>
      <w:r>
        <w:rPr>
          <w:rFonts w:ascii="GHEA Grapalat" w:hAnsi="GHEA Grapalat" w:cs="Sylfaen"/>
        </w:rPr>
        <w:t>սպասարկման</w:t>
      </w:r>
      <w:r>
        <w:rPr>
          <w:rFonts w:ascii="GHEA Grapalat" w:hAnsi="GHEA Grapalat"/>
        </w:rPr>
        <w:t xml:space="preserve"> </w:t>
      </w:r>
      <w:r>
        <w:rPr>
          <w:rFonts w:ascii="GHEA Grapalat" w:hAnsi="GHEA Grapalat" w:cs="Sylfaen"/>
        </w:rPr>
        <w:t>կենտրոնները</w:t>
      </w:r>
      <w:r>
        <w:rPr>
          <w:rFonts w:ascii="GHEA Grapalat" w:hAnsi="GHEA Grapalat"/>
        </w:rPr>
        <w:t xml:space="preserve"> </w:t>
      </w:r>
      <w:r>
        <w:rPr>
          <w:rFonts w:ascii="GHEA Grapalat" w:hAnsi="GHEA Grapalat" w:cs="Sylfaen"/>
        </w:rPr>
        <w:t>ընդգրկված չեն</w:t>
      </w:r>
      <w:r>
        <w:rPr>
          <w:rFonts w:ascii="GHEA Grapalat" w:hAnsi="GHEA Grapalat"/>
        </w:rPr>
        <w:t xml:space="preserve"> </w:t>
      </w:r>
      <w:r>
        <w:rPr>
          <w:rFonts w:ascii="GHEA Grapalat" w:hAnsi="GHEA Grapalat" w:cs="Sylfaen"/>
        </w:rPr>
        <w:t>ԱՆ</w:t>
      </w:r>
      <w:r>
        <w:rPr>
          <w:rFonts w:ascii="GHEA Grapalat" w:hAnsi="GHEA Grapalat"/>
        </w:rPr>
        <w:t xml:space="preserve"> կազմում և հետևապես՝ ԱՆ </w:t>
      </w:r>
      <w:r>
        <w:rPr>
          <w:rFonts w:ascii="GHEA Grapalat" w:hAnsi="GHEA Grapalat" w:cs="Sylfaen"/>
        </w:rPr>
        <w:t>անմիջական</w:t>
      </w:r>
      <w:r>
        <w:rPr>
          <w:rFonts w:ascii="GHEA Grapalat" w:hAnsi="GHEA Grapalat"/>
        </w:rPr>
        <w:t xml:space="preserve"> </w:t>
      </w:r>
      <w:r>
        <w:rPr>
          <w:rFonts w:ascii="GHEA Grapalat" w:hAnsi="GHEA Grapalat" w:cs="Sylfaen"/>
        </w:rPr>
        <w:t>վերահսկողությունից դուրս են</w:t>
      </w:r>
      <w:r>
        <w:rPr>
          <w:rFonts w:ascii="GHEA Grapalat" w:hAnsi="GHEA Grapalat"/>
        </w:rPr>
        <w:t xml:space="preserve">: Վերջիններս </w:t>
      </w:r>
      <w:r>
        <w:rPr>
          <w:rFonts w:ascii="GHEA Grapalat" w:hAnsi="GHEA Grapalat" w:cs="Sylfaen"/>
        </w:rPr>
        <w:t>թեև</w:t>
      </w:r>
      <w:r>
        <w:rPr>
          <w:rFonts w:ascii="GHEA Grapalat" w:hAnsi="GHEA Grapalat"/>
        </w:rPr>
        <w:t xml:space="preserve"> </w:t>
      </w:r>
      <w:r>
        <w:rPr>
          <w:rFonts w:ascii="GHEA Grapalat" w:hAnsi="GHEA Grapalat" w:cs="Sylfaen"/>
        </w:rPr>
        <w:t>իրականացնում</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ՔԿԱԳ</w:t>
      </w:r>
      <w:r>
        <w:rPr>
          <w:rFonts w:ascii="GHEA Grapalat" w:hAnsi="GHEA Grapalat"/>
        </w:rPr>
        <w:t xml:space="preserve"> </w:t>
      </w:r>
      <w:r>
        <w:rPr>
          <w:rFonts w:ascii="GHEA Grapalat" w:hAnsi="GHEA Grapalat" w:cs="Sylfaen"/>
        </w:rPr>
        <w:t>գործառույթներ</w:t>
      </w:r>
      <w:r>
        <w:rPr>
          <w:rFonts w:ascii="GHEA Grapalat" w:hAnsi="GHEA Grapalat"/>
        </w:rPr>
        <w:t xml:space="preserve">, սակայն </w:t>
      </w:r>
      <w:r>
        <w:rPr>
          <w:rFonts w:ascii="GHEA Grapalat" w:hAnsi="GHEA Grapalat" w:cs="Sylfaen"/>
        </w:rPr>
        <w:t>հնարավոր</w:t>
      </w:r>
      <w:r>
        <w:rPr>
          <w:rFonts w:ascii="GHEA Grapalat" w:hAnsi="GHEA Grapalat"/>
        </w:rPr>
        <w:t xml:space="preserve"> </w:t>
      </w:r>
      <w:r>
        <w:rPr>
          <w:rFonts w:ascii="GHEA Grapalat" w:hAnsi="GHEA Grapalat" w:cs="Sylfaen"/>
        </w:rPr>
        <w:t>չի</w:t>
      </w:r>
      <w:r>
        <w:rPr>
          <w:rFonts w:ascii="GHEA Grapalat" w:hAnsi="GHEA Grapalat"/>
        </w:rPr>
        <w:t xml:space="preserve"> </w:t>
      </w:r>
      <w:r>
        <w:rPr>
          <w:rFonts w:ascii="GHEA Grapalat" w:hAnsi="GHEA Grapalat" w:cs="Sylfaen"/>
        </w:rPr>
        <w:t>լինում</w:t>
      </w:r>
      <w:r>
        <w:rPr>
          <w:rFonts w:ascii="GHEA Grapalat" w:hAnsi="GHEA Grapalat"/>
        </w:rPr>
        <w:t xml:space="preserve"> </w:t>
      </w:r>
      <w:r>
        <w:rPr>
          <w:rFonts w:ascii="GHEA Grapalat" w:hAnsi="GHEA Grapalat" w:cs="Sylfaen"/>
        </w:rPr>
        <w:t>վերահսկել</w:t>
      </w:r>
      <w:r>
        <w:rPr>
          <w:rFonts w:ascii="GHEA Grapalat" w:hAnsi="GHEA Grapalat"/>
        </w:rPr>
        <w:t xml:space="preserve"> </w:t>
      </w:r>
      <w:r>
        <w:rPr>
          <w:rFonts w:ascii="GHEA Grapalat" w:hAnsi="GHEA Grapalat" w:cs="Sylfaen"/>
        </w:rPr>
        <w:t>ծառայությունների</w:t>
      </w:r>
      <w:r>
        <w:rPr>
          <w:rFonts w:ascii="GHEA Grapalat" w:hAnsi="GHEA Grapalat"/>
        </w:rPr>
        <w:t xml:space="preserve"> </w:t>
      </w:r>
      <w:r>
        <w:rPr>
          <w:rFonts w:ascii="GHEA Grapalat" w:hAnsi="GHEA Grapalat" w:cs="Sylfaen"/>
        </w:rPr>
        <w:t>մատուցման</w:t>
      </w:r>
      <w:r>
        <w:rPr>
          <w:rFonts w:ascii="GHEA Grapalat" w:hAnsi="GHEA Grapalat"/>
        </w:rPr>
        <w:t xml:space="preserve"> </w:t>
      </w:r>
      <w:r>
        <w:rPr>
          <w:rFonts w:ascii="GHEA Grapalat" w:hAnsi="GHEA Grapalat" w:cs="Sylfaen"/>
        </w:rPr>
        <w:t>որակը</w:t>
      </w:r>
      <w:r>
        <w:rPr>
          <w:rFonts w:ascii="GHEA Grapalat" w:hAnsi="GHEA Grapalat"/>
        </w:rPr>
        <w:t xml:space="preserve">, </w:t>
      </w:r>
      <w:r>
        <w:rPr>
          <w:rFonts w:ascii="GHEA Grapalat" w:hAnsi="GHEA Grapalat" w:cs="Sylfaen"/>
        </w:rPr>
        <w:t>անհրաժեշտության</w:t>
      </w:r>
      <w:r>
        <w:rPr>
          <w:rFonts w:ascii="GHEA Grapalat" w:hAnsi="GHEA Grapalat"/>
        </w:rPr>
        <w:t xml:space="preserve"> </w:t>
      </w:r>
      <w:r>
        <w:rPr>
          <w:rFonts w:ascii="GHEA Grapalat" w:hAnsi="GHEA Grapalat" w:cs="Sylfaen"/>
        </w:rPr>
        <w:t>դեպքում՝</w:t>
      </w:r>
      <w:r>
        <w:rPr>
          <w:rFonts w:ascii="GHEA Grapalat" w:hAnsi="GHEA Grapalat"/>
        </w:rPr>
        <w:t xml:space="preserve"> </w:t>
      </w:r>
      <w:r>
        <w:rPr>
          <w:rFonts w:ascii="GHEA Grapalat" w:hAnsi="GHEA Grapalat" w:cs="Sylfaen"/>
        </w:rPr>
        <w:t>տալ</w:t>
      </w:r>
      <w:r>
        <w:rPr>
          <w:rFonts w:ascii="GHEA Grapalat" w:hAnsi="GHEA Grapalat"/>
        </w:rPr>
        <w:t xml:space="preserve"> </w:t>
      </w:r>
      <w:r>
        <w:rPr>
          <w:rFonts w:ascii="GHEA Grapalat" w:hAnsi="GHEA Grapalat" w:cs="Sylfaen"/>
        </w:rPr>
        <w:t>ցուցումներ</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հետևել</w:t>
      </w:r>
      <w:r>
        <w:rPr>
          <w:rFonts w:ascii="GHEA Grapalat" w:hAnsi="GHEA Grapalat"/>
        </w:rPr>
        <w:t xml:space="preserve"> </w:t>
      </w:r>
      <w:r>
        <w:rPr>
          <w:rFonts w:ascii="GHEA Grapalat" w:hAnsi="GHEA Grapalat" w:cs="Sylfaen"/>
        </w:rPr>
        <w:t>կատարման</w:t>
      </w:r>
      <w:r>
        <w:rPr>
          <w:rFonts w:ascii="GHEA Grapalat" w:hAnsi="GHEA Grapalat"/>
        </w:rPr>
        <w:t xml:space="preserve"> </w:t>
      </w:r>
      <w:r>
        <w:rPr>
          <w:rFonts w:ascii="GHEA Grapalat" w:hAnsi="GHEA Grapalat" w:cs="Sylfaen"/>
        </w:rPr>
        <w:t>ընթացքին</w:t>
      </w:r>
      <w:r>
        <w:rPr>
          <w:rFonts w:ascii="GHEA Grapalat" w:hAnsi="GHEA Grapalat"/>
        </w:rPr>
        <w:t xml:space="preserve">, ինչպես նաև բովանդակային լուծում տալ քաղաքացիների կողմից ամենօրյա ռեժիմով բարձրացվող բազմաթիվ խնդիրներին և բողոքներին: </w:t>
      </w:r>
    </w:p>
    <w:p w14:paraId="30E33CDC" w14:textId="77777777" w:rsidR="00BF1B70" w:rsidRDefault="00206D15">
      <w:pPr>
        <w:tabs>
          <w:tab w:val="left" w:pos="10490"/>
        </w:tabs>
        <w:spacing w:line="360" w:lineRule="auto"/>
        <w:ind w:right="49" w:firstLine="630"/>
        <w:jc w:val="both"/>
        <w:rPr>
          <w:rFonts w:ascii="GHEA Grapalat" w:hAnsi="GHEA Grapalat"/>
        </w:rPr>
      </w:pPr>
      <w:r>
        <w:rPr>
          <w:rFonts w:ascii="GHEA Grapalat" w:hAnsi="GHEA Grapalat" w:cs="Sylfaen"/>
        </w:rPr>
        <w:t>Ի</w:t>
      </w:r>
      <w:r>
        <w:rPr>
          <w:rFonts w:ascii="GHEA Grapalat" w:hAnsi="GHEA Grapalat"/>
        </w:rPr>
        <w:t xml:space="preserve"> </w:t>
      </w:r>
      <w:r>
        <w:rPr>
          <w:rFonts w:ascii="GHEA Grapalat" w:hAnsi="GHEA Grapalat" w:cs="Sylfaen"/>
        </w:rPr>
        <w:t>տարբերություն</w:t>
      </w:r>
      <w:r>
        <w:rPr>
          <w:rFonts w:ascii="GHEA Grapalat" w:hAnsi="GHEA Grapalat"/>
        </w:rPr>
        <w:t xml:space="preserve"> </w:t>
      </w:r>
      <w:r>
        <w:rPr>
          <w:rFonts w:ascii="GHEA Grapalat" w:hAnsi="GHEA Grapalat" w:cs="Sylfaen"/>
        </w:rPr>
        <w:t>միասնական</w:t>
      </w:r>
      <w:r>
        <w:rPr>
          <w:rFonts w:ascii="GHEA Grapalat" w:hAnsi="GHEA Grapalat"/>
        </w:rPr>
        <w:t xml:space="preserve"> </w:t>
      </w:r>
      <w:r>
        <w:rPr>
          <w:rFonts w:ascii="GHEA Grapalat" w:hAnsi="GHEA Grapalat" w:cs="Sylfaen"/>
        </w:rPr>
        <w:t>սպասարկման</w:t>
      </w:r>
      <w:r>
        <w:rPr>
          <w:rFonts w:ascii="GHEA Grapalat" w:hAnsi="GHEA Grapalat"/>
        </w:rPr>
        <w:t xml:space="preserve"> </w:t>
      </w:r>
      <w:r>
        <w:rPr>
          <w:rFonts w:ascii="GHEA Grapalat" w:hAnsi="GHEA Grapalat" w:cs="Sylfaen"/>
        </w:rPr>
        <w:t>գրասենյակների</w:t>
      </w:r>
      <w:r>
        <w:rPr>
          <w:rFonts w:ascii="GHEA Grapalat" w:hAnsi="GHEA Grapalat"/>
        </w:rPr>
        <w:t xml:space="preserve">, </w:t>
      </w:r>
      <w:r>
        <w:rPr>
          <w:rFonts w:ascii="GHEA Grapalat" w:hAnsi="GHEA Grapalat" w:cs="Sylfaen"/>
        </w:rPr>
        <w:t>որի</w:t>
      </w:r>
      <w:r>
        <w:rPr>
          <w:rFonts w:ascii="GHEA Grapalat" w:hAnsi="GHEA Grapalat"/>
        </w:rPr>
        <w:t xml:space="preserve"> </w:t>
      </w:r>
      <w:r>
        <w:rPr>
          <w:rFonts w:ascii="GHEA Grapalat" w:hAnsi="GHEA Grapalat" w:cs="Sylfaen"/>
        </w:rPr>
        <w:t>աշխատակիցները</w:t>
      </w:r>
      <w:r>
        <w:rPr>
          <w:rFonts w:ascii="GHEA Grapalat" w:hAnsi="GHEA Grapalat"/>
        </w:rPr>
        <w:t xml:space="preserve"> </w:t>
      </w:r>
      <w:r>
        <w:rPr>
          <w:rFonts w:ascii="GHEA Grapalat" w:hAnsi="GHEA Grapalat" w:cs="Sylfaen"/>
        </w:rPr>
        <w:t>հանդիսանում</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քաղաքացիական</w:t>
      </w:r>
      <w:r>
        <w:rPr>
          <w:rFonts w:ascii="GHEA Grapalat" w:hAnsi="GHEA Grapalat"/>
        </w:rPr>
        <w:t xml:space="preserve"> </w:t>
      </w:r>
      <w:r>
        <w:rPr>
          <w:rFonts w:ascii="GHEA Grapalat" w:hAnsi="GHEA Grapalat" w:cs="Sylfaen"/>
        </w:rPr>
        <w:t>ծառայողներ՝</w:t>
      </w:r>
      <w:r>
        <w:rPr>
          <w:rFonts w:ascii="GHEA Grapalat" w:hAnsi="GHEA Grapalat"/>
        </w:rPr>
        <w:t xml:space="preserve"> </w:t>
      </w:r>
      <w:r>
        <w:rPr>
          <w:rFonts w:ascii="GHEA Grapalat" w:hAnsi="GHEA Grapalat" w:cs="Sylfaen"/>
        </w:rPr>
        <w:t>համայնքային</w:t>
      </w:r>
      <w:r>
        <w:rPr>
          <w:rFonts w:ascii="GHEA Grapalat" w:hAnsi="GHEA Grapalat"/>
        </w:rPr>
        <w:t xml:space="preserve"> </w:t>
      </w:r>
      <w:r>
        <w:rPr>
          <w:rFonts w:ascii="GHEA Grapalat" w:hAnsi="GHEA Grapalat" w:cs="Sylfaen"/>
        </w:rPr>
        <w:t>սպասարկում</w:t>
      </w:r>
      <w:r>
        <w:rPr>
          <w:rFonts w:ascii="GHEA Grapalat" w:hAnsi="GHEA Grapalat"/>
        </w:rPr>
        <w:t xml:space="preserve"> </w:t>
      </w:r>
      <w:r>
        <w:rPr>
          <w:rFonts w:ascii="GHEA Grapalat" w:hAnsi="GHEA Grapalat" w:cs="Sylfaen"/>
        </w:rPr>
        <w:t>իրականացնող</w:t>
      </w:r>
      <w:r>
        <w:rPr>
          <w:rFonts w:ascii="GHEA Grapalat" w:hAnsi="GHEA Grapalat"/>
        </w:rPr>
        <w:t xml:space="preserve"> </w:t>
      </w:r>
      <w:r>
        <w:rPr>
          <w:rFonts w:ascii="GHEA Grapalat" w:hAnsi="GHEA Grapalat" w:cs="Sylfaen"/>
        </w:rPr>
        <w:t>կենտրոնների</w:t>
      </w:r>
      <w:r>
        <w:rPr>
          <w:rFonts w:ascii="GHEA Grapalat" w:hAnsi="GHEA Grapalat"/>
        </w:rPr>
        <w:t xml:space="preserve"> </w:t>
      </w:r>
      <w:r>
        <w:rPr>
          <w:rFonts w:ascii="GHEA Grapalat" w:hAnsi="GHEA Grapalat" w:cs="Sylfaen"/>
        </w:rPr>
        <w:t>աշխատակիցների</w:t>
      </w:r>
      <w:r>
        <w:rPr>
          <w:rFonts w:ascii="GHEA Grapalat" w:hAnsi="GHEA Grapalat"/>
        </w:rPr>
        <w:t xml:space="preserve"> </w:t>
      </w:r>
      <w:r>
        <w:rPr>
          <w:rFonts w:ascii="GHEA Grapalat" w:hAnsi="GHEA Grapalat" w:cs="Sylfaen"/>
        </w:rPr>
        <w:t>վարձատրությունը</w:t>
      </w:r>
      <w:r>
        <w:rPr>
          <w:rFonts w:ascii="GHEA Grapalat" w:hAnsi="GHEA Grapalat"/>
        </w:rPr>
        <w:t xml:space="preserve"> </w:t>
      </w:r>
      <w:r>
        <w:rPr>
          <w:rFonts w:ascii="GHEA Grapalat" w:hAnsi="GHEA Grapalat" w:cs="Sylfaen"/>
        </w:rPr>
        <w:t>էականորեն</w:t>
      </w:r>
      <w:r>
        <w:rPr>
          <w:rFonts w:ascii="GHEA Grapalat" w:hAnsi="GHEA Grapalat"/>
        </w:rPr>
        <w:t xml:space="preserve"> </w:t>
      </w:r>
      <w:r>
        <w:rPr>
          <w:rFonts w:ascii="GHEA Grapalat" w:hAnsi="GHEA Grapalat" w:cs="Sylfaen"/>
        </w:rPr>
        <w:t>ցածր</w:t>
      </w:r>
      <w:r>
        <w:rPr>
          <w:rFonts w:ascii="GHEA Grapalat" w:hAnsi="GHEA Grapalat"/>
        </w:rPr>
        <w:t xml:space="preserve"> </w:t>
      </w:r>
      <w:r>
        <w:rPr>
          <w:rFonts w:ascii="GHEA Grapalat" w:hAnsi="GHEA Grapalat" w:cs="Sylfaen"/>
        </w:rPr>
        <w:t>է</w:t>
      </w:r>
      <w:r>
        <w:rPr>
          <w:rFonts w:ascii="GHEA Grapalat" w:hAnsi="GHEA Grapalat"/>
        </w:rPr>
        <w:t xml:space="preserve">, մինչդեռ վերջիններիս կողմից մատուցվող ծառայությունների համար գանձվող տուրքերը նույնն են, ինչ Գործակալության սպասարկման կենտրոնների կողմից մատուցվող ծառայությունների համար է: Հատկանշական է, սակայն, որ համայնքային սպասարկման կենտրոն դիմելու դեպքում քաղաքացիների վճարած տուրքերն ուղղվում են ոչ թե պետական, այլ՝ համայնքային բյուջե ։ </w:t>
      </w:r>
    </w:p>
    <w:p w14:paraId="18A28B7B" w14:textId="77777777" w:rsidR="00BF1B70" w:rsidRDefault="00206D15">
      <w:pPr>
        <w:tabs>
          <w:tab w:val="left" w:pos="10490"/>
        </w:tabs>
        <w:spacing w:line="360" w:lineRule="auto"/>
        <w:ind w:right="49" w:firstLine="630"/>
        <w:jc w:val="both"/>
        <w:rPr>
          <w:rFonts w:ascii="GHEA Grapalat" w:hAnsi="GHEA Grapalat"/>
        </w:rPr>
      </w:pPr>
      <w:r>
        <w:rPr>
          <w:rFonts w:ascii="GHEA Grapalat" w:hAnsi="GHEA Grapalat"/>
        </w:rPr>
        <w:t xml:space="preserve">Առկա իրավիճակում կարևոր խնդիր է նաև այն, որ </w:t>
      </w:r>
      <w:r>
        <w:rPr>
          <w:rFonts w:ascii="GHEA Grapalat" w:hAnsi="GHEA Grapalat" w:cs="Sylfaen"/>
        </w:rPr>
        <w:t>համայնքային</w:t>
      </w:r>
      <w:r>
        <w:rPr>
          <w:rFonts w:ascii="GHEA Grapalat" w:hAnsi="GHEA Grapalat"/>
        </w:rPr>
        <w:t xml:space="preserve"> </w:t>
      </w:r>
      <w:r>
        <w:rPr>
          <w:rFonts w:ascii="GHEA Grapalat" w:hAnsi="GHEA Grapalat" w:cs="Sylfaen"/>
        </w:rPr>
        <w:t>սպասարկման</w:t>
      </w:r>
      <w:r>
        <w:rPr>
          <w:rFonts w:ascii="GHEA Grapalat" w:hAnsi="GHEA Grapalat"/>
        </w:rPr>
        <w:t xml:space="preserve"> </w:t>
      </w:r>
      <w:r>
        <w:rPr>
          <w:rFonts w:ascii="GHEA Grapalat" w:hAnsi="GHEA Grapalat" w:cs="Sylfaen"/>
        </w:rPr>
        <w:t>կենտրոնների</w:t>
      </w:r>
      <w:r>
        <w:rPr>
          <w:rFonts w:ascii="GHEA Grapalat" w:hAnsi="GHEA Grapalat"/>
        </w:rPr>
        <w:t xml:space="preserve"> աշխատողների համար սահմանված չէ բարձրագույն կրթություն ունենալու պարտադիր պահանջ, ինչով պայմանավորված՝ հնարավոր չէ նաև համայնքային ծառայողներին պատվիրակել գործառույթների առավել լայն շրջանակ, քան միայն </w:t>
      </w:r>
      <w:r>
        <w:rPr>
          <w:rFonts w:ascii="GHEA Grapalat" w:hAnsi="GHEA Grapalat"/>
        </w:rPr>
        <w:lastRenderedPageBreak/>
        <w:t xml:space="preserve">փաստաթղթերի ընդունումն է, ինչը մեծապես կնպաստեր մատուցվող ծառայությունների որակի բարձրացմանը և ՔԿԱԳ աշխատանքների արդյունավետ կազմակերպմանը։ </w:t>
      </w:r>
    </w:p>
    <w:p w14:paraId="2ECDB312" w14:textId="77777777" w:rsidR="00BF1B70" w:rsidRDefault="00206D15">
      <w:pPr>
        <w:tabs>
          <w:tab w:val="left" w:pos="10490"/>
        </w:tabs>
        <w:spacing w:line="360" w:lineRule="auto"/>
        <w:ind w:right="49" w:firstLine="630"/>
        <w:jc w:val="both"/>
        <w:rPr>
          <w:rFonts w:ascii="GHEA Grapalat" w:hAnsi="GHEA Grapalat"/>
        </w:rPr>
      </w:pPr>
      <w:r>
        <w:rPr>
          <w:rFonts w:ascii="GHEA Grapalat" w:hAnsi="GHEA Grapalat"/>
        </w:rPr>
        <w:t>Վերոգրյալ իրավիճակի</w:t>
      </w:r>
      <w:r>
        <w:rPr>
          <w:rFonts w:ascii="GHEA Grapalat" w:hAnsi="GHEA Grapalat"/>
          <w:b/>
        </w:rPr>
        <w:t xml:space="preserve"> </w:t>
      </w:r>
      <w:r>
        <w:rPr>
          <w:rFonts w:ascii="GHEA Grapalat" w:hAnsi="GHEA Grapalat"/>
        </w:rPr>
        <w:t>բարեփոխման համար</w:t>
      </w:r>
      <w:r>
        <w:rPr>
          <w:rFonts w:ascii="GHEA Grapalat" w:hAnsi="GHEA Grapalat"/>
          <w:b/>
        </w:rPr>
        <w:t xml:space="preserve"> </w:t>
      </w:r>
      <w:r>
        <w:rPr>
          <w:rFonts w:ascii="GHEA Grapalat" w:hAnsi="GHEA Grapalat"/>
        </w:rPr>
        <w:t>փոփոխություններ են նախատեսվել ««Քաղաքացիական կացության ակտերի գրանցման մասին» օրենքում փոփոխություններ կատարելու մասին, «Տեղական ինքնակառավարման մասին» օրենքում փոփոխություններ կատարելու մասին, «Երևան քաղաքում տեղական ինքնակառավարման մասին» օրենքում փոփոխություններ կատարելու մասին»,</w:t>
      </w:r>
      <w:r w:rsidR="0040536E" w:rsidRPr="0040536E">
        <w:t xml:space="preserve"> </w:t>
      </w:r>
      <w:r w:rsidR="0040536E" w:rsidRPr="0040536E">
        <w:rPr>
          <w:rFonts w:ascii="GHEA Grapalat" w:hAnsi="GHEA Grapalat"/>
        </w:rPr>
        <w:t>«</w:t>
      </w:r>
      <w:r w:rsidR="0040536E">
        <w:rPr>
          <w:rFonts w:ascii="GHEA Grapalat" w:hAnsi="GHEA Grapalat"/>
        </w:rPr>
        <w:t xml:space="preserve">Համայնքային ծառայության </w:t>
      </w:r>
      <w:r w:rsidR="0040536E" w:rsidRPr="0040536E">
        <w:rPr>
          <w:rFonts w:ascii="GHEA Grapalat" w:hAnsi="GHEA Grapalat"/>
        </w:rPr>
        <w:t>մասին» օրենքում փո</w:t>
      </w:r>
      <w:r w:rsidR="0040536E">
        <w:rPr>
          <w:rFonts w:ascii="GHEA Grapalat" w:hAnsi="GHEA Grapalat"/>
        </w:rPr>
        <w:t xml:space="preserve">փոխություններ կատարելու մասին», </w:t>
      </w:r>
      <w:r>
        <w:rPr>
          <w:rFonts w:ascii="GHEA Grapalat" w:hAnsi="GHEA Grapalat"/>
        </w:rPr>
        <w:t xml:space="preserve">«Հայաստանի Հանրապետության բյուջետային համակարգի մասին» օրենքում փոփոխություն կատարելու մասին», «Հայաստանի Հանրապետության պաշտոնական փաստաթղթերը ապոստիլով վավերացնելու մասին» օրենքում փոփոխություն կատարելու մասին, «Պետական տուրքի մասին» օրենքում փոփոխություններ և </w:t>
      </w:r>
      <w:r w:rsidR="0040536E">
        <w:rPr>
          <w:rFonts w:ascii="GHEA Grapalat" w:hAnsi="GHEA Grapalat"/>
        </w:rPr>
        <w:t xml:space="preserve">լրացումներ կատարելու մասին» </w:t>
      </w:r>
      <w:r>
        <w:rPr>
          <w:rFonts w:ascii="GHEA Grapalat" w:hAnsi="GHEA Grapalat"/>
        </w:rPr>
        <w:t xml:space="preserve">օրենքների նախագծերով: </w:t>
      </w:r>
    </w:p>
    <w:p w14:paraId="245B74A9" w14:textId="77777777" w:rsidR="00BF1B70" w:rsidRDefault="00206D15">
      <w:pPr>
        <w:tabs>
          <w:tab w:val="left" w:pos="10490"/>
        </w:tabs>
        <w:spacing w:line="360" w:lineRule="auto"/>
        <w:ind w:right="49" w:firstLine="709"/>
        <w:jc w:val="both"/>
        <w:rPr>
          <w:rFonts w:ascii="GHEA Grapalat" w:hAnsi="GHEA Grapalat"/>
        </w:rPr>
      </w:pPr>
      <w:r>
        <w:rPr>
          <w:rFonts w:ascii="GHEA Grapalat" w:hAnsi="GHEA Grapalat"/>
        </w:rPr>
        <w:t xml:space="preserve">Մասնավորապես, փոփոխություններ են նախատեսվում «Քաղաքացիական կացության ակտերի գրանցման մասին» 2021 թվականի հունվարի 19-ի ՀՕ-66-Ն օրենքի (այսուհետ՝ Օրենք), «Տեղական ինքնակառավարման մասին» 2002 թվականի մայիսի 7-ի ՀՕ-337 օրենքի, «Երևան քաղաքում տեղական ինքնակառավարման մասին» 2008 թվականի դեկտեմբերի 26-ի ՀՕ-5-Ն օրենքի այն հոդվածներում, որոնցով սահմանված է, որ Գործակալության սպասարկման կենտրոնների գործառույթներ կարող են իրականացնել նաև տեղական ինքնակառավարման մարմինները՝ այդպիսով սպասարկման կենտրոնների կողմից մատուցվող ծառայությունների համար իրավասու սուբյեկտների շրջանակից հանելով տեղական ինքնակառավարման մարմիններին։ Փոփոխությունների արդյունքում նաև հնարավոր կլինի ապահովել սպասարկման կենտրոնների աշխատանքի ոչ միայն մեթոդական, այլև՝ ամբողջական ղեկավարումը և վերահսկողությունը։ </w:t>
      </w:r>
    </w:p>
    <w:p w14:paraId="639736EF" w14:textId="77777777" w:rsidR="00BF1B70" w:rsidRDefault="00206D15">
      <w:pPr>
        <w:tabs>
          <w:tab w:val="left" w:pos="10490"/>
        </w:tabs>
        <w:spacing w:line="360" w:lineRule="auto"/>
        <w:ind w:right="49" w:firstLine="709"/>
        <w:jc w:val="both"/>
        <w:rPr>
          <w:rFonts w:ascii="GHEA Grapalat" w:hAnsi="GHEA Grapalat"/>
        </w:rPr>
      </w:pPr>
      <w:r>
        <w:rPr>
          <w:rFonts w:ascii="GHEA Grapalat" w:hAnsi="GHEA Grapalat"/>
        </w:rPr>
        <w:t xml:space="preserve"> Օրենքի 17-րդ հոդվածի 2-րդ մասը շարադրվում է նոր խմբագրությամբ՝ սահմանելով համայնքային ծառայությունից քաղաքացիական ծառայություն անցումը՝ նախատեսելով, որ </w:t>
      </w:r>
      <w:r>
        <w:rPr>
          <w:rFonts w:ascii="GHEA Grapalat" w:hAnsi="GHEA Grapalat"/>
        </w:rPr>
        <w:lastRenderedPageBreak/>
        <w:t xml:space="preserve">սպասարկման կենտրոնների աշխատողները հանդիսանում են քաղաքացիական ծառայողներ՝ կարգավորելով նաև համայնքայինից քաղաքացիական ծառայության անցման գործընթացը: </w:t>
      </w:r>
    </w:p>
    <w:p w14:paraId="3B2349DD" w14:textId="77777777" w:rsidR="00BF1B70" w:rsidRDefault="00206D15">
      <w:pPr>
        <w:tabs>
          <w:tab w:val="left" w:pos="10490"/>
        </w:tabs>
        <w:spacing w:line="360" w:lineRule="auto"/>
        <w:ind w:right="49" w:firstLine="709"/>
        <w:jc w:val="both"/>
        <w:rPr>
          <w:rFonts w:ascii="GHEA Grapalat" w:hAnsi="GHEA Grapalat"/>
          <w:b/>
        </w:rPr>
      </w:pPr>
      <w:r>
        <w:rPr>
          <w:rFonts w:ascii="GHEA Grapalat" w:hAnsi="GHEA Grapalat"/>
        </w:rPr>
        <w:t>Օրենքում ուժը կորցրած են ճանաչվում նաև որոշ դրույթներ սպասարկման կենտրոնի մասնագետներին ներկայացվող կրթության չափանիշների և վերջիններիս վերապատրաստումների վերաբերյալ՝ նկատի ունենալով, որ տվյալ գործընթացն արդեն կարգավորվելու է քաղաքացիական ծառայության օրենսդրության շրջանակներում:</w:t>
      </w:r>
      <w:r>
        <w:rPr>
          <w:rFonts w:ascii="GHEA Grapalat" w:hAnsi="GHEA Grapalat"/>
          <w:b/>
        </w:rPr>
        <w:t xml:space="preserve"> </w:t>
      </w:r>
    </w:p>
    <w:p w14:paraId="53D5715C" w14:textId="77777777" w:rsidR="00BF1B70" w:rsidRDefault="00206D15">
      <w:pPr>
        <w:tabs>
          <w:tab w:val="left" w:pos="10490"/>
        </w:tabs>
        <w:spacing w:line="360" w:lineRule="auto"/>
        <w:ind w:right="49" w:firstLine="709"/>
        <w:jc w:val="both"/>
      </w:pPr>
      <w:r>
        <w:rPr>
          <w:rFonts w:ascii="GHEA Grapalat" w:hAnsi="GHEA Grapalat"/>
        </w:rPr>
        <w:t>Փոփոխություն է կատարվում նաև «Հայաստանի Հանրապետության բյուջետային համակարգի մասին» 1997 թվականի հունիսի 24-ի ՀՕ-137 օրենքում՝ նկատի ունենալով, որ գործող ֆինանսավորման մոդելի արդյունքում ՔԿԱԳ համայնքային ծառայություններին հատկացվող միջոցները չեն վերադառնում պետական բյուջե, այլ ամբողջությամբ ուղղվում են համայնքային բյուջե, իսկ պետական բյուջե ուղղվելու դեպքում պետական տուրքից գոյացած գումարի մի մասը պետք է ուղղվի ՔԿԱԳ գործակալության կարողությունների զարգացմանը՝ այդպիսով բարեփոխելով նաև վերջիններիս կողմից մատուցվող ծառայությունների որակական ցուցանիշները։ Հետևաբար՝ ուժը կորցրած է ճանաչվում այն նորմը, որի միջոցով համայնքների բյուջեների վարչական մասը (վարչական բյուջեն) ներառում է նաև քաղաքացիական կացության ակտեր գրանցելու, դրանց մասին քաղաքացիներին կրկնակի վկայականներ, քաղաքացիական կացության ակտերում կատարված գրառումներում փոփոխություններ, լրացումներ, ուղղումներ կատարելու և վերականգնման կապակցությամբ վկայականներ տալու համար գանձվող պետական տուրքը:</w:t>
      </w:r>
      <w:r>
        <w:t xml:space="preserve"> </w:t>
      </w:r>
    </w:p>
    <w:p w14:paraId="3E6ABA9A" w14:textId="77777777" w:rsidR="00BF1B70" w:rsidRDefault="00206D15">
      <w:pPr>
        <w:tabs>
          <w:tab w:val="left" w:pos="10490"/>
        </w:tabs>
        <w:spacing w:line="360" w:lineRule="auto"/>
        <w:ind w:right="49" w:firstLine="709"/>
        <w:jc w:val="both"/>
        <w:rPr>
          <w:rFonts w:ascii="GHEA Grapalat" w:hAnsi="GHEA Grapalat"/>
        </w:rPr>
      </w:pPr>
      <w:r>
        <w:rPr>
          <w:rFonts w:ascii="GHEA Grapalat" w:hAnsi="GHEA Grapalat"/>
        </w:rPr>
        <w:t>Հիշյալ փոփոխության արդյունքում հնարավոր կլինի մատուցվող ծառայությունների դիմաց գանձվող տուրքերի գումարն ուղղել ոչ թե համայնքային, այլ՝ պետական բյուջե։ Այս առումով կարևոր է արձանագրել, որ</w:t>
      </w:r>
      <w:r>
        <w:rPr>
          <w:rFonts w:ascii="Sylfaen" w:hAnsi="Sylfaen"/>
        </w:rPr>
        <w:t xml:space="preserve"> </w:t>
      </w:r>
      <w:r>
        <w:rPr>
          <w:rFonts w:ascii="GHEA Grapalat" w:hAnsi="GHEA Grapalat"/>
        </w:rPr>
        <w:t xml:space="preserve">ԱՆ-ի կողմից 2024 թվականին համայնքներին տրամադրվել է 156,433,200 դրամ, իսկ համայնքների կողմից հավաքագրված տուրքը կազմել է մոտ 383,991,000 դրամ։ </w:t>
      </w:r>
    </w:p>
    <w:p w14:paraId="1F857A2B" w14:textId="77777777" w:rsidR="00BF1B70" w:rsidRDefault="00206D15">
      <w:pPr>
        <w:tabs>
          <w:tab w:val="left" w:pos="10490"/>
        </w:tabs>
        <w:spacing w:line="360" w:lineRule="auto"/>
        <w:ind w:right="49" w:firstLine="709"/>
        <w:jc w:val="both"/>
        <w:rPr>
          <w:rFonts w:ascii="Cambria Math" w:hAnsi="Cambria Math"/>
        </w:rPr>
      </w:pPr>
      <w:r>
        <w:rPr>
          <w:rFonts w:ascii="GHEA Grapalat" w:hAnsi="GHEA Grapalat"/>
        </w:rPr>
        <w:t xml:space="preserve">Փոփոխություններ և լրացումներ են նախատեսվում նաև «Պետական տուրքի մասին» 1997 թվականի դեկտեմբերի 27-ի ՀՕ-186 օրենքի 12-րդ հոդվածում՝ ավելացնելով որոշ </w:t>
      </w:r>
      <w:r>
        <w:rPr>
          <w:rFonts w:ascii="GHEA Grapalat" w:hAnsi="GHEA Grapalat"/>
        </w:rPr>
        <w:lastRenderedPageBreak/>
        <w:t>տուրքերի մասով սահմանված վճարները, իսկ որոշ ծառայությունների մասով սահմանելով տուրքեր։ Այսպես</w:t>
      </w:r>
      <w:r>
        <w:rPr>
          <w:rFonts w:ascii="Cambria Math" w:hAnsi="Cambria Math"/>
        </w:rPr>
        <w:t>․</w:t>
      </w:r>
    </w:p>
    <w:p w14:paraId="5EAC7D64" w14:textId="77777777" w:rsidR="00BF1B70" w:rsidRDefault="00206D15">
      <w:pPr>
        <w:tabs>
          <w:tab w:val="left" w:pos="10490"/>
        </w:tabs>
        <w:spacing w:line="360" w:lineRule="auto"/>
        <w:ind w:right="49" w:firstLine="709"/>
        <w:jc w:val="both"/>
        <w:rPr>
          <w:rFonts w:ascii="GHEA Grapalat" w:hAnsi="GHEA Grapalat"/>
        </w:rPr>
      </w:pPr>
      <w:r>
        <w:rPr>
          <w:rFonts w:ascii="GHEA Grapalat" w:hAnsi="GHEA Grapalat"/>
        </w:rPr>
        <w:t xml:space="preserve">«Քաղաքացիական կացության ակտերի գրանցման մասին» օրենքի կարգավորումների համաձայն՝ 18 տարին լրացած անձն իրավունք ունի փոխելու անունը, որը ներառում է անունը, ազգանունը, հայրանունը: Անվան փոխման գրանցումը թույլատրվում է առանց այն հիմնավորող պատճառների: Անվան փոխումը հիմք է անձի վերաբերյալ կատարված քաղաքացիական կացության բոլոր ակտային գրանցումներում փոփոխություններ կատարելու, ինչպես նաև՝ նրա անձը հաստատող փաստաթղթի փոխանակման համար: </w:t>
      </w:r>
    </w:p>
    <w:p w14:paraId="1A5340E5" w14:textId="77777777" w:rsidR="00BF1B70" w:rsidRDefault="00206D15">
      <w:pPr>
        <w:tabs>
          <w:tab w:val="left" w:pos="10490"/>
        </w:tabs>
        <w:spacing w:line="360" w:lineRule="auto"/>
        <w:ind w:right="49" w:firstLine="709"/>
        <w:jc w:val="both"/>
        <w:rPr>
          <w:rFonts w:ascii="GHEA Grapalat" w:hAnsi="GHEA Grapalat"/>
        </w:rPr>
      </w:pPr>
      <w:r>
        <w:rPr>
          <w:rFonts w:ascii="GHEA Grapalat" w:hAnsi="GHEA Grapalat"/>
        </w:rPr>
        <w:t xml:space="preserve">Ներկա պահին գործող կարգավորման պարագայում բազմաթիվ են դեպքերը, երբ անձը կրկնակի դիմում է ներկայացնում՝ փոխելու իր տվյալը՝ կարճ ժամանակ անց վերադառնալով նախկին տվյալին կամ անվան փոխման դիմում է ներկայացնում՝ իր տվյալում փոխելով ընդամենը մեկ տառ: Ուսումնասիրելով առկա վիճակագրությունը՝ ակնհայտ է դառնում, որ տարիների ընթացքում աճել են անվան փոխման համար ներկայացվող դիմումների քանակը, ինչը ենթադրում է հավելյալ ռեսուրսների ներգրավում և ծախսերի ավելացում։ Մասնավորապես՝ 2020 </w:t>
      </w:r>
      <w:r>
        <w:rPr>
          <w:rFonts w:ascii="GHEA Grapalat" w:hAnsi="GHEA Grapalat" w:cs="GHEA Grapalat"/>
        </w:rPr>
        <w:t>թվականին</w:t>
      </w:r>
      <w:r>
        <w:rPr>
          <w:rFonts w:ascii="GHEA Grapalat" w:hAnsi="GHEA Grapalat"/>
        </w:rPr>
        <w:t xml:space="preserve"> </w:t>
      </w:r>
      <w:r>
        <w:rPr>
          <w:rFonts w:ascii="GHEA Grapalat" w:hAnsi="GHEA Grapalat" w:cs="GHEA Grapalat"/>
        </w:rPr>
        <w:t>կատարվել</w:t>
      </w:r>
      <w:r>
        <w:rPr>
          <w:rFonts w:ascii="GHEA Grapalat" w:hAnsi="GHEA Grapalat"/>
        </w:rPr>
        <w:t xml:space="preserve"> </w:t>
      </w:r>
      <w:r>
        <w:rPr>
          <w:rFonts w:ascii="GHEA Grapalat" w:hAnsi="GHEA Grapalat" w:cs="GHEA Grapalat"/>
        </w:rPr>
        <w:t>է</w:t>
      </w:r>
      <w:r>
        <w:rPr>
          <w:rFonts w:ascii="GHEA Grapalat" w:hAnsi="GHEA Grapalat"/>
        </w:rPr>
        <w:t xml:space="preserve"> 719 </w:t>
      </w:r>
      <w:r>
        <w:rPr>
          <w:rFonts w:ascii="GHEA Grapalat" w:hAnsi="GHEA Grapalat" w:cs="GHEA Grapalat"/>
        </w:rPr>
        <w:t>անվան</w:t>
      </w:r>
      <w:r>
        <w:rPr>
          <w:rFonts w:ascii="GHEA Grapalat" w:hAnsi="GHEA Grapalat"/>
        </w:rPr>
        <w:t xml:space="preserve"> </w:t>
      </w:r>
      <w:r>
        <w:rPr>
          <w:rFonts w:ascii="GHEA Grapalat" w:hAnsi="GHEA Grapalat" w:cs="GHEA Grapalat"/>
        </w:rPr>
        <w:t>փոխման</w:t>
      </w:r>
      <w:r>
        <w:rPr>
          <w:rFonts w:ascii="GHEA Grapalat" w:hAnsi="GHEA Grapalat"/>
        </w:rPr>
        <w:t xml:space="preserve"> </w:t>
      </w:r>
      <w:r>
        <w:rPr>
          <w:rFonts w:ascii="GHEA Grapalat" w:hAnsi="GHEA Grapalat" w:cs="GHEA Grapalat"/>
        </w:rPr>
        <w:t>գրանցում</w:t>
      </w:r>
      <w:r>
        <w:rPr>
          <w:rFonts w:ascii="GHEA Grapalat" w:hAnsi="GHEA Grapalat"/>
        </w:rPr>
        <w:t xml:space="preserve">, 2021 </w:t>
      </w:r>
      <w:r>
        <w:rPr>
          <w:rFonts w:ascii="GHEA Grapalat" w:hAnsi="GHEA Grapalat" w:cs="GHEA Grapalat"/>
        </w:rPr>
        <w:t>թվականին՝</w:t>
      </w:r>
      <w:r>
        <w:rPr>
          <w:rFonts w:ascii="GHEA Grapalat" w:hAnsi="GHEA Grapalat"/>
        </w:rPr>
        <w:t xml:space="preserve"> 1223, 2022 թվականին՝ 1459, 2023 թվականին՝ 1431, իսկ 2024 թվականին՝ 1701 ։ </w:t>
      </w:r>
    </w:p>
    <w:p w14:paraId="06ED4352" w14:textId="77777777" w:rsidR="00BF1B70" w:rsidRDefault="00206D15">
      <w:pPr>
        <w:tabs>
          <w:tab w:val="left" w:pos="10490"/>
        </w:tabs>
        <w:spacing w:line="360" w:lineRule="auto"/>
        <w:ind w:right="49" w:firstLine="709"/>
        <w:jc w:val="both"/>
        <w:rPr>
          <w:rFonts w:ascii="GHEA Grapalat" w:hAnsi="GHEA Grapalat"/>
        </w:rPr>
      </w:pPr>
      <w:r>
        <w:rPr>
          <w:rFonts w:ascii="GHEA Grapalat" w:hAnsi="GHEA Grapalat"/>
        </w:rPr>
        <w:t>Հաշվի առնելով անվան փոխման ակտային գրանցման և դրա արդյունքում իրականացվող գործողությունների աշխատատար և ժամանակատար լինելու հանգամանքը, ինչպես նաև անվան փոխման հնարավորությունը դիմումատուների կողմից առավել նպատակային կիրառելու անհրաժեշտությունը՝ նպատակահարմար է կատարել անվան փոխման համար սահմանված պետական տուրքի դրույքաչափի բարձրացում:</w:t>
      </w:r>
    </w:p>
    <w:p w14:paraId="573C681F" w14:textId="77777777" w:rsidR="00BF1B70" w:rsidRDefault="00206D15">
      <w:pPr>
        <w:tabs>
          <w:tab w:val="left" w:pos="10490"/>
        </w:tabs>
        <w:spacing w:line="360" w:lineRule="auto"/>
        <w:ind w:right="49" w:firstLine="709"/>
        <w:jc w:val="both"/>
        <w:rPr>
          <w:rFonts w:ascii="GHEA Grapalat" w:hAnsi="GHEA Grapalat"/>
        </w:rPr>
      </w:pPr>
      <w:r>
        <w:rPr>
          <w:rFonts w:ascii="GHEA Grapalat" w:hAnsi="GHEA Grapalat"/>
        </w:rPr>
        <w:t xml:space="preserve">Օտարերկրյա քաղաքացիների վերաբերյալ քաղաքացիական կացության ակտային գրանցման համար ներկայացվող փաստաթղթերն առավել շատ ու բազմազան են և ուսումնասիրության տեսանկյունից՝ աշխատատար: Միևնույն ժամանակ՝ սույն դեպքում կատարվող ակտային գրանցման մեջ սխալ գրառումները բացառելու նպատակով անհրաժեշտություն է առաջանում մանրամասն ուսումնասիրել և համեմատել անձանց կողմից </w:t>
      </w:r>
      <w:r>
        <w:rPr>
          <w:rFonts w:ascii="GHEA Grapalat" w:hAnsi="GHEA Grapalat"/>
        </w:rPr>
        <w:lastRenderedPageBreak/>
        <w:t>ներկայացվող՝ օտարերկրյա պետությունների իրավասու մարմինների կողմից տրամադրած (հայերեն թարգմանությամբ) փաստաթղթերի տվյալները նրանց անձը հաստատող փաստաթղթի տվյալների հետ, դիմում ընդունելիս տեղեկություններն էլեկտրոնային համակարգ մուտքագրել ձեռքով, հիմքային փաստաթղթերն ամբողջությամբ սկանավորել և կցել դիմումին:  Տվյալ հանգամանքով պայմանավորված՝ Հայաստանի Հանրապետության քաղաքացիների վերաբերյալ ամուսնության պետական գրանցման համար կատարվող աշխատանքի ծավալը և դրան հատկացվող ժամանակը զգալիորեն զիջում է օտարերկրյա պետության քաղաքացիների վերաբերյալ ամուսնության գրանցման համար կատարվող աշխատանքի ծավալին ու տրամադրվող ժամանակին, հետևաբար՝  նպատակահարմար է օտարերկրյա քաղաքացիների, այդ թվում՝ ամուսնացողներից մեկի՝ ՀՀ քաղաքացի հանդիսանալու դեպքում ամուսնության գրանցման համար սահմանել պետական տուրք: Նույն հանգամանքից ելնելով՝ նպատակահարմար է օտարերկրյա քաղաքացիների համար հայրություն (մայրություն) ճանաչելու համար բազային տուրքի չափը սահմանել բազային տուրքի երեսնապատիկի չափով, ինչպես նաև՝ օտարերկրյա քաղաքացիների կողմից երեխայի որդեգրման մասին ակտային գրանցման համար սահմանել պետական տուրք՝ բազային տուրքի երկուհարյուրապատիկի չափով:</w:t>
      </w:r>
    </w:p>
    <w:p w14:paraId="4373441B" w14:textId="77777777" w:rsidR="00BF1B70" w:rsidRDefault="00206D15">
      <w:pPr>
        <w:tabs>
          <w:tab w:val="left" w:pos="10490"/>
        </w:tabs>
        <w:spacing w:line="360" w:lineRule="auto"/>
        <w:ind w:right="49" w:firstLine="709"/>
        <w:jc w:val="both"/>
        <w:rPr>
          <w:rFonts w:ascii="GHEA Grapalat" w:hAnsi="GHEA Grapalat"/>
        </w:rPr>
      </w:pPr>
      <w:r>
        <w:rPr>
          <w:rFonts w:ascii="GHEA Grapalat" w:hAnsi="GHEA Grapalat"/>
        </w:rPr>
        <w:t>Բացի այդ, հարկ է նկատի ունենալ, որ օտարերկրացիների հետ ինչպես ամուսնության, այնպես էլ այլ գործընթացներում ներգրավվելը կարող է հետապնդել նաև այլ թաքնված նպատակներ, օրինակ՝ այլ երկրի քաղաքացիության ձեռքբերում, պարտադիր ժամկետային զինվորական ծառայության հետ կապված պարտավորությունների կատարումից խուսափում, օտարերկրյա քաղաքացիների կողմից կատարվող որդեգրումներ, որոնք պետության կողմից չեն խրախուսվում, քանի որ պետությունը որդեգրել է քաղաքականություն, որի համատեքստում տարաբնույթ ծրագրեր են իրագործվում երեխային իր կենսաբանական ընտանիք վերադարձնելու ուղղությամբ։ Հետևաբար, պետության համար ռազմավարական կարևորություն ունեցող ոլորտներում օտաերկրյա քաղաքացիների ներգրավվման դեպքերում անհրաժեշտ ենք համարում բարձրացնել պետական տուրքերը։</w:t>
      </w:r>
    </w:p>
    <w:p w14:paraId="3808874A" w14:textId="77777777" w:rsidR="00BF1B70" w:rsidRDefault="00206D15">
      <w:pPr>
        <w:tabs>
          <w:tab w:val="left" w:pos="10490"/>
        </w:tabs>
        <w:spacing w:line="360" w:lineRule="auto"/>
        <w:ind w:right="49" w:firstLine="709"/>
        <w:jc w:val="both"/>
        <w:rPr>
          <w:rFonts w:ascii="GHEA Grapalat" w:hAnsi="GHEA Grapalat"/>
        </w:rPr>
      </w:pPr>
      <w:r>
        <w:rPr>
          <w:rFonts w:ascii="GHEA Grapalat" w:hAnsi="GHEA Grapalat"/>
        </w:rPr>
        <w:lastRenderedPageBreak/>
        <w:t xml:space="preserve">Քաղաքացիական կացության ակտային գրանցման մեջ փոփոխություն կատարելու գործառույթը հիմնականում կիրառվում է դիմողի գրանցման և անձը հաստատող փաստաթղթում առկա անհամապատասխանության պարագայում՝ քաղաքացիական կացության ակտային գրանցման մեջ անձի անհատական տվյալները նրա անձը հաստատող փաստաթղթին համապատասխանեցնելու նպատակով: Մինչդեռ, քաղաքացիական կացության ակտային գրանցման մեջ ուղղում, լրացում կատարելու արդյունքում հաճախ առաջանում է անձը հաստատող փաստաթղթի փոփոխության անհրաժեշտություն: Տվյալ դեպքում անձը կստանա ընտրության հնարավորություն՝ իր վերաբերյալ քաղաքացիական կացության ակտային գրանցման մեջ իր տվյալները համապատասխանեցնելու անձը հաստատող փաստաթղթին (փոփոխություն կատարելու գործառույթի միջոցով), որի համար կսահմանվի պետական տուրք՝ բազային տուրքի երեսնապատիկի չափով: </w:t>
      </w:r>
    </w:p>
    <w:p w14:paraId="3A3B06A9" w14:textId="77777777" w:rsidR="00BF1B70" w:rsidRDefault="00206D15">
      <w:pPr>
        <w:tabs>
          <w:tab w:val="left" w:pos="10490"/>
        </w:tabs>
        <w:spacing w:line="360" w:lineRule="auto"/>
        <w:ind w:right="49" w:firstLine="709"/>
        <w:jc w:val="both"/>
        <w:rPr>
          <w:rFonts w:ascii="GHEA Grapalat" w:hAnsi="GHEA Grapalat"/>
        </w:rPr>
      </w:pPr>
      <w:r>
        <w:rPr>
          <w:rFonts w:ascii="GHEA Grapalat" w:hAnsi="GHEA Grapalat"/>
        </w:rPr>
        <w:t>Մյուս դեպքում անձը կունենա իր կողմից ներկայացվող փաստաթղթերի հիմքով իր վերաբերյալ կատարված ակտային գրանցման մեջ ուղղում կամ լրացում կատարելու հնարավորություն՝ անհրաժեշտության դեպքում կատարված ուղղմանը համապատասխան փոխելով իր անձը հաստատող փաստաթուղթը։ Նշված ծառայության համար պետական տուրքը սահմանված է բազային տուրքի հնգապատիկի չափով:</w:t>
      </w:r>
    </w:p>
    <w:p w14:paraId="057B6700" w14:textId="77777777" w:rsidR="00BF1B70" w:rsidRDefault="00206D15">
      <w:pPr>
        <w:tabs>
          <w:tab w:val="left" w:pos="10490"/>
        </w:tabs>
        <w:spacing w:line="360" w:lineRule="auto"/>
        <w:ind w:right="49" w:firstLine="709"/>
        <w:jc w:val="both"/>
        <w:rPr>
          <w:rFonts w:ascii="GHEA Grapalat" w:hAnsi="GHEA Grapalat"/>
        </w:rPr>
      </w:pPr>
      <w:r>
        <w:rPr>
          <w:rFonts w:ascii="GHEA Grapalat" w:hAnsi="GHEA Grapalat"/>
        </w:rPr>
        <w:t xml:space="preserve">«Քաղաքացիական կացության ակտերի գրանցման մասին» օրենքի ընդունումից հետո քաղաքացիական կացության ակտերի գրանցման պետական վկայականի կրկնօրինակը հանդիսանում է էլեկտրոնային փաստաթուղթ, որի կորստի դեպքում այն էլեկտրոնային եղանակով դիմողին կրկին տրամադրվում է անվճար, հետևաբար՝ նպատակահարմար է վկայականի կրկնօրինակի տրամադրման համար սահմանված պետական տուրքի դրույքաչափը սահմանել բազային տուրքի յոթնապատիկի չափով: Ստացվում է մի իրավիճակ, երբ քաղաքացիական կացության ակտերի գրանցման պետական վկայականը մի քաղաքացու կարող է տարամդրվել մի քանի անգամ և անվճար։ Այս առումով հարկ է նկատել, որ մի փաստաթղթի հետ անընդհատ կատարվում է աշխատանք, մի դեպքում՝ հիմնական կազմման, մյուս դեպքում՝ կրկնօրինակի տրամադրման, որի ընթացքում առկա փաստաթղթերը </w:t>
      </w:r>
      <w:r>
        <w:rPr>
          <w:rFonts w:ascii="GHEA Grapalat" w:hAnsi="GHEA Grapalat"/>
        </w:rPr>
        <w:lastRenderedPageBreak/>
        <w:t>թվայնացվում են, կատարվում է լրացուցիչ աշխատանք, ծախսվում են ռեսուրսներ, որի համատեքստում նպատակահարմար է բարձրացնել նաև նշված տեսակի ծառայության պետական տուրքը՝ նպատակ հետապնդելով նաև բարձրացնել քաղաքացիների պատասխանատվության ձևավորումը իրենց իսկ փաստաթղթերի պահպանության նկատմամբ։</w:t>
      </w:r>
    </w:p>
    <w:p w14:paraId="6A2B2A2A" w14:textId="77777777" w:rsidR="00BF1B70" w:rsidRDefault="00206D15">
      <w:pPr>
        <w:tabs>
          <w:tab w:val="left" w:pos="10490"/>
        </w:tabs>
        <w:spacing w:line="360" w:lineRule="auto"/>
        <w:ind w:right="49" w:firstLine="709"/>
        <w:jc w:val="both"/>
        <w:rPr>
          <w:rFonts w:ascii="GHEA Grapalat" w:hAnsi="GHEA Grapalat"/>
        </w:rPr>
      </w:pPr>
      <w:r>
        <w:rPr>
          <w:rFonts w:ascii="GHEA Grapalat" w:hAnsi="GHEA Grapalat"/>
        </w:rPr>
        <w:t xml:space="preserve">Ինչ վերաբերում է քաղաքացիական կացության ակտային գրանցման առկայության վերաբերյալ տեղեկանքին, ապա այն քաղաքացիական կացության ակտի պետական գրանցման հիման վրա և դրա վերաբերյալ տեղեկություններ պարունակող էլեկտրոնային փաստաթուղթ է, որը պարունակում է գրեթե նույն տեղեկատվությունը, ինչ քաղաքացիական կացության ակտային գրանցման մասին պետական վկայականը: </w:t>
      </w:r>
    </w:p>
    <w:p w14:paraId="14FD6BD2" w14:textId="77777777" w:rsidR="00BF1B70" w:rsidRDefault="00206D15">
      <w:pPr>
        <w:tabs>
          <w:tab w:val="left" w:pos="10490"/>
        </w:tabs>
        <w:spacing w:line="360" w:lineRule="auto"/>
        <w:ind w:right="49" w:firstLine="709"/>
        <w:jc w:val="both"/>
        <w:rPr>
          <w:rFonts w:ascii="GHEA Grapalat" w:hAnsi="GHEA Grapalat"/>
        </w:rPr>
      </w:pPr>
      <w:r>
        <w:rPr>
          <w:rFonts w:ascii="GHEA Grapalat" w:hAnsi="GHEA Grapalat"/>
        </w:rPr>
        <w:t>Միևնույն ժամանակ, քաղաքացիական կացության ակտային գրանցման առկայության վերաբերյալ տեղեկանք տրամադրելու համար իրականացվում է նույն աշխատանքը, ինչ վկայականի կրկնօրինակի տրամադրման համար, մասնավորապես՝ կատարվում է համապատասխան ակտային գրանցման հայտնաբերման նպատակով թղթային արխիվի ուսումնասիրություն, գտնված ակտային գրանցման թվայնացում, անհրաժեշտ դիմումի մուտքագրում, ՔԿԱԳ էլեկտրոնային կառավարման համակարգում փաստաթղթի ձևավորում, որից ելնելով՝ նպատակահարմար է քաղաքացիական կացության ակտային գրանցման առկայության վերաբերյալ տեղեկանքի համար սահմանել պետական տուրք՝ բազային տուրքի հնգապատիկի չափով:</w:t>
      </w:r>
    </w:p>
    <w:p w14:paraId="591E139B" w14:textId="77777777" w:rsidR="00BF1B70" w:rsidRDefault="00206D15">
      <w:pPr>
        <w:tabs>
          <w:tab w:val="left" w:pos="10490"/>
        </w:tabs>
        <w:spacing w:line="360" w:lineRule="auto"/>
        <w:ind w:right="49" w:firstLine="709"/>
        <w:jc w:val="both"/>
        <w:rPr>
          <w:rFonts w:ascii="GHEA Grapalat" w:hAnsi="GHEA Grapalat"/>
        </w:rPr>
      </w:pPr>
      <w:r>
        <w:rPr>
          <w:rFonts w:ascii="GHEA Grapalat" w:hAnsi="GHEA Grapalat"/>
        </w:rPr>
        <w:t xml:space="preserve">Ամուսնության հանդիսավոր պետական գրանցման համար սահմանված լրացուցիչ վճարի չափը նույնպես բարձրացվում է՝ նպատակ ունենալով կանխելու տվյալ ոլորտի հնարավոր կոռուպցիոն ռիսկերը: Փոփոխվում է նաև ամուսնալուծության գրանցման համար սահմանված նվազագույն ժամկետը՝ մեկամսյա ժամկետի փոխարեն նախատեսելով երկամսյա ժամկետ։ Բարձրացվում է նաև ամուսնալուծության գրանցման ժամկետը լրացուցիչ վճարի դիմաց կրճատելու ծառայության դիմաց նախատեսված տուրքը՝ նպատակ ունենալով խթանել ընտանիքի պահպանումը, ամուսնալուծվող անձանց տրամադրել ամուսնությունն ու ընտանիքը </w:t>
      </w:r>
      <w:r>
        <w:rPr>
          <w:rFonts w:ascii="GHEA Grapalat" w:hAnsi="GHEA Grapalat"/>
        </w:rPr>
        <w:lastRenderedPageBreak/>
        <w:t>վերաիմաստավորելու և արդեն ներկայացված ամուսնալուծության դիմումից հրաժարվելու ժամանակ:</w:t>
      </w:r>
    </w:p>
    <w:p w14:paraId="71E3039D" w14:textId="77777777" w:rsidR="0040536E" w:rsidRDefault="0040536E" w:rsidP="0040536E">
      <w:pPr>
        <w:tabs>
          <w:tab w:val="left" w:pos="10490"/>
        </w:tabs>
        <w:spacing w:line="360" w:lineRule="auto"/>
        <w:ind w:right="49" w:firstLine="567"/>
        <w:jc w:val="both"/>
        <w:rPr>
          <w:rFonts w:ascii="GHEA Grapalat" w:hAnsi="GHEA Grapalat"/>
          <w:shd w:val="clear" w:color="auto" w:fill="FFFFFF"/>
        </w:rPr>
      </w:pPr>
      <w:r>
        <w:rPr>
          <w:rFonts w:ascii="GHEA Grapalat" w:hAnsi="GHEA Grapalat"/>
          <w:shd w:val="clear" w:color="auto" w:fill="FFFFFF"/>
        </w:rPr>
        <w:t xml:space="preserve">Ուժը կորցրած են ճանաչվում նաև </w:t>
      </w:r>
      <w:r w:rsidRPr="0040536E">
        <w:rPr>
          <w:rFonts w:ascii="GHEA Grapalat" w:hAnsi="GHEA Grapalat"/>
          <w:shd w:val="clear" w:color="auto" w:fill="FFFFFF"/>
        </w:rPr>
        <w:t>«Համայնքային ծառայության մասին» 2004 թվականի դեկտեմբերի 14-ի ՀՕ-43-Ն օրենքի 15-րդ հոդվածի 1-ին մաս</w:t>
      </w:r>
      <w:r>
        <w:rPr>
          <w:rFonts w:ascii="GHEA Grapalat" w:hAnsi="GHEA Grapalat"/>
          <w:shd w:val="clear" w:color="auto" w:fill="FFFFFF"/>
        </w:rPr>
        <w:t>ի 2-րդ և 3-րդ պարբերությունները։</w:t>
      </w:r>
    </w:p>
    <w:p w14:paraId="2D0E83DD" w14:textId="77777777" w:rsidR="00BF1B70" w:rsidRDefault="0040536E" w:rsidP="0040536E">
      <w:pPr>
        <w:tabs>
          <w:tab w:val="left" w:pos="10490"/>
        </w:tabs>
        <w:spacing w:line="360" w:lineRule="auto"/>
        <w:ind w:right="49" w:firstLine="567"/>
        <w:jc w:val="both"/>
        <w:rPr>
          <w:rFonts w:ascii="GHEA Grapalat" w:hAnsi="GHEA Grapalat"/>
          <w:shd w:val="clear" w:color="auto" w:fill="FFFFFF"/>
        </w:rPr>
      </w:pPr>
      <w:r>
        <w:rPr>
          <w:rFonts w:ascii="GHEA Grapalat" w:hAnsi="GHEA Grapalat"/>
          <w:shd w:val="clear" w:color="auto" w:fill="FFFFFF"/>
        </w:rPr>
        <w:t xml:space="preserve">Փոփոխություն է կատարվում նաև </w:t>
      </w:r>
      <w:r w:rsidRPr="0040536E">
        <w:rPr>
          <w:rFonts w:ascii="GHEA Grapalat" w:hAnsi="GHEA Grapalat"/>
          <w:shd w:val="clear" w:color="auto" w:fill="FFFFFF"/>
        </w:rPr>
        <w:t xml:space="preserve">Հայաստանի Հանրապետության պաշտոնական փաստաթղթերը ապոստիլով վավերացնելու մասին»  2021 թվականի մարտի 10-ի  թիվ ՀՕ-18-Ն </w:t>
      </w:r>
      <w:r>
        <w:rPr>
          <w:rFonts w:ascii="GHEA Grapalat" w:hAnsi="GHEA Grapalat"/>
          <w:shd w:val="clear" w:color="auto" w:fill="FFFFFF"/>
        </w:rPr>
        <w:t xml:space="preserve">օրենքի 3-րդ հոդվածի 9-րդ մասում, մասնավորպես՝ </w:t>
      </w:r>
      <w:r w:rsidRPr="0040536E">
        <w:rPr>
          <w:rFonts w:ascii="GHEA Grapalat" w:hAnsi="GHEA Grapalat"/>
          <w:shd w:val="clear" w:color="auto" w:fill="FFFFFF"/>
        </w:rPr>
        <w:t xml:space="preserve">«մեկ աշխատանքային </w:t>
      </w:r>
      <w:r>
        <w:rPr>
          <w:rFonts w:ascii="GHEA Grapalat" w:hAnsi="GHEA Grapalat"/>
          <w:shd w:val="clear" w:color="auto" w:fill="FFFFFF"/>
        </w:rPr>
        <w:t>օրվա ընթացքում» բառերը փոխարինվում են</w:t>
      </w:r>
      <w:r w:rsidRPr="0040536E">
        <w:rPr>
          <w:rFonts w:ascii="GHEA Grapalat" w:hAnsi="GHEA Grapalat"/>
          <w:shd w:val="clear" w:color="auto" w:fill="FFFFFF"/>
        </w:rPr>
        <w:t xml:space="preserve"> «երկու աշխատանքային օրվա ընթացքում» բառերով:</w:t>
      </w:r>
    </w:p>
    <w:p w14:paraId="20E5896F" w14:textId="77777777" w:rsidR="0040536E" w:rsidRDefault="0040536E">
      <w:pPr>
        <w:tabs>
          <w:tab w:val="left" w:pos="10490"/>
        </w:tabs>
        <w:spacing w:line="360" w:lineRule="auto"/>
        <w:ind w:right="49" w:firstLine="567"/>
        <w:jc w:val="both"/>
        <w:rPr>
          <w:rFonts w:ascii="GHEA Grapalat" w:hAnsi="GHEA Grapalat"/>
          <w:shd w:val="clear" w:color="auto" w:fill="FFFFFF"/>
        </w:rPr>
      </w:pPr>
    </w:p>
    <w:p w14:paraId="20D61A21" w14:textId="77777777" w:rsidR="0040536E" w:rsidRDefault="0040536E">
      <w:pPr>
        <w:tabs>
          <w:tab w:val="left" w:pos="10490"/>
        </w:tabs>
        <w:spacing w:line="360" w:lineRule="auto"/>
        <w:ind w:right="49" w:firstLine="567"/>
        <w:jc w:val="both"/>
        <w:rPr>
          <w:rFonts w:ascii="GHEA Grapalat" w:hAnsi="GHEA Grapalat"/>
          <w:shd w:val="clear" w:color="auto" w:fill="FFFFFF"/>
        </w:rPr>
      </w:pPr>
    </w:p>
    <w:p w14:paraId="50B51D4F" w14:textId="77777777" w:rsidR="00BF1B70" w:rsidRDefault="00206D15">
      <w:pPr>
        <w:widowControl w:val="0"/>
        <w:numPr>
          <w:ilvl w:val="0"/>
          <w:numId w:val="1"/>
        </w:numPr>
        <w:tabs>
          <w:tab w:val="left" w:pos="851"/>
          <w:tab w:val="left" w:pos="993"/>
          <w:tab w:val="left" w:pos="10490"/>
        </w:tabs>
        <w:autoSpaceDE w:val="0"/>
        <w:autoSpaceDN w:val="0"/>
        <w:adjustRightInd w:val="0"/>
        <w:spacing w:line="360" w:lineRule="auto"/>
        <w:ind w:left="0" w:right="49" w:firstLine="567"/>
        <w:jc w:val="both"/>
        <w:rPr>
          <w:rFonts w:ascii="GHEA Grapalat" w:hAnsi="GHEA Grapalat"/>
          <w:b/>
          <w:lang w:val="en-US"/>
        </w:rPr>
      </w:pPr>
      <w:r>
        <w:rPr>
          <w:rFonts w:ascii="GHEA Grapalat" w:hAnsi="GHEA Grapalat"/>
          <w:b/>
          <w:lang w:val="en-US"/>
        </w:rPr>
        <w:t>Կարգավորման նպատակը, ակնկալվող արդյունքները.</w:t>
      </w:r>
    </w:p>
    <w:p w14:paraId="4F3237D0" w14:textId="77777777" w:rsidR="00BF1B70" w:rsidRDefault="00206D15">
      <w:pPr>
        <w:pStyle w:val="ListParagraph"/>
        <w:tabs>
          <w:tab w:val="left" w:pos="10490"/>
        </w:tabs>
        <w:ind w:left="0" w:right="49" w:firstLine="567"/>
        <w:rPr>
          <w:rFonts w:ascii="GHEA Grapalat" w:hAnsi="GHEA Grapalat"/>
          <w:sz w:val="24"/>
          <w:szCs w:val="24"/>
          <w:lang w:val="en-US"/>
        </w:rPr>
      </w:pPr>
      <w:r>
        <w:rPr>
          <w:rFonts w:ascii="GHEA Grapalat" w:hAnsi="GHEA Grapalat"/>
          <w:sz w:val="24"/>
          <w:szCs w:val="24"/>
          <w:lang w:val="en-US"/>
        </w:rPr>
        <w:t>Նախագծերով առաջարկվող փոփոխություններով հնարավորություն կստեղծվի ՔԿԱԳ համակարգ</w:t>
      </w:r>
      <w:r>
        <w:rPr>
          <w:rFonts w:ascii="GHEA Grapalat" w:hAnsi="GHEA Grapalat"/>
          <w:sz w:val="24"/>
          <w:szCs w:val="24"/>
          <w:lang w:val="hy-AM"/>
        </w:rPr>
        <w:t>ը դարձնել</w:t>
      </w:r>
      <w:r>
        <w:rPr>
          <w:rFonts w:ascii="GHEA Grapalat" w:hAnsi="GHEA Grapalat"/>
          <w:sz w:val="24"/>
          <w:szCs w:val="24"/>
          <w:lang w:val="en-US"/>
        </w:rPr>
        <w:t xml:space="preserve"> առավել միասնական</w:t>
      </w:r>
      <w:r>
        <w:rPr>
          <w:rFonts w:ascii="GHEA Grapalat" w:hAnsi="GHEA Grapalat"/>
          <w:sz w:val="24"/>
          <w:szCs w:val="24"/>
          <w:lang w:val="hy-AM"/>
        </w:rPr>
        <w:t>,</w:t>
      </w:r>
      <w:r>
        <w:rPr>
          <w:rFonts w:ascii="GHEA Grapalat" w:hAnsi="GHEA Grapalat"/>
          <w:sz w:val="24"/>
          <w:szCs w:val="24"/>
          <w:lang w:val="en-US"/>
        </w:rPr>
        <w:t xml:space="preserve"> կառուցվածքը համալրել քաղաքացիական ծառայողներով</w:t>
      </w:r>
      <w:r>
        <w:rPr>
          <w:rFonts w:ascii="GHEA Grapalat" w:hAnsi="GHEA Grapalat"/>
          <w:sz w:val="24"/>
          <w:szCs w:val="24"/>
          <w:lang w:val="hy-AM"/>
        </w:rPr>
        <w:t>,</w:t>
      </w:r>
      <w:r>
        <w:rPr>
          <w:rFonts w:ascii="GHEA Grapalat" w:hAnsi="GHEA Grapalat"/>
          <w:sz w:val="24"/>
          <w:szCs w:val="24"/>
          <w:lang w:val="en-US"/>
        </w:rPr>
        <w:t xml:space="preserve"> վերջիններիս համար </w:t>
      </w:r>
      <w:r>
        <w:rPr>
          <w:rFonts w:ascii="GHEA Grapalat" w:hAnsi="GHEA Grapalat"/>
          <w:sz w:val="24"/>
          <w:szCs w:val="24"/>
          <w:lang w:val="hy-AM"/>
        </w:rPr>
        <w:t xml:space="preserve">ապահովել </w:t>
      </w:r>
      <w:r>
        <w:rPr>
          <w:rFonts w:ascii="GHEA Grapalat" w:hAnsi="GHEA Grapalat"/>
          <w:sz w:val="24"/>
          <w:szCs w:val="24"/>
          <w:lang w:val="en-US"/>
        </w:rPr>
        <w:t xml:space="preserve">հավասար պայմաններ և վարձատրություն, </w:t>
      </w:r>
      <w:r>
        <w:rPr>
          <w:rFonts w:ascii="GHEA Grapalat" w:hAnsi="GHEA Grapalat"/>
          <w:sz w:val="24"/>
          <w:szCs w:val="24"/>
          <w:lang w:val="hy-AM"/>
        </w:rPr>
        <w:t xml:space="preserve">իսկ </w:t>
      </w:r>
      <w:r>
        <w:rPr>
          <w:rFonts w:ascii="GHEA Grapalat" w:hAnsi="GHEA Grapalat"/>
          <w:sz w:val="24"/>
          <w:szCs w:val="24"/>
          <w:lang w:val="en-US"/>
        </w:rPr>
        <w:t xml:space="preserve">քաղաքացիների համար հնարավոր կլինի  ապահովել առավել լայն շրջանակի </w:t>
      </w:r>
      <w:r>
        <w:rPr>
          <w:rFonts w:ascii="GHEA Grapalat" w:hAnsi="GHEA Grapalat"/>
          <w:sz w:val="24"/>
          <w:szCs w:val="24"/>
          <w:lang w:val="hy-AM"/>
        </w:rPr>
        <w:t xml:space="preserve">և որակյալ </w:t>
      </w:r>
      <w:r>
        <w:rPr>
          <w:rFonts w:ascii="GHEA Grapalat" w:hAnsi="GHEA Grapalat"/>
          <w:sz w:val="24"/>
          <w:szCs w:val="24"/>
          <w:lang w:val="en-US"/>
        </w:rPr>
        <w:t>ծառայություններ՝ ապահովելով հարմարավետության, բարձր որակի, հերթերի և ժամանակի արդյունավետ կառավարման սկզբունքները:</w:t>
      </w:r>
      <w:r>
        <w:rPr>
          <w:lang w:val="en-US"/>
        </w:rPr>
        <w:t xml:space="preserve"> </w:t>
      </w:r>
      <w:r>
        <w:rPr>
          <w:rFonts w:ascii="GHEA Grapalat" w:hAnsi="GHEA Grapalat"/>
          <w:sz w:val="24"/>
          <w:szCs w:val="24"/>
          <w:lang w:val="en-US"/>
        </w:rPr>
        <w:tab/>
      </w:r>
    </w:p>
    <w:p w14:paraId="549417C7" w14:textId="77777777" w:rsidR="00BF1B70" w:rsidRDefault="00BF1B70">
      <w:pPr>
        <w:pStyle w:val="ListParagraph"/>
        <w:tabs>
          <w:tab w:val="left" w:pos="10490"/>
        </w:tabs>
        <w:ind w:left="0" w:right="49" w:firstLine="567"/>
        <w:rPr>
          <w:rFonts w:ascii="GHEA Grapalat" w:hAnsi="GHEA Grapalat"/>
          <w:sz w:val="24"/>
          <w:szCs w:val="24"/>
          <w:lang w:val="en-US"/>
        </w:rPr>
      </w:pPr>
    </w:p>
    <w:p w14:paraId="506118BD" w14:textId="77777777" w:rsidR="0040536E" w:rsidRDefault="0040536E">
      <w:pPr>
        <w:pStyle w:val="ListParagraph"/>
        <w:tabs>
          <w:tab w:val="left" w:pos="10490"/>
        </w:tabs>
        <w:ind w:left="0" w:right="49" w:firstLine="567"/>
        <w:rPr>
          <w:rFonts w:ascii="GHEA Grapalat" w:hAnsi="GHEA Grapalat"/>
          <w:sz w:val="24"/>
          <w:szCs w:val="24"/>
          <w:lang w:val="en-US"/>
        </w:rPr>
      </w:pPr>
    </w:p>
    <w:p w14:paraId="37FEF6A2" w14:textId="77777777" w:rsidR="00BF1B70" w:rsidRDefault="00206D15">
      <w:pPr>
        <w:widowControl w:val="0"/>
        <w:numPr>
          <w:ilvl w:val="0"/>
          <w:numId w:val="1"/>
        </w:numPr>
        <w:tabs>
          <w:tab w:val="left" w:pos="851"/>
          <w:tab w:val="left" w:pos="993"/>
          <w:tab w:val="left" w:pos="10490"/>
        </w:tabs>
        <w:autoSpaceDE w:val="0"/>
        <w:autoSpaceDN w:val="0"/>
        <w:adjustRightInd w:val="0"/>
        <w:spacing w:line="360" w:lineRule="auto"/>
        <w:ind w:left="0" w:right="49" w:firstLine="567"/>
        <w:jc w:val="both"/>
        <w:rPr>
          <w:rFonts w:ascii="GHEA Grapalat" w:hAnsi="GHEA Grapalat"/>
          <w:lang w:val="en-US"/>
        </w:rPr>
      </w:pPr>
      <w:r>
        <w:rPr>
          <w:rFonts w:ascii="GHEA Grapalat" w:hAnsi="GHEA Grapalat" w:cs="Sylfaen"/>
          <w:b/>
          <w:lang w:val="en-US" w:eastAsia="zh-CN"/>
        </w:rPr>
        <w:t>Իրավական</w:t>
      </w:r>
      <w:r>
        <w:rPr>
          <w:rFonts w:ascii="GHEA Grapalat" w:hAnsi="GHEA Grapalat"/>
          <w:b/>
          <w:lang w:val="en-US" w:eastAsia="zh-CN"/>
        </w:rPr>
        <w:t xml:space="preserve"> ակտի 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14:paraId="4B4874E0" w14:textId="77777777" w:rsidR="00BF1B70" w:rsidRDefault="00206D15">
      <w:pPr>
        <w:tabs>
          <w:tab w:val="left" w:pos="720"/>
          <w:tab w:val="left" w:pos="851"/>
          <w:tab w:val="left" w:pos="993"/>
          <w:tab w:val="left" w:pos="10490"/>
        </w:tabs>
        <w:spacing w:line="360" w:lineRule="auto"/>
        <w:ind w:right="49" w:firstLine="567"/>
        <w:jc w:val="both"/>
        <w:rPr>
          <w:rFonts w:ascii="GHEA Grapalat" w:hAnsi="GHEA Grapalat"/>
          <w:lang w:val="en-US"/>
        </w:rPr>
      </w:pPr>
      <w:r>
        <w:rPr>
          <w:rFonts w:ascii="GHEA Grapalat" w:hAnsi="GHEA Grapalat"/>
          <w:lang w:val="en-US"/>
        </w:rPr>
        <w:t>Նախագծերը մշակվել են Արդարադատության նախարարության կողմից։</w:t>
      </w:r>
    </w:p>
    <w:p w14:paraId="35B88EEA" w14:textId="77777777" w:rsidR="0040536E" w:rsidRDefault="0040536E">
      <w:pPr>
        <w:tabs>
          <w:tab w:val="left" w:pos="720"/>
          <w:tab w:val="left" w:pos="851"/>
          <w:tab w:val="left" w:pos="993"/>
          <w:tab w:val="left" w:pos="10490"/>
        </w:tabs>
        <w:spacing w:line="360" w:lineRule="auto"/>
        <w:ind w:right="49" w:firstLine="567"/>
        <w:jc w:val="both"/>
        <w:rPr>
          <w:rFonts w:ascii="GHEA Grapalat" w:hAnsi="GHEA Grapalat"/>
          <w:lang w:val="en-US"/>
        </w:rPr>
      </w:pPr>
    </w:p>
    <w:p w14:paraId="044F832C" w14:textId="77777777" w:rsidR="0040536E" w:rsidRDefault="0040536E">
      <w:pPr>
        <w:tabs>
          <w:tab w:val="left" w:pos="720"/>
          <w:tab w:val="left" w:pos="851"/>
          <w:tab w:val="left" w:pos="993"/>
          <w:tab w:val="left" w:pos="10490"/>
        </w:tabs>
        <w:spacing w:line="360" w:lineRule="auto"/>
        <w:ind w:right="49" w:firstLine="567"/>
        <w:jc w:val="both"/>
        <w:rPr>
          <w:rFonts w:ascii="GHEA Grapalat" w:hAnsi="GHEA Grapalat"/>
          <w:lang w:val="en-US"/>
        </w:rPr>
      </w:pPr>
    </w:p>
    <w:p w14:paraId="7967F27E" w14:textId="77777777" w:rsidR="00BF1B70" w:rsidRDefault="00BF1B70">
      <w:pPr>
        <w:pStyle w:val="ListParagraph"/>
        <w:shd w:val="clear" w:color="auto" w:fill="FFFFFF"/>
        <w:tabs>
          <w:tab w:val="left" w:pos="851"/>
          <w:tab w:val="left" w:pos="993"/>
          <w:tab w:val="left" w:pos="10490"/>
        </w:tabs>
        <w:ind w:left="0" w:right="49" w:firstLine="567"/>
        <w:rPr>
          <w:rFonts w:ascii="GHEA Grapalat" w:hAnsi="GHEA Grapalat" w:cs="Sylfaen"/>
          <w:b/>
          <w:sz w:val="24"/>
          <w:szCs w:val="24"/>
          <w:highlight w:val="yellow"/>
          <w:lang w:val="en-US"/>
        </w:rPr>
      </w:pPr>
    </w:p>
    <w:p w14:paraId="23CEBEDE" w14:textId="77777777" w:rsidR="00BF1B70" w:rsidRDefault="00206D15">
      <w:pPr>
        <w:widowControl w:val="0"/>
        <w:numPr>
          <w:ilvl w:val="0"/>
          <w:numId w:val="1"/>
        </w:numPr>
        <w:tabs>
          <w:tab w:val="left" w:pos="851"/>
          <w:tab w:val="left" w:pos="993"/>
          <w:tab w:val="left" w:pos="10490"/>
        </w:tabs>
        <w:autoSpaceDE w:val="0"/>
        <w:autoSpaceDN w:val="0"/>
        <w:adjustRightInd w:val="0"/>
        <w:spacing w:line="360" w:lineRule="auto"/>
        <w:ind w:left="0" w:right="49" w:firstLine="567"/>
        <w:jc w:val="both"/>
        <w:rPr>
          <w:rStyle w:val="Strong"/>
          <w:rFonts w:ascii="GHEA Grapalat" w:hAnsi="GHEA Grapalat" w:cs="Sylfaen"/>
          <w:bCs w:val="0"/>
          <w:lang w:val="en-US"/>
        </w:rPr>
      </w:pPr>
      <w:r>
        <w:rPr>
          <w:rFonts w:ascii="GHEA Grapalat" w:hAnsi="GHEA Grapalat" w:cs="Sylfaen"/>
          <w:b/>
          <w:lang w:val="en-US"/>
        </w:rPr>
        <w:lastRenderedPageBreak/>
        <w:t xml:space="preserve">Նախագծի </w:t>
      </w:r>
      <w:r>
        <w:rPr>
          <w:rFonts w:ascii="GHEA Grapalat" w:hAnsi="GHEA Grapalat" w:cs="Arian AMU"/>
          <w:b/>
          <w:bCs/>
          <w:lang w:val="en-US" w:eastAsia="hy-AM"/>
        </w:rPr>
        <w:t xml:space="preserve">ընդունման </w:t>
      </w:r>
      <w:r>
        <w:rPr>
          <w:rStyle w:val="Strong"/>
          <w:rFonts w:ascii="GHEA Grapalat" w:hAnsi="GHEA Grapalat" w:cs="Arian AMU"/>
          <w:lang w:val="en-US"/>
        </w:rPr>
        <w:t>կապակցությամբ</w:t>
      </w:r>
      <w:r>
        <w:rPr>
          <w:rFonts w:ascii="GHEA Grapalat" w:hAnsi="GHEA Grapalat" w:cs="Calibri"/>
          <w:b/>
          <w:lang w:val="en-US"/>
        </w:rPr>
        <w:t xml:space="preserve"> </w:t>
      </w:r>
      <w:r>
        <w:rPr>
          <w:rFonts w:ascii="GHEA Grapalat" w:hAnsi="GHEA Grapalat"/>
          <w:b/>
          <w:shd w:val="clear" w:color="auto" w:fill="FFFFFF"/>
          <w:lang w:val="en-US"/>
        </w:rPr>
        <w:t>լրացուցիչ ֆինանսական միջոցների անհրաժեշտության և պետական բյուջեի եկամուտներում և ծախսերում սպասվելիք փոփոխությունների մասին</w:t>
      </w:r>
      <w:r>
        <w:rPr>
          <w:rStyle w:val="Strong"/>
          <w:rFonts w:ascii="GHEA Grapalat" w:hAnsi="GHEA Grapalat" w:cs="Arian AMU"/>
          <w:lang w:val="en-US"/>
        </w:rPr>
        <w:t>.</w:t>
      </w:r>
    </w:p>
    <w:p w14:paraId="4D7CFE20" w14:textId="77777777" w:rsidR="00BF1B70" w:rsidRDefault="00206D15">
      <w:pPr>
        <w:tabs>
          <w:tab w:val="left" w:pos="851"/>
          <w:tab w:val="left" w:pos="993"/>
          <w:tab w:val="left" w:pos="10490"/>
        </w:tabs>
        <w:spacing w:line="360" w:lineRule="auto"/>
        <w:ind w:right="49" w:firstLine="567"/>
        <w:jc w:val="both"/>
        <w:rPr>
          <w:rFonts w:ascii="GHEA Grapalat" w:hAnsi="GHEA Grapalat"/>
        </w:rPr>
      </w:pPr>
      <w:r>
        <w:rPr>
          <w:rFonts w:ascii="GHEA Grapalat" w:hAnsi="GHEA Grapalat"/>
          <w:lang w:val="en-US"/>
        </w:rPr>
        <w:t xml:space="preserve">Նախագծերի ընդունման կապակցությամբ պետական բյուջեի եկամուտներում և ծախսերում նախատեսվում են փոփոխություններ՝ նկատի ունենալով, որ պետական բյուջեից ԱՆ-ին հատկացված «1052. ՔԿԱԳ» ծրագրի գումարները մասամբ փոխանցվում են համայնքներին, սակայն փոխանցվող գումարի արդյունքում մատուցվող ծառայություններից ստացվող ամբողջ եկամուտը մնում է համայնքային բյուջեում, ինչը վերափոխման կարիք ունի: Բացի այդ առկա է լինելու աշխատանքի վարձատրության, ինչպես նաև գույքի սպասարկման համար կատարվող ծախսերի վերանայման անհրաժեշտություն: </w:t>
      </w:r>
      <w:r>
        <w:rPr>
          <w:rFonts w:ascii="GHEA Grapalat" w:hAnsi="GHEA Grapalat"/>
        </w:rPr>
        <w:t xml:space="preserve">Այսպես․77 համայնքային ծառայողի համար պետական բյուջեից յուրաքանչյուր տարի հատկացվել է ավելի քան 156 միլիոն ՀՀ դրամ, որն իր մեջ ներառել է ծառայողների աշխատավարձը և սպասարկման կենտրոնների պահպանման ծախսերը (գույքի համար հատկացվող ծախսեր, կոմունալ վճարներ և այլն)։ </w:t>
      </w:r>
    </w:p>
    <w:p w14:paraId="4F2DE34C" w14:textId="77777777" w:rsidR="00BF1B70" w:rsidRDefault="00206D15">
      <w:pPr>
        <w:tabs>
          <w:tab w:val="left" w:pos="851"/>
          <w:tab w:val="left" w:pos="993"/>
          <w:tab w:val="left" w:pos="10490"/>
        </w:tabs>
        <w:spacing w:line="360" w:lineRule="auto"/>
        <w:ind w:right="49" w:firstLine="567"/>
        <w:jc w:val="both"/>
        <w:rPr>
          <w:rFonts w:ascii="GHEA Grapalat" w:hAnsi="GHEA Grapalat"/>
        </w:rPr>
      </w:pPr>
      <w:r>
        <w:rPr>
          <w:rFonts w:ascii="GHEA Grapalat" w:hAnsi="GHEA Grapalat"/>
        </w:rPr>
        <w:t>Նախագծով առաջարկվող փոփոխությունների արդյունքում կկրճատվեն նշված 77 համայնքային ծառայողի հաստիքները և կստեղծվեն 69 քաղաքացիական ծառայողների հաստիքներ, որոնց համար հատկացվող աշխատավարձը՝ ներառյալ պարգևավճարը, կկազմի շուրջ 276 միլիոն ՀՀ դրամ (նշված գումարի մեջ պահպանման ծախսերը ներառված չեն, որոնք այս պահի դրությամբ հնարավոր չէ արտացոլել)։</w:t>
      </w:r>
    </w:p>
    <w:p w14:paraId="2E75B400" w14:textId="77777777" w:rsidR="00BF1B70" w:rsidRDefault="00206D15">
      <w:pPr>
        <w:tabs>
          <w:tab w:val="left" w:pos="851"/>
          <w:tab w:val="left" w:pos="993"/>
          <w:tab w:val="left" w:pos="10490"/>
        </w:tabs>
        <w:spacing w:line="360" w:lineRule="auto"/>
        <w:ind w:right="49" w:firstLine="567"/>
        <w:jc w:val="both"/>
        <w:rPr>
          <w:rFonts w:ascii="GHEA Grapalat" w:hAnsi="GHEA Grapalat"/>
        </w:rPr>
      </w:pPr>
      <w:r>
        <w:rPr>
          <w:rFonts w:ascii="GHEA Grapalat" w:hAnsi="GHEA Grapalat"/>
        </w:rPr>
        <w:t xml:space="preserve"> Ամփոփելով հիշյալ ֆինանսական ցուցանիշները՝ կարող ենք ասել, որ պետական բյուջե կուղղվի ՔԿԱԳ ծառայությունների դիմաց գանձվող միջինում շուրջ 384 միլիոն ՀՀ դրամ պետական տուրքը (ընդ որում՝ անհրաժեշտ է նշել, որ այս թիվն ունի աճի միտում՝ հաշվի առնելով «Պետական տուրքի մասին» օրենքում փոփոխություններ և լրացումներ կատարելու մասին» օրենքի նախագծով առաջարկվող պետական տուրքերի ավելի բարձր չափերը), կխնայվի համայնքներին տրամադրվող տարեկան 156 միլիոն ՀՀ դրամը՝ պետական բյուջեն ապահովելով հավելյալ 540 միլիոն դրամով (384 միլ․+ 156 միլ․)։ Փոխարենը պետական բյուջեի </w:t>
      </w:r>
      <w:r>
        <w:rPr>
          <w:rFonts w:ascii="GHEA Grapalat" w:hAnsi="GHEA Grapalat"/>
        </w:rPr>
        <w:lastRenderedPageBreak/>
        <w:t xml:space="preserve">միջոցների հաշվին կապահովվեն սպասարկման գրասենյակների պահպանման ծախսերը և  քաղաքացիական ծառայողների աշխատավարձները (շուրջ 276 միլիոն ՀՀ դրամ)։ </w:t>
      </w:r>
    </w:p>
    <w:p w14:paraId="74873239" w14:textId="77777777" w:rsidR="00BF1B70" w:rsidRDefault="00206D15">
      <w:pPr>
        <w:tabs>
          <w:tab w:val="left" w:pos="851"/>
          <w:tab w:val="left" w:pos="993"/>
          <w:tab w:val="left" w:pos="10490"/>
        </w:tabs>
        <w:spacing w:line="360" w:lineRule="auto"/>
        <w:ind w:right="49" w:firstLine="567"/>
        <w:jc w:val="both"/>
        <w:rPr>
          <w:rFonts w:ascii="GHEA Grapalat" w:hAnsi="GHEA Grapalat"/>
        </w:rPr>
      </w:pPr>
      <w:r>
        <w:rPr>
          <w:rFonts w:ascii="GHEA Grapalat" w:hAnsi="GHEA Grapalat"/>
        </w:rPr>
        <w:t>Այսինքն, առաջարկվող փոփոխությունների արդյունքում պետական բյուջե կարող է ապահովվել շուրջ 264 միլիոն ՀՀ դրամի չափով լրացուցիչ մուտք։</w:t>
      </w:r>
    </w:p>
    <w:p w14:paraId="019EA6D4" w14:textId="77777777" w:rsidR="00BF1B70" w:rsidRDefault="00BF1B70">
      <w:pPr>
        <w:shd w:val="clear" w:color="auto" w:fill="FFFFFF"/>
        <w:tabs>
          <w:tab w:val="left" w:pos="851"/>
          <w:tab w:val="left" w:pos="993"/>
          <w:tab w:val="left" w:pos="10490"/>
        </w:tabs>
        <w:spacing w:line="360" w:lineRule="auto"/>
        <w:ind w:right="49" w:firstLine="567"/>
        <w:jc w:val="both"/>
        <w:rPr>
          <w:rFonts w:ascii="GHEA Grapalat" w:hAnsi="GHEA Grapalat"/>
        </w:rPr>
      </w:pPr>
    </w:p>
    <w:p w14:paraId="3E72B8B4" w14:textId="77777777" w:rsidR="0040536E" w:rsidRDefault="0040536E">
      <w:pPr>
        <w:shd w:val="clear" w:color="auto" w:fill="FFFFFF"/>
        <w:tabs>
          <w:tab w:val="left" w:pos="851"/>
          <w:tab w:val="left" w:pos="993"/>
          <w:tab w:val="left" w:pos="10490"/>
        </w:tabs>
        <w:spacing w:line="360" w:lineRule="auto"/>
        <w:ind w:right="49" w:firstLine="567"/>
        <w:jc w:val="both"/>
        <w:rPr>
          <w:rFonts w:ascii="GHEA Grapalat" w:hAnsi="GHEA Grapalat" w:cs="Arian AMU"/>
          <w:b/>
          <w:bCs/>
          <w:highlight w:val="yellow"/>
          <w:lang w:eastAsia="hy-AM"/>
        </w:rPr>
      </w:pPr>
    </w:p>
    <w:p w14:paraId="5224B93E" w14:textId="77777777" w:rsidR="00BF1B70" w:rsidRDefault="00206D15">
      <w:pPr>
        <w:widowControl w:val="0"/>
        <w:numPr>
          <w:ilvl w:val="0"/>
          <w:numId w:val="1"/>
        </w:numPr>
        <w:tabs>
          <w:tab w:val="left" w:pos="851"/>
          <w:tab w:val="left" w:pos="993"/>
          <w:tab w:val="left" w:pos="10490"/>
        </w:tabs>
        <w:autoSpaceDE w:val="0"/>
        <w:autoSpaceDN w:val="0"/>
        <w:adjustRightInd w:val="0"/>
        <w:spacing w:line="360" w:lineRule="auto"/>
        <w:ind w:left="0" w:right="49" w:firstLine="567"/>
        <w:jc w:val="both"/>
        <w:rPr>
          <w:rFonts w:ascii="GHEA Grapalat" w:hAnsi="GHEA Grapalat"/>
          <w:b/>
        </w:rPr>
      </w:pPr>
      <w:r>
        <w:rPr>
          <w:rFonts w:ascii="GHEA Grapalat" w:hAnsi="GHEA Grapalat"/>
          <w:b/>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5E35B62" w14:textId="77777777" w:rsidR="00BF1B70" w:rsidRDefault="00206D15">
      <w:pPr>
        <w:widowControl w:val="0"/>
        <w:tabs>
          <w:tab w:val="left" w:pos="851"/>
          <w:tab w:val="left" w:pos="993"/>
          <w:tab w:val="left" w:pos="10490"/>
        </w:tabs>
        <w:autoSpaceDE w:val="0"/>
        <w:autoSpaceDN w:val="0"/>
        <w:adjustRightInd w:val="0"/>
        <w:spacing w:line="360" w:lineRule="auto"/>
        <w:ind w:right="49"/>
        <w:jc w:val="both"/>
        <w:rPr>
          <w:rFonts w:ascii="GHEA Grapalat" w:hAnsi="GHEA Grapalat"/>
        </w:rPr>
      </w:pPr>
      <w:r>
        <w:rPr>
          <w:rFonts w:ascii="GHEA Grapalat" w:hAnsi="GHEA Grapalat"/>
          <w:b/>
        </w:rPr>
        <w:t xml:space="preserve">        </w:t>
      </w:r>
      <w:r>
        <w:rPr>
          <w:rFonts w:ascii="GHEA Grapalat" w:hAnsi="GHEA Grapalat"/>
        </w:rPr>
        <w:t xml:space="preserve">Նախագծերը բխում են Ազգային ժողովի 2021 թվականի օգոստոսի 26-ի «Հայաստանի Հանրապետության Կառավարության ծրագրին հավանություն տալու մասին» թիվ ԱԺՈ-002-Ն որոշմամբ հաստատված՝ Կառավարության 2021-2026թթ. ծրագրից (այսուհետ՝ Ծրագիր), մասնավորապես՝ Ծրագրի 6.2-րդ բաժնով կառավարությունը ստանձնել է պետության կողմից հանրությանը մատուցվող ծառայությունների որակի արմատապես բարեփոխման հանձնառություն: Որակյալ ծառայությունների մատուցման հիմքը արդիական ու առաջադեմ տեխնոլոգիաների հիմքով կառավարվող տվյալների բազաների առկայությունն է, որն էական է քաղաքացիակենտրոն որոշումների կայացման համար: </w:t>
      </w:r>
      <w:r>
        <w:rPr>
          <w:rFonts w:ascii="GHEA Grapalat" w:hAnsi="GHEA Grapalat" w:cs="Sylfaen"/>
        </w:rPr>
        <w:t>Նախագծերը</w:t>
      </w:r>
      <w:r>
        <w:rPr>
          <w:rFonts w:ascii="GHEA Grapalat" w:eastAsia="GHEA Grapalat" w:hAnsi="GHEA Grapalat"/>
        </w:rPr>
        <w:t xml:space="preserve"> </w:t>
      </w:r>
      <w:r>
        <w:rPr>
          <w:rFonts w:ascii="GHEA Grapalat" w:eastAsia="GHEA Grapalat" w:hAnsi="GHEA Grapalat" w:cs="Sylfaen"/>
        </w:rPr>
        <w:t>բխում</w:t>
      </w:r>
      <w:r>
        <w:rPr>
          <w:rFonts w:ascii="GHEA Grapalat" w:eastAsia="GHEA Grapalat" w:hAnsi="GHEA Grapalat"/>
        </w:rPr>
        <w:t xml:space="preserve"> </w:t>
      </w:r>
      <w:r>
        <w:rPr>
          <w:rFonts w:ascii="GHEA Grapalat" w:eastAsia="GHEA Grapalat" w:hAnsi="GHEA Grapalat" w:cs="Sylfaen"/>
        </w:rPr>
        <w:t>են</w:t>
      </w:r>
      <w:r>
        <w:rPr>
          <w:rFonts w:ascii="GHEA Grapalat" w:hAnsi="GHEA Grapalat"/>
        </w:rPr>
        <w:t xml:space="preserve"> նաև 2022 թվականի մայիսի 13-ի «Հանրային կառավարման բարեփոխումների ռազմավարությունը,   2023-2025 թվականների ճանապարհային քարտեզը  և արդյունքային շրջանակը հաստատելու մասին» N 691-Լ որոշմամբ հաստատված՝ </w:t>
      </w:r>
      <w:r>
        <w:rPr>
          <w:rFonts w:ascii="GHEA Grapalat" w:hAnsi="GHEA Grapalat" w:cs="Sylfaen"/>
        </w:rPr>
        <w:t xml:space="preserve">Հանրային կառավարման բարեփոխումների ռազմավարության </w:t>
      </w:r>
      <w:r>
        <w:rPr>
          <w:rFonts w:ascii="GHEA Grapalat" w:hAnsi="GHEA Grapalat"/>
        </w:rPr>
        <w:t>4.1-</w:t>
      </w:r>
      <w:r>
        <w:rPr>
          <w:rFonts w:ascii="GHEA Grapalat" w:hAnsi="GHEA Grapalat" w:cs="Sylfaen"/>
        </w:rPr>
        <w:t>ին</w:t>
      </w:r>
      <w:r>
        <w:rPr>
          <w:rFonts w:ascii="GHEA Grapalat" w:hAnsi="GHEA Grapalat"/>
        </w:rPr>
        <w:t xml:space="preserve"> </w:t>
      </w:r>
      <w:r>
        <w:rPr>
          <w:rFonts w:ascii="GHEA Grapalat" w:hAnsi="GHEA Grapalat" w:cs="Sylfaen"/>
        </w:rPr>
        <w:t>կետով</w:t>
      </w:r>
      <w:r>
        <w:rPr>
          <w:rFonts w:ascii="GHEA Grapalat" w:hAnsi="GHEA Grapalat"/>
        </w:rPr>
        <w:t xml:space="preserve"> </w:t>
      </w:r>
      <w:r>
        <w:rPr>
          <w:rFonts w:ascii="GHEA Grapalat" w:hAnsi="GHEA Grapalat" w:cs="Sylfaen"/>
        </w:rPr>
        <w:t xml:space="preserve">սահմանված ռազմավարական նպատակից, </w:t>
      </w:r>
      <w:r>
        <w:rPr>
          <w:rFonts w:ascii="GHEA Grapalat" w:hAnsi="GHEA Grapalat"/>
        </w:rPr>
        <w:t xml:space="preserve">մասնավորապես՝ հանրային ծառայության տեսակների և պաշտոնների դասակարգման լավարկում: </w:t>
      </w:r>
    </w:p>
    <w:p w14:paraId="5E35B2F7" w14:textId="77777777" w:rsidR="00BF1B70" w:rsidRDefault="00206D15">
      <w:pPr>
        <w:spacing w:line="360" w:lineRule="auto"/>
        <w:ind w:firstLine="567"/>
        <w:jc w:val="both"/>
        <w:rPr>
          <w:rFonts w:ascii="GHEA Grapalat" w:hAnsi="GHEA Grapalat"/>
        </w:rPr>
      </w:pPr>
      <w:r>
        <w:rPr>
          <w:rFonts w:ascii="GHEA Grapalat" w:hAnsi="GHEA Grapalat"/>
        </w:rPr>
        <w:t xml:space="preserve">Նախագծերը բխում են նաև վիզաների ազատականացման գործողությունների ծրագրի  </w:t>
      </w:r>
      <w:r w:rsidR="008B4FD5">
        <w:rPr>
          <w:rFonts w:ascii="GHEA Grapalat" w:hAnsi="GHEA Grapalat"/>
        </w:rPr>
        <w:t xml:space="preserve">    </w:t>
      </w:r>
      <w:r>
        <w:rPr>
          <w:rFonts w:ascii="GHEA Grapalat" w:hAnsi="GHEA Grapalat"/>
        </w:rPr>
        <w:t>2-րդ և 3-րդ բաժինների համապատասխանաբար 1․1-ին և 3․1-ին կետերում նշված ռազմավարական միջոցառումներից, որոնք միտված են աջակցելու ԵՄ-ի և Հայաստանի միջև վիզաների շուրջ երկխոսության գործընթացում Հայաստանի հանձնառությանը։</w:t>
      </w:r>
    </w:p>
    <w:sectPr w:rsidR="00BF1B70">
      <w:headerReference w:type="default" r:id="rId9"/>
      <w:footerReference w:type="even" r:id="rId10"/>
      <w:footerReference w:type="default" r:id="rId11"/>
      <w:pgSz w:w="12240" w:h="15840"/>
      <w:pgMar w:top="851" w:right="567" w:bottom="567" w:left="1134" w:header="284"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470107" w14:textId="77777777" w:rsidR="00253CED" w:rsidRDefault="00253CED">
      <w:r>
        <w:separator/>
      </w:r>
    </w:p>
  </w:endnote>
  <w:endnote w:type="continuationSeparator" w:id="0">
    <w:p w14:paraId="35CFC897" w14:textId="77777777" w:rsidR="00253CED" w:rsidRDefault="00253C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n AMU">
    <w:altName w:val="Segoe Print"/>
    <w:panose1 w:val="01000000000000000000"/>
    <w:charset w:val="00"/>
    <w:family w:val="auto"/>
    <w:pitch w:val="variable"/>
    <w:sig w:usb0="A1002EA7" w:usb1="50000008" w:usb2="00000000"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t">
    <w:altName w:val="Courier New"/>
    <w:panose1 w:val="0402E200000000000000"/>
    <w:charset w:val="00"/>
    <w:family w:val="decorative"/>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508E29" w14:textId="77777777" w:rsidR="00BF1B70" w:rsidRDefault="00206D15">
    <w:pP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end"/>
    </w:r>
  </w:p>
  <w:p w14:paraId="6F6A9661" w14:textId="77777777" w:rsidR="00BF1B70" w:rsidRDefault="00BF1B70">
    <w:pPr>
      <w:tabs>
        <w:tab w:val="center" w:pos="4320"/>
        <w:tab w:val="right" w:pos="8640"/>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A33A15" w14:textId="77777777" w:rsidR="00BF1B70" w:rsidRDefault="00BF1B70"/>
  <w:p w14:paraId="76F7E7BB" w14:textId="77777777" w:rsidR="00BF1B70" w:rsidRDefault="00BF1B70"/>
  <w:tbl>
    <w:tblPr>
      <w:tblStyle w:val="10"/>
      <w:tblW w:w="12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576"/>
      <w:gridCol w:w="2024"/>
    </w:tblGrid>
    <w:tr w:rsidR="00BF1B70" w14:paraId="3D33AB07" w14:textId="77777777">
      <w:trPr>
        <w:trHeight w:val="727"/>
      </w:trPr>
      <w:tc>
        <w:tcPr>
          <w:tcW w:w="10576" w:type="dxa"/>
          <w:tcBorders>
            <w:right w:val="single" w:sz="4" w:space="0" w:color="C00000"/>
          </w:tcBorders>
        </w:tcPr>
        <w:p w14:paraId="1F81E24D" w14:textId="77777777" w:rsidR="00BF1B70" w:rsidRDefault="00BF1B70">
          <w:pPr>
            <w:tabs>
              <w:tab w:val="left" w:pos="620"/>
              <w:tab w:val="center" w:pos="4320"/>
            </w:tabs>
            <w:ind w:right="-1193"/>
            <w:jc w:val="right"/>
            <w:rPr>
              <w:rFonts w:ascii="Cambria" w:eastAsia="Cambria" w:hAnsi="Cambria" w:cs="Cambria"/>
              <w:sz w:val="20"/>
              <w:szCs w:val="20"/>
            </w:rPr>
          </w:pPr>
        </w:p>
        <w:p w14:paraId="54D37711" w14:textId="77777777" w:rsidR="00BF1B70" w:rsidRDefault="00BF1B70">
          <w:pPr>
            <w:tabs>
              <w:tab w:val="left" w:pos="620"/>
              <w:tab w:val="center" w:pos="4320"/>
            </w:tabs>
            <w:jc w:val="right"/>
            <w:rPr>
              <w:rFonts w:ascii="Cambria" w:eastAsia="Cambria" w:hAnsi="Cambria" w:cs="Cambria"/>
              <w:sz w:val="20"/>
              <w:szCs w:val="20"/>
            </w:rPr>
          </w:pPr>
        </w:p>
      </w:tc>
      <w:tc>
        <w:tcPr>
          <w:tcW w:w="2024" w:type="dxa"/>
          <w:tcBorders>
            <w:left w:val="single" w:sz="4" w:space="0" w:color="C00000"/>
          </w:tcBorders>
        </w:tcPr>
        <w:p w14:paraId="4F8BB1DF" w14:textId="64AFF03B" w:rsidR="00BF1B70" w:rsidRDefault="00206D15">
          <w:pPr>
            <w:tabs>
              <w:tab w:val="left" w:pos="1490"/>
            </w:tabs>
            <w:rPr>
              <w:rFonts w:ascii="Art" w:eastAsia="Art" w:hAnsi="Art" w:cs="Art"/>
              <w:sz w:val="16"/>
              <w:szCs w:val="16"/>
            </w:rPr>
          </w:pPr>
          <w:r>
            <w:rPr>
              <w:rFonts w:ascii="Art" w:eastAsia="Art" w:hAnsi="Art" w:cs="Art"/>
              <w:sz w:val="16"/>
              <w:szCs w:val="16"/>
            </w:rPr>
            <w:fldChar w:fldCharType="begin"/>
          </w:r>
          <w:r>
            <w:rPr>
              <w:rFonts w:ascii="Art" w:eastAsia="Art" w:hAnsi="Art" w:cs="Art"/>
              <w:sz w:val="16"/>
              <w:szCs w:val="16"/>
            </w:rPr>
            <w:instrText>PAGE</w:instrText>
          </w:r>
          <w:r>
            <w:rPr>
              <w:rFonts w:ascii="Art" w:eastAsia="Art" w:hAnsi="Art" w:cs="Art"/>
              <w:sz w:val="16"/>
              <w:szCs w:val="16"/>
            </w:rPr>
            <w:fldChar w:fldCharType="separate"/>
          </w:r>
          <w:r w:rsidR="00863635">
            <w:rPr>
              <w:rFonts w:ascii="Art" w:eastAsia="Art" w:hAnsi="Art" w:cs="Art"/>
              <w:noProof/>
              <w:sz w:val="16"/>
              <w:szCs w:val="16"/>
            </w:rPr>
            <w:t>15</w:t>
          </w:r>
          <w:r>
            <w:rPr>
              <w:rFonts w:ascii="Art" w:eastAsia="Art" w:hAnsi="Art" w:cs="Art"/>
              <w:sz w:val="16"/>
              <w:szCs w:val="16"/>
            </w:rPr>
            <w:fldChar w:fldCharType="end"/>
          </w:r>
        </w:p>
      </w:tc>
    </w:tr>
  </w:tbl>
  <w:p w14:paraId="0234FE6B" w14:textId="77777777" w:rsidR="00BF1B70" w:rsidRDefault="00BF1B70">
    <w:pPr>
      <w:tabs>
        <w:tab w:val="center" w:pos="4320"/>
        <w:tab w:val="right" w:pos="8640"/>
      </w:tabs>
      <w:ind w:right="360"/>
      <w:jc w:val="right"/>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E8EF9C" w14:textId="77777777" w:rsidR="00253CED" w:rsidRDefault="00253CED">
      <w:r>
        <w:separator/>
      </w:r>
    </w:p>
  </w:footnote>
  <w:footnote w:type="continuationSeparator" w:id="0">
    <w:p w14:paraId="4FA24F53" w14:textId="77777777" w:rsidR="00253CED" w:rsidRDefault="00253CE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BA4B4E" w14:textId="77777777" w:rsidR="00BF1B70" w:rsidRDefault="00206D15">
    <w:pPr>
      <w:pBdr>
        <w:left w:val="single" w:sz="18" w:space="4" w:color="FF0000"/>
      </w:pBdr>
      <w:tabs>
        <w:tab w:val="center" w:pos="4320"/>
        <w:tab w:val="right" w:pos="8640"/>
      </w:tabs>
      <w:ind w:left="-180"/>
      <w:rPr>
        <w:rFonts w:ascii="Arial LatArm" w:eastAsia="Arial LatArm" w:hAnsi="Arial LatArm" w:cs="Arial LatArm"/>
        <w:color w:val="FF0000"/>
        <w:sz w:val="16"/>
        <w:szCs w:val="16"/>
      </w:rPr>
    </w:pPr>
    <w:r>
      <w:rPr>
        <w:rFonts w:ascii="Art" w:eastAsia="Art" w:hAnsi="Art" w:cs="Art"/>
        <w:color w:val="000000"/>
        <w:sz w:val="16"/>
        <w:szCs w:val="16"/>
      </w:rPr>
      <w:t>²</w:t>
    </w:r>
    <w:r>
      <w:rPr>
        <w:rFonts w:ascii="Arial LatArm" w:eastAsia="Arial LatArm" w:hAnsi="Arial LatArm" w:cs="Arial LatArm"/>
        <w:color w:val="000000"/>
        <w:sz w:val="16"/>
        <w:szCs w:val="16"/>
      </w:rPr>
      <w:t>ñ¹³ñ³¹³ïáõÃÛ³</w:t>
    </w:r>
    <w:sdt>
      <w:sdtPr>
        <w:tag w:val="goog_rdk_0"/>
        <w:id w:val="9978838"/>
      </w:sdtPr>
      <w:sdtEndPr/>
      <w:sdtContent>
        <w:r>
          <w:rPr>
            <w:rFonts w:ascii="Tahoma" w:eastAsia="Tahoma" w:hAnsi="Tahoma" w:cs="Tahoma"/>
            <w:color w:val="000000"/>
            <w:sz w:val="16"/>
            <w:szCs w:val="16"/>
          </w:rPr>
          <w:t>ն</w:t>
        </w:r>
      </w:sdtContent>
    </w:sdt>
    <w:r>
      <w:rPr>
        <w:rFonts w:ascii="Art" w:eastAsia="Art" w:hAnsi="Art" w:cs="Art"/>
        <w:color w:val="000000"/>
        <w:sz w:val="16"/>
        <w:szCs w:val="16"/>
      </w:rPr>
      <w:t xml:space="preserve"> </w:t>
    </w:r>
    <w:r>
      <w:rPr>
        <w:rFonts w:ascii="Calibri" w:eastAsia="Calibri" w:hAnsi="Calibri" w:cs="Calibri"/>
        <w:color w:val="000000"/>
        <w:sz w:val="16"/>
        <w:szCs w:val="16"/>
      </w:rPr>
      <w:t xml:space="preserve">                                                                                                                                                                                </w:t>
    </w:r>
    <w:r>
      <w:rPr>
        <w:rFonts w:ascii="Art" w:eastAsia="Art" w:hAnsi="Art" w:cs="Art"/>
        <w:color w:val="000000"/>
        <w:sz w:val="16"/>
        <w:szCs w:val="16"/>
      </w:rPr>
      <w:t>Ü²Ê²¶ÆÌ</w:t>
    </w:r>
    <w:r>
      <w:rPr>
        <w:rFonts w:ascii="Arial LatArm" w:eastAsia="Arial LatArm" w:hAnsi="Arial LatArm" w:cs="Arial LatArm"/>
        <w:color w:val="000000"/>
        <w:sz w:val="16"/>
        <w:szCs w:val="16"/>
      </w:rPr>
      <w:t xml:space="preserve"> </w:t>
    </w:r>
    <w:r>
      <w:rPr>
        <w:rFonts w:ascii="Art" w:eastAsia="Art" w:hAnsi="Art" w:cs="Art"/>
        <w:color w:val="000000"/>
        <w:sz w:val="16"/>
        <w:szCs w:val="16"/>
      </w:rPr>
      <w:t xml:space="preserve">                                       </w:t>
    </w:r>
    <w:r>
      <w:rPr>
        <w:noProof/>
        <w:lang w:eastAsia="hy-AM"/>
      </w:rPr>
      <w:drawing>
        <wp:anchor distT="0" distB="0" distL="0" distR="0" simplePos="0" relativeHeight="251659264" behindDoc="0" locked="0" layoutInCell="1" allowOverlap="1" wp14:anchorId="2277DAA9" wp14:editId="6B0C5CAF">
          <wp:simplePos x="0" y="0"/>
          <wp:positionH relativeFrom="column">
            <wp:posOffset>-685165</wp:posOffset>
          </wp:positionH>
          <wp:positionV relativeFrom="paragraph">
            <wp:posOffset>-8255</wp:posOffset>
          </wp:positionV>
          <wp:extent cx="457200" cy="444500"/>
          <wp:effectExtent l="0" t="0" r="0" b="0"/>
          <wp:wrapSquare wrapText="bothSides"/>
          <wp:docPr id="10" name="image1.jpg" descr="GERB_HH"/>
          <wp:cNvGraphicFramePr/>
          <a:graphic xmlns:a="http://schemas.openxmlformats.org/drawingml/2006/main">
            <a:graphicData uri="http://schemas.openxmlformats.org/drawingml/2006/picture">
              <pic:pic xmlns:pic="http://schemas.openxmlformats.org/drawingml/2006/picture">
                <pic:nvPicPr>
                  <pic:cNvPr id="10" name="image1.jpg" descr="GERB_HH"/>
                  <pic:cNvPicPr preferRelativeResize="0"/>
                </pic:nvPicPr>
                <pic:blipFill>
                  <a:blip r:embed="rId1"/>
                  <a:srcRect/>
                  <a:stretch>
                    <a:fillRect/>
                  </a:stretch>
                </pic:blipFill>
                <pic:spPr>
                  <a:xfrm>
                    <a:off x="0" y="0"/>
                    <a:ext cx="457200" cy="444500"/>
                  </a:xfrm>
                  <a:prstGeom prst="rect">
                    <a:avLst/>
                  </a:prstGeom>
                </pic:spPr>
              </pic:pic>
            </a:graphicData>
          </a:graphic>
        </wp:anchor>
      </w:drawing>
    </w:r>
  </w:p>
  <w:p w14:paraId="20E7C73B" w14:textId="77777777" w:rsidR="00BF1B70" w:rsidRDefault="00206D15">
    <w:pPr>
      <w:pBdr>
        <w:left w:val="single" w:sz="18" w:space="4" w:color="0000FF"/>
      </w:pBdr>
      <w:tabs>
        <w:tab w:val="center" w:pos="4320"/>
        <w:tab w:val="right" w:pos="8640"/>
      </w:tabs>
      <w:ind w:left="-180"/>
      <w:rPr>
        <w:rFonts w:ascii="Art" w:eastAsia="Art" w:hAnsi="Art" w:cs="Art"/>
        <w:color w:val="000000"/>
        <w:sz w:val="18"/>
        <w:szCs w:val="18"/>
      </w:rPr>
    </w:pPr>
    <w:r>
      <w:rPr>
        <w:rFonts w:ascii="Art" w:eastAsia="Art" w:hAnsi="Art" w:cs="Art"/>
        <w:color w:val="000000"/>
        <w:sz w:val="16"/>
        <w:szCs w:val="16"/>
      </w:rPr>
      <w:t>Ü</w:t>
    </w:r>
    <w:r>
      <w:rPr>
        <w:rFonts w:ascii="Arial LatArm" w:eastAsia="Arial LatArm" w:hAnsi="Arial LatArm" w:cs="Arial LatArm"/>
        <w:color w:val="000000"/>
        <w:sz w:val="16"/>
        <w:szCs w:val="16"/>
      </w:rPr>
      <w:t>³Ë³ñ³ñáõÃÛáõÝ</w:t>
    </w:r>
    <w:r>
      <w:rPr>
        <w:rFonts w:ascii="Art" w:eastAsia="Art" w:hAnsi="Art" w:cs="Art"/>
        <w:color w:val="000000"/>
        <w:sz w:val="16"/>
        <w:szCs w:val="16"/>
      </w:rPr>
      <w:t xml:space="preserve"> </w:t>
    </w:r>
    <w:r>
      <w:rPr>
        <w:rFonts w:ascii="Art" w:eastAsia="Art" w:hAnsi="Art" w:cs="Art"/>
        <w:color w:val="000000"/>
        <w:sz w:val="18"/>
        <w:szCs w:val="18"/>
      </w:rPr>
      <w:t xml:space="preserve">                      </w:t>
    </w:r>
  </w:p>
  <w:p w14:paraId="76D2EF62" w14:textId="77777777" w:rsidR="00BF1B70" w:rsidRDefault="00206D15">
    <w:pPr>
      <w:pBdr>
        <w:left w:val="single" w:sz="18" w:space="4" w:color="FF6600"/>
      </w:pBdr>
      <w:tabs>
        <w:tab w:val="center" w:pos="4320"/>
        <w:tab w:val="right" w:pos="8640"/>
      </w:tabs>
      <w:ind w:left="-180"/>
      <w:rPr>
        <w:rFonts w:ascii="Art" w:eastAsia="Art" w:hAnsi="Art" w:cs="Art"/>
        <w:color w:val="000000"/>
        <w:sz w:val="18"/>
        <w:szCs w:val="18"/>
      </w:rPr>
    </w:pPr>
    <w:r>
      <w:rPr>
        <w:rFonts w:ascii="Art" w:eastAsia="Art" w:hAnsi="Art" w:cs="Art"/>
        <w:color w:val="000000"/>
        <w:sz w:val="18"/>
        <w:szCs w:val="18"/>
      </w:rPr>
      <w:t xml:space="preserve">                                                                                                                                                            </w:t>
    </w:r>
  </w:p>
  <w:p w14:paraId="15367159" w14:textId="77777777" w:rsidR="00BF1B70" w:rsidRDefault="00206D15">
    <w:pPr>
      <w:tabs>
        <w:tab w:val="center" w:pos="4320"/>
        <w:tab w:val="right" w:pos="8640"/>
      </w:tabs>
      <w:ind w:left="-907"/>
      <w:rPr>
        <w:rFonts w:ascii="Arial LatArm" w:eastAsia="Arial LatArm" w:hAnsi="Arial LatArm" w:cs="Arial LatArm"/>
        <w:color w:val="000000"/>
        <w:sz w:val="18"/>
        <w:szCs w:val="18"/>
      </w:rPr>
    </w:pPr>
    <w:r>
      <w:rPr>
        <w:rFonts w:ascii="Arial LatArm" w:eastAsia="Arial LatArm" w:hAnsi="Arial LatArm" w:cs="Arial LatArm"/>
        <w:color w:val="000000"/>
      </w:rPr>
      <w:t xml:space="preserve">                </w:t>
    </w:r>
  </w:p>
  <w:p w14:paraId="64A728CA" w14:textId="77777777" w:rsidR="00BF1B70" w:rsidRDefault="00206D15">
    <w:pPr>
      <w:tabs>
        <w:tab w:val="left" w:pos="183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FA5085"/>
    <w:multiLevelType w:val="multilevel"/>
    <w:tmpl w:val="50FA5085"/>
    <w:lvl w:ilvl="0">
      <w:start w:val="1"/>
      <w:numFmt w:val="decimal"/>
      <w:lvlText w:val="%1."/>
      <w:lvlJc w:val="left"/>
      <w:pPr>
        <w:ind w:left="1070" w:hanging="360"/>
      </w:pPr>
      <w:rPr>
        <w:rFonts w:cs="GHEA Mariam" w:hint="default"/>
        <w:b/>
      </w:rPr>
    </w:lvl>
    <w:lvl w:ilvl="1">
      <w:start w:val="1"/>
      <w:numFmt w:val="lowerLetter"/>
      <w:lvlText w:val="%2."/>
      <w:lvlJc w:val="left"/>
      <w:pPr>
        <w:ind w:left="840" w:hanging="360"/>
      </w:pPr>
    </w:lvl>
    <w:lvl w:ilvl="2">
      <w:start w:val="1"/>
      <w:numFmt w:val="lowerRoman"/>
      <w:lvlText w:val="%3."/>
      <w:lvlJc w:val="right"/>
      <w:pPr>
        <w:ind w:left="1560" w:hanging="180"/>
      </w:pPr>
    </w:lvl>
    <w:lvl w:ilvl="3">
      <w:start w:val="1"/>
      <w:numFmt w:val="decimal"/>
      <w:lvlText w:val="%4."/>
      <w:lvlJc w:val="left"/>
      <w:pPr>
        <w:ind w:left="2280" w:hanging="360"/>
      </w:pPr>
    </w:lvl>
    <w:lvl w:ilvl="4">
      <w:start w:val="1"/>
      <w:numFmt w:val="lowerLetter"/>
      <w:lvlText w:val="%5."/>
      <w:lvlJc w:val="left"/>
      <w:pPr>
        <w:ind w:left="3000" w:hanging="360"/>
      </w:pPr>
    </w:lvl>
    <w:lvl w:ilvl="5">
      <w:start w:val="1"/>
      <w:numFmt w:val="lowerRoman"/>
      <w:lvlText w:val="%6."/>
      <w:lvlJc w:val="right"/>
      <w:pPr>
        <w:ind w:left="3720" w:hanging="180"/>
      </w:pPr>
    </w:lvl>
    <w:lvl w:ilvl="6">
      <w:start w:val="1"/>
      <w:numFmt w:val="decimal"/>
      <w:lvlText w:val="%7."/>
      <w:lvlJc w:val="left"/>
      <w:pPr>
        <w:ind w:left="4440" w:hanging="360"/>
      </w:pPr>
    </w:lvl>
    <w:lvl w:ilvl="7">
      <w:start w:val="1"/>
      <w:numFmt w:val="lowerLetter"/>
      <w:lvlText w:val="%8."/>
      <w:lvlJc w:val="left"/>
      <w:pPr>
        <w:ind w:left="5160" w:hanging="360"/>
      </w:pPr>
    </w:lvl>
    <w:lvl w:ilvl="8">
      <w:start w:val="1"/>
      <w:numFmt w:val="lowerRoman"/>
      <w:lvlText w:val="%9."/>
      <w:lvlJc w:val="right"/>
      <w:pPr>
        <w:ind w:left="58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163"/>
    <w:rsid w:val="00001A92"/>
    <w:rsid w:val="00003FE7"/>
    <w:rsid w:val="00004784"/>
    <w:rsid w:val="00004B5F"/>
    <w:rsid w:val="000073F4"/>
    <w:rsid w:val="000107B8"/>
    <w:rsid w:val="00013FCD"/>
    <w:rsid w:val="00014BB7"/>
    <w:rsid w:val="000150C7"/>
    <w:rsid w:val="00015593"/>
    <w:rsid w:val="00020D0D"/>
    <w:rsid w:val="000301C2"/>
    <w:rsid w:val="000326FF"/>
    <w:rsid w:val="000340F4"/>
    <w:rsid w:val="000349F0"/>
    <w:rsid w:val="000423D1"/>
    <w:rsid w:val="00042C4D"/>
    <w:rsid w:val="000462EB"/>
    <w:rsid w:val="00051F36"/>
    <w:rsid w:val="0005247F"/>
    <w:rsid w:val="00053283"/>
    <w:rsid w:val="00053898"/>
    <w:rsid w:val="0005431A"/>
    <w:rsid w:val="0006525B"/>
    <w:rsid w:val="00065A6B"/>
    <w:rsid w:val="00065C97"/>
    <w:rsid w:val="00071287"/>
    <w:rsid w:val="00073595"/>
    <w:rsid w:val="000766CF"/>
    <w:rsid w:val="000777D6"/>
    <w:rsid w:val="0007784E"/>
    <w:rsid w:val="000813DD"/>
    <w:rsid w:val="000833A0"/>
    <w:rsid w:val="00085F9B"/>
    <w:rsid w:val="00090810"/>
    <w:rsid w:val="0009327D"/>
    <w:rsid w:val="000954B5"/>
    <w:rsid w:val="00096F51"/>
    <w:rsid w:val="000A0AA7"/>
    <w:rsid w:val="000A210A"/>
    <w:rsid w:val="000A470C"/>
    <w:rsid w:val="000A51CD"/>
    <w:rsid w:val="000A5740"/>
    <w:rsid w:val="000B2292"/>
    <w:rsid w:val="000B4BDA"/>
    <w:rsid w:val="000B7F21"/>
    <w:rsid w:val="000C0C60"/>
    <w:rsid w:val="000C2C37"/>
    <w:rsid w:val="000C4A27"/>
    <w:rsid w:val="000C6B55"/>
    <w:rsid w:val="000C6B7B"/>
    <w:rsid w:val="000D02FB"/>
    <w:rsid w:val="000D17E2"/>
    <w:rsid w:val="000D1CA0"/>
    <w:rsid w:val="000D3AEA"/>
    <w:rsid w:val="000D46D3"/>
    <w:rsid w:val="000D5242"/>
    <w:rsid w:val="000D5501"/>
    <w:rsid w:val="000D6469"/>
    <w:rsid w:val="000D6EA2"/>
    <w:rsid w:val="000E0C5A"/>
    <w:rsid w:val="000E4123"/>
    <w:rsid w:val="000E52C3"/>
    <w:rsid w:val="000E6A75"/>
    <w:rsid w:val="000F0270"/>
    <w:rsid w:val="000F1889"/>
    <w:rsid w:val="000F2E99"/>
    <w:rsid w:val="000F5676"/>
    <w:rsid w:val="000F5E4C"/>
    <w:rsid w:val="000F674C"/>
    <w:rsid w:val="00101F87"/>
    <w:rsid w:val="00102AE3"/>
    <w:rsid w:val="00106FE7"/>
    <w:rsid w:val="0011629D"/>
    <w:rsid w:val="00117049"/>
    <w:rsid w:val="00120079"/>
    <w:rsid w:val="00123AE5"/>
    <w:rsid w:val="0013076D"/>
    <w:rsid w:val="001321EC"/>
    <w:rsid w:val="00132A3F"/>
    <w:rsid w:val="00132FBF"/>
    <w:rsid w:val="001342F2"/>
    <w:rsid w:val="001367BD"/>
    <w:rsid w:val="00136AC9"/>
    <w:rsid w:val="001402FD"/>
    <w:rsid w:val="00143943"/>
    <w:rsid w:val="0014402A"/>
    <w:rsid w:val="001475A4"/>
    <w:rsid w:val="0015035F"/>
    <w:rsid w:val="00152606"/>
    <w:rsid w:val="00155517"/>
    <w:rsid w:val="00156BD4"/>
    <w:rsid w:val="0015741B"/>
    <w:rsid w:val="001616CA"/>
    <w:rsid w:val="00166655"/>
    <w:rsid w:val="00170ACA"/>
    <w:rsid w:val="00171D78"/>
    <w:rsid w:val="00172C87"/>
    <w:rsid w:val="00172E68"/>
    <w:rsid w:val="00173D7E"/>
    <w:rsid w:val="0017448F"/>
    <w:rsid w:val="001755F7"/>
    <w:rsid w:val="00175C49"/>
    <w:rsid w:val="00176190"/>
    <w:rsid w:val="00176262"/>
    <w:rsid w:val="00176280"/>
    <w:rsid w:val="00177A0D"/>
    <w:rsid w:val="00181C71"/>
    <w:rsid w:val="0018390D"/>
    <w:rsid w:val="00184378"/>
    <w:rsid w:val="00186942"/>
    <w:rsid w:val="00187DE7"/>
    <w:rsid w:val="001A410D"/>
    <w:rsid w:val="001A62EB"/>
    <w:rsid w:val="001B039F"/>
    <w:rsid w:val="001B26A0"/>
    <w:rsid w:val="001B3072"/>
    <w:rsid w:val="001B6124"/>
    <w:rsid w:val="001B7CC7"/>
    <w:rsid w:val="001C02E9"/>
    <w:rsid w:val="001C1646"/>
    <w:rsid w:val="001C2EEE"/>
    <w:rsid w:val="001C571B"/>
    <w:rsid w:val="001C67D8"/>
    <w:rsid w:val="001D0889"/>
    <w:rsid w:val="001D0BB0"/>
    <w:rsid w:val="001D15B2"/>
    <w:rsid w:val="001E0D9F"/>
    <w:rsid w:val="001E140E"/>
    <w:rsid w:val="001E638D"/>
    <w:rsid w:val="001E7914"/>
    <w:rsid w:val="001F7560"/>
    <w:rsid w:val="002033C9"/>
    <w:rsid w:val="0020427E"/>
    <w:rsid w:val="00205AA9"/>
    <w:rsid w:val="00206D15"/>
    <w:rsid w:val="00206F4C"/>
    <w:rsid w:val="00210E4A"/>
    <w:rsid w:val="0021102A"/>
    <w:rsid w:val="002125F7"/>
    <w:rsid w:val="002146E1"/>
    <w:rsid w:val="00216336"/>
    <w:rsid w:val="0021683E"/>
    <w:rsid w:val="002213D0"/>
    <w:rsid w:val="00221E55"/>
    <w:rsid w:val="0022348B"/>
    <w:rsid w:val="00230372"/>
    <w:rsid w:val="00231CB8"/>
    <w:rsid w:val="00231EE5"/>
    <w:rsid w:val="00234A9B"/>
    <w:rsid w:val="002355AF"/>
    <w:rsid w:val="00236254"/>
    <w:rsid w:val="00236502"/>
    <w:rsid w:val="0023777A"/>
    <w:rsid w:val="002401BD"/>
    <w:rsid w:val="00244335"/>
    <w:rsid w:val="002446F8"/>
    <w:rsid w:val="00245581"/>
    <w:rsid w:val="00245A22"/>
    <w:rsid w:val="00246474"/>
    <w:rsid w:val="00253CED"/>
    <w:rsid w:val="00253DFA"/>
    <w:rsid w:val="00261220"/>
    <w:rsid w:val="00261FCC"/>
    <w:rsid w:val="00264981"/>
    <w:rsid w:val="00267F10"/>
    <w:rsid w:val="0027041D"/>
    <w:rsid w:val="00271101"/>
    <w:rsid w:val="002734CD"/>
    <w:rsid w:val="002735A4"/>
    <w:rsid w:val="00273FDB"/>
    <w:rsid w:val="00274996"/>
    <w:rsid w:val="00275909"/>
    <w:rsid w:val="00277561"/>
    <w:rsid w:val="00282F4F"/>
    <w:rsid w:val="00284E31"/>
    <w:rsid w:val="002948C1"/>
    <w:rsid w:val="002965F2"/>
    <w:rsid w:val="002A1842"/>
    <w:rsid w:val="002A353D"/>
    <w:rsid w:val="002A37F5"/>
    <w:rsid w:val="002A3971"/>
    <w:rsid w:val="002B024A"/>
    <w:rsid w:val="002B0AA5"/>
    <w:rsid w:val="002B2828"/>
    <w:rsid w:val="002B2DAC"/>
    <w:rsid w:val="002B314D"/>
    <w:rsid w:val="002B4707"/>
    <w:rsid w:val="002B5761"/>
    <w:rsid w:val="002B7036"/>
    <w:rsid w:val="002B73B4"/>
    <w:rsid w:val="002C0F18"/>
    <w:rsid w:val="002C13EC"/>
    <w:rsid w:val="002C303D"/>
    <w:rsid w:val="002C4220"/>
    <w:rsid w:val="002C4DFA"/>
    <w:rsid w:val="002C6058"/>
    <w:rsid w:val="002D05E2"/>
    <w:rsid w:val="002D0FBC"/>
    <w:rsid w:val="002D2541"/>
    <w:rsid w:val="002D3138"/>
    <w:rsid w:val="002D43B6"/>
    <w:rsid w:val="002D55B3"/>
    <w:rsid w:val="002D7871"/>
    <w:rsid w:val="002E0293"/>
    <w:rsid w:val="002E0E0A"/>
    <w:rsid w:val="002E1743"/>
    <w:rsid w:val="002E2420"/>
    <w:rsid w:val="002E3178"/>
    <w:rsid w:val="002E560B"/>
    <w:rsid w:val="002E6E5F"/>
    <w:rsid w:val="002E74D9"/>
    <w:rsid w:val="002F08BA"/>
    <w:rsid w:val="002F177B"/>
    <w:rsid w:val="002F34B6"/>
    <w:rsid w:val="002F52CC"/>
    <w:rsid w:val="002F683C"/>
    <w:rsid w:val="002F6B7E"/>
    <w:rsid w:val="0030082A"/>
    <w:rsid w:val="003037CF"/>
    <w:rsid w:val="00303EB7"/>
    <w:rsid w:val="00305F83"/>
    <w:rsid w:val="00306A7A"/>
    <w:rsid w:val="003101A0"/>
    <w:rsid w:val="003102FD"/>
    <w:rsid w:val="00312AD0"/>
    <w:rsid w:val="00312C6C"/>
    <w:rsid w:val="00312D1B"/>
    <w:rsid w:val="003130F1"/>
    <w:rsid w:val="00313461"/>
    <w:rsid w:val="00313DF5"/>
    <w:rsid w:val="00315494"/>
    <w:rsid w:val="0031634E"/>
    <w:rsid w:val="00317AC1"/>
    <w:rsid w:val="00321B6C"/>
    <w:rsid w:val="00323D63"/>
    <w:rsid w:val="00324F60"/>
    <w:rsid w:val="003256E8"/>
    <w:rsid w:val="00327746"/>
    <w:rsid w:val="003332BE"/>
    <w:rsid w:val="003356DD"/>
    <w:rsid w:val="003432BD"/>
    <w:rsid w:val="00343C87"/>
    <w:rsid w:val="00344171"/>
    <w:rsid w:val="003448D8"/>
    <w:rsid w:val="00345551"/>
    <w:rsid w:val="003503E4"/>
    <w:rsid w:val="00350C33"/>
    <w:rsid w:val="0035256A"/>
    <w:rsid w:val="00354B58"/>
    <w:rsid w:val="00356E51"/>
    <w:rsid w:val="00356F18"/>
    <w:rsid w:val="00357572"/>
    <w:rsid w:val="00360F4A"/>
    <w:rsid w:val="00361620"/>
    <w:rsid w:val="003619D5"/>
    <w:rsid w:val="00361D5F"/>
    <w:rsid w:val="00363954"/>
    <w:rsid w:val="00365514"/>
    <w:rsid w:val="00365B62"/>
    <w:rsid w:val="00367124"/>
    <w:rsid w:val="00367BC0"/>
    <w:rsid w:val="00373BA4"/>
    <w:rsid w:val="003752D1"/>
    <w:rsid w:val="00375DF6"/>
    <w:rsid w:val="003805FE"/>
    <w:rsid w:val="003810DF"/>
    <w:rsid w:val="00381F97"/>
    <w:rsid w:val="003835CC"/>
    <w:rsid w:val="00383BE3"/>
    <w:rsid w:val="00384760"/>
    <w:rsid w:val="00387180"/>
    <w:rsid w:val="003945B7"/>
    <w:rsid w:val="0039594B"/>
    <w:rsid w:val="00397D53"/>
    <w:rsid w:val="003A0452"/>
    <w:rsid w:val="003A19EE"/>
    <w:rsid w:val="003A2320"/>
    <w:rsid w:val="003A3112"/>
    <w:rsid w:val="003A4810"/>
    <w:rsid w:val="003A51AB"/>
    <w:rsid w:val="003A6438"/>
    <w:rsid w:val="003A67C3"/>
    <w:rsid w:val="003A70A4"/>
    <w:rsid w:val="003A7C5C"/>
    <w:rsid w:val="003A7CB4"/>
    <w:rsid w:val="003A7F10"/>
    <w:rsid w:val="003B12F0"/>
    <w:rsid w:val="003B227E"/>
    <w:rsid w:val="003B6521"/>
    <w:rsid w:val="003C1FDE"/>
    <w:rsid w:val="003C4FD9"/>
    <w:rsid w:val="003C5614"/>
    <w:rsid w:val="003D06A7"/>
    <w:rsid w:val="003D4D65"/>
    <w:rsid w:val="003D5147"/>
    <w:rsid w:val="003D53FD"/>
    <w:rsid w:val="003E033D"/>
    <w:rsid w:val="003E1241"/>
    <w:rsid w:val="003E1321"/>
    <w:rsid w:val="003E15F3"/>
    <w:rsid w:val="003E40E0"/>
    <w:rsid w:val="003E6147"/>
    <w:rsid w:val="003F6305"/>
    <w:rsid w:val="003F7D15"/>
    <w:rsid w:val="00400ED1"/>
    <w:rsid w:val="0040381F"/>
    <w:rsid w:val="0040536E"/>
    <w:rsid w:val="00406262"/>
    <w:rsid w:val="00407F68"/>
    <w:rsid w:val="00412C00"/>
    <w:rsid w:val="00412EDF"/>
    <w:rsid w:val="00415865"/>
    <w:rsid w:val="00417F78"/>
    <w:rsid w:val="004213AA"/>
    <w:rsid w:val="004236DF"/>
    <w:rsid w:val="00432A1E"/>
    <w:rsid w:val="00433136"/>
    <w:rsid w:val="00436279"/>
    <w:rsid w:val="00436D9D"/>
    <w:rsid w:val="00440303"/>
    <w:rsid w:val="00440627"/>
    <w:rsid w:val="004407B8"/>
    <w:rsid w:val="00440F50"/>
    <w:rsid w:val="00441224"/>
    <w:rsid w:val="00442120"/>
    <w:rsid w:val="004437A1"/>
    <w:rsid w:val="004457E9"/>
    <w:rsid w:val="004460F5"/>
    <w:rsid w:val="00453765"/>
    <w:rsid w:val="00454295"/>
    <w:rsid w:val="004548D9"/>
    <w:rsid w:val="00454EDD"/>
    <w:rsid w:val="00456464"/>
    <w:rsid w:val="00457D35"/>
    <w:rsid w:val="00461846"/>
    <w:rsid w:val="00462359"/>
    <w:rsid w:val="004642DF"/>
    <w:rsid w:val="00465749"/>
    <w:rsid w:val="0047014C"/>
    <w:rsid w:val="00470FD9"/>
    <w:rsid w:val="00472CED"/>
    <w:rsid w:val="00473AE5"/>
    <w:rsid w:val="00473BB8"/>
    <w:rsid w:val="00476321"/>
    <w:rsid w:val="00486409"/>
    <w:rsid w:val="00494DB0"/>
    <w:rsid w:val="00495122"/>
    <w:rsid w:val="00497882"/>
    <w:rsid w:val="004A2055"/>
    <w:rsid w:val="004A386A"/>
    <w:rsid w:val="004A3A48"/>
    <w:rsid w:val="004A54E1"/>
    <w:rsid w:val="004A5671"/>
    <w:rsid w:val="004A57E7"/>
    <w:rsid w:val="004A7820"/>
    <w:rsid w:val="004B050A"/>
    <w:rsid w:val="004B292A"/>
    <w:rsid w:val="004B439B"/>
    <w:rsid w:val="004B571E"/>
    <w:rsid w:val="004C18BC"/>
    <w:rsid w:val="004C3CBE"/>
    <w:rsid w:val="004C40B7"/>
    <w:rsid w:val="004D1B62"/>
    <w:rsid w:val="004D49BF"/>
    <w:rsid w:val="004D6814"/>
    <w:rsid w:val="004E1E18"/>
    <w:rsid w:val="004F0693"/>
    <w:rsid w:val="004F45B0"/>
    <w:rsid w:val="004F535C"/>
    <w:rsid w:val="004F5ACD"/>
    <w:rsid w:val="004F73CD"/>
    <w:rsid w:val="004F7557"/>
    <w:rsid w:val="004F7C3A"/>
    <w:rsid w:val="0050021D"/>
    <w:rsid w:val="00500915"/>
    <w:rsid w:val="005028AD"/>
    <w:rsid w:val="0050293A"/>
    <w:rsid w:val="00502B6D"/>
    <w:rsid w:val="00503EC0"/>
    <w:rsid w:val="00507266"/>
    <w:rsid w:val="005105EC"/>
    <w:rsid w:val="005144CE"/>
    <w:rsid w:val="00515AE7"/>
    <w:rsid w:val="00516311"/>
    <w:rsid w:val="00517613"/>
    <w:rsid w:val="00517FFA"/>
    <w:rsid w:val="00522062"/>
    <w:rsid w:val="005256FE"/>
    <w:rsid w:val="00526DD0"/>
    <w:rsid w:val="005304C8"/>
    <w:rsid w:val="00530F52"/>
    <w:rsid w:val="005318AC"/>
    <w:rsid w:val="00533B50"/>
    <w:rsid w:val="00533D9D"/>
    <w:rsid w:val="00533DE7"/>
    <w:rsid w:val="00536802"/>
    <w:rsid w:val="005410E3"/>
    <w:rsid w:val="0054185F"/>
    <w:rsid w:val="00541994"/>
    <w:rsid w:val="00541C0C"/>
    <w:rsid w:val="0054289E"/>
    <w:rsid w:val="00542EAB"/>
    <w:rsid w:val="00543AC5"/>
    <w:rsid w:val="00546267"/>
    <w:rsid w:val="005510AA"/>
    <w:rsid w:val="00551768"/>
    <w:rsid w:val="005521D6"/>
    <w:rsid w:val="005573D5"/>
    <w:rsid w:val="005612BE"/>
    <w:rsid w:val="00563751"/>
    <w:rsid w:val="00563B2E"/>
    <w:rsid w:val="00564198"/>
    <w:rsid w:val="005654EC"/>
    <w:rsid w:val="00566661"/>
    <w:rsid w:val="005667CA"/>
    <w:rsid w:val="00570D8F"/>
    <w:rsid w:val="005720D5"/>
    <w:rsid w:val="00573D20"/>
    <w:rsid w:val="00575CA8"/>
    <w:rsid w:val="005774F2"/>
    <w:rsid w:val="00581C4B"/>
    <w:rsid w:val="00581EF7"/>
    <w:rsid w:val="00581F0C"/>
    <w:rsid w:val="00582944"/>
    <w:rsid w:val="00585AFA"/>
    <w:rsid w:val="005866F0"/>
    <w:rsid w:val="00586EBD"/>
    <w:rsid w:val="00590663"/>
    <w:rsid w:val="00590A62"/>
    <w:rsid w:val="005910FE"/>
    <w:rsid w:val="00591D37"/>
    <w:rsid w:val="005922B2"/>
    <w:rsid w:val="00593E31"/>
    <w:rsid w:val="005943C1"/>
    <w:rsid w:val="00594B3E"/>
    <w:rsid w:val="005957C8"/>
    <w:rsid w:val="005A01D5"/>
    <w:rsid w:val="005A1B71"/>
    <w:rsid w:val="005A2871"/>
    <w:rsid w:val="005A36B5"/>
    <w:rsid w:val="005A75D2"/>
    <w:rsid w:val="005B1365"/>
    <w:rsid w:val="005B2281"/>
    <w:rsid w:val="005C2183"/>
    <w:rsid w:val="005C616C"/>
    <w:rsid w:val="005D00B3"/>
    <w:rsid w:val="005D0C98"/>
    <w:rsid w:val="005D0EF1"/>
    <w:rsid w:val="005D5C8B"/>
    <w:rsid w:val="005D7722"/>
    <w:rsid w:val="005D7BAF"/>
    <w:rsid w:val="005E1BAB"/>
    <w:rsid w:val="005E3AEF"/>
    <w:rsid w:val="005E76C7"/>
    <w:rsid w:val="005F1744"/>
    <w:rsid w:val="005F2CDA"/>
    <w:rsid w:val="005F4627"/>
    <w:rsid w:val="005F4E29"/>
    <w:rsid w:val="00600AF8"/>
    <w:rsid w:val="0060130A"/>
    <w:rsid w:val="006029C4"/>
    <w:rsid w:val="00602EA4"/>
    <w:rsid w:val="00604605"/>
    <w:rsid w:val="00605332"/>
    <w:rsid w:val="00606625"/>
    <w:rsid w:val="00607FBC"/>
    <w:rsid w:val="00610488"/>
    <w:rsid w:val="006125CA"/>
    <w:rsid w:val="00616373"/>
    <w:rsid w:val="00616723"/>
    <w:rsid w:val="006215CD"/>
    <w:rsid w:val="00624932"/>
    <w:rsid w:val="00630442"/>
    <w:rsid w:val="00630A80"/>
    <w:rsid w:val="00630DBF"/>
    <w:rsid w:val="006318DC"/>
    <w:rsid w:val="00632AB6"/>
    <w:rsid w:val="00635177"/>
    <w:rsid w:val="00641991"/>
    <w:rsid w:val="00641BB3"/>
    <w:rsid w:val="00642AA0"/>
    <w:rsid w:val="00645323"/>
    <w:rsid w:val="0064717D"/>
    <w:rsid w:val="006472A5"/>
    <w:rsid w:val="00654E65"/>
    <w:rsid w:val="006559B2"/>
    <w:rsid w:val="00655C5F"/>
    <w:rsid w:val="0065781D"/>
    <w:rsid w:val="006605B1"/>
    <w:rsid w:val="00660BED"/>
    <w:rsid w:val="00660DC4"/>
    <w:rsid w:val="006624F4"/>
    <w:rsid w:val="00671E63"/>
    <w:rsid w:val="00674811"/>
    <w:rsid w:val="00677089"/>
    <w:rsid w:val="00677BED"/>
    <w:rsid w:val="00682CD1"/>
    <w:rsid w:val="006842B8"/>
    <w:rsid w:val="006875FF"/>
    <w:rsid w:val="00692382"/>
    <w:rsid w:val="00694809"/>
    <w:rsid w:val="006A0578"/>
    <w:rsid w:val="006A1334"/>
    <w:rsid w:val="006A13C5"/>
    <w:rsid w:val="006A17F9"/>
    <w:rsid w:val="006A2E9B"/>
    <w:rsid w:val="006A3941"/>
    <w:rsid w:val="006A47C4"/>
    <w:rsid w:val="006A56EA"/>
    <w:rsid w:val="006A6FA1"/>
    <w:rsid w:val="006A6FD5"/>
    <w:rsid w:val="006A7DF0"/>
    <w:rsid w:val="006B0D47"/>
    <w:rsid w:val="006B5550"/>
    <w:rsid w:val="006B6ECB"/>
    <w:rsid w:val="006B6F11"/>
    <w:rsid w:val="006B7389"/>
    <w:rsid w:val="006C074F"/>
    <w:rsid w:val="006C0E63"/>
    <w:rsid w:val="006C3E44"/>
    <w:rsid w:val="006C485D"/>
    <w:rsid w:val="006C49DE"/>
    <w:rsid w:val="006D381E"/>
    <w:rsid w:val="006D7AC5"/>
    <w:rsid w:val="006F104E"/>
    <w:rsid w:val="006F175C"/>
    <w:rsid w:val="006F1D7A"/>
    <w:rsid w:val="006F2568"/>
    <w:rsid w:val="006F308F"/>
    <w:rsid w:val="006F3CD9"/>
    <w:rsid w:val="006F4894"/>
    <w:rsid w:val="006F4943"/>
    <w:rsid w:val="006F5AF7"/>
    <w:rsid w:val="006F61AD"/>
    <w:rsid w:val="006F6AE7"/>
    <w:rsid w:val="00700ABC"/>
    <w:rsid w:val="00701271"/>
    <w:rsid w:val="00701912"/>
    <w:rsid w:val="007025C2"/>
    <w:rsid w:val="007045A9"/>
    <w:rsid w:val="007120D2"/>
    <w:rsid w:val="00712CE8"/>
    <w:rsid w:val="0071754B"/>
    <w:rsid w:val="00717F7A"/>
    <w:rsid w:val="00721378"/>
    <w:rsid w:val="007231F5"/>
    <w:rsid w:val="00723BDB"/>
    <w:rsid w:val="0072522D"/>
    <w:rsid w:val="00733F47"/>
    <w:rsid w:val="00733F85"/>
    <w:rsid w:val="00735918"/>
    <w:rsid w:val="007369D2"/>
    <w:rsid w:val="00737C4D"/>
    <w:rsid w:val="007406C3"/>
    <w:rsid w:val="0074305D"/>
    <w:rsid w:val="00744DE1"/>
    <w:rsid w:val="00747E1E"/>
    <w:rsid w:val="0075133F"/>
    <w:rsid w:val="00756C39"/>
    <w:rsid w:val="00757EA4"/>
    <w:rsid w:val="00761831"/>
    <w:rsid w:val="0076210F"/>
    <w:rsid w:val="00764C95"/>
    <w:rsid w:val="007651FC"/>
    <w:rsid w:val="0077310D"/>
    <w:rsid w:val="00774CD8"/>
    <w:rsid w:val="00777742"/>
    <w:rsid w:val="00782B1F"/>
    <w:rsid w:val="00785A38"/>
    <w:rsid w:val="00787D23"/>
    <w:rsid w:val="007913FA"/>
    <w:rsid w:val="00797211"/>
    <w:rsid w:val="00797F1E"/>
    <w:rsid w:val="007A3911"/>
    <w:rsid w:val="007A433B"/>
    <w:rsid w:val="007A79D7"/>
    <w:rsid w:val="007B27F7"/>
    <w:rsid w:val="007B579A"/>
    <w:rsid w:val="007B5C19"/>
    <w:rsid w:val="007B6D0D"/>
    <w:rsid w:val="007B6D4B"/>
    <w:rsid w:val="007B7713"/>
    <w:rsid w:val="007B7AC8"/>
    <w:rsid w:val="007C0CDA"/>
    <w:rsid w:val="007C6746"/>
    <w:rsid w:val="007D1B20"/>
    <w:rsid w:val="007D32A5"/>
    <w:rsid w:val="007E0F64"/>
    <w:rsid w:val="007E1183"/>
    <w:rsid w:val="007E4ECA"/>
    <w:rsid w:val="007F0857"/>
    <w:rsid w:val="007F1A85"/>
    <w:rsid w:val="007F23EE"/>
    <w:rsid w:val="007F31BE"/>
    <w:rsid w:val="007F5314"/>
    <w:rsid w:val="007F7ADD"/>
    <w:rsid w:val="008019BC"/>
    <w:rsid w:val="0080236F"/>
    <w:rsid w:val="008028CC"/>
    <w:rsid w:val="008050F8"/>
    <w:rsid w:val="00806F7D"/>
    <w:rsid w:val="00807A82"/>
    <w:rsid w:val="00807AF9"/>
    <w:rsid w:val="00812691"/>
    <w:rsid w:val="008127C9"/>
    <w:rsid w:val="00814058"/>
    <w:rsid w:val="00821D64"/>
    <w:rsid w:val="00821EB6"/>
    <w:rsid w:val="00822BC1"/>
    <w:rsid w:val="008239C1"/>
    <w:rsid w:val="00823B49"/>
    <w:rsid w:val="008305F0"/>
    <w:rsid w:val="00832136"/>
    <w:rsid w:val="00833367"/>
    <w:rsid w:val="00834136"/>
    <w:rsid w:val="00836988"/>
    <w:rsid w:val="008432C2"/>
    <w:rsid w:val="008459E3"/>
    <w:rsid w:val="00847BB2"/>
    <w:rsid w:val="008501AA"/>
    <w:rsid w:val="00851612"/>
    <w:rsid w:val="00853597"/>
    <w:rsid w:val="008568AD"/>
    <w:rsid w:val="00856CDB"/>
    <w:rsid w:val="00857AC5"/>
    <w:rsid w:val="00861107"/>
    <w:rsid w:val="00861ACD"/>
    <w:rsid w:val="00863635"/>
    <w:rsid w:val="008639E9"/>
    <w:rsid w:val="008662A1"/>
    <w:rsid w:val="008663B0"/>
    <w:rsid w:val="00867BE9"/>
    <w:rsid w:val="00871252"/>
    <w:rsid w:val="00871D8E"/>
    <w:rsid w:val="00880FD6"/>
    <w:rsid w:val="00882061"/>
    <w:rsid w:val="00882E00"/>
    <w:rsid w:val="008857FE"/>
    <w:rsid w:val="008903E0"/>
    <w:rsid w:val="00892CCF"/>
    <w:rsid w:val="00895872"/>
    <w:rsid w:val="00895C52"/>
    <w:rsid w:val="00895D89"/>
    <w:rsid w:val="008966B8"/>
    <w:rsid w:val="008A0C54"/>
    <w:rsid w:val="008A0D8C"/>
    <w:rsid w:val="008A3F56"/>
    <w:rsid w:val="008A450E"/>
    <w:rsid w:val="008A755E"/>
    <w:rsid w:val="008B0571"/>
    <w:rsid w:val="008B14E0"/>
    <w:rsid w:val="008B44F6"/>
    <w:rsid w:val="008B4A86"/>
    <w:rsid w:val="008B4E0B"/>
    <w:rsid w:val="008B4FD5"/>
    <w:rsid w:val="008B6B12"/>
    <w:rsid w:val="008C4B2F"/>
    <w:rsid w:val="008C7E8B"/>
    <w:rsid w:val="008D1E57"/>
    <w:rsid w:val="008E1B4C"/>
    <w:rsid w:val="008E56E2"/>
    <w:rsid w:val="008E6FFE"/>
    <w:rsid w:val="008F35BE"/>
    <w:rsid w:val="008F3720"/>
    <w:rsid w:val="008F4198"/>
    <w:rsid w:val="008F7100"/>
    <w:rsid w:val="008F7D87"/>
    <w:rsid w:val="0090217F"/>
    <w:rsid w:val="009036E2"/>
    <w:rsid w:val="00904886"/>
    <w:rsid w:val="00906150"/>
    <w:rsid w:val="009132C2"/>
    <w:rsid w:val="00913F13"/>
    <w:rsid w:val="00914C20"/>
    <w:rsid w:val="00914E00"/>
    <w:rsid w:val="00915BBF"/>
    <w:rsid w:val="009213F1"/>
    <w:rsid w:val="00922DFD"/>
    <w:rsid w:val="00924BDE"/>
    <w:rsid w:val="00924C61"/>
    <w:rsid w:val="0092503F"/>
    <w:rsid w:val="009252C5"/>
    <w:rsid w:val="009278A1"/>
    <w:rsid w:val="00927C2D"/>
    <w:rsid w:val="00930A29"/>
    <w:rsid w:val="00933A2C"/>
    <w:rsid w:val="00933FAB"/>
    <w:rsid w:val="00934E23"/>
    <w:rsid w:val="00935C7D"/>
    <w:rsid w:val="009363C3"/>
    <w:rsid w:val="0093754D"/>
    <w:rsid w:val="009379A3"/>
    <w:rsid w:val="00944EB7"/>
    <w:rsid w:val="009455D4"/>
    <w:rsid w:val="009465C5"/>
    <w:rsid w:val="00947BEF"/>
    <w:rsid w:val="00950E76"/>
    <w:rsid w:val="009511D0"/>
    <w:rsid w:val="00951893"/>
    <w:rsid w:val="00951A77"/>
    <w:rsid w:val="00955FA8"/>
    <w:rsid w:val="00956D7C"/>
    <w:rsid w:val="009579E6"/>
    <w:rsid w:val="00961D8F"/>
    <w:rsid w:val="00963E23"/>
    <w:rsid w:val="0096652D"/>
    <w:rsid w:val="009743B6"/>
    <w:rsid w:val="00974C4F"/>
    <w:rsid w:val="00975AB4"/>
    <w:rsid w:val="00975BDA"/>
    <w:rsid w:val="0098147E"/>
    <w:rsid w:val="00983C86"/>
    <w:rsid w:val="00983F65"/>
    <w:rsid w:val="009842B1"/>
    <w:rsid w:val="00985B74"/>
    <w:rsid w:val="0098697E"/>
    <w:rsid w:val="00986A84"/>
    <w:rsid w:val="00991225"/>
    <w:rsid w:val="009933E5"/>
    <w:rsid w:val="009A2378"/>
    <w:rsid w:val="009A36ED"/>
    <w:rsid w:val="009B0F59"/>
    <w:rsid w:val="009B418B"/>
    <w:rsid w:val="009B443E"/>
    <w:rsid w:val="009B5EC3"/>
    <w:rsid w:val="009B6AE6"/>
    <w:rsid w:val="009B78CC"/>
    <w:rsid w:val="009C3673"/>
    <w:rsid w:val="009C4F1C"/>
    <w:rsid w:val="009C576B"/>
    <w:rsid w:val="009C57AD"/>
    <w:rsid w:val="009C5AC9"/>
    <w:rsid w:val="009C5EB7"/>
    <w:rsid w:val="009C7C04"/>
    <w:rsid w:val="009D067F"/>
    <w:rsid w:val="009D074C"/>
    <w:rsid w:val="009D0814"/>
    <w:rsid w:val="009D137A"/>
    <w:rsid w:val="009D27C9"/>
    <w:rsid w:val="009E07C5"/>
    <w:rsid w:val="009E0D35"/>
    <w:rsid w:val="009E4733"/>
    <w:rsid w:val="009E5B52"/>
    <w:rsid w:val="009E7D7F"/>
    <w:rsid w:val="009F1AC3"/>
    <w:rsid w:val="009F3303"/>
    <w:rsid w:val="00A0173B"/>
    <w:rsid w:val="00A03661"/>
    <w:rsid w:val="00A03B8B"/>
    <w:rsid w:val="00A03EEB"/>
    <w:rsid w:val="00A04E62"/>
    <w:rsid w:val="00A05790"/>
    <w:rsid w:val="00A101F2"/>
    <w:rsid w:val="00A106AE"/>
    <w:rsid w:val="00A1614D"/>
    <w:rsid w:val="00A164BB"/>
    <w:rsid w:val="00A2020D"/>
    <w:rsid w:val="00A2048B"/>
    <w:rsid w:val="00A23C56"/>
    <w:rsid w:val="00A240AE"/>
    <w:rsid w:val="00A24F9E"/>
    <w:rsid w:val="00A277D8"/>
    <w:rsid w:val="00A3002C"/>
    <w:rsid w:val="00A31195"/>
    <w:rsid w:val="00A346BC"/>
    <w:rsid w:val="00A35311"/>
    <w:rsid w:val="00A3653E"/>
    <w:rsid w:val="00A36AA9"/>
    <w:rsid w:val="00A42BEA"/>
    <w:rsid w:val="00A43242"/>
    <w:rsid w:val="00A44F7C"/>
    <w:rsid w:val="00A46150"/>
    <w:rsid w:val="00A4686E"/>
    <w:rsid w:val="00A47503"/>
    <w:rsid w:val="00A50346"/>
    <w:rsid w:val="00A50BA0"/>
    <w:rsid w:val="00A519DF"/>
    <w:rsid w:val="00A51EFE"/>
    <w:rsid w:val="00A54F1F"/>
    <w:rsid w:val="00A57691"/>
    <w:rsid w:val="00A5790D"/>
    <w:rsid w:val="00A61025"/>
    <w:rsid w:val="00A6271A"/>
    <w:rsid w:val="00A63806"/>
    <w:rsid w:val="00A65DA6"/>
    <w:rsid w:val="00A67FAA"/>
    <w:rsid w:val="00A73053"/>
    <w:rsid w:val="00A7348E"/>
    <w:rsid w:val="00A73DB0"/>
    <w:rsid w:val="00A74673"/>
    <w:rsid w:val="00A801E3"/>
    <w:rsid w:val="00A82D20"/>
    <w:rsid w:val="00A873CA"/>
    <w:rsid w:val="00A906F9"/>
    <w:rsid w:val="00A922B9"/>
    <w:rsid w:val="00A94A4E"/>
    <w:rsid w:val="00A9572F"/>
    <w:rsid w:val="00A9701F"/>
    <w:rsid w:val="00AA1D8F"/>
    <w:rsid w:val="00AA2A13"/>
    <w:rsid w:val="00AA322D"/>
    <w:rsid w:val="00AA3BCE"/>
    <w:rsid w:val="00AA6F33"/>
    <w:rsid w:val="00AB05AB"/>
    <w:rsid w:val="00AB2801"/>
    <w:rsid w:val="00AB49CC"/>
    <w:rsid w:val="00AB691E"/>
    <w:rsid w:val="00AB7CE0"/>
    <w:rsid w:val="00AC135E"/>
    <w:rsid w:val="00AC2AA4"/>
    <w:rsid w:val="00AC3791"/>
    <w:rsid w:val="00AC5FFE"/>
    <w:rsid w:val="00AD285D"/>
    <w:rsid w:val="00AD7F2C"/>
    <w:rsid w:val="00AE2D68"/>
    <w:rsid w:val="00AE69F4"/>
    <w:rsid w:val="00AF1B71"/>
    <w:rsid w:val="00AF3010"/>
    <w:rsid w:val="00AF3379"/>
    <w:rsid w:val="00AF33E3"/>
    <w:rsid w:val="00AF5400"/>
    <w:rsid w:val="00AF63B7"/>
    <w:rsid w:val="00AF66DF"/>
    <w:rsid w:val="00AF7538"/>
    <w:rsid w:val="00B015C3"/>
    <w:rsid w:val="00B0392E"/>
    <w:rsid w:val="00B07178"/>
    <w:rsid w:val="00B0782A"/>
    <w:rsid w:val="00B1021A"/>
    <w:rsid w:val="00B13594"/>
    <w:rsid w:val="00B13B3A"/>
    <w:rsid w:val="00B14A3B"/>
    <w:rsid w:val="00B2182A"/>
    <w:rsid w:val="00B21EFA"/>
    <w:rsid w:val="00B31105"/>
    <w:rsid w:val="00B3447E"/>
    <w:rsid w:val="00B36E62"/>
    <w:rsid w:val="00B3779C"/>
    <w:rsid w:val="00B40201"/>
    <w:rsid w:val="00B4097B"/>
    <w:rsid w:val="00B41B5C"/>
    <w:rsid w:val="00B42699"/>
    <w:rsid w:val="00B44434"/>
    <w:rsid w:val="00B464DA"/>
    <w:rsid w:val="00B517BA"/>
    <w:rsid w:val="00B52626"/>
    <w:rsid w:val="00B5651A"/>
    <w:rsid w:val="00B61FA4"/>
    <w:rsid w:val="00B624C5"/>
    <w:rsid w:val="00B631C5"/>
    <w:rsid w:val="00B63231"/>
    <w:rsid w:val="00B651AD"/>
    <w:rsid w:val="00B65A12"/>
    <w:rsid w:val="00B664E3"/>
    <w:rsid w:val="00B80187"/>
    <w:rsid w:val="00B80C48"/>
    <w:rsid w:val="00B815A1"/>
    <w:rsid w:val="00B82311"/>
    <w:rsid w:val="00B83090"/>
    <w:rsid w:val="00B855DA"/>
    <w:rsid w:val="00B855E3"/>
    <w:rsid w:val="00B87DB1"/>
    <w:rsid w:val="00B93DA3"/>
    <w:rsid w:val="00B9622F"/>
    <w:rsid w:val="00B97B9B"/>
    <w:rsid w:val="00BA033C"/>
    <w:rsid w:val="00BA0B2D"/>
    <w:rsid w:val="00BA13B1"/>
    <w:rsid w:val="00BA1E17"/>
    <w:rsid w:val="00BA23D1"/>
    <w:rsid w:val="00BA2C35"/>
    <w:rsid w:val="00BA3C0E"/>
    <w:rsid w:val="00BA6499"/>
    <w:rsid w:val="00BA6D64"/>
    <w:rsid w:val="00BB14A8"/>
    <w:rsid w:val="00BB2003"/>
    <w:rsid w:val="00BB230C"/>
    <w:rsid w:val="00BB5366"/>
    <w:rsid w:val="00BC00F2"/>
    <w:rsid w:val="00BC0BA6"/>
    <w:rsid w:val="00BC0C4F"/>
    <w:rsid w:val="00BC0CFE"/>
    <w:rsid w:val="00BC0FFA"/>
    <w:rsid w:val="00BC46EA"/>
    <w:rsid w:val="00BC688D"/>
    <w:rsid w:val="00BC6A58"/>
    <w:rsid w:val="00BD2CEB"/>
    <w:rsid w:val="00BD3F77"/>
    <w:rsid w:val="00BD6FD3"/>
    <w:rsid w:val="00BD78FE"/>
    <w:rsid w:val="00BE671B"/>
    <w:rsid w:val="00BF0225"/>
    <w:rsid w:val="00BF1704"/>
    <w:rsid w:val="00BF1B70"/>
    <w:rsid w:val="00BF405A"/>
    <w:rsid w:val="00BF4639"/>
    <w:rsid w:val="00BF5027"/>
    <w:rsid w:val="00BF595C"/>
    <w:rsid w:val="00BF744F"/>
    <w:rsid w:val="00C00800"/>
    <w:rsid w:val="00C0095B"/>
    <w:rsid w:val="00C025D0"/>
    <w:rsid w:val="00C03963"/>
    <w:rsid w:val="00C06320"/>
    <w:rsid w:val="00C10F8F"/>
    <w:rsid w:val="00C12056"/>
    <w:rsid w:val="00C121E4"/>
    <w:rsid w:val="00C14D67"/>
    <w:rsid w:val="00C156BF"/>
    <w:rsid w:val="00C161C8"/>
    <w:rsid w:val="00C17652"/>
    <w:rsid w:val="00C22AEE"/>
    <w:rsid w:val="00C23033"/>
    <w:rsid w:val="00C235A5"/>
    <w:rsid w:val="00C24D6E"/>
    <w:rsid w:val="00C26058"/>
    <w:rsid w:val="00C2715E"/>
    <w:rsid w:val="00C277E1"/>
    <w:rsid w:val="00C30596"/>
    <w:rsid w:val="00C31CF6"/>
    <w:rsid w:val="00C34ED5"/>
    <w:rsid w:val="00C35AB2"/>
    <w:rsid w:val="00C35C93"/>
    <w:rsid w:val="00C36F86"/>
    <w:rsid w:val="00C37960"/>
    <w:rsid w:val="00C40667"/>
    <w:rsid w:val="00C40694"/>
    <w:rsid w:val="00C409ED"/>
    <w:rsid w:val="00C40F82"/>
    <w:rsid w:val="00C43836"/>
    <w:rsid w:val="00C44296"/>
    <w:rsid w:val="00C45164"/>
    <w:rsid w:val="00C45FFC"/>
    <w:rsid w:val="00C508C4"/>
    <w:rsid w:val="00C542C8"/>
    <w:rsid w:val="00C55D40"/>
    <w:rsid w:val="00C569F9"/>
    <w:rsid w:val="00C6358E"/>
    <w:rsid w:val="00C63909"/>
    <w:rsid w:val="00C64ED0"/>
    <w:rsid w:val="00C66D63"/>
    <w:rsid w:val="00C6765E"/>
    <w:rsid w:val="00C73643"/>
    <w:rsid w:val="00C74811"/>
    <w:rsid w:val="00C75A9C"/>
    <w:rsid w:val="00C76506"/>
    <w:rsid w:val="00C8474D"/>
    <w:rsid w:val="00C84D2B"/>
    <w:rsid w:val="00C86ACB"/>
    <w:rsid w:val="00C9036E"/>
    <w:rsid w:val="00C9085F"/>
    <w:rsid w:val="00C925F3"/>
    <w:rsid w:val="00C93504"/>
    <w:rsid w:val="00CA2766"/>
    <w:rsid w:val="00CA4340"/>
    <w:rsid w:val="00CA4B53"/>
    <w:rsid w:val="00CB0154"/>
    <w:rsid w:val="00CB0CE1"/>
    <w:rsid w:val="00CB4194"/>
    <w:rsid w:val="00CB4E46"/>
    <w:rsid w:val="00CB608E"/>
    <w:rsid w:val="00CC3A1D"/>
    <w:rsid w:val="00CC3F05"/>
    <w:rsid w:val="00CD13F9"/>
    <w:rsid w:val="00CD1947"/>
    <w:rsid w:val="00CD3225"/>
    <w:rsid w:val="00CD351C"/>
    <w:rsid w:val="00CD6E7B"/>
    <w:rsid w:val="00CD7A97"/>
    <w:rsid w:val="00CE0E19"/>
    <w:rsid w:val="00CE26E8"/>
    <w:rsid w:val="00CF2953"/>
    <w:rsid w:val="00CF4635"/>
    <w:rsid w:val="00CF5344"/>
    <w:rsid w:val="00CF7F10"/>
    <w:rsid w:val="00D01E8F"/>
    <w:rsid w:val="00D023B4"/>
    <w:rsid w:val="00D04661"/>
    <w:rsid w:val="00D06B06"/>
    <w:rsid w:val="00D10842"/>
    <w:rsid w:val="00D25759"/>
    <w:rsid w:val="00D26A08"/>
    <w:rsid w:val="00D30A5C"/>
    <w:rsid w:val="00D3137C"/>
    <w:rsid w:val="00D33F96"/>
    <w:rsid w:val="00D343D7"/>
    <w:rsid w:val="00D44FFB"/>
    <w:rsid w:val="00D45017"/>
    <w:rsid w:val="00D45071"/>
    <w:rsid w:val="00D458A9"/>
    <w:rsid w:val="00D4643D"/>
    <w:rsid w:val="00D5344B"/>
    <w:rsid w:val="00D5600B"/>
    <w:rsid w:val="00D634CC"/>
    <w:rsid w:val="00D636F5"/>
    <w:rsid w:val="00D64BAF"/>
    <w:rsid w:val="00D65CF1"/>
    <w:rsid w:val="00D66EF5"/>
    <w:rsid w:val="00D71163"/>
    <w:rsid w:val="00D72788"/>
    <w:rsid w:val="00D73157"/>
    <w:rsid w:val="00D80ADC"/>
    <w:rsid w:val="00D81E11"/>
    <w:rsid w:val="00D845DB"/>
    <w:rsid w:val="00D84EFF"/>
    <w:rsid w:val="00D86ACF"/>
    <w:rsid w:val="00D87EF9"/>
    <w:rsid w:val="00D91047"/>
    <w:rsid w:val="00D9232C"/>
    <w:rsid w:val="00D924FB"/>
    <w:rsid w:val="00D93F05"/>
    <w:rsid w:val="00DA3425"/>
    <w:rsid w:val="00DA3AB9"/>
    <w:rsid w:val="00DA770B"/>
    <w:rsid w:val="00DB38F0"/>
    <w:rsid w:val="00DB6DCC"/>
    <w:rsid w:val="00DC0C67"/>
    <w:rsid w:val="00DC4550"/>
    <w:rsid w:val="00DC78D3"/>
    <w:rsid w:val="00DD2B3E"/>
    <w:rsid w:val="00DD33EB"/>
    <w:rsid w:val="00DD6C7B"/>
    <w:rsid w:val="00DD6D5E"/>
    <w:rsid w:val="00DE0130"/>
    <w:rsid w:val="00DE06C0"/>
    <w:rsid w:val="00DE1714"/>
    <w:rsid w:val="00DE675A"/>
    <w:rsid w:val="00DE75EC"/>
    <w:rsid w:val="00DF0338"/>
    <w:rsid w:val="00DF0B14"/>
    <w:rsid w:val="00DF538B"/>
    <w:rsid w:val="00DF65ED"/>
    <w:rsid w:val="00E02D09"/>
    <w:rsid w:val="00E05E81"/>
    <w:rsid w:val="00E13DEE"/>
    <w:rsid w:val="00E14487"/>
    <w:rsid w:val="00E146CE"/>
    <w:rsid w:val="00E20A9C"/>
    <w:rsid w:val="00E260DA"/>
    <w:rsid w:val="00E275E3"/>
    <w:rsid w:val="00E3103E"/>
    <w:rsid w:val="00E3588F"/>
    <w:rsid w:val="00E36918"/>
    <w:rsid w:val="00E371ED"/>
    <w:rsid w:val="00E43479"/>
    <w:rsid w:val="00E4371E"/>
    <w:rsid w:val="00E437DB"/>
    <w:rsid w:val="00E444D8"/>
    <w:rsid w:val="00E45518"/>
    <w:rsid w:val="00E47285"/>
    <w:rsid w:val="00E53C00"/>
    <w:rsid w:val="00E54B8F"/>
    <w:rsid w:val="00E566A7"/>
    <w:rsid w:val="00E570CD"/>
    <w:rsid w:val="00E61BA1"/>
    <w:rsid w:val="00E65B3B"/>
    <w:rsid w:val="00E670FB"/>
    <w:rsid w:val="00E67944"/>
    <w:rsid w:val="00E710B4"/>
    <w:rsid w:val="00E728B2"/>
    <w:rsid w:val="00E76093"/>
    <w:rsid w:val="00E761E3"/>
    <w:rsid w:val="00E77E4F"/>
    <w:rsid w:val="00E83209"/>
    <w:rsid w:val="00E8377C"/>
    <w:rsid w:val="00E84A72"/>
    <w:rsid w:val="00E851F5"/>
    <w:rsid w:val="00E87184"/>
    <w:rsid w:val="00E87721"/>
    <w:rsid w:val="00E94512"/>
    <w:rsid w:val="00E958AE"/>
    <w:rsid w:val="00E97D5D"/>
    <w:rsid w:val="00EA0AE5"/>
    <w:rsid w:val="00EA0B9C"/>
    <w:rsid w:val="00EA0BD2"/>
    <w:rsid w:val="00EA35AE"/>
    <w:rsid w:val="00EA6A59"/>
    <w:rsid w:val="00EB3023"/>
    <w:rsid w:val="00EB4B3C"/>
    <w:rsid w:val="00EB7B88"/>
    <w:rsid w:val="00EC5BE2"/>
    <w:rsid w:val="00EC6E84"/>
    <w:rsid w:val="00EC7513"/>
    <w:rsid w:val="00EC7AE3"/>
    <w:rsid w:val="00ED078B"/>
    <w:rsid w:val="00ED2FA0"/>
    <w:rsid w:val="00ED48B9"/>
    <w:rsid w:val="00EE079C"/>
    <w:rsid w:val="00EE1C26"/>
    <w:rsid w:val="00EE38FD"/>
    <w:rsid w:val="00EE512B"/>
    <w:rsid w:val="00EF37E8"/>
    <w:rsid w:val="00EF77FD"/>
    <w:rsid w:val="00F006FC"/>
    <w:rsid w:val="00F014A5"/>
    <w:rsid w:val="00F0187D"/>
    <w:rsid w:val="00F02029"/>
    <w:rsid w:val="00F02D08"/>
    <w:rsid w:val="00F06743"/>
    <w:rsid w:val="00F10ECF"/>
    <w:rsid w:val="00F12851"/>
    <w:rsid w:val="00F13124"/>
    <w:rsid w:val="00F25403"/>
    <w:rsid w:val="00F310CD"/>
    <w:rsid w:val="00F31286"/>
    <w:rsid w:val="00F31EB1"/>
    <w:rsid w:val="00F334D2"/>
    <w:rsid w:val="00F35C41"/>
    <w:rsid w:val="00F36272"/>
    <w:rsid w:val="00F375BF"/>
    <w:rsid w:val="00F41737"/>
    <w:rsid w:val="00F41BE0"/>
    <w:rsid w:val="00F42B47"/>
    <w:rsid w:val="00F4477C"/>
    <w:rsid w:val="00F44ADB"/>
    <w:rsid w:val="00F47EB6"/>
    <w:rsid w:val="00F5237B"/>
    <w:rsid w:val="00F603D9"/>
    <w:rsid w:val="00F615CA"/>
    <w:rsid w:val="00F6228C"/>
    <w:rsid w:val="00F67C19"/>
    <w:rsid w:val="00F70BD9"/>
    <w:rsid w:val="00F7553F"/>
    <w:rsid w:val="00F7709D"/>
    <w:rsid w:val="00F829ED"/>
    <w:rsid w:val="00F83F0A"/>
    <w:rsid w:val="00F86EC1"/>
    <w:rsid w:val="00F87C24"/>
    <w:rsid w:val="00F90F27"/>
    <w:rsid w:val="00F9159F"/>
    <w:rsid w:val="00F930E1"/>
    <w:rsid w:val="00F946D9"/>
    <w:rsid w:val="00F9570E"/>
    <w:rsid w:val="00FA2669"/>
    <w:rsid w:val="00FA364E"/>
    <w:rsid w:val="00FA4CEC"/>
    <w:rsid w:val="00FA5CA9"/>
    <w:rsid w:val="00FA604C"/>
    <w:rsid w:val="00FA6CF6"/>
    <w:rsid w:val="00FB5AE0"/>
    <w:rsid w:val="00FC459D"/>
    <w:rsid w:val="00FC5F36"/>
    <w:rsid w:val="00FC7BFB"/>
    <w:rsid w:val="00FD24DE"/>
    <w:rsid w:val="00FD2780"/>
    <w:rsid w:val="00FD3E77"/>
    <w:rsid w:val="00FE1020"/>
    <w:rsid w:val="00FE15C4"/>
    <w:rsid w:val="00FE17A7"/>
    <w:rsid w:val="00FE1B23"/>
    <w:rsid w:val="00FE205B"/>
    <w:rsid w:val="00FE4BED"/>
    <w:rsid w:val="00FE6DCF"/>
    <w:rsid w:val="00FF13EB"/>
    <w:rsid w:val="00FF24FF"/>
    <w:rsid w:val="00FF2EDE"/>
    <w:rsid w:val="00FF5E74"/>
    <w:rsid w:val="77A520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48EB4"/>
  <w15:docId w15:val="{2BD6F350-79A9-4099-A806-10A5D85B8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y-AM" w:eastAsia="hy-AM"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lsdException w:name="heading 4" w:uiPriority="0"/>
    <w:lsdException w:name="heading 5" w:uiPriority="0"/>
    <w:lsdException w:name="heading 6" w:uiPriority="0"/>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3"/>
    <w:next w:val="Normal3"/>
    <w:link w:val="Heading1Char"/>
    <w:qFormat/>
    <w:pPr>
      <w:keepNext/>
      <w:keepLines/>
      <w:spacing w:before="480" w:after="120"/>
      <w:outlineLvl w:val="0"/>
    </w:pPr>
    <w:rPr>
      <w:b/>
      <w:sz w:val="48"/>
      <w:szCs w:val="48"/>
    </w:rPr>
  </w:style>
  <w:style w:type="paragraph" w:styleId="Heading2">
    <w:name w:val="heading 2"/>
    <w:basedOn w:val="Normal"/>
    <w:link w:val="Heading2Char"/>
    <w:uiPriority w:val="9"/>
    <w:qFormat/>
    <w:pPr>
      <w:spacing w:before="100" w:beforeAutospacing="1" w:after="100" w:afterAutospacing="1"/>
      <w:outlineLvl w:val="1"/>
    </w:pPr>
    <w:rPr>
      <w:b/>
      <w:bCs/>
      <w:sz w:val="36"/>
      <w:szCs w:val="36"/>
    </w:rPr>
  </w:style>
  <w:style w:type="paragraph" w:styleId="Heading3">
    <w:name w:val="heading 3"/>
    <w:basedOn w:val="Normal3"/>
    <w:next w:val="Normal3"/>
    <w:pPr>
      <w:keepNext/>
      <w:keepLines/>
      <w:spacing w:before="280" w:after="80"/>
      <w:outlineLvl w:val="2"/>
    </w:pPr>
    <w:rPr>
      <w:b/>
      <w:sz w:val="28"/>
      <w:szCs w:val="28"/>
    </w:rPr>
  </w:style>
  <w:style w:type="paragraph" w:styleId="Heading4">
    <w:name w:val="heading 4"/>
    <w:basedOn w:val="Normal3"/>
    <w:next w:val="Normal3"/>
    <w:pPr>
      <w:keepNext/>
      <w:keepLines/>
      <w:spacing w:before="240" w:after="40"/>
      <w:outlineLvl w:val="3"/>
    </w:pPr>
    <w:rPr>
      <w:b/>
    </w:rPr>
  </w:style>
  <w:style w:type="paragraph" w:styleId="Heading5">
    <w:name w:val="heading 5"/>
    <w:basedOn w:val="Normal3"/>
    <w:next w:val="Normal3"/>
    <w:pPr>
      <w:keepNext/>
      <w:keepLines/>
      <w:spacing w:before="220" w:after="40"/>
      <w:outlineLvl w:val="4"/>
    </w:pPr>
    <w:rPr>
      <w:b/>
      <w:sz w:val="22"/>
      <w:szCs w:val="22"/>
    </w:rPr>
  </w:style>
  <w:style w:type="paragraph" w:styleId="Heading6">
    <w:name w:val="heading 6"/>
    <w:basedOn w:val="Normal3"/>
    <w:next w:val="Normal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3">
    <w:name w:val="Normal3"/>
    <w:rPr>
      <w:sz w:val="24"/>
      <w:szCs w:val="24"/>
      <w:lang w:eastAsia="en-US"/>
    </w:rPr>
  </w:style>
  <w:style w:type="character" w:styleId="CommentReference">
    <w:name w:val="annotation reference"/>
    <w:basedOn w:val="DefaultParagraphFont"/>
    <w:uiPriority w:val="99"/>
    <w:unhideWhenUsed/>
    <w:rPr>
      <w:sz w:val="16"/>
      <w:szCs w:val="16"/>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u w:val="single"/>
    </w:rPr>
  </w:style>
  <w:style w:type="character" w:styleId="PageNumber">
    <w:name w:val="page number"/>
    <w:basedOn w:val="DefaultParagraphFont"/>
  </w:style>
  <w:style w:type="character" w:styleId="Strong">
    <w:name w:val="Strong"/>
    <w:uiPriority w:val="22"/>
    <w:qFormat/>
    <w:rPr>
      <w:b/>
      <w:bCs/>
    </w:rPr>
  </w:style>
  <w:style w:type="paragraph" w:styleId="BalloonText">
    <w:name w:val="Balloon Text"/>
    <w:basedOn w:val="Normal"/>
    <w:link w:val="BalloonTextChar"/>
    <w:uiPriority w:val="99"/>
    <w:rPr>
      <w:rFonts w:ascii="Tahoma" w:hAnsi="Tahoma"/>
      <w:iCs/>
      <w:sz w:val="16"/>
      <w:szCs w:val="16"/>
    </w:rPr>
  </w:style>
  <w:style w:type="paragraph" w:styleId="CommentText">
    <w:name w:val="annotation text"/>
    <w:basedOn w:val="Normal"/>
    <w:link w:val="CommentTextChar"/>
    <w:uiPriority w:val="99"/>
    <w:unhideWhenUsed/>
    <w:rPr>
      <w:rFonts w:ascii="Times Armenian" w:hAnsi="Times Armenian"/>
      <w:iCs/>
      <w:sz w:val="20"/>
      <w:szCs w:val="20"/>
    </w:rPr>
  </w:style>
  <w:style w:type="paragraph" w:styleId="CommentSubject">
    <w:name w:val="annotation subject"/>
    <w:basedOn w:val="CommentText"/>
    <w:next w:val="CommentText"/>
    <w:link w:val="CommentSubjectChar"/>
    <w:uiPriority w:val="99"/>
    <w:unhideWhenUsed/>
    <w:rPr>
      <w:b/>
      <w:bCs/>
    </w:rPr>
  </w:style>
  <w:style w:type="paragraph" w:styleId="Header">
    <w:name w:val="header"/>
    <w:basedOn w:val="Normal"/>
    <w:link w:val="HeaderChar"/>
    <w:uiPriority w:val="99"/>
    <w:pPr>
      <w:tabs>
        <w:tab w:val="center" w:pos="4320"/>
        <w:tab w:val="right" w:pos="8640"/>
      </w:tabs>
    </w:pPr>
  </w:style>
  <w:style w:type="paragraph" w:styleId="BodyText">
    <w:name w:val="Body Text"/>
    <w:basedOn w:val="Normal"/>
    <w:link w:val="BodyTextChar"/>
    <w:pPr>
      <w:jc w:val="center"/>
    </w:pPr>
    <w:rPr>
      <w:rFonts w:ascii="Times Armenian" w:hAnsi="Times Armenian"/>
      <w:bCs/>
    </w:rPr>
  </w:style>
  <w:style w:type="paragraph" w:styleId="Title">
    <w:name w:val="Title"/>
    <w:basedOn w:val="Normal3"/>
    <w:next w:val="Normal3"/>
    <w:pPr>
      <w:keepNext/>
      <w:keepLines/>
      <w:spacing w:before="480" w:after="120"/>
    </w:pPr>
    <w:rPr>
      <w:b/>
      <w:sz w:val="72"/>
      <w:szCs w:val="72"/>
    </w:rPr>
  </w:style>
  <w:style w:type="paragraph" w:styleId="Footer">
    <w:name w:val="footer"/>
    <w:basedOn w:val="Normal"/>
    <w:link w:val="FooterChar"/>
    <w:uiPriority w:val="99"/>
    <w:pPr>
      <w:tabs>
        <w:tab w:val="center" w:pos="4320"/>
        <w:tab w:val="right" w:pos="8640"/>
      </w:tabs>
    </w:pPr>
  </w:style>
  <w:style w:type="paragraph" w:styleId="NormalWeb">
    <w:name w:val="Normal (Web)"/>
    <w:basedOn w:val="Normal"/>
    <w:link w:val="NormalWebChar"/>
    <w:uiPriority w:val="99"/>
    <w:unhideWhenUsed/>
    <w:qFormat/>
    <w:pPr>
      <w:spacing w:before="100" w:beforeAutospacing="1" w:after="100" w:afterAutospacing="1"/>
    </w:pPr>
  </w:style>
  <w:style w:type="paragraph" w:styleId="Subtitle">
    <w:name w:val="Subtitle"/>
    <w:basedOn w:val="Normal"/>
    <w:next w:val="Normal"/>
    <w:link w:val="SubtitleChar"/>
    <w:pPr>
      <w:spacing w:after="60"/>
      <w:jc w:val="center"/>
    </w:pPr>
    <w:rPr>
      <w:rFonts w:ascii="Cambria" w:eastAsia="Cambria" w:hAnsi="Cambria" w:cs="Cambria"/>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Pr>
      <w:sz w:val="24"/>
      <w:szCs w:val="24"/>
      <w:lang w:eastAsia="en-US"/>
    </w:rPr>
  </w:style>
  <w:style w:type="paragraph" w:customStyle="1" w:styleId="Normal2">
    <w:name w:val="Normal2"/>
    <w:rPr>
      <w:sz w:val="24"/>
      <w:szCs w:val="24"/>
      <w:lang w:eastAsia="en-US"/>
    </w:rPr>
  </w:style>
  <w:style w:type="character" w:customStyle="1" w:styleId="BodyTextChar">
    <w:name w:val="Body Text Char"/>
    <w:basedOn w:val="DefaultParagraphFont"/>
    <w:link w:val="BodyText"/>
    <w:rPr>
      <w:rFonts w:ascii="Times Armenian" w:hAnsi="Times Armenian"/>
      <w:bCs/>
      <w:sz w:val="24"/>
      <w:szCs w:val="24"/>
    </w:rPr>
  </w:style>
  <w:style w:type="paragraph" w:customStyle="1" w:styleId="1">
    <w:name w:val="Абзац списка1"/>
    <w:basedOn w:val="Normal"/>
    <w:qFormat/>
    <w:pPr>
      <w:ind w:left="720"/>
      <w:contextualSpacing/>
    </w:pPr>
    <w:rPr>
      <w:rFonts w:ascii="Times Armenian" w:eastAsia="Calibri" w:hAnsi="Times Armenian"/>
    </w:rPr>
  </w:style>
  <w:style w:type="character" w:customStyle="1" w:styleId="apple-converted-space">
    <w:name w:val="apple-converted-space"/>
    <w:basedOn w:val="DefaultParagraphFont"/>
  </w:style>
  <w:style w:type="character" w:customStyle="1" w:styleId="BalloonTextChar">
    <w:name w:val="Balloon Text Char"/>
    <w:basedOn w:val="DefaultParagraphFont"/>
    <w:link w:val="BalloonText"/>
    <w:uiPriority w:val="99"/>
    <w:rPr>
      <w:rFonts w:ascii="Tahoma" w:hAnsi="Tahoma"/>
      <w:iCs/>
      <w:sz w:val="16"/>
      <w:szCs w:val="16"/>
    </w:rPr>
  </w:style>
  <w:style w:type="character" w:customStyle="1" w:styleId="CommentTextChar">
    <w:name w:val="Comment Text Char"/>
    <w:basedOn w:val="DefaultParagraphFont"/>
    <w:link w:val="CommentText"/>
    <w:uiPriority w:val="99"/>
    <w:rPr>
      <w:rFonts w:ascii="Times Armenian" w:hAnsi="Times Armenian"/>
      <w:iCs/>
    </w:rPr>
  </w:style>
  <w:style w:type="character" w:customStyle="1" w:styleId="CommentSubjectChar">
    <w:name w:val="Comment Subject Char"/>
    <w:basedOn w:val="CommentTextChar"/>
    <w:link w:val="CommentSubject"/>
    <w:uiPriority w:val="99"/>
    <w:rPr>
      <w:rFonts w:ascii="Times Armenian" w:hAnsi="Times Armenian"/>
      <w:b/>
      <w:bCs/>
      <w:iCs/>
    </w:rPr>
  </w:style>
  <w:style w:type="paragraph" w:styleId="ListParagraph">
    <w:name w:val="List Paragraph"/>
    <w:basedOn w:val="Normal"/>
    <w:link w:val="ListParagraphChar"/>
    <w:uiPriority w:val="34"/>
    <w:qFormat/>
    <w:pPr>
      <w:spacing w:line="360" w:lineRule="auto"/>
      <w:ind w:left="720" w:firstLine="709"/>
      <w:contextualSpacing/>
      <w:jc w:val="both"/>
    </w:pPr>
    <w:rPr>
      <w:rFonts w:ascii="Calibri" w:eastAsia="Calibri" w:hAnsi="Calibri"/>
      <w:sz w:val="22"/>
      <w:szCs w:val="22"/>
      <w:lang w:val="ru-RU"/>
    </w:rPr>
  </w:style>
  <w:style w:type="character" w:customStyle="1" w:styleId="SubtitleChar">
    <w:name w:val="Subtitle Char"/>
    <w:basedOn w:val="DefaultParagraphFont"/>
    <w:link w:val="Subtitle"/>
    <w:rPr>
      <w:rFonts w:ascii="Cambria" w:eastAsia="Times New Roman" w:hAnsi="Cambria" w:cs="Times New Roman"/>
      <w:sz w:val="24"/>
      <w:szCs w:val="24"/>
    </w:rPr>
  </w:style>
  <w:style w:type="paragraph" w:customStyle="1" w:styleId="Revision1">
    <w:name w:val="Revision1"/>
    <w:hidden/>
    <w:uiPriority w:val="99"/>
    <w:semiHidden/>
    <w:rPr>
      <w:sz w:val="24"/>
      <w:szCs w:val="24"/>
      <w:lang w:eastAsia="en-US"/>
    </w:rPr>
  </w:style>
  <w:style w:type="character" w:customStyle="1" w:styleId="ListParagraphChar">
    <w:name w:val="List Paragraph Char"/>
    <w:link w:val="ListParagraph"/>
    <w:uiPriority w:val="34"/>
    <w:qFormat/>
    <w:rPr>
      <w:rFonts w:ascii="Calibri" w:eastAsia="Calibri" w:hAnsi="Calibri"/>
      <w:sz w:val="22"/>
      <w:szCs w:val="22"/>
      <w:lang w:val="ru-RU"/>
    </w:rPr>
  </w:style>
  <w:style w:type="paragraph" w:customStyle="1" w:styleId="norm">
    <w:name w:val="norm"/>
    <w:basedOn w:val="Normal"/>
    <w:link w:val="normChar"/>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Pr>
      <w:rFonts w:ascii="Arial Armenian" w:hAnsi="Arial Armenian"/>
      <w:sz w:val="22"/>
      <w:lang w:eastAsia="ru-RU"/>
    </w:rPr>
  </w:style>
  <w:style w:type="character" w:customStyle="1" w:styleId="NormalWebChar">
    <w:name w:val="Normal (Web) Char"/>
    <w:link w:val="NormalWeb"/>
    <w:uiPriority w:val="99"/>
    <w:locked/>
    <w:rPr>
      <w:sz w:val="24"/>
      <w:szCs w:val="24"/>
    </w:rPr>
  </w:style>
  <w:style w:type="character" w:customStyle="1" w:styleId="Heading2Char">
    <w:name w:val="Heading 2 Char"/>
    <w:basedOn w:val="DefaultParagraphFont"/>
    <w:link w:val="Heading2"/>
    <w:uiPriority w:val="9"/>
    <w:rPr>
      <w:b/>
      <w:bCs/>
      <w:sz w:val="36"/>
      <w:szCs w:val="36"/>
    </w:rPr>
  </w:style>
  <w:style w:type="table" w:customStyle="1" w:styleId="8">
    <w:name w:val="8"/>
    <w:basedOn w:val="TableNormal"/>
    <w:tblPr/>
  </w:style>
  <w:style w:type="table" w:customStyle="1" w:styleId="7">
    <w:name w:val="7"/>
    <w:basedOn w:val="TableNormal"/>
    <w:tblPr/>
  </w:style>
  <w:style w:type="table" w:customStyle="1" w:styleId="6">
    <w:name w:val="6"/>
    <w:basedOn w:val="TableNormal"/>
    <w:tblPr>
      <w:tblCellMar>
        <w:left w:w="115" w:type="dxa"/>
        <w:right w:w="115" w:type="dxa"/>
      </w:tblCellMar>
    </w:tblPr>
  </w:style>
  <w:style w:type="table" w:customStyle="1" w:styleId="5">
    <w:name w:val="5"/>
    <w:basedOn w:val="TableNormal"/>
    <w:tblPr>
      <w:tblCellMar>
        <w:left w:w="115" w:type="dxa"/>
        <w:right w:w="115" w:type="dxa"/>
      </w:tblCellMar>
    </w:tblPr>
  </w:style>
  <w:style w:type="table" w:customStyle="1" w:styleId="4">
    <w:name w:val="4"/>
    <w:basedOn w:val="TableNormal"/>
    <w:tblPr>
      <w:tblCellMar>
        <w:left w:w="115" w:type="dxa"/>
        <w:right w:w="115" w:type="dxa"/>
      </w:tblCellMar>
    </w:tblPr>
  </w:style>
  <w:style w:type="table" w:customStyle="1" w:styleId="2">
    <w:name w:val="2"/>
    <w:basedOn w:val="TableNormal"/>
    <w:tblPr>
      <w:tblCellMar>
        <w:left w:w="115" w:type="dxa"/>
        <w:right w:w="115" w:type="dxa"/>
      </w:tblCellMar>
    </w:tblPr>
  </w:style>
  <w:style w:type="table" w:customStyle="1" w:styleId="10">
    <w:name w:val="1"/>
    <w:basedOn w:val="TableNormal"/>
    <w:tblPr>
      <w:tblCellMar>
        <w:left w:w="115" w:type="dxa"/>
        <w:right w:w="115" w:type="dxa"/>
      </w:tblCellMar>
    </w:tblPr>
  </w:style>
  <w:style w:type="paragraph" w:customStyle="1" w:styleId="msonormal0">
    <w:name w:val="msonormal"/>
    <w:basedOn w:val="Normal"/>
    <w:pPr>
      <w:spacing w:before="100" w:beforeAutospacing="1" w:after="100" w:afterAutospacing="1"/>
    </w:pPr>
    <w:rPr>
      <w:lang w:val="en-GB" w:eastAsia="en-GB"/>
    </w:rPr>
  </w:style>
  <w:style w:type="paragraph" w:customStyle="1" w:styleId="font5">
    <w:name w:val="font5"/>
    <w:basedOn w:val="Normal"/>
    <w:pPr>
      <w:spacing w:before="100" w:beforeAutospacing="1" w:after="100" w:afterAutospacing="1"/>
    </w:pPr>
    <w:rPr>
      <w:rFonts w:ascii="GHEA Grapalat" w:hAnsi="GHEA Grapalat"/>
      <w:color w:val="000000"/>
      <w:lang w:val="en-GB" w:eastAsia="en-GB"/>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lang w:val="en-GB" w:eastAsia="en-GB"/>
    </w:rPr>
  </w:style>
  <w:style w:type="paragraph" w:customStyle="1" w:styleId="xl74">
    <w:name w:val="xl74"/>
    <w:basedOn w:val="Normal"/>
    <w:pPr>
      <w:spacing w:before="100" w:beforeAutospacing="1" w:after="100" w:afterAutospacing="1"/>
    </w:pPr>
    <w:rPr>
      <w:rFonts w:ascii="GHEA Grapalat" w:hAnsi="GHEA Grapalat"/>
      <w:lang w:val="en-GB" w:eastAsia="en-GB"/>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lang w:val="en-GB" w:eastAsia="en-GB"/>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color w:val="000000"/>
      <w:lang w:val="en-GB" w:eastAsia="en-GB"/>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81">
    <w:name w:val="xl81"/>
    <w:basedOn w:val="Normal"/>
    <w:pPr>
      <w:spacing w:before="100" w:beforeAutospacing="1" w:after="100" w:afterAutospacing="1"/>
      <w:textAlignment w:val="center"/>
    </w:pPr>
    <w:rPr>
      <w:rFonts w:ascii="GHEA Grapalat" w:hAnsi="GHEA Grapalat"/>
      <w:lang w:val="en-GB" w:eastAsia="en-GB"/>
    </w:rPr>
  </w:style>
  <w:style w:type="paragraph" w:customStyle="1" w:styleId="xl82">
    <w:name w:val="xl82"/>
    <w:basedOn w:val="Normal"/>
    <w:pPr>
      <w:pBdr>
        <w:bottom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3">
    <w:name w:val="xl8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4">
    <w:name w:val="xl84"/>
    <w:basedOn w:val="Normal"/>
    <w:pPr>
      <w:spacing w:before="100" w:beforeAutospacing="1" w:after="100" w:afterAutospacing="1"/>
      <w:jc w:val="center"/>
      <w:textAlignment w:val="center"/>
    </w:pPr>
    <w:rPr>
      <w:rFonts w:ascii="GHEA Grapalat" w:hAnsi="GHEA Grapalat"/>
      <w:lang w:val="en-GB" w:eastAsia="en-GB"/>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b/>
      <w:bCs/>
      <w:lang w:val="en-GB" w:eastAsia="en-GB"/>
    </w:rPr>
  </w:style>
  <w:style w:type="character" w:customStyle="1" w:styleId="a">
    <w:name w:val="_"/>
  </w:style>
  <w:style w:type="character" w:customStyle="1" w:styleId="Heading1Char">
    <w:name w:val="Heading 1 Char"/>
    <w:basedOn w:val="DefaultParagraphFont"/>
    <w:link w:val="Heading1"/>
    <w:rPr>
      <w:b/>
      <w:sz w:val="48"/>
      <w:szCs w:val="48"/>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70">
    <w:name w:val="Основной текст (7)_"/>
    <w:basedOn w:val="DefaultParagraphFont"/>
    <w:link w:val="71"/>
    <w:rPr>
      <w:rFonts w:ascii="Tahoma" w:eastAsia="Tahoma" w:hAnsi="Tahoma" w:cs="Tahoma"/>
      <w:b/>
      <w:bCs/>
      <w:sz w:val="19"/>
      <w:szCs w:val="19"/>
      <w:shd w:val="clear" w:color="auto" w:fill="FFFFFF"/>
    </w:rPr>
  </w:style>
  <w:style w:type="paragraph" w:customStyle="1" w:styleId="71">
    <w:name w:val="Основной текст (7)"/>
    <w:basedOn w:val="Normal"/>
    <w:link w:val="70"/>
    <w:pPr>
      <w:widowControl w:val="0"/>
      <w:shd w:val="clear" w:color="auto" w:fill="FFFFFF"/>
      <w:spacing w:after="480" w:line="317" w:lineRule="exact"/>
      <w:jc w:val="right"/>
    </w:pPr>
    <w:rPr>
      <w:rFonts w:ascii="Tahoma" w:eastAsia="Tahoma" w:hAnsi="Tahoma" w:cs="Tahoma"/>
      <w:b/>
      <w:bCs/>
      <w:sz w:val="19"/>
      <w:szCs w:val="19"/>
    </w:rPr>
  </w:style>
  <w:style w:type="paragraph" w:styleId="Revision">
    <w:name w:val="Revision"/>
    <w:hidden/>
    <w:uiPriority w:val="99"/>
    <w:semiHidden/>
    <w:rsid w:val="0040536E"/>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AyrQb6Xl70sDZgV288iGd81Msg==">AMUW2mVF62ZCaFABoqrqFTSHp3utkyBAXexoXpyLRqzZxnPAl4IMrqf6Tr2gOhtnQUhdhwe79ravkzlq/iGHKVQi+In6PnbVRBJ5M5AqcCuB99+srqHufjtbSrD2K4kRQkf8WXUKT1qAK66gEvD77Bn/GbvRon6AVwbetcxjg168hImXls6EqIo=</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AD06976-818C-4543-ABD0-B154A06F5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1506</TotalTime>
  <Pages>1</Pages>
  <Words>3920</Words>
  <Characters>22350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Casscourt</dc:creator>
  <cp:keywords>https:/mul2-moj.gov.am/tasks/870738/oneclick/99e52ac2d5ec12cf6674ff6170128ee165ba650bde0ca7a2e4df759d1d33c32c.docx?token=768b2761657a19743ac4d1723f7329e2</cp:keywords>
  <cp:lastModifiedBy>Alla Stepanyan</cp:lastModifiedBy>
  <cp:revision>18</cp:revision>
  <cp:lastPrinted>2025-04-28T06:20:00Z</cp:lastPrinted>
  <dcterms:created xsi:type="dcterms:W3CDTF">2025-06-30T12:33:00Z</dcterms:created>
  <dcterms:modified xsi:type="dcterms:W3CDTF">2025-12-05T11:03:00Z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FDDF6F17AAD44ADB8B8C67CB937CE098_12</vt:lpwstr>
  </property>
</Properties>
</file>