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B3C92" w14:textId="77777777" w:rsidR="00321C88" w:rsidRPr="00EE279F" w:rsidRDefault="00321C88" w:rsidP="00321C88">
      <w:pPr>
        <w:spacing w:after="0" w:line="360" w:lineRule="auto"/>
        <w:ind w:right="202"/>
        <w:jc w:val="center"/>
        <w:rPr>
          <w:rFonts w:ascii="GHEA Grapalat" w:eastAsia="GHEA Grapalat" w:hAnsi="GHEA Grapalat" w:cs="GHEA Grapalat"/>
          <w:b/>
          <w:sz w:val="24"/>
          <w:szCs w:val="24"/>
        </w:rPr>
      </w:pPr>
      <w:r w:rsidRPr="00EE279F">
        <w:rPr>
          <w:rFonts w:ascii="GHEA Grapalat" w:eastAsia="GHEA Grapalat" w:hAnsi="GHEA Grapalat" w:cs="GHEA Grapalat"/>
          <w:b/>
          <w:sz w:val="24"/>
          <w:szCs w:val="24"/>
        </w:rPr>
        <w:t>ՀԻՄՆԱՎՈՐՈՒՄ</w:t>
      </w:r>
    </w:p>
    <w:p w14:paraId="39CFA0A7" w14:textId="71118196" w:rsidR="00321C88" w:rsidRDefault="00321C88" w:rsidP="00321C88">
      <w:pPr>
        <w:shd w:val="clear" w:color="auto" w:fill="FFFFFF"/>
        <w:tabs>
          <w:tab w:val="left" w:pos="142"/>
          <w:tab w:val="left" w:pos="709"/>
        </w:tabs>
        <w:spacing w:line="360" w:lineRule="auto"/>
        <w:ind w:right="202"/>
        <w:jc w:val="center"/>
        <w:rPr>
          <w:rFonts w:ascii="GHEA Grapalat" w:eastAsia="GHEA Grapalat" w:hAnsi="GHEA Grapalat" w:cs="GHEA Grapalat"/>
          <w:b/>
          <w:sz w:val="24"/>
          <w:szCs w:val="24"/>
        </w:rPr>
      </w:pPr>
      <w:r w:rsidRPr="00EE279F">
        <w:rPr>
          <w:rFonts w:ascii="GHEA Grapalat" w:eastAsia="GHEA Grapalat" w:hAnsi="GHEA Grapalat" w:cs="GHEA Grapalat"/>
          <w:b/>
          <w:sz w:val="24"/>
          <w:szCs w:val="24"/>
        </w:rPr>
        <w:t>««ԿՈՌՈՒՊՑԻԱՅԻ ԿԱՆԽԱՐԳԵԼՄԱՆ ՀԱՆՁՆԱԺՈՂՈՎԻ ՄԱՍԻՆ» ՕՐԵՆՔՈՒՄ ԼՐԱՑՈՒՄՆԵՐ ԿԱՏԱՐԵԼՈՒ ՄԱՍԻՆ» ՕՐԵՆՔԻ ՆԱԽԱԳԾԻ ԸՆԴՈՒՆՄԱՆ</w:t>
      </w:r>
    </w:p>
    <w:p w14:paraId="47A55A9E" w14:textId="77777777" w:rsidR="00C5286F" w:rsidRPr="00EE279F" w:rsidRDefault="00C5286F" w:rsidP="00321C88">
      <w:pPr>
        <w:shd w:val="clear" w:color="auto" w:fill="FFFFFF"/>
        <w:tabs>
          <w:tab w:val="left" w:pos="142"/>
          <w:tab w:val="left" w:pos="709"/>
        </w:tabs>
        <w:spacing w:line="360" w:lineRule="auto"/>
        <w:ind w:right="202"/>
        <w:jc w:val="center"/>
        <w:rPr>
          <w:rFonts w:ascii="GHEA Grapalat" w:eastAsia="GHEA Grapalat" w:hAnsi="GHEA Grapalat" w:cs="GHEA Grapalat"/>
          <w:b/>
          <w:sz w:val="24"/>
          <w:szCs w:val="24"/>
        </w:rPr>
      </w:pPr>
    </w:p>
    <w:p w14:paraId="6D530AEB" w14:textId="38CFB59E" w:rsidR="00321C88" w:rsidRPr="008A7750" w:rsidRDefault="00321C88" w:rsidP="00BD51A2">
      <w:pPr>
        <w:pStyle w:val="ListParagraph"/>
        <w:numPr>
          <w:ilvl w:val="1"/>
          <w:numId w:val="3"/>
        </w:numPr>
        <w:tabs>
          <w:tab w:val="left" w:pos="709"/>
          <w:tab w:val="left" w:pos="851"/>
          <w:tab w:val="left" w:pos="993"/>
        </w:tabs>
        <w:spacing w:after="0" w:line="360" w:lineRule="auto"/>
        <w:ind w:left="0" w:right="202" w:firstLine="567"/>
        <w:jc w:val="both"/>
        <w:rPr>
          <w:rFonts w:ascii="GHEA Grapalat" w:eastAsia="GHEA Grapalat" w:hAnsi="GHEA Grapalat" w:cs="GHEA Grapalat"/>
          <w:b/>
          <w:sz w:val="24"/>
          <w:szCs w:val="24"/>
        </w:rPr>
      </w:pPr>
      <w:r w:rsidRPr="008A7750">
        <w:rPr>
          <w:rFonts w:ascii="GHEA Grapalat" w:eastAsia="GHEA Grapalat" w:hAnsi="GHEA Grapalat" w:cs="GHEA Grapalat"/>
          <w:b/>
          <w:sz w:val="24"/>
          <w:szCs w:val="24"/>
        </w:rPr>
        <w:t>Իրավական ակտի ընդունման անհրաժեշտությունը</w:t>
      </w:r>
      <w:r w:rsidR="00BD51A2">
        <w:rPr>
          <w:rFonts w:ascii="GHEA Grapalat" w:eastAsia="GHEA Grapalat" w:hAnsi="GHEA Grapalat" w:cs="GHEA Grapalat"/>
          <w:b/>
          <w:sz w:val="24"/>
          <w:szCs w:val="24"/>
        </w:rPr>
        <w:t>.</w:t>
      </w:r>
    </w:p>
    <w:p w14:paraId="25D6DAED"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Կոռուպցիոն ռիսկերը հաճախ արդյունք են ինստիտուցիոնալ խոցելիության, որոնք նպաստում են կոռուպցիոն վարքագծի ձևավորմանն ու նվազեցնում կառավարման արդյունավետությունը: Հետևաբար, այդ ռիսկերի գնահատումը և նվազեցումը պահանջում են համապարփակ և համակարգային մոտեցում, որն ուղղված է կառավարման թափանցիկության, արդյունավետության և հաշվետվողականության բարձրացմանը։</w:t>
      </w:r>
    </w:p>
    <w:p w14:paraId="3E996BD2"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Կոռուպցիոն ռիսկերի արդյունավետ գնահատումը խթանում է ոչ միայն պետական կառավարման օպտիմալացումը, այլև նպաստում է հասարակական վստահության ամրապնդմանը։ Այն ուղղված է այնպիսի կառավարման համակարգի ձևավորմանը, որը զերծ է կոռուպցիոն ռիսկերից և արդյունավետ կերպով ծառայում է հանրային շահերին։</w:t>
      </w:r>
    </w:p>
    <w:p w14:paraId="1ECA3A32"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 xml:space="preserve">Կառավարման թափանցիկության, հրապարակայնության, օրինականության և հաշվետվողականության մակարդակի բարձրացման համար անհրաժեշտ է իրականացնել կոռուպցիոն ռիսկերի համապարփակ բացահայտում, վերլուծություն և գնահատում՝ հիմքում դնելով միասնական մեթոդաբանություն։ Կոռուպցիոն ռիսկերի գնահատման մեթոդաբանությունը պետք է լինի հստակ և կիրառելի՝ ապահովելով կանխարգելման քաղաքականության կայուն հիմք: </w:t>
      </w:r>
    </w:p>
    <w:p w14:paraId="4F276103"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ՄԱԿ-ի Կոռուպցիայի դեմ կոնվենցիայի շրջանակում կոռուպցիոն ռիսկերի գնահատումը դիտարկվում է որպես առանցքային մեխանիզմ՝ ուղղված պետական պաշտոնյաների գործառույթներում առկա ռիսկերի վերաբերյալ իրազեկվածության բարձրացմանը, պետական ֆինանսների կառավարման թափանցիկության ապահովմանը, պետական համակարգում կոռուպցիոն սպառնալիքների վերաբերյալ պարբերական հաշվետվությունների պատրաստմանն ու հրապարակմանը, ինչպես նաև մասնավոր հատվածում թափանցիկության խրախուսմանը և կարգավորող գործընթացների չարաշահումների կանխարգելմանը։</w:t>
      </w:r>
    </w:p>
    <w:p w14:paraId="34C1898E"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lastRenderedPageBreak/>
        <w:t xml:space="preserve"> Հանրային և մասնավոր հատվածներում կոռուպցիոն ռիսկերի գնահատման համակարգի ներդրման անհրաժեշտությունը հիմնավորված է ինչպես Հայաստանի Հանրապետությունում իրականացվող ինստիտուցիոնալ բարեփոխումներով, այնպես էլ միջազգային հարթակում երկրի ստանձնած պարտավորություններով և հանձնառություններով՝ ուղղված բարեվարքության ամրապնդմանը և կոռուպցիայի կանխարգելմանը:</w:t>
      </w:r>
    </w:p>
    <w:p w14:paraId="7FC6E1C7"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«Հետազոտական ռեսուրսների կովկասյան կենտրոն-Հայաստան» հիմնադրամի կողմից 2022 թվականին հրապարակված՝ «Հայաստանում կոռուպցիայի վերաբերյալ հանրային կարծիքի ուսումնասիրություն» զեկույցն, անդրադառնալով ծառայությունների և ոլորտների կոռումպացվածությանը, նշում է, որ հարցվածների մոտ 55%-ը կոռուպցիան տարածված է համարել առողջապահության ոլորտում։ Կոռումպացված լինելու տեսանկյունից, ըստ քաղաքացիների, երկրորդ տեղում է լրատվությունը (22,6%), ապա ընտրական գործընթացները (21,4%) (ընտրական հանձնաժողովներ, ընտրացուցակներ, քվեաթերթիկների հաշվարկ և այլն)։</w:t>
      </w:r>
    </w:p>
    <w:p w14:paraId="0BD07D4B"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Համաշխարհային բանկի աջակցությամբ հանրային ծառայողների շրջանում իրականացված հարցման արդյունքները ցույց են տալիս, որ հանրային ծառայողների դիտարկմամբ կոռուպցիոն ռիսկերին առավել հակված գործառույթներն են պետական գնումները, վերահսկողությունը և ֆինանսական կառավարումը:</w:t>
      </w:r>
    </w:p>
    <w:p w14:paraId="58634C3C"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Այս դիտարկումները վկայում են տարբեր ոլորտներում կոռուպցիոն ռիսկերի վերաբերյալ ընկալումների առկայությունը, ինչը կարևոր հիմք է կոռուպցիոն ռիսկերի գնահատման համակարգի անհրաժեշտությունը արձանագրելու տեսանկյունից:</w:t>
      </w:r>
    </w:p>
    <w:p w14:paraId="74707728"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Կոռուպցիոն ռիսկերի գնահատման անհրաժեշտությունն արտահայտված է ՀՀ կառավարության 2021 թվականի նոյեմբերի 18-ի N 1902-Լ որոշմամբ հաստատված՝ ՀՀ կառավարության 2021-2026 թվականների գործունեության միջոցառումների ծրագրում: Մասնավորապես, Արդարադատության նախարարության կողմից կատարման ենթակա միջոցառումների 16-րդ կետի 16.2-րդ ենթակետով նախատեսվում է կոռուպցիոն ռիսկերի գնահատման հիման վրա ոլորտային հակակոռուպցիոն միջոցառումների ծրագրերի մշակում՝ շահագրգիռ մարմինների, միջազգային գործընկերների և քաղաքացիական հասարակության մասնակցությամբ։</w:t>
      </w:r>
    </w:p>
    <w:p w14:paraId="19981FD0"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lastRenderedPageBreak/>
        <w:t>Կոռուպցիոն ռիսկերի</w:t>
      </w:r>
      <w:r>
        <w:rPr>
          <w:rFonts w:ascii="GHEA Grapalat" w:eastAsia="GHEA Grapalat" w:hAnsi="GHEA Grapalat" w:cs="GHEA Grapalat"/>
          <w:sz w:val="24"/>
          <w:szCs w:val="24"/>
        </w:rPr>
        <w:t xml:space="preserve"> </w:t>
      </w:r>
      <w:r w:rsidRPr="00EE279F">
        <w:rPr>
          <w:rFonts w:ascii="GHEA Grapalat" w:eastAsia="GHEA Grapalat" w:hAnsi="GHEA Grapalat" w:cs="GHEA Grapalat"/>
          <w:sz w:val="24"/>
          <w:szCs w:val="24"/>
        </w:rPr>
        <w:t xml:space="preserve">գնահատման համակարգի ներդրման անհրաժեշտությունն ընդգծվում է նաև ՀՀ կառավարության 2023 թվականի հոկտեմբերի 26-ի N 1871-Լ որոշմամբ հաստատված ՀՀ 2023-2026 թվականների հակակոռուպցիոն ռազմավարությամբ, որը վարչական կոռուպցիայի հաղթահարման, հանրային կառավարման մարմիններում և ոլորտներում թափանցիկության, հրապարակայնության, հաշվետվողականության բարձրացման, օրինականության ապահովման, կոռուպցիոն ռիսկերի ու ռիսկեր ծնող գործոնների չեզոքացման համար առանցքային է համարել պետական և տեղական ինքնակառավարման մարմիններում, համայնքապետարանների աշխատակազմերում կոռուպցիոն ռիսկերի գնահատման և կառավարման համակարգի ներդրումը՝ հիմնված միջազգայնորեն ընդունելի չափանիշների և կառուցակարգերի, միջազգային հակակոռուպցիոն կազմակերպությունների կողմից տրված առաջարկությունների վրա: «Գործարար ոլորտում բարեվարքության ամրապնդում» ռազմավարական ուղղության ներքո նշվում է, որ միջազգային կազմակերպությունների կողմից մշտապես բարձրաձայնվել է նաև պետական և համայնքային մասնակցությամբ առևտրային կազմակերպություններում կոռուպցիոն ռիսկերի գնահատման համակարգի ներդրման անհրաժեշտությունը։ </w:t>
      </w:r>
    </w:p>
    <w:p w14:paraId="7C091FC9"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 xml:space="preserve">ՀՀ միջազգային պարտավորությունների տեսանկյունից հարկ է նշել, որ միջազգային կազմակերպությունների կողմից մշտապես բարձրաձայնվել է պետական և համայնքային մասնակցությամբ առևտրային կազմակերպություններում կոռուպցիոն ռիսկերի գնահատման համակարգի ներդրման անհրաժեշտությունը։ Այսպես, ՏՀԶԿ ստամբուլյան հակակոռուպցիոն գործողությունների ծրագրի մոնիթորինգի 5-րդ փուլի՝ Հայաստանի գնահատման զեկույցը Հայաստանում գործարար բարեվարքության համար կատարողականի մակարդակը գնահատել է ցածր՝ անդրադառնալով նաև պետական մասնակցությամբ 5 խոշոր ընկերություններում կոռուպցիոն ռիսկերի գնահատմանը, կոռուպցիոն ռիսկերի գնահատման գործընթացում տնօրենների խորհրդի դերի սահմանման անհրաժեշտությանը: Զեկույցի 4.4.3-րդ հենանիշի տարրերը, որոնցով նախատեսվում է ՀՀ պետական մասնակցությամբ 5 խոշորագույն ընկերություններում համապատասխանության ծրագրի ներդրում և կոռուպցիան ընդգրկող ռիսկերի գնահատում, գնահատվել են «ոչ համապատասխան» պետական մասնակցությամբ բոլոր 5 ընկերությունների դեպքում: Զեկույցն արձանագրում է, պետական մասնակցությամբ </w:t>
      </w:r>
      <w:r w:rsidRPr="00EE279F">
        <w:rPr>
          <w:rFonts w:ascii="GHEA Grapalat" w:eastAsia="GHEA Grapalat" w:hAnsi="GHEA Grapalat" w:cs="GHEA Grapalat"/>
          <w:sz w:val="24"/>
          <w:szCs w:val="24"/>
        </w:rPr>
        <w:lastRenderedPageBreak/>
        <w:t>ընկերություններում հակակոռուպցիոն համապատասխանության կայուն համակարգերի ձևավորումը, ինչպես նաև կորպորատիվ կառավարման զարգացումը՝ միջազգային չափանիշներին համապատասխան, պետք է ընդգրկվեն Հայաստանի կառավարության հակակոռուպցիոն քաղաքականության առանցքային ուղղությունների մեջ։</w:t>
      </w:r>
    </w:p>
    <w:p w14:paraId="05156F30" w14:textId="2652A06D" w:rsidR="00321C88"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Կոռուպցիոն ռիսկերի գնահատման համակարգի ներդրումը ներառված է նաև Ասիական զարգացման բանկի և Զարգացման ֆրանսիական գործակալության հետ համատեղ իրականացվող բյուջետային աջակցության վարկային ծրագրի 3-րդ ենթածրագրի շրջանակում: Ըստ ենթածրագրի 3.6-րդ գործողության «v» կետի՝ Կառավարությունը Ազգային ժողովին կներկայացնի համապատասխան օրենքի նախագիծ, որով Կոռուպցիայի կանխարգելման հանձնաժողովին</w:t>
      </w:r>
      <w:r>
        <w:rPr>
          <w:rFonts w:ascii="GHEA Grapalat" w:eastAsia="GHEA Grapalat" w:hAnsi="GHEA Grapalat" w:cs="GHEA Grapalat"/>
          <w:sz w:val="24"/>
          <w:szCs w:val="24"/>
        </w:rPr>
        <w:t xml:space="preserve"> </w:t>
      </w:r>
      <w:r w:rsidRPr="00EE279F">
        <w:rPr>
          <w:rFonts w:ascii="GHEA Grapalat" w:eastAsia="GHEA Grapalat" w:hAnsi="GHEA Grapalat" w:cs="GHEA Grapalat"/>
          <w:sz w:val="24"/>
          <w:szCs w:val="24"/>
        </w:rPr>
        <w:t>կվերապահվի պետական մասնակցությամբ ընկերություններում, պետական ոչ առևտրային կազմակերպություններում և այլ կառույցներում կոռուպցիոն ռիսկերի գնահատման, ինչպես նաև հակակոռուպցիոն միջոցառումների վերաբերյալ առաջարկություններ ներկայացնելու լիազորությունը</w:t>
      </w:r>
      <w:r w:rsidR="00123DCB">
        <w:rPr>
          <w:rFonts w:ascii="GHEA Grapalat" w:eastAsia="GHEA Grapalat" w:hAnsi="GHEA Grapalat" w:cs="GHEA Grapalat"/>
          <w:sz w:val="24"/>
          <w:szCs w:val="24"/>
        </w:rPr>
        <w:t>:</w:t>
      </w:r>
    </w:p>
    <w:p w14:paraId="4AE14F36" w14:textId="77777777" w:rsidR="00123DCB" w:rsidRPr="00EE279F" w:rsidRDefault="00123DCB"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p>
    <w:p w14:paraId="22574002"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b/>
          <w:sz w:val="24"/>
          <w:szCs w:val="24"/>
        </w:rPr>
      </w:pPr>
      <w:r w:rsidRPr="00EE279F">
        <w:rPr>
          <w:rFonts w:ascii="GHEA Grapalat" w:eastAsia="GHEA Grapalat" w:hAnsi="GHEA Grapalat" w:cs="GHEA Grapalat"/>
          <w:b/>
          <w:sz w:val="24"/>
          <w:szCs w:val="24"/>
        </w:rPr>
        <w:t>2. Կապը ռազմավարական փաստաթղթերի հետ. Հայաստանի վերափոխման ռազմավարություն 2050, Կառավարության 2021-2026 թթ. ծրագիր, Հայաստանի Հանրապետության հակակոռուպցիոն ռազմավարությունը և դրանից բխող 2023-2026 թվականների գործողությունների ծրագիր</w:t>
      </w:r>
      <w:r w:rsidRPr="00EE279F">
        <w:rPr>
          <w:rFonts w:ascii="Cambria Math" w:eastAsia="Cambria Math" w:hAnsi="Cambria Math" w:cs="Cambria Math"/>
          <w:b/>
          <w:sz w:val="24"/>
          <w:szCs w:val="24"/>
        </w:rPr>
        <w:t>․</w:t>
      </w:r>
    </w:p>
    <w:p w14:paraId="083F4FB7" w14:textId="40A8ADBF" w:rsidR="00321C88"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Նախագծի ընդունումը բխում է «Հայաստանի Հանրապետության կառավարության 2021-2026 թվականների գործունեության միջոցառումների ծրագիրը հաստատելու մասին» ՀՀ կառավարության 2021 թվականի նոյեմբերի 18-ի N 1902-Լ որոշման N 1 հավելվածի՝ Արդարադատության նախարարության կողմից կատարման ենթակա միջոցառումների 16-րդ կետի 16.2-րդ ենթակետի, «Հայաստանի Հանրապետության հակակոռուպցիոն ռազմավարությունը և դրանից բխող 2023-2026 թվականների գործողությունների ծրագիրը հաստատելու մասին» ՀՀ կառավարության 2023 թվականի հոկտեմբերի 26-ի N 1871-Լ որոշմամբ հաստատված գործողությունների ծրագրի 2-րդ հավելվածի 1</w:t>
      </w:r>
      <w:r w:rsidRPr="00EE279F">
        <w:rPr>
          <w:rFonts w:ascii="Cambria Math" w:eastAsia="Cambria Math" w:hAnsi="Cambria Math" w:cs="Cambria Math"/>
          <w:sz w:val="24"/>
          <w:szCs w:val="24"/>
        </w:rPr>
        <w:t>․</w:t>
      </w:r>
      <w:r w:rsidRPr="00EE279F">
        <w:rPr>
          <w:rFonts w:ascii="GHEA Grapalat" w:eastAsia="GHEA Grapalat" w:hAnsi="GHEA Grapalat" w:cs="GHEA Grapalat"/>
          <w:sz w:val="24"/>
          <w:szCs w:val="24"/>
        </w:rPr>
        <w:t>9-րդ և 4</w:t>
      </w:r>
      <w:r w:rsidRPr="00EE279F">
        <w:rPr>
          <w:rFonts w:ascii="Cambria Math" w:eastAsia="Cambria Math" w:hAnsi="Cambria Math" w:cs="Cambria Math"/>
          <w:sz w:val="24"/>
          <w:szCs w:val="24"/>
        </w:rPr>
        <w:t>․</w:t>
      </w:r>
      <w:r w:rsidRPr="00EE279F">
        <w:rPr>
          <w:rFonts w:ascii="GHEA Grapalat" w:eastAsia="GHEA Grapalat" w:hAnsi="GHEA Grapalat" w:cs="GHEA Grapalat"/>
          <w:sz w:val="24"/>
          <w:szCs w:val="24"/>
        </w:rPr>
        <w:t>3-րդ գործողությունների պահանջներից:</w:t>
      </w:r>
    </w:p>
    <w:p w14:paraId="221E5E24" w14:textId="77777777" w:rsidR="00123DCB" w:rsidRPr="00EE279F" w:rsidRDefault="00123DCB"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p>
    <w:p w14:paraId="7FE1E1CA" w14:textId="1377526E" w:rsidR="00321C88" w:rsidRPr="00EE279F" w:rsidRDefault="00321C88" w:rsidP="00BD51A2">
      <w:pPr>
        <w:tabs>
          <w:tab w:val="left" w:pos="709"/>
          <w:tab w:val="left" w:pos="851"/>
          <w:tab w:val="left" w:pos="993"/>
        </w:tabs>
        <w:spacing w:after="0" w:line="360" w:lineRule="auto"/>
        <w:ind w:right="202" w:firstLine="567"/>
        <w:jc w:val="both"/>
        <w:rPr>
          <w:rFonts w:ascii="GHEA Grapalat" w:eastAsia="Cambria Math" w:hAnsi="GHEA Grapalat" w:cs="Cambria Math"/>
          <w:b/>
          <w:sz w:val="24"/>
          <w:szCs w:val="24"/>
        </w:rPr>
      </w:pPr>
      <w:r w:rsidRPr="00EE279F">
        <w:rPr>
          <w:rFonts w:ascii="GHEA Grapalat" w:eastAsia="GHEA Grapalat" w:hAnsi="GHEA Grapalat" w:cs="GHEA Grapalat"/>
          <w:b/>
          <w:sz w:val="24"/>
          <w:szCs w:val="24"/>
        </w:rPr>
        <w:lastRenderedPageBreak/>
        <w:t>3. Ընթացիկ իրավիճակը և խնդիրները</w:t>
      </w:r>
      <w:r w:rsidR="00BD51A2">
        <w:rPr>
          <w:rFonts w:ascii="GHEA Grapalat" w:eastAsia="GHEA Grapalat" w:hAnsi="GHEA Grapalat" w:cs="GHEA Grapalat"/>
          <w:b/>
          <w:sz w:val="24"/>
          <w:szCs w:val="24"/>
        </w:rPr>
        <w:t>.</w:t>
      </w:r>
    </w:p>
    <w:p w14:paraId="179FF912"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2023 թվականին կոռուպցիոն ռիսկերի գնահատման համակարգի ներդրման ուղղությամբ Կոռուպցիայի կանխարգելման հանձնաժողովի (այսուհետ՝ Հանձնաժողով) աշխատանքները կենտրոնացել են միասնական մեթոդաբանության մշակման վրա։ Մշակված մոտեցումները նպատակ ունեն ապահովել կոռուպցիոն ռիսկերի համակարգված վերլուծության և գնահատման համար անհրաժեշտ գործնական ու հստակ հիմքեր՝ հիմնվելով միջազգային լավագույն փորձի վրա։</w:t>
      </w:r>
    </w:p>
    <w:p w14:paraId="6F22F696"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2024 թվականին, մեթոդաբանության կիրառելիությունը փորձարկելու նպատակով, իրականացվել են փորձնական (պիլոտային) գնահատումներ։ Հանձնաժողովը գնահատումներ է իրականացրել երեք կազմակերպություններում՝ «Հայաստանի պետական հետաքրքրությունների ֆոնդ» (ԱՆԻՖ) ՓԲԸ, «Հայանտառ» ՊՈԱԿ, «Երևանի թիվ 119 մանկապարտեզ» ՀՈԱԿ, ինչպես նաև պետական կառավարման մեկ ոլորտում։</w:t>
      </w:r>
    </w:p>
    <w:p w14:paraId="2B5ACA89"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Գնահատումների արդյունքում արձանագրվել է անհրաժեշտություն՝ վերոնշյալ կազմակերպություններում զարգացնելու բարեվարքության և հակակոռուպցիոն համապատասխանության կարողությունները՝ համաձայն միջազգային ստանդարտների։ Միաժամանակ, վեր են հանվել խնդիրներ, որոնք պահանջում են համակարգային լուծումներ։ Արձանագրած խնդիրներն ու բացերն ամփոփված են զեկույցում, որում անդրադարձ է կատարվել ինչպես առկա մարտահրավերներին, այնպես էլ միջազգային ստանդարտներին</w:t>
      </w:r>
      <w:r w:rsidRPr="00EE279F">
        <w:rPr>
          <w:rFonts w:ascii="GHEA Grapalat" w:eastAsia="GHEA Grapalat" w:hAnsi="GHEA Grapalat" w:cs="GHEA Grapalat"/>
          <w:sz w:val="24"/>
          <w:szCs w:val="24"/>
          <w:vertAlign w:val="superscript"/>
        </w:rPr>
        <w:footnoteReference w:id="1"/>
      </w:r>
      <w:r w:rsidRPr="00EE279F">
        <w:rPr>
          <w:rFonts w:ascii="GHEA Grapalat" w:eastAsia="GHEA Grapalat" w:hAnsi="GHEA Grapalat" w:cs="GHEA Grapalat"/>
          <w:sz w:val="24"/>
          <w:szCs w:val="24"/>
        </w:rPr>
        <w:t>։</w:t>
      </w:r>
    </w:p>
    <w:p w14:paraId="5518AEED"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Նույն տարում, համագործակցելով Աշխատանքի և սոցիալական հարցերի նախարարության հետ, Հանձնաժողովը իրականացրել է պիլոտային գնահատում անձի ֆունկցիոնալության գնահատման համակարգում։ Գնահատման նպատակն էր բացահայտել ոլորտում առկա կոռուպցիոն ռիսկերը, այդ թվում՝ իրավական բացերը, կանոնակարգման պակասը, ոչ արդյունավետ պրակտիկաներն ու կոռուպցիոն ընկալումները։ Վերլուծվել են նաև ռիսկերի խորքային պատճառներն ու կառուցակարգային գործոնները՝ նպատակ ունենալով զսպել համակարգի կայունությանը սպառնացող ռիսկերն ու բարձրացնել համակարգի արդյունավետությունը։</w:t>
      </w:r>
    </w:p>
    <w:p w14:paraId="2EFBAD0A"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lastRenderedPageBreak/>
        <w:t>Գնահատման արդյունքներն ամփոփվել են զեկույցում և ոլորտային հակակոռուպցիոն միջոցառումների ծրագրում</w:t>
      </w:r>
      <w:r w:rsidRPr="00EE279F">
        <w:rPr>
          <w:rFonts w:ascii="GHEA Grapalat" w:eastAsia="GHEA Grapalat" w:hAnsi="GHEA Grapalat" w:cs="GHEA Grapalat"/>
          <w:sz w:val="24"/>
          <w:szCs w:val="24"/>
          <w:vertAlign w:val="superscript"/>
        </w:rPr>
        <w:footnoteReference w:id="2"/>
      </w:r>
      <w:r w:rsidRPr="00EE279F">
        <w:rPr>
          <w:rFonts w:ascii="GHEA Grapalat" w:eastAsia="GHEA Grapalat" w:hAnsi="GHEA Grapalat" w:cs="GHEA Grapalat"/>
          <w:sz w:val="24"/>
          <w:szCs w:val="24"/>
        </w:rPr>
        <w:t>:</w:t>
      </w:r>
    </w:p>
    <w:p w14:paraId="082A248A" w14:textId="77777777"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Հանձնաժողովը պարբերաբար կազմակերպում է նաև վերապատրաստման դասընթացներ և հանրային իրազեկման միջոցառումներ՝ կոռուպցիոն ռիսկերի գնահատման կարողությունները խորացնելու նպատակով։</w:t>
      </w:r>
    </w:p>
    <w:p w14:paraId="53C875AF" w14:textId="020E582F" w:rsidR="00321C88"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Այնուամենայնիվ, թեև նշված նախաձեռնությունները կարևոր առաջընթաց են, ներկայումս օրենսդրական կարգավորումների բացը խոչընդոտում է Հանձնաժողովի լիարժեք գործառույթների իրականացմանը։ Կոռուպցիոն ռիսկերի գնահատման գործիքակազմի իրավական ամրագրումը անհրաժեշտ պայման է՝ կանխարգելման մանդատի արդյունավետ իրագործման և համակարգային մոտեցմամբ հակակոռուպցիոն ջանքերի ամրապնդման համար։</w:t>
      </w:r>
    </w:p>
    <w:p w14:paraId="7B59B306" w14:textId="77777777" w:rsidR="00123DCB" w:rsidRPr="00EE279F" w:rsidRDefault="00123DCB"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p>
    <w:p w14:paraId="4C579337" w14:textId="63A20C3E"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b/>
          <w:sz w:val="24"/>
          <w:szCs w:val="24"/>
        </w:rPr>
      </w:pPr>
      <w:r w:rsidRPr="00EE279F">
        <w:rPr>
          <w:rFonts w:ascii="GHEA Grapalat" w:eastAsia="GHEA Grapalat" w:hAnsi="GHEA Grapalat" w:cs="GHEA Grapalat"/>
          <w:b/>
          <w:sz w:val="24"/>
          <w:szCs w:val="24"/>
        </w:rPr>
        <w:t>4. Առաջարկվող կարգավորման բնույթը</w:t>
      </w:r>
      <w:r w:rsidR="00BD51A2">
        <w:rPr>
          <w:rFonts w:ascii="GHEA Grapalat" w:eastAsia="GHEA Grapalat" w:hAnsi="GHEA Grapalat" w:cs="GHEA Grapalat"/>
          <w:b/>
          <w:sz w:val="24"/>
          <w:szCs w:val="24"/>
        </w:rPr>
        <w:t>.</w:t>
      </w:r>
    </w:p>
    <w:p w14:paraId="56B77A3F" w14:textId="217B4DD6"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Նախագծով առաջարկվում է ներդնել կոռուպցիոն ռիսկերի գնահատման համակարգ հետևյալ մարմիններում և կազմակերպություններում</w:t>
      </w:r>
      <w:r w:rsidRPr="00EE279F">
        <w:rPr>
          <w:rFonts w:ascii="Cambria Math" w:eastAsia="Cambria Math" w:hAnsi="Cambria Math" w:cs="Cambria Math"/>
          <w:sz w:val="24"/>
          <w:szCs w:val="24"/>
        </w:rPr>
        <w:t>․</w:t>
      </w:r>
    </w:p>
    <w:p w14:paraId="57D9B7D9" w14:textId="77777777" w:rsidR="00321C88" w:rsidRPr="00EE279F" w:rsidRDefault="00321C88" w:rsidP="00BD51A2">
      <w:pPr>
        <w:numPr>
          <w:ilvl w:val="0"/>
          <w:numId w:val="4"/>
        </w:numPr>
        <w:pBdr>
          <w:top w:val="nil"/>
          <w:left w:val="nil"/>
          <w:bottom w:val="nil"/>
          <w:right w:val="nil"/>
          <w:between w:val="nil"/>
        </w:pBdr>
        <w:tabs>
          <w:tab w:val="left" w:pos="709"/>
          <w:tab w:val="left" w:pos="851"/>
          <w:tab w:val="left" w:pos="993"/>
        </w:tabs>
        <w:spacing w:after="0" w:line="360" w:lineRule="auto"/>
        <w:ind w:left="0" w:right="202" w:firstLine="567"/>
        <w:jc w:val="both"/>
        <w:rPr>
          <w:rFonts w:ascii="GHEA Grapalat" w:eastAsia="GHEA Grapalat" w:hAnsi="GHEA Grapalat" w:cs="GHEA Grapalat"/>
          <w:color w:val="000000"/>
          <w:sz w:val="24"/>
          <w:szCs w:val="24"/>
        </w:rPr>
      </w:pPr>
      <w:r w:rsidRPr="00EE279F">
        <w:rPr>
          <w:rFonts w:ascii="GHEA Grapalat" w:eastAsia="GHEA Grapalat" w:hAnsi="GHEA Grapalat" w:cs="GHEA Grapalat"/>
          <w:color w:val="000000"/>
          <w:sz w:val="24"/>
          <w:szCs w:val="24"/>
        </w:rPr>
        <w:t>Հանրային իշխանության մարմիններ</w:t>
      </w:r>
      <w:r w:rsidRPr="00EE279F">
        <w:rPr>
          <w:rFonts w:ascii="Cambria Math" w:eastAsia="Cambria Math" w:hAnsi="Cambria Math" w:cs="Cambria Math"/>
          <w:color w:val="000000"/>
          <w:sz w:val="24"/>
          <w:szCs w:val="24"/>
        </w:rPr>
        <w:t>․</w:t>
      </w:r>
    </w:p>
    <w:p w14:paraId="566EEE6D" w14:textId="77777777" w:rsidR="00321C88" w:rsidRPr="00EE279F" w:rsidRDefault="00321C88" w:rsidP="00BD51A2">
      <w:pPr>
        <w:numPr>
          <w:ilvl w:val="0"/>
          <w:numId w:val="4"/>
        </w:numPr>
        <w:pBdr>
          <w:top w:val="nil"/>
          <w:left w:val="nil"/>
          <w:bottom w:val="nil"/>
          <w:right w:val="nil"/>
          <w:between w:val="nil"/>
        </w:pBdr>
        <w:tabs>
          <w:tab w:val="left" w:pos="709"/>
          <w:tab w:val="left" w:pos="851"/>
          <w:tab w:val="left" w:pos="993"/>
        </w:tabs>
        <w:spacing w:after="0" w:line="360" w:lineRule="auto"/>
        <w:ind w:left="0" w:right="202" w:firstLine="567"/>
        <w:jc w:val="both"/>
        <w:rPr>
          <w:rFonts w:ascii="GHEA Grapalat" w:eastAsia="GHEA Grapalat" w:hAnsi="GHEA Grapalat" w:cs="GHEA Grapalat"/>
          <w:color w:val="000000"/>
          <w:sz w:val="24"/>
          <w:szCs w:val="24"/>
        </w:rPr>
      </w:pPr>
      <w:bookmarkStart w:id="0" w:name="_heading=h.w9dcepmsnz3b" w:colFirst="0" w:colLast="0"/>
      <w:bookmarkEnd w:id="0"/>
      <w:r w:rsidRPr="00EE279F">
        <w:rPr>
          <w:rFonts w:ascii="GHEA Grapalat" w:eastAsia="GHEA Grapalat" w:hAnsi="GHEA Grapalat" w:cs="GHEA Grapalat"/>
          <w:color w:val="000000"/>
          <w:sz w:val="24"/>
          <w:szCs w:val="24"/>
        </w:rPr>
        <w:t>Առողջապահության, սոցիալական, շրջակա միջավայրի պահպանության, փորձագիտության, կառուցապատման կամ ներդրումային ծրագրերի ապահովման բնագավառներում գործունեություն իրականացնող կամ վերջին երեք տարվա ընթացքում պետական բյուջեից սուբսիդիաներ կամ դրամաշնորհներ ստացած պետական և համայնքային ոչ առևտրային կազմակերպություններ</w:t>
      </w:r>
      <w:r w:rsidRPr="00EE279F">
        <w:rPr>
          <w:rFonts w:ascii="Cambria Math" w:eastAsia="Cambria Math" w:hAnsi="Cambria Math" w:cs="Cambria Math"/>
          <w:color w:val="000000"/>
          <w:sz w:val="24"/>
          <w:szCs w:val="24"/>
        </w:rPr>
        <w:t>․</w:t>
      </w:r>
    </w:p>
    <w:p w14:paraId="78BDA954" w14:textId="77777777" w:rsidR="00321C88" w:rsidRPr="00EE279F" w:rsidRDefault="00321C88" w:rsidP="00BD51A2">
      <w:pPr>
        <w:numPr>
          <w:ilvl w:val="0"/>
          <w:numId w:val="4"/>
        </w:numPr>
        <w:pBdr>
          <w:top w:val="nil"/>
          <w:left w:val="nil"/>
          <w:bottom w:val="nil"/>
          <w:right w:val="nil"/>
          <w:between w:val="nil"/>
        </w:pBdr>
        <w:tabs>
          <w:tab w:val="left" w:pos="709"/>
          <w:tab w:val="left" w:pos="851"/>
          <w:tab w:val="left" w:pos="993"/>
        </w:tabs>
        <w:spacing w:after="0" w:line="360" w:lineRule="auto"/>
        <w:ind w:left="0" w:right="202" w:firstLine="567"/>
        <w:jc w:val="both"/>
        <w:rPr>
          <w:rFonts w:ascii="GHEA Grapalat" w:eastAsia="GHEA Grapalat" w:hAnsi="GHEA Grapalat" w:cs="GHEA Grapalat"/>
          <w:color w:val="000000"/>
          <w:sz w:val="24"/>
          <w:szCs w:val="24"/>
        </w:rPr>
      </w:pPr>
      <w:r w:rsidRPr="00EE279F">
        <w:rPr>
          <w:rFonts w:ascii="GHEA Grapalat" w:eastAsia="GHEA Grapalat" w:hAnsi="GHEA Grapalat" w:cs="GHEA Grapalat"/>
          <w:color w:val="000000"/>
          <w:sz w:val="24"/>
          <w:szCs w:val="24"/>
        </w:rPr>
        <w:t>Պետության կողմից հիմնադրված հիմնադրամներ</w:t>
      </w:r>
      <w:r w:rsidRPr="00EE279F">
        <w:rPr>
          <w:rFonts w:ascii="Cambria Math" w:eastAsia="Cambria Math" w:hAnsi="Cambria Math" w:cs="Cambria Math"/>
          <w:color w:val="000000"/>
          <w:sz w:val="24"/>
          <w:szCs w:val="24"/>
        </w:rPr>
        <w:t>․</w:t>
      </w:r>
    </w:p>
    <w:p w14:paraId="1F1604A3" w14:textId="6990E8DC" w:rsidR="00321C88" w:rsidRPr="00EE279F" w:rsidRDefault="00A02C39" w:rsidP="00BD51A2">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4</w:t>
      </w:r>
      <w:r w:rsidR="00321C88" w:rsidRPr="00EE279F">
        <w:rPr>
          <w:rFonts w:ascii="GHEA Grapalat" w:eastAsia="GHEA Grapalat" w:hAnsi="GHEA Grapalat" w:cs="GHEA Grapalat"/>
          <w:sz w:val="24"/>
          <w:szCs w:val="24"/>
        </w:rPr>
        <w:t xml:space="preserve">. </w:t>
      </w:r>
      <w:r w:rsidR="00321C88" w:rsidRPr="00EE279F">
        <w:rPr>
          <w:rFonts w:ascii="GHEA Grapalat" w:eastAsia="GHEA Grapalat" w:hAnsi="GHEA Grapalat" w:cs="GHEA Grapalat"/>
          <w:color w:val="000000"/>
          <w:sz w:val="24"/>
          <w:szCs w:val="24"/>
        </w:rPr>
        <w:t>Հիսուն տոկոս և ավելի պետական կամ համայնքի կամ պետական ու համայնքի բաժնեմասեր (հանրագումարով) ունեցող ընկերություններ:</w:t>
      </w:r>
    </w:p>
    <w:p w14:paraId="2ABCA447" w14:textId="77777777" w:rsidR="00321C88" w:rsidRDefault="00321C88" w:rsidP="00BD51A2">
      <w:pPr>
        <w:tabs>
          <w:tab w:val="left" w:pos="709"/>
          <w:tab w:val="left" w:pos="851"/>
          <w:tab w:val="left" w:pos="993"/>
        </w:tabs>
        <w:spacing w:after="0" w:line="360" w:lineRule="auto"/>
        <w:ind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 xml:space="preserve">Կոռուպցիոն ռիսկերի գնահատման նպատակով Հանձնաժողովը յուրաքանչյուր տարի սահմանում է գնահատման ենթակա գործընթացը՝ հիմնվելով մեթոդաբանությամբ սահմանված ռիսկային չափորոշիչների վրա։ Դա Հանձնաժողովին հնարավորություն է կտա </w:t>
      </w:r>
      <w:r w:rsidRPr="00EE279F">
        <w:rPr>
          <w:rFonts w:ascii="GHEA Grapalat" w:eastAsia="GHEA Grapalat" w:hAnsi="GHEA Grapalat" w:cs="GHEA Grapalat"/>
          <w:sz w:val="24"/>
          <w:szCs w:val="24"/>
        </w:rPr>
        <w:lastRenderedPageBreak/>
        <w:t>առաջնահերթություն տալ այն գործընթացներին, որոնք օբյեկտիվորեն առավել խոցելի են կոռուպցիոն ռիսկերի նկատմամբ և իրականացնել դրանց խորքային վերլուծություն:</w:t>
      </w:r>
    </w:p>
    <w:p w14:paraId="21F70113" w14:textId="04AD8787" w:rsidR="00321C88" w:rsidRDefault="00321C88" w:rsidP="00BD51A2">
      <w:pPr>
        <w:tabs>
          <w:tab w:val="left" w:pos="709"/>
          <w:tab w:val="left" w:pos="851"/>
          <w:tab w:val="left" w:pos="993"/>
        </w:tabs>
        <w:spacing w:after="0" w:line="360" w:lineRule="auto"/>
        <w:ind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Գնահատման շրջանակում Հանձնաժողովը կկենտրոնանա կառավարման արդյունավետության, այդ թվում՝ վարչարարության պարզեցման, հայեցողական որոշումների սահմանափակման, թափանցիկության, հաշվետվողականության, բարեվարքության ամրապնդման և այլ գործոնների վրա։</w:t>
      </w:r>
    </w:p>
    <w:p w14:paraId="1034FBC5" w14:textId="0703D702" w:rsidR="00744A90" w:rsidRPr="00744A90" w:rsidRDefault="00744A90" w:rsidP="00BD51A2">
      <w:pPr>
        <w:tabs>
          <w:tab w:val="left" w:pos="709"/>
          <w:tab w:val="left" w:pos="851"/>
          <w:tab w:val="left" w:pos="993"/>
        </w:tabs>
        <w:spacing w:after="0" w:line="360" w:lineRule="auto"/>
        <w:ind w:firstLine="567"/>
        <w:jc w:val="both"/>
        <w:rPr>
          <w:rFonts w:ascii="GHEA Grapalat" w:eastAsia="GHEA Grapalat" w:hAnsi="GHEA Grapalat" w:cs="GHEA Grapalat"/>
          <w:sz w:val="24"/>
          <w:szCs w:val="24"/>
        </w:rPr>
      </w:pPr>
      <w:r w:rsidRPr="00744A90">
        <w:rPr>
          <w:rFonts w:ascii="GHEA Grapalat" w:hAnsi="GHEA Grapalat"/>
          <w:color w:val="000000"/>
          <w:sz w:val="24"/>
          <w:szCs w:val="24"/>
        </w:rPr>
        <w:t>Գնահատման արդյունավետության ապահովման նպատակով Հանձնաժողովը կարող է մարմիններից և կազմակերպություններից պահանջել և ստանալ գնահատման գործընթացին առնչվող անհրաժեշտ տեղեկություններ և փաստաթղթեր:</w:t>
      </w:r>
    </w:p>
    <w:p w14:paraId="5DDE7DA8" w14:textId="3CAD038A" w:rsidR="00321C88" w:rsidRPr="00EE279F" w:rsidRDefault="00321C88" w:rsidP="00BD51A2">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 xml:space="preserve">Գնահատման արդյունքների համադրելիության և մեթոդաբանական ճշգրտության ապահովման նպատակով Հանձնաժողովը </w:t>
      </w:r>
      <w:r w:rsidR="002C5A2A">
        <w:rPr>
          <w:rFonts w:ascii="GHEA Grapalat" w:eastAsia="GHEA Grapalat" w:hAnsi="GHEA Grapalat" w:cs="GHEA Grapalat"/>
          <w:sz w:val="24"/>
          <w:szCs w:val="24"/>
        </w:rPr>
        <w:t xml:space="preserve">պետական և տեղական ինքնակառավարման </w:t>
      </w:r>
      <w:r w:rsidRPr="00EE279F">
        <w:rPr>
          <w:rFonts w:ascii="GHEA Grapalat" w:eastAsia="GHEA Grapalat" w:hAnsi="GHEA Grapalat" w:cs="GHEA Grapalat"/>
          <w:sz w:val="24"/>
          <w:szCs w:val="24"/>
        </w:rPr>
        <w:t xml:space="preserve">մարմիններին և կազմակերպություններին կտրամադրի մասնագիտական </w:t>
      </w:r>
      <w:r>
        <w:rPr>
          <w:rFonts w:ascii="GHEA Grapalat" w:eastAsia="GHEA Grapalat" w:hAnsi="GHEA Grapalat" w:cs="GHEA Grapalat"/>
          <w:sz w:val="24"/>
          <w:szCs w:val="24"/>
        </w:rPr>
        <w:t>խորհրդատվություն</w:t>
      </w:r>
      <w:r w:rsidRPr="00EE279F">
        <w:rPr>
          <w:rFonts w:ascii="GHEA Grapalat" w:eastAsia="GHEA Grapalat" w:hAnsi="GHEA Grapalat" w:cs="GHEA Grapalat"/>
          <w:sz w:val="24"/>
          <w:szCs w:val="24"/>
        </w:rPr>
        <w:t>՝ նպաստելով համակարգի կայուն ներդրմանը, գնահատման որակի բարելավմանը և արդյունքների հետևողական կիրառմանը։</w:t>
      </w:r>
    </w:p>
    <w:p w14:paraId="23E16E0A" w14:textId="77777777" w:rsidR="00BA220B" w:rsidRDefault="00321C88" w:rsidP="00BD51A2">
      <w:pPr>
        <w:tabs>
          <w:tab w:val="left" w:pos="709"/>
          <w:tab w:val="left" w:pos="851"/>
          <w:tab w:val="left" w:pos="993"/>
        </w:tabs>
        <w:spacing w:line="360" w:lineRule="auto"/>
        <w:ind w:right="202" w:firstLine="567"/>
        <w:jc w:val="both"/>
        <w:rPr>
          <w:rFonts w:ascii="GHEA Grapalat" w:eastAsia="Tahoma" w:hAnsi="GHEA Grapalat" w:cs="Tahoma"/>
          <w:sz w:val="24"/>
          <w:szCs w:val="24"/>
        </w:rPr>
      </w:pPr>
      <w:r w:rsidRPr="00EE279F">
        <w:rPr>
          <w:rFonts w:ascii="GHEA Grapalat" w:eastAsia="Tahoma" w:hAnsi="GHEA Grapalat" w:cs="Tahoma"/>
          <w:sz w:val="24"/>
          <w:szCs w:val="24"/>
        </w:rPr>
        <w:t xml:space="preserve">Այսպիսով, համակարգի ներդրումը կապահովի ոչ միայն առկա հակակոռուպցիոն և կառավարման մեխանիզմների բազմակողմանի գնահատում, այլև կնպաստի բարեփոխումների </w:t>
      </w:r>
      <w:r>
        <w:rPr>
          <w:rFonts w:ascii="GHEA Grapalat" w:eastAsia="Tahoma" w:hAnsi="GHEA Grapalat" w:cs="Tahoma"/>
          <w:sz w:val="24"/>
          <w:szCs w:val="24"/>
        </w:rPr>
        <w:t>իրականացմանը</w:t>
      </w:r>
      <w:r w:rsidRPr="00EE279F">
        <w:rPr>
          <w:rFonts w:ascii="GHEA Grapalat" w:eastAsia="Tahoma" w:hAnsi="GHEA Grapalat" w:cs="Tahoma"/>
          <w:sz w:val="24"/>
          <w:szCs w:val="24"/>
        </w:rPr>
        <w:t xml:space="preserve"> և կոռուպցիոն ռիսկերի </w:t>
      </w:r>
      <w:r w:rsidRPr="00EE279F">
        <w:rPr>
          <w:rFonts w:ascii="GHEA Grapalat" w:hAnsi="GHEA Grapalat"/>
          <w:sz w:val="24"/>
          <w:szCs w:val="24"/>
        </w:rPr>
        <w:t xml:space="preserve">արդյունավետ </w:t>
      </w:r>
      <w:r>
        <w:rPr>
          <w:rFonts w:ascii="GHEA Grapalat" w:hAnsi="GHEA Grapalat"/>
          <w:sz w:val="24"/>
          <w:szCs w:val="24"/>
        </w:rPr>
        <w:t>կառավարմանը</w:t>
      </w:r>
      <w:r w:rsidRPr="00EE279F">
        <w:rPr>
          <w:rFonts w:ascii="GHEA Grapalat" w:eastAsia="Tahoma" w:hAnsi="GHEA Grapalat" w:cs="Tahoma"/>
          <w:sz w:val="24"/>
          <w:szCs w:val="24"/>
        </w:rPr>
        <w:t xml:space="preserve"> պետական և համայնքային </w:t>
      </w:r>
      <w:r w:rsidRPr="00EE279F">
        <w:rPr>
          <w:rFonts w:ascii="GHEA Grapalat" w:hAnsi="GHEA Grapalat"/>
          <w:sz w:val="24"/>
          <w:szCs w:val="24"/>
        </w:rPr>
        <w:t>մարմիններում ու կազմակերպություններում</w:t>
      </w:r>
      <w:r w:rsidRPr="00EE279F">
        <w:rPr>
          <w:rFonts w:ascii="GHEA Grapalat" w:eastAsia="Tahoma" w:hAnsi="GHEA Grapalat" w:cs="Tahoma"/>
          <w:sz w:val="24"/>
          <w:szCs w:val="24"/>
        </w:rPr>
        <w:t>։</w:t>
      </w:r>
    </w:p>
    <w:p w14:paraId="581D55B0" w14:textId="5ABC8EE6" w:rsidR="00321C88" w:rsidRPr="00EE279F" w:rsidRDefault="00321C88" w:rsidP="004E6094">
      <w:pPr>
        <w:tabs>
          <w:tab w:val="left" w:pos="709"/>
          <w:tab w:val="left" w:pos="851"/>
          <w:tab w:val="left" w:pos="993"/>
        </w:tabs>
        <w:spacing w:after="0" w:line="360" w:lineRule="auto"/>
        <w:ind w:right="202" w:firstLine="567"/>
        <w:jc w:val="both"/>
        <w:rPr>
          <w:rFonts w:ascii="GHEA Grapalat" w:eastAsia="GHEA Grapalat" w:hAnsi="GHEA Grapalat" w:cs="GHEA Grapalat"/>
          <w:b/>
          <w:sz w:val="24"/>
          <w:szCs w:val="24"/>
        </w:rPr>
      </w:pPr>
      <w:r w:rsidRPr="00EE279F">
        <w:rPr>
          <w:rFonts w:ascii="GHEA Grapalat" w:eastAsia="GHEA Grapalat" w:hAnsi="GHEA Grapalat" w:cs="GHEA Grapalat"/>
          <w:b/>
          <w:sz w:val="24"/>
          <w:szCs w:val="24"/>
        </w:rPr>
        <w:t>5. Պետական բյուջեի եկամուտներում և ծախսերում սպասվելիք փոփոխությունների վերաբերյալ</w:t>
      </w:r>
      <w:r w:rsidR="00BD51A2">
        <w:rPr>
          <w:rFonts w:ascii="GHEA Grapalat" w:eastAsia="GHEA Grapalat" w:hAnsi="GHEA Grapalat" w:cs="GHEA Grapalat"/>
          <w:b/>
          <w:sz w:val="24"/>
          <w:szCs w:val="24"/>
        </w:rPr>
        <w:t>.</w:t>
      </w:r>
    </w:p>
    <w:p w14:paraId="786D29FC" w14:textId="77777777" w:rsidR="00321C88" w:rsidRPr="00EE279F" w:rsidRDefault="00321C88" w:rsidP="004E6094">
      <w:pPr>
        <w:tabs>
          <w:tab w:val="left" w:pos="709"/>
          <w:tab w:val="left" w:pos="851"/>
          <w:tab w:val="left" w:pos="993"/>
        </w:tabs>
        <w:spacing w:after="0" w:line="360" w:lineRule="auto"/>
        <w:ind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highlight w:val="white"/>
        </w:rPr>
        <w:t>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w:t>
      </w:r>
    </w:p>
    <w:p w14:paraId="4D3C8050" w14:textId="77777777" w:rsidR="004E6094" w:rsidRDefault="004E6094" w:rsidP="00BD51A2">
      <w:pPr>
        <w:tabs>
          <w:tab w:val="left" w:pos="709"/>
          <w:tab w:val="left" w:pos="851"/>
          <w:tab w:val="left" w:pos="993"/>
        </w:tabs>
        <w:spacing w:after="0" w:line="360" w:lineRule="auto"/>
        <w:ind w:right="202" w:firstLine="567"/>
        <w:jc w:val="both"/>
        <w:rPr>
          <w:rFonts w:ascii="GHEA Grapalat" w:eastAsia="GHEA Grapalat" w:hAnsi="GHEA Grapalat" w:cs="GHEA Grapalat"/>
          <w:b/>
          <w:sz w:val="24"/>
          <w:szCs w:val="24"/>
        </w:rPr>
      </w:pPr>
    </w:p>
    <w:p w14:paraId="0EF09BB7" w14:textId="3DB46968" w:rsidR="00321C88" w:rsidRPr="00EE279F" w:rsidRDefault="00321C88" w:rsidP="00BD51A2">
      <w:pPr>
        <w:tabs>
          <w:tab w:val="left" w:pos="709"/>
          <w:tab w:val="left" w:pos="851"/>
          <w:tab w:val="left" w:pos="993"/>
        </w:tabs>
        <w:spacing w:after="0" w:line="360" w:lineRule="auto"/>
        <w:ind w:right="202" w:firstLine="567"/>
        <w:jc w:val="both"/>
        <w:rPr>
          <w:rFonts w:ascii="GHEA Grapalat" w:eastAsia="Cambria Math" w:hAnsi="GHEA Grapalat" w:cs="Cambria Math"/>
          <w:b/>
          <w:sz w:val="24"/>
          <w:szCs w:val="24"/>
        </w:rPr>
      </w:pPr>
      <w:bookmarkStart w:id="1" w:name="_GoBack"/>
      <w:bookmarkEnd w:id="1"/>
      <w:r w:rsidRPr="00EE279F">
        <w:rPr>
          <w:rFonts w:ascii="GHEA Grapalat" w:eastAsia="GHEA Grapalat" w:hAnsi="GHEA Grapalat" w:cs="GHEA Grapalat"/>
          <w:b/>
          <w:sz w:val="24"/>
          <w:szCs w:val="24"/>
        </w:rPr>
        <w:t>6</w:t>
      </w:r>
      <w:r>
        <w:rPr>
          <w:rFonts w:ascii="Cambria Math" w:eastAsia="Cambria Math" w:hAnsi="Cambria Math" w:cs="Cambria Math"/>
          <w:b/>
          <w:sz w:val="24"/>
          <w:szCs w:val="24"/>
        </w:rPr>
        <w:t>․</w:t>
      </w:r>
      <w:r w:rsidRPr="00EE279F">
        <w:rPr>
          <w:rFonts w:ascii="GHEA Grapalat" w:eastAsia="GHEA Grapalat" w:hAnsi="GHEA Grapalat" w:cs="GHEA Grapalat"/>
          <w:b/>
          <w:sz w:val="24"/>
          <w:szCs w:val="24"/>
        </w:rPr>
        <w:t xml:space="preserve"> Նախագծի մշակման գործընթացում ներգրավված ինստիտուտները և անձինք</w:t>
      </w:r>
      <w:r w:rsidR="00C543EB">
        <w:rPr>
          <w:rFonts w:ascii="GHEA Grapalat" w:eastAsia="GHEA Grapalat" w:hAnsi="GHEA Grapalat" w:cs="GHEA Grapalat"/>
          <w:b/>
          <w:sz w:val="24"/>
          <w:szCs w:val="24"/>
        </w:rPr>
        <w:t>.</w:t>
      </w:r>
    </w:p>
    <w:p w14:paraId="3F927600" w14:textId="77777777" w:rsidR="00321C88" w:rsidRPr="00EE279F" w:rsidRDefault="00321C88" w:rsidP="00BD51A2">
      <w:pPr>
        <w:tabs>
          <w:tab w:val="left" w:pos="709"/>
          <w:tab w:val="left" w:pos="851"/>
          <w:tab w:val="left" w:pos="993"/>
        </w:tabs>
        <w:spacing w:line="360" w:lineRule="auto"/>
        <w:ind w:right="202" w:firstLine="567"/>
        <w:jc w:val="both"/>
        <w:rPr>
          <w:rFonts w:ascii="GHEA Grapalat" w:eastAsia="GHEA Grapalat" w:hAnsi="GHEA Grapalat" w:cs="GHEA Grapalat"/>
          <w:b/>
          <w:sz w:val="24"/>
          <w:szCs w:val="24"/>
        </w:rPr>
      </w:pPr>
      <w:r w:rsidRPr="00EE279F">
        <w:rPr>
          <w:rFonts w:ascii="GHEA Grapalat" w:eastAsia="GHEA Grapalat" w:hAnsi="GHEA Grapalat" w:cs="GHEA Grapalat"/>
          <w:sz w:val="24"/>
          <w:szCs w:val="24"/>
          <w:highlight w:val="white"/>
        </w:rPr>
        <w:t>Նախագիծը մշակվել է Կոռուպցիայի կանխարգելման հանձնաժողովի կողմից:</w:t>
      </w:r>
    </w:p>
    <w:p w14:paraId="7CFEBC4D" w14:textId="77777777" w:rsidR="00C543EB" w:rsidRDefault="00C543EB" w:rsidP="00BD51A2">
      <w:pPr>
        <w:tabs>
          <w:tab w:val="left" w:pos="709"/>
          <w:tab w:val="left" w:pos="851"/>
          <w:tab w:val="left" w:pos="993"/>
        </w:tabs>
        <w:spacing w:line="360" w:lineRule="auto"/>
        <w:ind w:right="202" w:firstLine="567"/>
        <w:jc w:val="both"/>
        <w:rPr>
          <w:rFonts w:ascii="GHEA Grapalat" w:eastAsia="GHEA Grapalat" w:hAnsi="GHEA Grapalat" w:cs="GHEA Grapalat"/>
          <w:b/>
          <w:sz w:val="24"/>
          <w:szCs w:val="24"/>
        </w:rPr>
      </w:pPr>
    </w:p>
    <w:p w14:paraId="70C5B284" w14:textId="542DD2D9" w:rsidR="00321C88" w:rsidRPr="00EE279F" w:rsidRDefault="00321C88" w:rsidP="00C543EB">
      <w:pPr>
        <w:tabs>
          <w:tab w:val="left" w:pos="709"/>
          <w:tab w:val="left" w:pos="851"/>
          <w:tab w:val="left" w:pos="993"/>
        </w:tabs>
        <w:spacing w:after="0" w:line="360" w:lineRule="auto"/>
        <w:ind w:right="202" w:firstLine="567"/>
        <w:jc w:val="both"/>
        <w:rPr>
          <w:rFonts w:ascii="GHEA Grapalat" w:eastAsia="GHEA Grapalat" w:hAnsi="GHEA Grapalat" w:cs="GHEA Grapalat"/>
          <w:b/>
          <w:sz w:val="24"/>
          <w:szCs w:val="24"/>
        </w:rPr>
      </w:pPr>
      <w:r w:rsidRPr="00EE279F">
        <w:rPr>
          <w:rFonts w:ascii="GHEA Grapalat" w:eastAsia="GHEA Grapalat" w:hAnsi="GHEA Grapalat" w:cs="GHEA Grapalat"/>
          <w:b/>
          <w:sz w:val="24"/>
          <w:szCs w:val="24"/>
        </w:rPr>
        <w:lastRenderedPageBreak/>
        <w:t>7.</w:t>
      </w:r>
      <w:r>
        <w:rPr>
          <w:b/>
          <w:sz w:val="24"/>
          <w:szCs w:val="24"/>
        </w:rPr>
        <w:t xml:space="preserve"> </w:t>
      </w:r>
      <w:r w:rsidRPr="00EE279F">
        <w:rPr>
          <w:rFonts w:ascii="GHEA Grapalat" w:eastAsia="GHEA Grapalat" w:hAnsi="GHEA Grapalat" w:cs="GHEA Grapalat"/>
          <w:b/>
          <w:sz w:val="24"/>
          <w:szCs w:val="24"/>
        </w:rPr>
        <w:t>Ակնկալվող արդյունքները</w:t>
      </w:r>
      <w:r w:rsidR="00C543EB">
        <w:rPr>
          <w:rFonts w:ascii="GHEA Grapalat" w:eastAsia="GHEA Grapalat" w:hAnsi="GHEA Grapalat" w:cs="GHEA Grapalat"/>
          <w:b/>
          <w:sz w:val="24"/>
          <w:szCs w:val="24"/>
        </w:rPr>
        <w:t>.</w:t>
      </w:r>
    </w:p>
    <w:p w14:paraId="6B5E6DF5" w14:textId="6E5BC80B" w:rsidR="00321C88" w:rsidRPr="00EE279F" w:rsidRDefault="00321C88" w:rsidP="00C543EB">
      <w:pPr>
        <w:tabs>
          <w:tab w:val="left" w:pos="709"/>
          <w:tab w:val="left" w:pos="851"/>
          <w:tab w:val="left" w:pos="993"/>
        </w:tabs>
        <w:spacing w:after="0" w:line="360" w:lineRule="auto"/>
        <w:ind w:right="202" w:firstLine="567"/>
        <w:jc w:val="both"/>
        <w:rPr>
          <w:rFonts w:ascii="GHEA Grapalat" w:eastAsia="GHEA Grapalat" w:hAnsi="GHEA Grapalat" w:cs="GHEA Grapalat"/>
          <w:sz w:val="24"/>
          <w:szCs w:val="24"/>
        </w:rPr>
      </w:pPr>
      <w:r w:rsidRPr="00EE279F">
        <w:rPr>
          <w:rFonts w:ascii="GHEA Grapalat" w:eastAsia="GHEA Grapalat" w:hAnsi="GHEA Grapalat" w:cs="GHEA Grapalat"/>
          <w:sz w:val="24"/>
          <w:szCs w:val="24"/>
        </w:rPr>
        <w:t xml:space="preserve">Նախագծի ընդունման արդյունքում ակնկալվում է ապահովել միասնական կառուցակարգերի և մեթոդաբանության հիման վրա կոռուպցիոն ռիսկերի գնահատման </w:t>
      </w:r>
      <w:r w:rsidRPr="00EE279F">
        <w:rPr>
          <w:rFonts w:ascii="GHEA Grapalat" w:eastAsia="GHEA Grapalat" w:hAnsi="GHEA Grapalat" w:cs="GHEA Grapalat"/>
          <w:sz w:val="24"/>
          <w:szCs w:val="24"/>
        </w:rPr>
        <w:t xml:space="preserve">համակարգի ներդրում՝ Կոռուպցիայի կանխարգելման հանձնաժողովին համապատասխան գործառույթների և լիազորությունների վերապահման միջոցով: </w:t>
      </w:r>
    </w:p>
    <w:p w14:paraId="20AD4186" w14:textId="77777777" w:rsidR="00321C88" w:rsidRPr="00EE279F" w:rsidRDefault="00321C88" w:rsidP="00321C88">
      <w:pPr>
        <w:spacing w:after="0" w:line="360" w:lineRule="auto"/>
        <w:ind w:left="360" w:right="202" w:firstLine="720"/>
        <w:jc w:val="both"/>
        <w:rPr>
          <w:rFonts w:ascii="GHEA Grapalat" w:eastAsia="GHEA Grapalat" w:hAnsi="GHEA Grapalat" w:cs="GHEA Grapalat"/>
          <w:sz w:val="24"/>
          <w:szCs w:val="24"/>
        </w:rPr>
      </w:pPr>
    </w:p>
    <w:p w14:paraId="31B76C5A" w14:textId="77777777" w:rsidR="00321C88" w:rsidRPr="00EE279F" w:rsidRDefault="00321C88" w:rsidP="00321C88">
      <w:pPr>
        <w:tabs>
          <w:tab w:val="left" w:pos="851"/>
        </w:tabs>
        <w:spacing w:after="0"/>
        <w:rPr>
          <w:rFonts w:ascii="GHEA Grapalat" w:eastAsia="GHEA Grapalat" w:hAnsi="GHEA Grapalat" w:cs="GHEA Grapalat"/>
          <w:b/>
          <w:sz w:val="24"/>
          <w:szCs w:val="24"/>
        </w:rPr>
      </w:pPr>
    </w:p>
    <w:p w14:paraId="00000031" w14:textId="77777777" w:rsidR="00852802" w:rsidRDefault="00852802">
      <w:pPr>
        <w:spacing w:after="0" w:line="360" w:lineRule="auto"/>
        <w:ind w:left="360" w:right="202" w:firstLine="720"/>
        <w:jc w:val="both"/>
        <w:rPr>
          <w:rFonts w:ascii="GHEA Grapalat" w:eastAsia="GHEA Grapalat" w:hAnsi="GHEA Grapalat" w:cs="GHEA Grapalat"/>
          <w:sz w:val="24"/>
          <w:szCs w:val="24"/>
        </w:rPr>
      </w:pPr>
    </w:p>
    <w:sectPr w:rsidR="00852802" w:rsidSect="00C5286F">
      <w:headerReference w:type="even" r:id="rId9"/>
      <w:headerReference w:type="default" r:id="rId10"/>
      <w:footerReference w:type="even" r:id="rId11"/>
      <w:footerReference w:type="default" r:id="rId12"/>
      <w:headerReference w:type="first" r:id="rId13"/>
      <w:footerReference w:type="first" r:id="rId14"/>
      <w:pgSz w:w="12240" w:h="15840"/>
      <w:pgMar w:top="1134" w:right="567" w:bottom="567"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3A3C2" w14:textId="77777777" w:rsidR="006A7D67" w:rsidRDefault="006A7D67">
      <w:pPr>
        <w:spacing w:after="0" w:line="240" w:lineRule="auto"/>
      </w:pPr>
      <w:r>
        <w:separator/>
      </w:r>
    </w:p>
  </w:endnote>
  <w:endnote w:type="continuationSeparator" w:id="0">
    <w:p w14:paraId="3D033C14" w14:textId="77777777" w:rsidR="006A7D67" w:rsidRDefault="006A7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6"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7"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9B17E" w14:textId="77777777" w:rsidR="006A7D67" w:rsidRDefault="006A7D67">
      <w:pPr>
        <w:spacing w:after="0" w:line="240" w:lineRule="auto"/>
      </w:pPr>
      <w:r>
        <w:separator/>
      </w:r>
    </w:p>
  </w:footnote>
  <w:footnote w:type="continuationSeparator" w:id="0">
    <w:p w14:paraId="70C4DC1F" w14:textId="77777777" w:rsidR="006A7D67" w:rsidRDefault="006A7D67">
      <w:pPr>
        <w:spacing w:after="0" w:line="240" w:lineRule="auto"/>
      </w:pPr>
      <w:r>
        <w:continuationSeparator/>
      </w:r>
    </w:p>
  </w:footnote>
  <w:footnote w:id="1">
    <w:p w14:paraId="64C474C9" w14:textId="77777777" w:rsidR="00321C88" w:rsidRPr="008A7750" w:rsidRDefault="00321C88" w:rsidP="00321C88">
      <w:pPr>
        <w:pBdr>
          <w:top w:val="nil"/>
          <w:left w:val="nil"/>
          <w:bottom w:val="nil"/>
          <w:right w:val="nil"/>
          <w:between w:val="nil"/>
        </w:pBdr>
        <w:spacing w:after="0" w:line="240" w:lineRule="auto"/>
        <w:rPr>
          <w:rFonts w:ascii="GHEA Grapalat" w:hAnsi="GHEA Grapalat"/>
          <w:color w:val="000000"/>
          <w:sz w:val="16"/>
          <w:szCs w:val="16"/>
        </w:rPr>
      </w:pPr>
      <w:r w:rsidRPr="008A7750">
        <w:rPr>
          <w:rStyle w:val="FootnoteReference"/>
          <w:rFonts w:ascii="GHEA Grapalat" w:hAnsi="GHEA Grapalat"/>
          <w:sz w:val="16"/>
          <w:szCs w:val="16"/>
        </w:rPr>
        <w:footnoteRef/>
      </w:r>
      <w:r w:rsidRPr="008A7750">
        <w:rPr>
          <w:rFonts w:ascii="GHEA Grapalat" w:hAnsi="GHEA Grapalat"/>
          <w:color w:val="000000"/>
          <w:sz w:val="16"/>
          <w:szCs w:val="16"/>
        </w:rPr>
        <w:t xml:space="preserve"> Պետական մասնակցությամբ ընկերություններում և պետական (համայնքային) ոչ առևտրային կազմակերպություններում կոռուպցիոն ռիսկերի փորձնական գնահատման արդյունքներ, Երևան, 2024, </w:t>
      </w:r>
      <w:hyperlink r:id="rId1">
        <w:r w:rsidRPr="008A7750">
          <w:rPr>
            <w:rFonts w:ascii="GHEA Grapalat" w:hAnsi="GHEA Grapalat"/>
            <w:color w:val="0000FF"/>
            <w:sz w:val="16"/>
            <w:szCs w:val="16"/>
            <w:u w:val="single"/>
          </w:rPr>
          <w:t>https://bit.ly/3ENL5pz</w:t>
        </w:r>
      </w:hyperlink>
      <w:r w:rsidRPr="008A7750">
        <w:rPr>
          <w:rFonts w:ascii="GHEA Grapalat" w:hAnsi="GHEA Grapalat"/>
          <w:color w:val="000000"/>
          <w:sz w:val="16"/>
          <w:szCs w:val="16"/>
        </w:rPr>
        <w:t xml:space="preserve"> </w:t>
      </w:r>
    </w:p>
  </w:footnote>
  <w:footnote w:id="2">
    <w:p w14:paraId="5FC136C8" w14:textId="77777777" w:rsidR="00321C88" w:rsidRPr="00322E0E" w:rsidRDefault="00321C88" w:rsidP="00321C88">
      <w:pPr>
        <w:pBdr>
          <w:top w:val="nil"/>
          <w:left w:val="nil"/>
          <w:bottom w:val="nil"/>
          <w:right w:val="nil"/>
          <w:between w:val="nil"/>
        </w:pBdr>
        <w:spacing w:after="0" w:line="240" w:lineRule="auto"/>
        <w:rPr>
          <w:rFonts w:ascii="GHEA Grapalat" w:hAnsi="GHEA Grapalat"/>
          <w:color w:val="000000"/>
          <w:sz w:val="16"/>
          <w:szCs w:val="16"/>
        </w:rPr>
      </w:pPr>
      <w:r w:rsidRPr="00322E0E">
        <w:rPr>
          <w:rStyle w:val="FootnoteReference"/>
          <w:rFonts w:ascii="GHEA Grapalat" w:hAnsi="GHEA Grapalat"/>
          <w:sz w:val="16"/>
          <w:szCs w:val="16"/>
        </w:rPr>
        <w:footnoteRef/>
      </w:r>
      <w:r w:rsidRPr="00322E0E">
        <w:rPr>
          <w:rFonts w:ascii="GHEA Grapalat" w:hAnsi="GHEA Grapalat"/>
          <w:color w:val="000000"/>
          <w:sz w:val="16"/>
          <w:szCs w:val="16"/>
        </w:rPr>
        <w:t xml:space="preserve"> </w:t>
      </w:r>
      <w:r w:rsidRPr="00322E0E">
        <w:rPr>
          <w:rFonts w:ascii="GHEA Grapalat" w:hAnsi="GHEA Grapalat"/>
          <w:color w:val="000000"/>
          <w:sz w:val="16"/>
          <w:szCs w:val="16"/>
        </w:rPr>
        <w:t xml:space="preserve">Հայաստանում անձի ֆունկցիոնալության գնահատման համակարգում կոռուպցիոն ռիսկերի գնահատում, Երևան, 2025, </w:t>
      </w:r>
      <w:hyperlink r:id="rId2">
        <w:r w:rsidRPr="00322E0E">
          <w:rPr>
            <w:rFonts w:ascii="GHEA Grapalat" w:hAnsi="GHEA Grapalat"/>
            <w:color w:val="0000FF"/>
            <w:sz w:val="16"/>
            <w:szCs w:val="16"/>
            <w:u w:val="single"/>
          </w:rPr>
          <w:t>https://bit.ly/4cg48Ws</w:t>
        </w:r>
      </w:hyperlink>
      <w:r w:rsidRPr="00322E0E">
        <w:rPr>
          <w:rFonts w:ascii="GHEA Grapalat" w:hAnsi="GHEA Grapalat"/>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2"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3"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4" w14:textId="77777777" w:rsidR="00852802" w:rsidRDefault="0085280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C1E8A"/>
    <w:multiLevelType w:val="multilevel"/>
    <w:tmpl w:val="BAFE21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F4145C"/>
    <w:multiLevelType w:val="multilevel"/>
    <w:tmpl w:val="A3A8D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E6109DA"/>
    <w:multiLevelType w:val="multilevel"/>
    <w:tmpl w:val="3620D4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253F86"/>
    <w:multiLevelType w:val="multilevel"/>
    <w:tmpl w:val="759EAE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EF43D9"/>
    <w:multiLevelType w:val="multilevel"/>
    <w:tmpl w:val="1F2AE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802"/>
    <w:rsid w:val="00013672"/>
    <w:rsid w:val="000C33F5"/>
    <w:rsid w:val="001137B9"/>
    <w:rsid w:val="00123DCB"/>
    <w:rsid w:val="001777E0"/>
    <w:rsid w:val="001909C7"/>
    <w:rsid w:val="00195C25"/>
    <w:rsid w:val="00197205"/>
    <w:rsid w:val="00234001"/>
    <w:rsid w:val="00296285"/>
    <w:rsid w:val="002C5A2A"/>
    <w:rsid w:val="00321C88"/>
    <w:rsid w:val="004E6094"/>
    <w:rsid w:val="00644A5C"/>
    <w:rsid w:val="006A7D67"/>
    <w:rsid w:val="007155CE"/>
    <w:rsid w:val="00722683"/>
    <w:rsid w:val="00744A90"/>
    <w:rsid w:val="00852802"/>
    <w:rsid w:val="00853E6D"/>
    <w:rsid w:val="00933B77"/>
    <w:rsid w:val="00A02C39"/>
    <w:rsid w:val="00A056E2"/>
    <w:rsid w:val="00B0711A"/>
    <w:rsid w:val="00B96AFF"/>
    <w:rsid w:val="00BA220B"/>
    <w:rsid w:val="00BD51A2"/>
    <w:rsid w:val="00C5286F"/>
    <w:rsid w:val="00C543EB"/>
    <w:rsid w:val="00D8698B"/>
    <w:rsid w:val="00E2172E"/>
    <w:rsid w:val="00E4416F"/>
    <w:rsid w:val="00EA2E7E"/>
    <w:rsid w:val="00F06250"/>
    <w:rsid w:val="00F1159E"/>
    <w:rsid w:val="00FD2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11CA"/>
  <w15:docId w15:val="{4EDFEC4E-FE40-4053-9DE3-850A80582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28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23288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328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288B"/>
    <w:rPr>
      <w:b/>
      <w:bCs/>
    </w:rPr>
  </w:style>
  <w:style w:type="paragraph" w:styleId="Header">
    <w:name w:val="header"/>
    <w:basedOn w:val="Normal"/>
    <w:link w:val="HeaderChar"/>
    <w:uiPriority w:val="99"/>
    <w:unhideWhenUsed/>
    <w:rsid w:val="00232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8B"/>
  </w:style>
  <w:style w:type="paragraph" w:styleId="Footer">
    <w:name w:val="footer"/>
    <w:basedOn w:val="Normal"/>
    <w:link w:val="FooterChar"/>
    <w:uiPriority w:val="99"/>
    <w:unhideWhenUsed/>
    <w:rsid w:val="00232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8B"/>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oypena">
    <w:name w:val="oypena"/>
    <w:basedOn w:val="DefaultParagraphFont"/>
    <w:rsid w:val="00D16566"/>
  </w:style>
  <w:style w:type="character" w:styleId="FootnoteReference">
    <w:name w:val="footnote reference"/>
    <w:basedOn w:val="DefaultParagraphFont"/>
    <w:uiPriority w:val="99"/>
    <w:semiHidden/>
    <w:unhideWhenUsed/>
    <w:rsid w:val="006100DF"/>
    <w:rPr>
      <w:vertAlign w:val="superscript"/>
    </w:rPr>
  </w:style>
  <w:style w:type="character" w:styleId="Hyperlink">
    <w:name w:val="Hyperlink"/>
    <w:basedOn w:val="DefaultParagraphFont"/>
    <w:uiPriority w:val="99"/>
    <w:unhideWhenUsed/>
    <w:rsid w:val="00E57111"/>
    <w:rPr>
      <w:color w:val="0000FF"/>
      <w:u w:val="single"/>
    </w:rPr>
  </w:style>
  <w:style w:type="paragraph" w:styleId="ListParagraph">
    <w:name w:val="List Paragraph"/>
    <w:basedOn w:val="Normal"/>
    <w:uiPriority w:val="34"/>
    <w:qFormat/>
    <w:rsid w:val="006E1BD8"/>
    <w:pPr>
      <w:ind w:left="720"/>
      <w:contextualSpacing/>
    </w:pPr>
  </w:style>
  <w:style w:type="paragraph" w:styleId="FootnoteText">
    <w:name w:val="footnote text"/>
    <w:basedOn w:val="Normal"/>
    <w:link w:val="FootnoteTextChar"/>
    <w:uiPriority w:val="99"/>
    <w:semiHidden/>
    <w:unhideWhenUsed/>
    <w:rsid w:val="00E217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72E"/>
    <w:rPr>
      <w:sz w:val="20"/>
      <w:szCs w:val="20"/>
    </w:rPr>
  </w:style>
  <w:style w:type="paragraph" w:styleId="Revision">
    <w:name w:val="Revision"/>
    <w:hidden/>
    <w:uiPriority w:val="99"/>
    <w:semiHidden/>
    <w:rsid w:val="00E2172E"/>
    <w:pPr>
      <w:spacing w:after="0" w:line="240" w:lineRule="auto"/>
    </w:pPr>
  </w:style>
  <w:style w:type="paragraph" w:styleId="BalloonText">
    <w:name w:val="Balloon Text"/>
    <w:basedOn w:val="Normal"/>
    <w:link w:val="BalloonTextChar"/>
    <w:uiPriority w:val="99"/>
    <w:semiHidden/>
    <w:unhideWhenUsed/>
    <w:rsid w:val="00A056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6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bit.ly/4cg48Ws" TargetMode="External"/><Relationship Id="rId1" Type="http://schemas.openxmlformats.org/officeDocument/2006/relationships/hyperlink" Target="https://bit.ly/3ENL5p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mxFEWK39CnwS+cciOLoyUkiQ0g==">CgMxLjAyDmgudzlkY2VwbXNuejNiOAByITE1cVhMX2k5LW5XNFJ5MDdRNlJQUW8ycHEwd0NLc1dsLQ==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7E15B6-FB9F-4C06-9B81-7DBC39E5A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1858</Words>
  <Characters>10592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 Asryan</dc:creator>
  <cp:keywords>https://mul2.gov.am/tasks/1224889/oneclick?token=b9c27c6cf5581b7542c179d72cbbcbbd</cp:keywords>
  <cp:lastModifiedBy>Eprem Karapetyan</cp:lastModifiedBy>
  <cp:revision>25</cp:revision>
  <dcterms:created xsi:type="dcterms:W3CDTF">2025-05-21T07:14:00Z</dcterms:created>
  <dcterms:modified xsi:type="dcterms:W3CDTF">2025-10-13T14:03:00Z</dcterms:modified>
</cp:coreProperties>
</file>