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E06" w:rsidRPr="003A0E06" w:rsidRDefault="003A0E06" w:rsidP="003A0E06">
      <w:pPr>
        <w:pStyle w:val="headingtitleStyle"/>
        <w:rPr>
          <w:sz w:val="24"/>
          <w:szCs w:val="24"/>
        </w:rPr>
      </w:pPr>
      <w:bookmarkStart w:id="0" w:name="_Toc1"/>
      <w:r w:rsidRPr="003A0E06">
        <w:rPr>
          <w:sz w:val="24"/>
          <w:szCs w:val="24"/>
        </w:rPr>
        <w:t>Ամփոփաթերթ</w:t>
      </w:r>
      <w:bookmarkEnd w:id="0"/>
    </w:p>
    <w:p w:rsidR="003A0E06" w:rsidRPr="003A0E06" w:rsidRDefault="003A0E06" w:rsidP="003A0E06">
      <w:pPr>
        <w:pStyle w:val="headingtitleStyle"/>
        <w:rPr>
          <w:sz w:val="24"/>
          <w:szCs w:val="24"/>
        </w:rPr>
      </w:pPr>
      <w:bookmarkStart w:id="1" w:name="_Toc2"/>
      <w:r w:rsidRPr="003A0E06">
        <w:rPr>
          <w:sz w:val="24"/>
          <w:szCs w:val="24"/>
        </w:rPr>
        <w:t xml:space="preserve">«Հայաստանի Հանրապետության քրեական դատավարության օրենսգրքում լրացում </w:t>
      </w:r>
      <w:r w:rsidR="00377C34">
        <w:rPr>
          <w:sz w:val="24"/>
          <w:szCs w:val="24"/>
        </w:rPr>
        <w:t>ԵՎ</w:t>
      </w:r>
      <w:bookmarkStart w:id="2" w:name="_GoBack"/>
      <w:bookmarkEnd w:id="2"/>
      <w:r w:rsidRPr="003A0E06">
        <w:rPr>
          <w:sz w:val="24"/>
          <w:szCs w:val="24"/>
        </w:rPr>
        <w:t xml:space="preserve"> փոփոխություն կատարելու մասին» Հայաստանի Հանրապետության օրենքի նախագիծ նախագծի վերաբերյալ</w:t>
      </w:r>
      <w:bookmarkEnd w:id="1"/>
    </w:p>
    <w:p w:rsidR="003A0E06" w:rsidRPr="003A0E06" w:rsidRDefault="003A0E06" w:rsidP="003A0E06">
      <w:pPr>
        <w:rPr>
          <w:rFonts w:ascii="GHEA Grapalat" w:hAnsi="GHEA Grapalat"/>
          <w:sz w:val="24"/>
          <w:szCs w:val="24"/>
        </w:rPr>
      </w:pPr>
    </w:p>
    <w:p w:rsidR="003A0E06" w:rsidRPr="003A0E06" w:rsidRDefault="003A0E06" w:rsidP="003A0E06">
      <w:pPr>
        <w:rPr>
          <w:rFonts w:ascii="GHEA Grapalat" w:hAnsi="GHEA Grapalat"/>
          <w:sz w:val="24"/>
          <w:szCs w:val="24"/>
        </w:rPr>
      </w:pPr>
    </w:p>
    <w:p w:rsidR="003A0E06" w:rsidRPr="003A0E06" w:rsidRDefault="003A0E06" w:rsidP="003A0E06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2190"/>
        <w:gridCol w:w="4833"/>
        <w:gridCol w:w="3672"/>
        <w:gridCol w:w="2796"/>
      </w:tblGrid>
      <w:tr w:rsidR="003A0E06" w:rsidRPr="003A0E06" w:rsidTr="00816A8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3A0E06" w:rsidRPr="003A0E06" w:rsidTr="00816A8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A0E06" w:rsidRPr="003A0E06" w:rsidTr="00816A8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Մարուսյա Բաբայան</w:t>
            </w:r>
          </w:p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14.07.2025 23:32:00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Ցանկացած օրենսդրական նախաձեռնություն, որն ուղղված է իրավական նորմերի հստակեցմանը, իրավակիրառ պրակտիկայի բարելավմանը և կոռուպցիայի դեմ պայքարի ամրապնդմանը, ողջունելի է։ Այնուամենայնիվ, քրեական օրենսգրքում կատարվող ցանկացած փոփոխություն պետք է խորապես վերլուծվի՝ հաշվի առնելով դրա ազդեցությունը </w:t>
            </w:r>
            <w:r w:rsidRPr="003A0E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քաղաքացիների իրավունքների, արդար դատաքննության սկզբունքների և իրավական համակարգի ամբողջականության վրա։ Ես կողմ կլինեի այս փոփոխությանը, եթե հիմնավորվի, որ այն նպաստում է. 1.Օրենքի հստակությանը և կիրառելիությանը: Ավելի հստակեցնելով, թե որ մարմինն է պատասխանատու կամ սահմանում է որոշակի ընթացակարգեր/նորմեր, խուսափելով երկիմաստություններից։ 2.Արդյունավետության բարձրացմանը: Եթե փոփոխությունը կնպաստի կոռուպցիոն հանցագործությունների հետ կապված գործընթացների արդյունավետության բարձրացմանը։ 3.Հաշվետվողականության ապահովմանը: Հստակեցնելով պատասխանատու մարմնին՝ նպաստելով դերի և պատասխանատվության ավելի հստակ բաշխմանը։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3A0E06">
            <w:pPr>
              <w:pStyle w:val="ListParagraph"/>
              <w:spacing w:after="0" w:line="360" w:lineRule="auto"/>
              <w:ind w:left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m-ET"/>
              </w:rPr>
            </w:pPr>
            <w:r w:rsidRPr="003A0E06">
              <w:rPr>
                <w:rFonts w:ascii="GHEA Grapalat" w:hAnsi="GHEA Grapalat"/>
                <w:sz w:val="24"/>
                <w:szCs w:val="24"/>
                <w:lang w:val="am-ET"/>
              </w:rPr>
              <w:lastRenderedPageBreak/>
              <w:t>Նախագծի ընդունմամբ ակնկալվում է</w:t>
            </w:r>
            <w:r w:rsidRPr="003A0E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 քրեադատավարական նորմերի համապատասխանությունը ՀՀ սահմանադրությանը ելնելով՝</w:t>
            </w:r>
          </w:p>
          <w:p w:rsidR="003A0E06" w:rsidRPr="003A0E06" w:rsidRDefault="003A0E06" w:rsidP="003A0E06">
            <w:pPr>
              <w:pStyle w:val="ListParagraph"/>
              <w:spacing w:after="0" w:line="360" w:lineRule="auto"/>
              <w:ind w:left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A0E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սահմանադրական դատարանի 2025 թվականի </w:t>
            </w:r>
            <w:r w:rsidRPr="003A0E0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փետրվարի 5-ի թիվ ՍԴՈ-1767 ինչպես նաև ՍԴՈ-1736 որոշումներով արտահայտած </w:t>
            </w:r>
            <w:r w:rsidRPr="003A0E06">
              <w:rPr>
                <w:rFonts w:ascii="GHEA Grapalat" w:hAnsi="GHEA Grapalat"/>
                <w:sz w:val="24"/>
                <w:szCs w:val="24"/>
                <w:lang w:val="en-US"/>
              </w:rPr>
              <w:t>իրավական դիրքորոշումներից: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0E06" w:rsidRPr="003A0E06" w:rsidRDefault="003A0E06" w:rsidP="00816A8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0E06"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</w:tr>
    </w:tbl>
    <w:p w:rsidR="003A0E06" w:rsidRPr="003A0E06" w:rsidRDefault="003A0E06" w:rsidP="003A0E06">
      <w:pPr>
        <w:rPr>
          <w:rFonts w:ascii="GHEA Grapalat" w:hAnsi="GHEA Grapalat"/>
          <w:sz w:val="24"/>
          <w:szCs w:val="24"/>
        </w:rPr>
      </w:pPr>
    </w:p>
    <w:p w:rsidR="00F53590" w:rsidRPr="003A0E06" w:rsidRDefault="00F53590">
      <w:pPr>
        <w:rPr>
          <w:rFonts w:ascii="GHEA Grapalat" w:hAnsi="GHEA Grapalat"/>
          <w:sz w:val="24"/>
          <w:szCs w:val="24"/>
        </w:rPr>
      </w:pPr>
    </w:p>
    <w:sectPr w:rsidR="00F53590" w:rsidRPr="003A0E0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E06"/>
    <w:rsid w:val="00377C34"/>
    <w:rsid w:val="003A0E06"/>
    <w:rsid w:val="00537471"/>
    <w:rsid w:val="00F5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6ABEF"/>
  <w15:chartTrackingRefBased/>
  <w15:docId w15:val="{FAA30500-C316-4A8C-94F7-27F2C939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A0E06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A0E0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3A0E06"/>
    <w:pPr>
      <w:spacing w:line="256" w:lineRule="auto"/>
      <w:ind w:left="720"/>
      <w:contextualSpacing/>
    </w:pPr>
    <w:rPr>
      <w:rFonts w:ascii="Calibri" w:eastAsia="Calibri" w:hAnsi="Calibri" w:cs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>https://mul2.gov.am/tasks/1224639/oneclick?token=2832bf7861b27364b6c11646477e9cd1</cp:keywords>
  <dc:description/>
  <cp:lastModifiedBy>Mane Yavrumyan</cp:lastModifiedBy>
  <cp:revision>2</cp:revision>
  <dcterms:created xsi:type="dcterms:W3CDTF">2025-08-29T07:16:00Z</dcterms:created>
  <dcterms:modified xsi:type="dcterms:W3CDTF">2025-08-29T07:49:00Z</dcterms:modified>
</cp:coreProperties>
</file>