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559439" w14:textId="77777777" w:rsidR="0073353F" w:rsidRDefault="0073353F" w:rsidP="0073353F">
      <w:pPr>
        <w:spacing w:after="0" w:line="360" w:lineRule="auto"/>
        <w:ind w:firstLine="426"/>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ՏԵՂԵԿԱՆՔ</w:t>
      </w:r>
    </w:p>
    <w:p w14:paraId="2286C325" w14:textId="3A0247D1" w:rsidR="00DD6040" w:rsidRDefault="00DD6040" w:rsidP="00230322">
      <w:pPr>
        <w:spacing w:line="360" w:lineRule="auto"/>
        <w:jc w:val="center"/>
        <w:rPr>
          <w:rFonts w:ascii="GHEA Grapalat" w:hAnsi="GHEA Grapalat"/>
          <w:b/>
          <w:bCs/>
          <w:sz w:val="24"/>
          <w:szCs w:val="24"/>
          <w:lang w:val="hy-AM"/>
        </w:rPr>
      </w:pPr>
      <w:r w:rsidRPr="00230322">
        <w:rPr>
          <w:rFonts w:ascii="GHEA Grapalat" w:hAnsi="GHEA Grapalat"/>
          <w:b/>
          <w:bCs/>
          <w:sz w:val="24"/>
          <w:szCs w:val="24"/>
          <w:lang w:val="hy-AM"/>
        </w:rPr>
        <w:t xml:space="preserve">«ՀԱՅԱՍՏԱՆԻ ՀԱՆՐԱՊԵՏՈՒԹՅԱՆ ՀԱՐԿԱՅԻՆ ՕՐԵՆՍԳՐՔՈՒՄ </w:t>
      </w:r>
      <w:r w:rsidR="004D7BA2">
        <w:rPr>
          <w:rFonts w:ascii="GHEA Grapalat" w:hAnsi="GHEA Grapalat"/>
          <w:b/>
          <w:bCs/>
          <w:sz w:val="24"/>
          <w:szCs w:val="24"/>
          <w:lang w:val="hy-AM"/>
        </w:rPr>
        <w:t>ԼՐԱՑՈՒՄ</w:t>
      </w:r>
      <w:r w:rsidRPr="00230322">
        <w:rPr>
          <w:rFonts w:ascii="GHEA Grapalat" w:hAnsi="GHEA Grapalat"/>
          <w:b/>
          <w:bCs/>
          <w:sz w:val="24"/>
          <w:szCs w:val="24"/>
          <w:lang w:val="hy-AM"/>
        </w:rPr>
        <w:t xml:space="preserve"> ԿԱՏԱՐԵԼՈՒ ՄԱՍԻՆ» ՀԱՅԱՍՏԱՆԻ ՀԱՆՐԱՊԵՏՈԻԹՅԱՆ  ՕՐԵՆՍԳՐՔԻ ՓՈՓՈ</w:t>
      </w:r>
      <w:r w:rsidR="000C5CA4">
        <w:rPr>
          <w:rFonts w:ascii="GHEA Grapalat" w:hAnsi="GHEA Grapalat"/>
          <w:b/>
          <w:bCs/>
          <w:sz w:val="24"/>
          <w:szCs w:val="24"/>
          <w:lang w:val="hy-AM"/>
        </w:rPr>
        <w:t>Խ</w:t>
      </w:r>
      <w:r w:rsidRPr="00230322">
        <w:rPr>
          <w:rFonts w:ascii="GHEA Grapalat" w:hAnsi="GHEA Grapalat"/>
          <w:b/>
          <w:bCs/>
          <w:sz w:val="24"/>
          <w:szCs w:val="24"/>
          <w:lang w:val="hy-AM"/>
        </w:rPr>
        <w:t>ՎՈՂ ՀՈԴՎԱԾԻ ՎԵՐԱԲԵՐՅԱԼ</w:t>
      </w:r>
    </w:p>
    <w:p w14:paraId="30AD62A1" w14:textId="77777777" w:rsidR="00A669CC" w:rsidRDefault="00A669CC" w:rsidP="00230322">
      <w:pPr>
        <w:spacing w:line="360" w:lineRule="auto"/>
        <w:jc w:val="center"/>
        <w:rPr>
          <w:rFonts w:ascii="GHEA Grapalat" w:hAnsi="GHEA Grapalat"/>
          <w:b/>
          <w:bCs/>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A669CC" w:rsidRPr="00A669CC" w14:paraId="56225CE3" w14:textId="77777777" w:rsidTr="00A669CC">
        <w:trPr>
          <w:tblCellSpacing w:w="7" w:type="dxa"/>
        </w:trPr>
        <w:tc>
          <w:tcPr>
            <w:tcW w:w="2025" w:type="dxa"/>
            <w:shd w:val="clear" w:color="auto" w:fill="FFFFFF"/>
            <w:hideMark/>
          </w:tcPr>
          <w:p w14:paraId="038FD43D" w14:textId="77777777" w:rsidR="00A669CC" w:rsidRPr="00A669CC" w:rsidRDefault="00A669CC" w:rsidP="00A669CC">
            <w:pPr>
              <w:spacing w:after="0" w:line="240" w:lineRule="auto"/>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b/>
                <w:bCs/>
                <w:color w:val="000000"/>
                <w:sz w:val="24"/>
                <w:szCs w:val="24"/>
              </w:rPr>
              <w:t>Հոդված 64.</w:t>
            </w:r>
          </w:p>
        </w:tc>
        <w:tc>
          <w:tcPr>
            <w:tcW w:w="0" w:type="auto"/>
            <w:shd w:val="clear" w:color="auto" w:fill="FFFFFF"/>
            <w:hideMark/>
          </w:tcPr>
          <w:p w14:paraId="3FCDD2F2" w14:textId="77777777" w:rsidR="00A669CC" w:rsidRPr="00A669CC" w:rsidRDefault="00A669CC" w:rsidP="00A669CC">
            <w:pPr>
              <w:spacing w:after="0" w:line="240" w:lineRule="auto"/>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b/>
                <w:bCs/>
                <w:color w:val="000000"/>
                <w:sz w:val="24"/>
                <w:szCs w:val="24"/>
              </w:rPr>
              <w:t>Ավելացված արժեքի հարկից ազատված գործարքներն ու գործառնությունները</w:t>
            </w:r>
          </w:p>
        </w:tc>
      </w:tr>
    </w:tbl>
    <w:p w14:paraId="7F525B89"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Calibri" w:eastAsia="Times New Roman" w:hAnsi="Calibri" w:cs="Calibri"/>
          <w:color w:val="000000"/>
          <w:sz w:val="24"/>
          <w:szCs w:val="24"/>
        </w:rPr>
        <w:t> </w:t>
      </w:r>
    </w:p>
    <w:p w14:paraId="158E8644"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1. ԱԱՀ-ից ազատելը Օրենսգրքի 60-րդ հոդվածով սահմանված՝ ԱԱՀ-ով հարկման օբյեկտ համարվող գործարքների ու գործառնությունների հարկման բազայի նկատմամբ ԱԱՀ չհաշվարկելն է:</w:t>
      </w:r>
    </w:p>
    <w:p w14:paraId="17C19CF9"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2. ԱԱՀ-ից ազատվում են Օրենսգրքի 60-րդ հոդվածով սահմանված հետևյալ գործարքներն ու գործառնությունները.</w:t>
      </w:r>
    </w:p>
    <w:p w14:paraId="79AFADC2"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1) հանրակրթական ուսումնական հաստատությունների, մանկապատանեկան ստեղծագործական և գեղագիտական կենտրոնների, երաժշտական, նկարչական, արվեստի և գեղարվեստի ուսումնական հաստատությունների, մարզադպրոցների, արհեստագործական ուսումնարանների, որակավորման և վերաորակավորման, միջնակարգ մասնագիտական և բարձրագույն ուսումնական հաստատությունների կողմից ուսուցման ծառայությունների մատուցումը: Սույն կետում նշված հասկացությունները կիրառվում են «Կրթության</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«Հանրակրթության</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և «Բարձրագույն և հետբուհական մասնագիտական կրթության</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Հայաստանի Հանրապետության օրենքներում նույն հասկացությունների կիրառության իմաստով ու նշանակությամբ.</w:t>
      </w:r>
    </w:p>
    <w:p w14:paraId="63A9D93F"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2) դպրոցական գրերի և նոտայի տետրերի, նկարչական ալբոմների, մանկական և դպրոցական գրականության, դպրոցական ուսումնական հրատարակությունների, բուհերի, մասնագիտացված գիտական կազմակերպությունների, Հայաստանի Հանրապետության գիտությունների ազգային ակադեմիայի հրատարակած գիտական և ուսումնական հրատարակությունների օտարումը: Սույն կետով սահմանված արտոնությունների կիրառության</w:t>
      </w:r>
      <w:r w:rsidRPr="00A669CC">
        <w:rPr>
          <w:rFonts w:ascii="Calibri" w:eastAsia="Times New Roman" w:hAnsi="Calibri" w:cs="Calibri"/>
          <w:color w:val="000000"/>
          <w:sz w:val="24"/>
          <w:szCs w:val="24"/>
        </w:rPr>
        <w:t> </w:t>
      </w:r>
      <w:hyperlink r:id="rId4" w:history="1">
        <w:r w:rsidRPr="00A669CC">
          <w:rPr>
            <w:rFonts w:ascii="GHEA Grapalat" w:eastAsia="Times New Roman" w:hAnsi="GHEA Grapalat" w:cs="Times New Roman"/>
            <w:color w:val="0000FF"/>
            <w:sz w:val="24"/>
            <w:szCs w:val="24"/>
            <w:u w:val="single"/>
          </w:rPr>
          <w:t>շրջանակը</w:t>
        </w:r>
      </w:hyperlink>
      <w:r w:rsidRPr="00A669CC">
        <w:rPr>
          <w:rFonts w:ascii="Calibri" w:eastAsia="Times New Roman" w:hAnsi="Calibri" w:cs="Calibri"/>
          <w:color w:val="000000"/>
          <w:sz w:val="24"/>
          <w:szCs w:val="24"/>
        </w:rPr>
        <w:t> </w:t>
      </w:r>
      <w:r w:rsidRPr="00A669CC">
        <w:rPr>
          <w:rFonts w:ascii="GHEA Grapalat" w:eastAsia="Times New Roman" w:hAnsi="GHEA Grapalat" w:cs="GHEA Grapalat"/>
          <w:color w:val="000000"/>
          <w:sz w:val="24"/>
          <w:szCs w:val="24"/>
        </w:rPr>
        <w:t>սահմանում</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է</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Կառավարությունը</w:t>
      </w:r>
      <w:r w:rsidRPr="00A669CC">
        <w:rPr>
          <w:rFonts w:ascii="GHEA Grapalat" w:eastAsia="Times New Roman" w:hAnsi="GHEA Grapalat" w:cs="Times New Roman"/>
          <w:color w:val="000000"/>
          <w:sz w:val="24"/>
          <w:szCs w:val="24"/>
        </w:rPr>
        <w:t>.</w:t>
      </w:r>
    </w:p>
    <w:p w14:paraId="060023C7"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3) Կառավարության սահմանած չափանիշներին համապատասխանող գիտական հետազոտությունների և փորձարարական մշակումների աշխատանքների կատարումը.</w:t>
      </w:r>
    </w:p>
    <w:p w14:paraId="4E692D42"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4) հանրակրթական հիմնական ծրագրերի շրջանակներում աշխատանքների կատարումը: Սույն կետով սահմանված արտոնության կիրառության</w:t>
      </w:r>
      <w:r w:rsidRPr="00A669CC">
        <w:rPr>
          <w:rFonts w:ascii="Calibri" w:eastAsia="Times New Roman" w:hAnsi="Calibri" w:cs="Calibri"/>
          <w:color w:val="000000"/>
          <w:sz w:val="24"/>
          <w:szCs w:val="24"/>
        </w:rPr>
        <w:t> </w:t>
      </w:r>
      <w:hyperlink r:id="rId5" w:history="1">
        <w:r w:rsidRPr="00A669CC">
          <w:rPr>
            <w:rFonts w:ascii="GHEA Grapalat" w:eastAsia="Times New Roman" w:hAnsi="GHEA Grapalat" w:cs="Times New Roman"/>
            <w:color w:val="0000FF"/>
            <w:sz w:val="24"/>
            <w:szCs w:val="24"/>
            <w:u w:val="single"/>
          </w:rPr>
          <w:t>շրջանակը</w:t>
        </w:r>
      </w:hyperlink>
      <w:r w:rsidRPr="00A669CC">
        <w:rPr>
          <w:rFonts w:ascii="Calibri" w:eastAsia="Times New Roman" w:hAnsi="Calibri" w:cs="Calibri"/>
          <w:color w:val="000000"/>
          <w:sz w:val="24"/>
          <w:szCs w:val="24"/>
        </w:rPr>
        <w:t> </w:t>
      </w:r>
      <w:r w:rsidRPr="00A669CC">
        <w:rPr>
          <w:rFonts w:ascii="GHEA Grapalat" w:eastAsia="Times New Roman" w:hAnsi="GHEA Grapalat" w:cs="GHEA Grapalat"/>
          <w:color w:val="000000"/>
          <w:sz w:val="24"/>
          <w:szCs w:val="24"/>
        </w:rPr>
        <w:t>սահմանում</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է</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Կառավարությունը</w:t>
      </w:r>
      <w:r w:rsidRPr="00A669CC">
        <w:rPr>
          <w:rFonts w:ascii="GHEA Grapalat" w:eastAsia="Times New Roman" w:hAnsi="GHEA Grapalat" w:cs="Times New Roman"/>
          <w:color w:val="000000"/>
          <w:sz w:val="24"/>
          <w:szCs w:val="24"/>
        </w:rPr>
        <w:t>.</w:t>
      </w:r>
    </w:p>
    <w:p w14:paraId="33FA1E02"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lastRenderedPageBreak/>
        <w:t>5) հանրակրթության ոլորտում իրականացվող` կրթության և գիտության բնագավառում Կառավարության լիազոր մարմնի ճանաչած, երաշխավորած և Կառավարության սահմանած</w:t>
      </w:r>
      <w:r w:rsidRPr="00A669CC">
        <w:rPr>
          <w:rFonts w:ascii="Calibri" w:eastAsia="Times New Roman" w:hAnsi="Calibri" w:cs="Calibri"/>
          <w:color w:val="000000"/>
          <w:sz w:val="24"/>
          <w:szCs w:val="24"/>
        </w:rPr>
        <w:t> </w:t>
      </w:r>
      <w:hyperlink r:id="rId6" w:history="1">
        <w:r w:rsidRPr="00A669CC">
          <w:rPr>
            <w:rFonts w:ascii="GHEA Grapalat" w:eastAsia="Times New Roman" w:hAnsi="GHEA Grapalat" w:cs="Times New Roman"/>
            <w:color w:val="0000FF"/>
            <w:sz w:val="24"/>
            <w:szCs w:val="24"/>
            <w:u w:val="single"/>
          </w:rPr>
          <w:t>չափորոշիչներին</w:t>
        </w:r>
      </w:hyperlink>
      <w:r w:rsidRPr="00A669CC">
        <w:rPr>
          <w:rFonts w:ascii="Calibri" w:eastAsia="Times New Roman" w:hAnsi="Calibri" w:cs="Calibri"/>
          <w:color w:val="000000"/>
          <w:sz w:val="24"/>
          <w:szCs w:val="24"/>
        </w:rPr>
        <w:t> </w:t>
      </w:r>
      <w:r w:rsidRPr="00A669CC">
        <w:rPr>
          <w:rFonts w:ascii="GHEA Grapalat" w:eastAsia="Times New Roman" w:hAnsi="GHEA Grapalat" w:cs="GHEA Grapalat"/>
          <w:color w:val="000000"/>
          <w:sz w:val="24"/>
          <w:szCs w:val="24"/>
        </w:rPr>
        <w:t>համապատասխանող</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կրթական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բնույթի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առարկայական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մրցույթներին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մրցաշարերին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օլիմպիադաներին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մասնակ</w:t>
      </w:r>
      <w:r w:rsidRPr="00A669CC">
        <w:rPr>
          <w:rFonts w:ascii="GHEA Grapalat" w:eastAsia="Times New Roman" w:hAnsi="GHEA Grapalat" w:cs="Times New Roman"/>
          <w:color w:val="000000"/>
          <w:sz w:val="24"/>
          <w:szCs w:val="24"/>
        </w:rPr>
        <w:t>ցության իրավունքի տրամադրումը.</w:t>
      </w:r>
    </w:p>
    <w:p w14:paraId="1D5E152F"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6) նախադպրոցական հիմնարկներում երեխաներին պահելու, տուն-ինտերնատներում, մանկատներում, արատներ ունեցող երեխաների կամ հաշմանդամություն ունեցող անձանց (երեխաների) խնամող հաստատություններում, ծերանոցներում գտնվող անձանց խնամքի հետ կապված ծառայությունների մատուցումը, ինչպես նաև խնամվողների կողմից այնտեղ պատրաստված ապրանքների օտարումը, աշխատանքների կատարումը, ծառայությունների մատուցումը: Սույն կետով սահմանված արտոնությունների կիրառության</w:t>
      </w:r>
      <w:r w:rsidRPr="00A669CC">
        <w:rPr>
          <w:rFonts w:ascii="Calibri" w:eastAsia="Times New Roman" w:hAnsi="Calibri" w:cs="Calibri"/>
          <w:color w:val="000000"/>
          <w:sz w:val="24"/>
          <w:szCs w:val="24"/>
        </w:rPr>
        <w:t> </w:t>
      </w:r>
      <w:hyperlink r:id="rId7" w:history="1">
        <w:r w:rsidRPr="00A669CC">
          <w:rPr>
            <w:rFonts w:ascii="GHEA Grapalat" w:eastAsia="Times New Roman" w:hAnsi="GHEA Grapalat" w:cs="Times New Roman"/>
            <w:color w:val="0000FF"/>
            <w:sz w:val="24"/>
            <w:szCs w:val="24"/>
            <w:u w:val="single"/>
          </w:rPr>
          <w:t>շրջանակը</w:t>
        </w:r>
      </w:hyperlink>
      <w:r w:rsidRPr="00A669CC">
        <w:rPr>
          <w:rFonts w:ascii="Calibri" w:eastAsia="Times New Roman" w:hAnsi="Calibri" w:cs="Calibri"/>
          <w:color w:val="000000"/>
          <w:sz w:val="24"/>
          <w:szCs w:val="24"/>
        </w:rPr>
        <w:t> </w:t>
      </w:r>
      <w:r w:rsidRPr="00A669CC">
        <w:rPr>
          <w:rFonts w:ascii="GHEA Grapalat" w:eastAsia="Times New Roman" w:hAnsi="GHEA Grapalat" w:cs="GHEA Grapalat"/>
          <w:color w:val="000000"/>
          <w:sz w:val="24"/>
          <w:szCs w:val="24"/>
        </w:rPr>
        <w:t>սահմանում</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է</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Կառավարությունը</w:t>
      </w:r>
      <w:r w:rsidRPr="00A669CC">
        <w:rPr>
          <w:rFonts w:ascii="GHEA Grapalat" w:eastAsia="Times New Roman" w:hAnsi="GHEA Grapalat" w:cs="Times New Roman"/>
          <w:color w:val="000000"/>
          <w:sz w:val="24"/>
          <w:szCs w:val="24"/>
        </w:rPr>
        <w:t>.</w:t>
      </w:r>
    </w:p>
    <w:p w14:paraId="3D5F797A"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7) հասարակական, բարեգործական և կրոնական կազմակերպությունների կողմից ապրանքների անհատույց մատակարարումը, աշխատանքների անհատույց կատարումը և (կամ) ծառայությունների անհատույց մատուցումը.</w:t>
      </w:r>
    </w:p>
    <w:p w14:paraId="12C40927"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8) թաղման բյուրոների, գերեզմանատների, ինչպես նաև մահվան և հուղարկավորության հետ կապված ծիսական բնույթի այլ աշխատանքների կատարումը, ծառայությունների մատուցումը և համապատասխան պարագաների օտարումը.</w:t>
      </w:r>
    </w:p>
    <w:p w14:paraId="059FC9C1"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9) կրոնական ծիսակատարությունների կազմակերպման ծառայությունների մատուցումը, կրոնական կազմակերպություններին կրոնական պարագաների օտարումը, ինչպես նաև կրոնական կազմակերպությունների կողմից այդ պարագաների օտարումը.</w:t>
      </w:r>
    </w:p>
    <w:p w14:paraId="5E0BA782"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10) օտարերկրյա պետությունների, միջազգային միջկառավարական (միջպետական) կազմակերպությունների, միջազգային, օտարերկրյա և Հայաստանի Հանրապետության հասարակական, բարեգործական, կրոնական կազմակերպությունների, առանձին բարերարների կողմից ապրանքների ներմուծումը, ապրանքների մատակարարումը, աշխատանքների կատարումը և ծառայությունների մատուցումը՝ մարդասիրական օգնության և բարեգործական ծրագրերի (գործունեության) շրջանակներում, ինչպես նաև նման ծրագրերի իրականացման հետ անմիջականորեն կապված և դրանց համար զգալի նշանակություն ունեցող ապրանքների մատակարարումը, աշխատանքների կատարումը և ծառայությունների մատուցումը: Հայաստանի Հանրապետության օրենսդրությամբ (այդ թվում՝ Հայաստանի Հանրապետության միջազգային պայմանագրերով) ուղղակիորեն նշված չլինելու դեպքում ծրագրի (գործունեության) տարբերակումն ըստ մարդասիրական օգնության և բարեգործական բնույթի, ինչպես նաև սույն կետի համաձայն, ԱԱՀ-ից ազատվող ապրանքների, աշխատանքների և ծառայությունների շրջանակները որոշում է Կառավարության լիազոր մարմինը.</w:t>
      </w:r>
    </w:p>
    <w:p w14:paraId="0026217D"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lastRenderedPageBreak/>
        <w:t>11) բժշկական օգնության և սպասարկման ծառայությունների, մասնավորապես հիվանդությունների կանխարգելման, ախտորոշման, բժշկական խորհրդատվության, բուժական, վերականգնողական, բժշկական փորձաքննության անցկացման ծառայությունների մատուցումը.</w:t>
      </w:r>
    </w:p>
    <w:p w14:paraId="51DF642B"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12) դոնորային արյան և դրա բաղադրամասերի, մայրական կաթի, աջակցող միջոցների, բժշկական տեխնիկայի և բժշկական նշանակության ապրանքների օտարումը, բժշկական կազմակերպություններում բժշկական օգնության և սպասարկման շրջանակներում պացիենտների պատրաստած ապրանքների օտարումը, աշխատանքների կատարումը, ծառայությունների մատուցումը: Սույն կետով սահմանված արտոնությունների կիրառության</w:t>
      </w:r>
      <w:r w:rsidRPr="00A669CC">
        <w:rPr>
          <w:rFonts w:ascii="Calibri" w:eastAsia="Times New Roman" w:hAnsi="Calibri" w:cs="Calibri"/>
          <w:color w:val="000000"/>
          <w:sz w:val="24"/>
          <w:szCs w:val="24"/>
        </w:rPr>
        <w:t> </w:t>
      </w:r>
      <w:hyperlink r:id="rId8" w:history="1">
        <w:r w:rsidRPr="00A669CC">
          <w:rPr>
            <w:rFonts w:ascii="GHEA Grapalat" w:eastAsia="Times New Roman" w:hAnsi="GHEA Grapalat" w:cs="Times New Roman"/>
            <w:color w:val="0000FF"/>
            <w:sz w:val="24"/>
            <w:szCs w:val="24"/>
            <w:u w:val="single"/>
          </w:rPr>
          <w:t>շրջանակը</w:t>
        </w:r>
      </w:hyperlink>
      <w:r w:rsidRPr="00A669CC">
        <w:rPr>
          <w:rFonts w:ascii="Calibri" w:eastAsia="Times New Roman" w:hAnsi="Calibri" w:cs="Calibri"/>
          <w:color w:val="000000"/>
          <w:sz w:val="24"/>
          <w:szCs w:val="24"/>
        </w:rPr>
        <w:t> </w:t>
      </w:r>
      <w:r w:rsidRPr="00A669CC">
        <w:rPr>
          <w:rFonts w:ascii="GHEA Grapalat" w:eastAsia="Times New Roman" w:hAnsi="GHEA Grapalat" w:cs="GHEA Grapalat"/>
          <w:color w:val="000000"/>
          <w:sz w:val="24"/>
          <w:szCs w:val="24"/>
        </w:rPr>
        <w:t>սահմանում</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է</w:t>
      </w:r>
      <w:r w:rsidRPr="00A669CC">
        <w:rPr>
          <w:rFonts w:ascii="GHEA Grapalat" w:eastAsia="Times New Roman" w:hAnsi="GHEA Grapalat" w:cs="Times New Roman"/>
          <w:color w:val="000000"/>
          <w:sz w:val="24"/>
          <w:szCs w:val="24"/>
        </w:rPr>
        <w:t xml:space="preserve"> Կառավարությունը.</w:t>
      </w:r>
    </w:p>
    <w:p w14:paraId="0212A276"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13) պետության կամ համայնքի կողմից կազմակերպության կանոնադրական կամ բաժնեհավաք կապիտալում գույքի ներդրումը.</w:t>
      </w:r>
    </w:p>
    <w:p w14:paraId="1FEF4CC1"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14) բռնագրավման կամ նվիրատվության ձևով ապրանքի մատակարարումը պետությանը: Սույն կետը չի տարածվում բռնագանձման ձևով պետությանը ապրանքի մատակարարման գործարքների վրա, որոնց դեպքում ապրանքի մատակարարման գործարքը ենթակա է ԱԱՀ-ով հարկման Օրենսգրքով սահմանված կարգով.</w:t>
      </w:r>
    </w:p>
    <w:p w14:paraId="3A605152"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15) հողամասից կամովին հրաժարվելու դեպքում սեփականության իրավունքով պատկանող հողամասի օտարումը համայնքին կամ պետությանը.</w:t>
      </w:r>
    </w:p>
    <w:p w14:paraId="1C1C9307"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16) հողամասի կամ այլ անշարժ գույքի փոխանակությունը, եթե այդ գործարքի կողմ են հանդիսանում պետությունը և (կամ) համայնքը.</w:t>
      </w:r>
    </w:p>
    <w:p w14:paraId="0F413E06"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17) սուբսիդիաների, սուբվենցիաների և դրամաշնորհային ծրագրերի շրջանակներում իրականացվող` ապրանքի մատակարարումը, աշխատանքի կատարումը և (կամ) ծառայության մատուցումը, եթե նշված ծրագրերն արժանացել են Կառավարության ձևավորած մասնագիտական հանձնաժողովի դրական եզրակացությանը: Սույն կետում նշված մասնագիտական հանձնաժողովի գործունեության կարգը և կազմը, ինչպես նաև հանձնաժողովի կողմից սուբսիդիաների, սուբվենցիաների և դրամաշնորհային ծրագրերի` որպես արտոնյալ որակավորման, փոփոխման կամ կասեցման</w:t>
      </w:r>
      <w:r w:rsidRPr="00A669CC">
        <w:rPr>
          <w:rFonts w:ascii="Calibri" w:eastAsia="Times New Roman" w:hAnsi="Calibri" w:cs="Calibri"/>
          <w:color w:val="000000"/>
          <w:sz w:val="24"/>
          <w:szCs w:val="24"/>
        </w:rPr>
        <w:t> </w:t>
      </w:r>
      <w:hyperlink r:id="rId9" w:history="1">
        <w:r w:rsidRPr="00A669CC">
          <w:rPr>
            <w:rFonts w:ascii="GHEA Grapalat" w:eastAsia="Times New Roman" w:hAnsi="GHEA Grapalat" w:cs="Times New Roman"/>
            <w:color w:val="0000FF"/>
            <w:sz w:val="24"/>
            <w:szCs w:val="24"/>
            <w:u w:val="single"/>
          </w:rPr>
          <w:t>կարգերը</w:t>
        </w:r>
      </w:hyperlink>
      <w:r w:rsidRPr="00A669CC">
        <w:rPr>
          <w:rFonts w:ascii="Calibri" w:eastAsia="Times New Roman" w:hAnsi="Calibri" w:cs="Calibri"/>
          <w:color w:val="000000"/>
          <w:sz w:val="24"/>
          <w:szCs w:val="24"/>
        </w:rPr>
        <w:t> </w:t>
      </w:r>
      <w:r w:rsidRPr="00A669CC">
        <w:rPr>
          <w:rFonts w:ascii="GHEA Grapalat" w:eastAsia="Times New Roman" w:hAnsi="GHEA Grapalat" w:cs="GHEA Grapalat"/>
          <w:color w:val="000000"/>
          <w:sz w:val="24"/>
          <w:szCs w:val="24"/>
        </w:rPr>
        <w:t>սահմանում</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է</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Կառավարությունը</w:t>
      </w:r>
      <w:r w:rsidRPr="00A669CC">
        <w:rPr>
          <w:rFonts w:ascii="GHEA Grapalat" w:eastAsia="Times New Roman" w:hAnsi="GHEA Grapalat" w:cs="Times New Roman"/>
          <w:color w:val="000000"/>
          <w:sz w:val="24"/>
          <w:szCs w:val="24"/>
        </w:rPr>
        <w:t>.</w:t>
      </w:r>
    </w:p>
    <w:p w14:paraId="54F534C9"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 xml:space="preserve">18) պետական կառավարման մարմինների և (կամ) տեղական ինքնակառավարման մարմինների կողմից այն ծառայությունների մատուցումը, որոնց համար օրենքով սահմանված է պետական տուրքի և (կամ) տեղական տուրքի վճարում, ինչպես նաև պետական մարմինների և (կամ) համայնքային կառավարչական հիմնարկների կողմից ապրանքի մատակարարումը, աշխատանքի կատարումը և (կամ) ծառայության մատուցումն այն մասով, որից հասույթը հաշվեգրվել է պետական կամ համայնքների բյուջեների օգտին: Սույն կետի կիրառության իմաստով՝ հասույթի կամ դրա մի մասի հաշվեգրումը պետական կամ </w:t>
      </w:r>
      <w:r w:rsidRPr="00A669CC">
        <w:rPr>
          <w:rFonts w:ascii="GHEA Grapalat" w:eastAsia="Times New Roman" w:hAnsi="GHEA Grapalat" w:cs="Times New Roman"/>
          <w:color w:val="000000"/>
          <w:sz w:val="24"/>
          <w:szCs w:val="24"/>
        </w:rPr>
        <w:lastRenderedPageBreak/>
        <w:t>համայնքների բյուջեների օգտին պետք է հիմնավորվի դրանց համապատասխան գանձապետական հաշվին փոխանցմամբ.</w:t>
      </w:r>
    </w:p>
    <w:p w14:paraId="5DF6DD3B"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19) կոնցեսիոների (օպերատորի) կողմից Կառավարության սահմանած</w:t>
      </w:r>
      <w:r w:rsidRPr="00A669CC">
        <w:rPr>
          <w:rFonts w:ascii="Calibri" w:eastAsia="Times New Roman" w:hAnsi="Calibri" w:cs="Calibri"/>
          <w:color w:val="000000"/>
          <w:sz w:val="24"/>
          <w:szCs w:val="24"/>
        </w:rPr>
        <w:t> </w:t>
      </w:r>
      <w:hyperlink r:id="rId10" w:history="1">
        <w:r w:rsidRPr="00A669CC">
          <w:rPr>
            <w:rFonts w:ascii="GHEA Grapalat" w:eastAsia="Times New Roman" w:hAnsi="GHEA Grapalat" w:cs="Times New Roman"/>
            <w:color w:val="0000FF"/>
            <w:sz w:val="24"/>
            <w:szCs w:val="24"/>
            <w:u w:val="single"/>
          </w:rPr>
          <w:t>չափանիշների</w:t>
        </w:r>
      </w:hyperlink>
      <w:r w:rsidRPr="00A669CC">
        <w:rPr>
          <w:rFonts w:ascii="Calibri" w:eastAsia="Times New Roman" w:hAnsi="Calibri" w:cs="Calibri"/>
          <w:color w:val="000000"/>
          <w:sz w:val="24"/>
          <w:szCs w:val="24"/>
        </w:rPr>
        <w:t> </w:t>
      </w:r>
      <w:r w:rsidRPr="00A669CC">
        <w:rPr>
          <w:rFonts w:ascii="GHEA Grapalat" w:eastAsia="Times New Roman" w:hAnsi="GHEA Grapalat" w:cs="GHEA Grapalat"/>
          <w:color w:val="000000"/>
          <w:sz w:val="24"/>
          <w:szCs w:val="24"/>
        </w:rPr>
        <w:t>համաձայն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Կառավարության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լիազոր</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մարմնի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կողմից</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որպես</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կոնցեսիայի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պայմանագիր</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որակված</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գործարքի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պայմանների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շրջանակներում</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կոնցեդենտին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շնորհատուին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պատկանող</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ենթակառուցվածքային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ակտիվների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դրանց</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առանձին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տարրերի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վր</w:t>
      </w:r>
      <w:r w:rsidRPr="00A669CC">
        <w:rPr>
          <w:rFonts w:ascii="GHEA Grapalat" w:eastAsia="Times New Roman" w:hAnsi="GHEA Grapalat" w:cs="Times New Roman"/>
          <w:color w:val="000000"/>
          <w:sz w:val="24"/>
          <w:szCs w:val="24"/>
        </w:rPr>
        <w:t>ա կատարված բարելավման արդյունքի կամ գնված կամ կառուցված կամ փոխարինված ենթակառուցվածքային ակտիվների (նյութական կամ ոչ նյութական), դրանց կազմում առանձին տարրերի՝ կոնցեսիայի պայմանագրի գործողության ընթացքում կամ ավարտին կոնցեդենտին (շնորհատուին) օտարումը, ինչպես նաև կոնցեդենտին (շնորհատուին) կոնցեսիոն ծառայությունների մատուցումը: Սույն կետի կիրառության իմաստով՝</w:t>
      </w:r>
    </w:p>
    <w:p w14:paraId="629214F2"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ա. կոնցեդենտ (շնորհատու) է համարվում պետական կամ համայնքային մարմինը, որը որոշակի ժամանակահատվածով կոնցեսիոներին (օպերատորին) է տրամադրում հանրային ծառայությունների ենթակառուցվածքներ` դրանք շահագործելու և (կամ) սպասարկելու նպատակով,</w:t>
      </w:r>
    </w:p>
    <w:p w14:paraId="193A7310"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բ. կոնցեսիոներ (օպերատոր) է համարվում ռեզիդենտ կազմակերպությունը, որին կոնցեդենտի (շնորհատուի) կողմից տրամադրվում են հանրային ծառայությունների ենթակառուցվածքներ` հանրային ծառայություն մատուցելու և (կամ) այն բարելավելու նպատակով, և որը շահագործում և (կամ) սպասարկում է այդ ենթակառուցվածքները սահմանված ժամանակաշրջանի ընթացքում.</w:t>
      </w:r>
    </w:p>
    <w:p w14:paraId="725CFCE8"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20) ԱՏԳ ԱԱ 8432, 8433, 8434, 8436, 8701 ծածկագրերին դասվող տեխնիկայի և մասերի, ԱՏԳ ԱԱ 31-րդ խմբի ծածկագրերին դասվող պարարտանյութերի, ԱՏԳ ԱԱ 3808 91, 3808 92, 3808 93, 3808 94, 3808 99 ծածկագրերին դասվող թունաքիմիկատների, ԱՏԳ ԱԱ 0106 41 000 ծածկագրին դասվող մեղուների, ԱՏԳ ԱԱ 0106 49 000 ծածկագրին դասվող՝ գիտահետազոտական նպատակների կամ բույսերի պաշտպանության համար օգտակար միջատների, ԱՏԳ ԱԱ 1404 90 000 8 ծածկագրին դասվող` բույսերի աճեցման համար նախատեսված կոկոսի (հնդկընկույզի) մանրաթելի հիմքով սուբստրատների, ԱՏԳ ԱԱ 9406 90 310 0 ծածկագրերին դասվող ջերմոցների, ինչպես նաև գյուղատնտեսական մշակաբույսերի և բազմամյա տնկարկների սերմերի և տնկանյութի օտարումը.</w:t>
      </w:r>
    </w:p>
    <w:p w14:paraId="745F5726"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21) անմիջական արտադրողի կողմից Հայաստանի Հանրապետությունում արտադրված՝ ԱՏԳ ԱԱ 5701 10, 5702 10 000 0 ծածկագրերին դասվող ձեռագործ գորգերի օտարումը.</w:t>
      </w:r>
    </w:p>
    <w:p w14:paraId="089F4B36"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22) ջրօգտագործողների ընկերությունների կողմից ոռոգման ջրի օտարումը.</w:t>
      </w:r>
    </w:p>
    <w:p w14:paraId="62151A93"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23) ազատ տնտեսական գոտու կազմակերպչին և ազատ տնտեսական գոտու շահագործողին ծառայությունների մատուցումը, ազատ տնտեսական գոտու կազմակերպչի և ազատ տնտեսական գոտու շահագործողի համար աշխատանքների կատարումը, ազատ տնտեսական գոտու տարածքում ապրանքների մատակարարումը.</w:t>
      </w:r>
    </w:p>
    <w:p w14:paraId="5EA96FF0"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lastRenderedPageBreak/>
        <w:t>24) թերթերի և ամսագրերի օտարումը.</w:t>
      </w:r>
    </w:p>
    <w:p w14:paraId="253831AA"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25) Կառավարության սահմանած</w:t>
      </w:r>
      <w:r w:rsidRPr="00A669CC">
        <w:rPr>
          <w:rFonts w:ascii="Calibri" w:eastAsia="Times New Roman" w:hAnsi="Calibri" w:cs="Calibri"/>
          <w:color w:val="000000"/>
          <w:sz w:val="24"/>
          <w:szCs w:val="24"/>
        </w:rPr>
        <w:t> </w:t>
      </w:r>
      <w:hyperlink r:id="rId11" w:history="1">
        <w:r w:rsidRPr="00A669CC">
          <w:rPr>
            <w:rFonts w:ascii="GHEA Grapalat" w:eastAsia="Times New Roman" w:hAnsi="GHEA Grapalat" w:cs="Times New Roman"/>
            <w:color w:val="0000FF"/>
            <w:sz w:val="24"/>
            <w:szCs w:val="24"/>
            <w:u w:val="single"/>
          </w:rPr>
          <w:t>ցանկում</w:t>
        </w:r>
      </w:hyperlink>
      <w:r w:rsidRPr="00A669CC">
        <w:rPr>
          <w:rFonts w:ascii="Calibri" w:eastAsia="Times New Roman" w:hAnsi="Calibri" w:cs="Calibri"/>
          <w:color w:val="000000"/>
          <w:sz w:val="24"/>
          <w:szCs w:val="24"/>
        </w:rPr>
        <w:t> </w:t>
      </w:r>
      <w:r w:rsidRPr="00A669CC">
        <w:rPr>
          <w:rFonts w:ascii="GHEA Grapalat" w:eastAsia="Times New Roman" w:hAnsi="GHEA Grapalat" w:cs="GHEA Grapalat"/>
          <w:color w:val="000000"/>
          <w:sz w:val="24"/>
          <w:szCs w:val="24"/>
        </w:rPr>
        <w:t>նշված</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թանկարժեք</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և</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կիսաթանկարժեք</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քարերի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օտարումը</w:t>
      </w:r>
      <w:r w:rsidRPr="00A669CC">
        <w:rPr>
          <w:rFonts w:ascii="GHEA Grapalat" w:eastAsia="Times New Roman" w:hAnsi="GHEA Grapalat" w:cs="Times New Roman"/>
          <w:color w:val="000000"/>
          <w:sz w:val="24"/>
          <w:szCs w:val="24"/>
        </w:rPr>
        <w:t>.</w:t>
      </w:r>
    </w:p>
    <w:p w14:paraId="77D61AAD"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26) թանկարժեք մետաղների (բացառությամբ թանկարժեք մետաղներից պատրաստված արտադրանքի (իրերի), այդ թվում՝ ոսկերչական և այլ իրերի), ինչպես նաև թանկարժեք մետաղներից պատրաստված՝ ԱՏԳ ԱԱ 7106, 7108, 7109 00 000 0, 7110, 7113, 7115 ծածկագրերին դասվող ոսկերչական նշանակության կիսապատրաստուկների օտարումը.</w:t>
      </w:r>
    </w:p>
    <w:p w14:paraId="6BCA4978"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27) ծխախոտի արտադրանք արտադրող չհանդիսացող և ծխախոտի արտադրանք ներմուծող չհանդիսացող հարկ վճարողների կողմից այն ծխախոտի արտադրանքի օտարումը, որի առավելագույն մանրածախ գինը Կառավարության սահմանած կարգով ենթակա է ծխախոտի արտադրանքի տուփի վրա մակնշման.</w:t>
      </w:r>
    </w:p>
    <w:p w14:paraId="4A716CB7"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28) Շրջանառելի` բազմակի օգտագործման տարայով տարայավորված ապրանք արտադրողի կողմից Կառավարության սահմանած</w:t>
      </w:r>
      <w:r w:rsidRPr="00A669CC">
        <w:rPr>
          <w:rFonts w:ascii="Calibri" w:eastAsia="Times New Roman" w:hAnsi="Calibri" w:cs="Calibri"/>
          <w:color w:val="000000"/>
          <w:sz w:val="24"/>
          <w:szCs w:val="24"/>
        </w:rPr>
        <w:t> </w:t>
      </w:r>
      <w:hyperlink r:id="rId12" w:history="1">
        <w:r w:rsidRPr="00A669CC">
          <w:rPr>
            <w:rFonts w:ascii="GHEA Grapalat" w:eastAsia="Times New Roman" w:hAnsi="GHEA Grapalat" w:cs="Times New Roman"/>
            <w:color w:val="0000FF"/>
            <w:sz w:val="24"/>
            <w:szCs w:val="24"/>
            <w:u w:val="single"/>
          </w:rPr>
          <w:t>չափանիշները</w:t>
        </w:r>
      </w:hyperlink>
      <w:r w:rsidRPr="00A669CC">
        <w:rPr>
          <w:rFonts w:ascii="Calibri" w:eastAsia="Times New Roman" w:hAnsi="Calibri" w:cs="Calibri"/>
          <w:color w:val="000000"/>
          <w:sz w:val="24"/>
          <w:szCs w:val="24"/>
        </w:rPr>
        <w:t> </w:t>
      </w:r>
      <w:r w:rsidRPr="00A669CC">
        <w:rPr>
          <w:rFonts w:ascii="GHEA Grapalat" w:eastAsia="Times New Roman" w:hAnsi="GHEA Grapalat" w:cs="GHEA Grapalat"/>
          <w:color w:val="000000"/>
          <w:sz w:val="24"/>
          <w:szCs w:val="24"/>
        </w:rPr>
        <w:t>բավարարող</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շրջանառելի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բազմակի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օգտագործման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տարայի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օտարումը</w:t>
      </w:r>
      <w:r w:rsidRPr="00A669CC">
        <w:rPr>
          <w:rFonts w:ascii="GHEA Grapalat" w:eastAsia="Times New Roman" w:hAnsi="GHEA Grapalat" w:cs="Times New Roman"/>
          <w:color w:val="000000"/>
          <w:sz w:val="24"/>
          <w:szCs w:val="24"/>
        </w:rPr>
        <w:t>.</w:t>
      </w:r>
    </w:p>
    <w:p w14:paraId="7C648683"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29) խաղատների գործունեության կազմակերպումը.</w:t>
      </w:r>
    </w:p>
    <w:p w14:paraId="37894E38"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30) շահումով խաղերի (այդ թվում՝ ինտերնետ շահումով խաղերի), տոտալիզատորի և ինտերնետ տոտալիզատորի կազմակերպումը.</w:t>
      </w:r>
    </w:p>
    <w:p w14:paraId="298A9349"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31) ապրանքի մատակարարման հրապարակային պայմանագրով սահմանված երաշխիքային ժամանակահատվածում տվյալ ապրանքի հետ կապված սպասարկման ծառայությունների անհատույց մատուցումը, այդ ծառայությունների շրջանակներում սահմանված որակին չհամապատասխանող ապրանքների, դրանց լրակազմող տարրերի փոխարինման նպատակով ապրանքի անհատույց մատակարարումը, այն ապրանքների մատակարարումն ու ծառայությունների մատուցումը, որոնց արժեքը ներառված է հրապարակային պայմանագրերի համաձայն մատակարարվող ապրանքների արժեքում: Սույն կետը կարող է կիրառվել այն դեպքում, երբ կնքված պայմանագրի պայմանները համապատասխանում են Հայաստանի Հանրապետության քաղաքացիական օրենսգրքի 442-րդ հոդվածով սահմանված` հրապարակային պայմանագրերին ներկայացվող պահանջներին: Այն դեպքերում, երբ ապրանքի մատակարարման հրապարակային պայմանագրով նախատեսվում է այլ ապրանքների մատակարարում և (կամ) ծառայությունների մատուցում, ապա հրապարակային պայմանագրով մատակարարվող ապրանքի արժեքում այլ ապրանքների և (կամ) ծառայությունների արժեքը ներառելու փաստը պետք է հիմնավորվի հաշվապահական հաշվառման մեջ կիրառվող սկզբնական հաշվառման փաստաթղթերով և ԱԱՀ վճարողի կողմից հաստատված փաստաթղթերով (հրաման, հաստատված ինքնարժեքի հաշվարկ և այլն).</w:t>
      </w:r>
    </w:p>
    <w:p w14:paraId="4441224C"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32) կազմակերպության կանոնադրական կամ բաժնեհավաք կապիտալում բաժնեմասի կամ փայի նկատմամբ սեփականության իրավունքի օտարումը.</w:t>
      </w:r>
    </w:p>
    <w:p w14:paraId="11CDA217"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lastRenderedPageBreak/>
        <w:t>33) օրենքով սահմանված կարգով իրականացվող՝ կազմակերպության վերակազմակերպման շրջանակներում ապրանքի մատակարարումը և (կամ) ծառայության մատուցումը.</w:t>
      </w:r>
    </w:p>
    <w:p w14:paraId="18D01616"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34) սեփականաշնորհման կամ ապապետականացման գործարքների շրջանակներում ապրանքի մատակարարումը.</w:t>
      </w:r>
    </w:p>
    <w:p w14:paraId="01EC19A5"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35) Հայաստանի Հանրապետության տարածք մշակութային արժեքների ներմուծումը.</w:t>
      </w:r>
    </w:p>
    <w:p w14:paraId="59A085A3"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36) Հայաստանի Հանրապետության տարածքից «Արտահանում» մաքսային ընթացակարգից տարբերվող մաքսային ընթացակարգով (բացառությամբ «Վերամշակում՝ մաքսային տարածքում» մաքսային ընթացակարգով ներմուծված ապրանքների նկատմամբ «Վերաարտահանում» մաքսային ընթացակարգի կիրառման դեպքերի) արտահանված ապրանքների մատակարարումը.</w:t>
      </w:r>
    </w:p>
    <w:p w14:paraId="7E33AEFB"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37) օրենսդրությամբ սահմանված կարգով լիազորված տնտեսական օպերատորի կարգավիճակ ունեցող հարկ վճարողի կամ Կառավարության հավանությանն արժանացած ծրագիր իրականացնող ռեզիդենտ շահութահարկ վճարողների խմբի կողմից ԵՏՄ անդամ չհամարվող պետություններից Հայաստանի Հանրապետության տարածք ապրանքների ներմուծումը, եթե այդ ապրանքները կամ դրանց վերամշակման արդյունքում ստացված ապրանքները ներմուծման օրվանը հաջորդող 180 օրվա ընթացքում արտահանվում են (այդ թվում՝ ԵՏՄ անդամ պետություններ).</w:t>
      </w:r>
    </w:p>
    <w:p w14:paraId="1FCCD230"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38) Հայաստանի Հանրապետության տարածքից «Արտահանում» մաքսային ընթացակարգով ԵՏՄ անդամ չհամարվող պետություն արտահանված կամ Հայաստանի Հանրապետության տարածքից ԵՏՄ անդամ պետություն արտահանված սև և գունավոր մետաղների ջարդոնի մատակարարումը.</w:t>
      </w:r>
    </w:p>
    <w:p w14:paraId="0FA850C9"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39) անհատ ձեռնարկատիրոջ կամ նոտարի կողմից իրենց անձնական գույքի օտարման գործարքները.</w:t>
      </w:r>
    </w:p>
    <w:p w14:paraId="472FDE39"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40) անհատ ձեռնարկատիրոջը կամ նոտարին պատկանող՝ ժառանգության զանգվածում ներառվող գույքի` ժառանգին օտարումը.</w:t>
      </w:r>
    </w:p>
    <w:p w14:paraId="126D1B2F"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41) Հայաստանի Հանրապետություն ժամանող ֆիզիկական անձանց կողմից «Մաքսային կարգավորման</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Հայաստանի Հանրապետության օրենքով սահմանված՝ իրենց անձնական օգտագործման ապրանքի ներմուծումը.</w:t>
      </w:r>
    </w:p>
    <w:p w14:paraId="7EB891D1"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42) Հայաստանի Հանրապետություն մշտական բնակության ժամանող ֆիզիկական անձանց կողմից «Մաքսային կարգավորման</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Հայաստանի Հանրապետության օրենքով սահմանված՝ իրենց անձնական օգտագործման ապրանքի ներմուծումը.</w:t>
      </w:r>
    </w:p>
    <w:p w14:paraId="09BF0487"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 xml:space="preserve">43) օտարերկրյա պետություններում գործող Հայաստանի Հանրապետության դիվանագիտական ծառայության մարմիններում ծառայող դիվանագետների և Հայաստանի Հանրապետության դիվանագիտական ծառայությանը կից գործող ռազմական, առևտրական և այլ կցորդների, Հայաստանյայց Առաքելական Սուրբ Եկեղեցու այլ երկրների թեմերում Մայր Աթոռ Սուրբ Էջմիածնի կողմից հոգևոր ծառայության նշանակված քաղաքացիների կողմից ծառայության ավարտից հետո </w:t>
      </w:r>
      <w:r w:rsidRPr="00A669CC">
        <w:rPr>
          <w:rFonts w:ascii="GHEA Grapalat" w:eastAsia="Times New Roman" w:hAnsi="GHEA Grapalat" w:cs="Times New Roman"/>
          <w:color w:val="000000"/>
          <w:sz w:val="24"/>
          <w:szCs w:val="24"/>
        </w:rPr>
        <w:lastRenderedPageBreak/>
        <w:t>«Մաքսային կարգավորման</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Հայաստանի Հանրապետության օրենքով սահմանված՝ իրենց անձնական օգտագործման ապրանքի ներմուծումը.</w:t>
      </w:r>
    </w:p>
    <w:p w14:paraId="001D5D6E"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44) ապահովագրական և վերաապահովագրական ծառայությունների, ներառյալ՝ դրանց հետ կապված՝ ապահովագրական միջնորդների և գործակալների կողմից ծառայությունների մատուցումը.</w:t>
      </w:r>
    </w:p>
    <w:p w14:paraId="0195E2C9"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45) կենսաթոշակային ապահովման ծառայությունների, ներառյալ՝ դրանց հետ կապված՝ միջնորդների և գործակալների կողմից ծառայությունների մատուցումը.</w:t>
      </w:r>
    </w:p>
    <w:p w14:paraId="6E29F7BC"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46) «Ակտիվների արժեթղթավորման և ակտիվներով ապահովված արժեթղթերի</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Հայաստանի Հանրապետության օրենքի իմաստով նախաձեռնողի կողմից ակտիվների օտարումն արժեթղթավորման հիմնադրամին կամ վաճառողին, վաճառողի կողմից ակտիվների օտարումն արժեթղթավորման հիմնադրամին, «Ակտիվների արժեթղթավորման և ակտիվներով ապահովված արժեթղթերի</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Հայաստանի Հանրապետության օրենքով սահմանված դեպքերում նախաձեռնողի կողմից արժեթղթավորման հիմնադրամից ակտիվների հետգնումը կամ արժեթղթավորման հիմնադրամի հետ ակտիվների փոխանակումը, ինչպես նաև ակտիվների օտարումը «Ներդրումային ֆոնդերի</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Հայաստանի Հանրապետության օրենքի համաձայն ստեղծված արժեթղթավորման ֆոնդին, արժեթղթավորման ֆոնդին ակտիվն օտարած անձի կողմից արժեթղթավորման ֆոնդից ակտիվների հետգնումը կամ արժեթղթավորման ֆոնդի հետ ակտիվների փոխանակումը.</w:t>
      </w:r>
    </w:p>
    <w:p w14:paraId="5B11D0C8"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47) բանկերի, արժեթղթերի շուկայի մասնագիտացված մասնակիցների, վճարահաշվարկային կազմակերպությունների, վարկային կազմակերպությունների, ինչպես նաև սույն կետով սահմանված դեպքերում՝ այլ հարկ վճարողների կողմից հետևյալ ֆինանսական գործարքների ու գործառնությունների կատարումը.</w:t>
      </w:r>
    </w:p>
    <w:p w14:paraId="55837407"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ա. ցպահանջ, ժամկետային, խնայողական և նման այլ ավանդների ընդունման, բանկային և այլ հաշիվների բացման, վարման ու սպասարկման ծառայությունների, այդ թվում՝ վճարահաշվարկային ծառայությունների մատուցումը,</w:t>
      </w:r>
    </w:p>
    <w:p w14:paraId="2F07158C"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բ. բանկերի, վարկային կազմակերպությունների և այլ հարկ վճարողների կողմից վարկերի կամ փոխառությունների կամ գույքի լիզինգով (տարատեսակներով)</w:t>
      </w:r>
      <w:r w:rsidRPr="00A669CC">
        <w:rPr>
          <w:rFonts w:ascii="Calibri" w:eastAsia="Times New Roman" w:hAnsi="Calibri" w:cs="Calibri"/>
          <w:color w:val="000000"/>
          <w:sz w:val="24"/>
          <w:szCs w:val="24"/>
        </w:rPr>
        <w:t> </w:t>
      </w:r>
      <w:r w:rsidRPr="00A669CC">
        <w:rPr>
          <w:rFonts w:ascii="GHEA Grapalat" w:eastAsia="Times New Roman" w:hAnsi="GHEA Grapalat" w:cs="GHEA Grapalat"/>
          <w:color w:val="000000"/>
          <w:sz w:val="24"/>
          <w:szCs w:val="24"/>
        </w:rPr>
        <w:t>տրամադրման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այդ</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թվում</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պարտքերի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կամ</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առևտրային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գործարքների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ֆինանսավորման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ու</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ֆակտորինգային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այլ</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ծառայությունների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մատուցումը</w:t>
      </w:r>
      <w:r w:rsidRPr="00A669CC">
        <w:rPr>
          <w:rFonts w:ascii="GHEA Grapalat" w:eastAsia="Times New Roman" w:hAnsi="GHEA Grapalat" w:cs="Times New Roman"/>
          <w:color w:val="000000"/>
          <w:sz w:val="24"/>
          <w:szCs w:val="24"/>
        </w:rPr>
        <w:t>,</w:t>
      </w:r>
    </w:p>
    <w:p w14:paraId="3DD27001"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գ. երաշխավորությունների, բանկային երաշխիքների տրամադրման, ակրեդիտիվների բացման ծառայությունների մատուցումը,</w:t>
      </w:r>
    </w:p>
    <w:p w14:paraId="4D1FAF87"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դ. բանկերի, վարկային կազմակերպությունների և այլ հարկ վճարողների կողմից արժեթղթերի օտարումը, արժեթղթերի ի պահ ընդունման և հաշվառման ծառայությունների մատուցումը,</w:t>
      </w:r>
    </w:p>
    <w:p w14:paraId="539DADBA"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 xml:space="preserve">ե. մուրհակների, չեկերի, վճարագրերի, վճարային այլ արժեթղթերի, վճարային փաստաթղթերի, քարտերի և այլ գործիքների թողարկման, զեղչման, փոխանցման, զիջման կամ սպասարկման ծառայությունների մատուցումը, ինչպես նաև այլ հարկ </w:t>
      </w:r>
      <w:r w:rsidRPr="00A669CC">
        <w:rPr>
          <w:rFonts w:ascii="GHEA Grapalat" w:eastAsia="Times New Roman" w:hAnsi="GHEA Grapalat" w:cs="Times New Roman"/>
          <w:color w:val="000000"/>
          <w:sz w:val="24"/>
          <w:szCs w:val="24"/>
        </w:rPr>
        <w:lastRenderedPageBreak/>
        <w:t>վճարողների կողմից մուրհակների, չեկերի, վճարագրերի, վճարային այլ արժեթղթերի, վճարային փաստաթղթերի օտարումը,</w:t>
      </w:r>
    </w:p>
    <w:p w14:paraId="631E90AF"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զ. բանկերի, վարկային կազմակերպությունների և այլ հարկ վճարողների կողմից արտարժույթի (թղթադրամի և մետաղադրամի, բացառությամբ դրամագիտական նշանակություն ունեցող և այդ նպատակով օգտագործվող մետաղադրամների և բանկային տոմսերի) օտարումը և (կամ) փոխանակումը հայկական դրամի հետ, բանկերի, վարկային կազմակերպությունների և այլ հարկ վճարողների կողմից կնքվող ածանցյալ ֆինանսական գործիքների օտարումը, փոխանցումը, փոխանակումը կամ այլ կերպ օտարումը և այդ գործարքներով նախատեսված բոլոր վճարումների կատարումը, բացառությամբ այն վճարումների, որոնք իրականացվում են այնպիսի գույքի փաստացի մատակարարման դիմաց, որի օտարումը Օրենսգրքի համաձայն ենթակա է ԱԱՀ-ով հարկման,</w:t>
      </w:r>
    </w:p>
    <w:p w14:paraId="26A17ACB"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է. կանխիկի տրամադրման ծառայությունների մատուցումը,</w:t>
      </w:r>
    </w:p>
    <w:p w14:paraId="1BF082D5"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ը. բանկերի, արժեթղթերի շուկայի մասնագիտացված մասնակիցների և այլ հարկ վճարողների կողմից ներդրումային ֆոնդի կառավարման, ներառյալ` իր կողմից կառավարվող (այդ թվում` պատվիրակման արդյունքում) ներդրումային ֆոնդի թողարկած արժեթղթերի տեղաբաշխման և (կամ) հետգնման (մարման) ծառայությունների մատուցումը,</w:t>
      </w:r>
    </w:p>
    <w:p w14:paraId="74D7EAFC"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թ. ներդրումային ֆոնդի պահառության ծառայության մատուցումը,</w:t>
      </w:r>
    </w:p>
    <w:p w14:paraId="1A5EBBF0"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ժ. արժեթղթերի հավատարմագրային կառավարման ծառայության մատուցումը,</w:t>
      </w:r>
    </w:p>
    <w:p w14:paraId="3F5C995D"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ժա. բանկային ոսկու օտարումը, բանկային ոսկով արտահայտված հաշիվների բացման ու վարման, դրանցով այլ գործառնությունների կատարման ծառայությունների մատուցումը, ինչպես նաև բանկերին և վարկային կազմակերպություններին բանկային ձուլակտորների օտարումը,</w:t>
      </w:r>
    </w:p>
    <w:p w14:paraId="5E7460F2"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ժբ. օրենքով սահմանված կարգով բանկի կամ վարկային կազմակերպության սեփականությունը դարձած` անհատ ձեռնարկատեր և նոտար չհամարվող ֆիզիկական անձանց մինչ այդ պատկանող գրավի առարկայի օտարումը: Սույն ենթակետի կիրառության իմաստով՝ գրավի առարկան մինչև բանկի կամ վարկային կազմակերպության սեփականությունը դառնալը համարվում է անհատ ձեռնարկատեր և նոտար չհամարվող ֆիզիկական անձանց պատկանող, եթե գրավի առարկայի նկատմամբ սեփականության իրավունքի վկայականում նշված չէ, որ այն պատկանում է տվյալ անհատ ձեռնարկատիրոջը կամ նոտարին,</w:t>
      </w:r>
    </w:p>
    <w:p w14:paraId="31B80DCA"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ժգ. գումարների (հասույթների, պարտադիր, կոմունալ և այլ վճարների) ընդունման, ինչպես նաև աշխատավարձի, թոշակների, նպաստների, ապահովագրական և այլ վճարների կատարման ծառայությունների մատուցումը,</w:t>
      </w:r>
    </w:p>
    <w:p w14:paraId="7CF5CB1B"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ժդ. լիզինգի առարկայի հանձնման-ընդունման ամսաթվի դրությամբ ԱԱՀ վճարող համարվող կազմակերպությանը, անհատ ձեռնարկատիրոջը կամ նոտարին</w:t>
      </w:r>
      <w:r w:rsidRPr="00A669CC">
        <w:rPr>
          <w:rFonts w:ascii="Calibri" w:eastAsia="Times New Roman" w:hAnsi="Calibri" w:cs="Calibri"/>
          <w:color w:val="000000"/>
          <w:sz w:val="24"/>
          <w:szCs w:val="24"/>
        </w:rPr>
        <w:t> </w:t>
      </w:r>
      <w:r w:rsidRPr="00A669CC">
        <w:rPr>
          <w:rFonts w:ascii="GHEA Grapalat" w:eastAsia="Times New Roman" w:hAnsi="GHEA Grapalat" w:cs="GHEA Grapalat"/>
          <w:color w:val="000000"/>
          <w:sz w:val="24"/>
          <w:szCs w:val="24"/>
        </w:rPr>
        <w:t>լիզինգային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պայմանագրի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շրջանակներում</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բանկերի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և</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վարկային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կազմակերպությունների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կողմից</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ներմուծված</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այն</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ապրանքների</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լիզինգով</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Times New Roman"/>
          <w:color w:val="000000"/>
          <w:sz w:val="24"/>
          <w:szCs w:val="24"/>
        </w:rPr>
        <w:lastRenderedPageBreak/>
        <w:t>(</w:t>
      </w:r>
      <w:r w:rsidRPr="00A669CC">
        <w:rPr>
          <w:rFonts w:ascii="GHEA Grapalat" w:eastAsia="Times New Roman" w:hAnsi="GHEA Grapalat" w:cs="GHEA Grapalat"/>
          <w:color w:val="000000"/>
          <w:sz w:val="24"/>
          <w:szCs w:val="24"/>
        </w:rPr>
        <w:t>տարատեսակներով</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օտարումը</w:t>
      </w:r>
      <w:r w:rsidRPr="00A669CC">
        <w:rPr>
          <w:rFonts w:ascii="GHEA Grapalat" w:eastAsia="Times New Roman" w:hAnsi="GHEA Grapalat" w:cs="Times New Roman"/>
          <w:color w:val="000000"/>
          <w:sz w:val="24"/>
          <w:szCs w:val="24"/>
        </w:rPr>
        <w:t xml:space="preserve">, </w:t>
      </w:r>
      <w:r w:rsidRPr="00A669CC">
        <w:rPr>
          <w:rFonts w:ascii="GHEA Grapalat" w:eastAsia="Times New Roman" w:hAnsi="GHEA Grapalat" w:cs="GHEA Grapalat"/>
          <w:color w:val="000000"/>
          <w:sz w:val="24"/>
          <w:szCs w:val="24"/>
        </w:rPr>
        <w:t>որո</w:t>
      </w:r>
      <w:r w:rsidRPr="00A669CC">
        <w:rPr>
          <w:rFonts w:ascii="GHEA Grapalat" w:eastAsia="Times New Roman" w:hAnsi="GHEA Grapalat" w:cs="Times New Roman"/>
          <w:color w:val="000000"/>
          <w:sz w:val="24"/>
          <w:szCs w:val="24"/>
        </w:rPr>
        <w:t>նց ներմուծման ժամանակ ԱԱՀ-ն օրենսդրությամբ սահմանված կարգով չի հաշվարկվել և չի վճարվել,</w:t>
      </w:r>
    </w:p>
    <w:p w14:paraId="7C7DCB02"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ժե. բանկերի և վարկային կազմակերպությունների կողմից լիզինգի (տարատեսակների) ծառայության մատուցումը, եթե լիզինգի (տարատեսակների) պայմանագրով չի նախատեսվում, որ պայմանագրի գործողության ժամկետի ավարտից հետո կամ մինչև դրա ավարտը լիզինգի առարկայի նկատմամբ սեփականության իրավունքը կարող է անցնել վարձակալին:</w:t>
      </w:r>
    </w:p>
    <w:p w14:paraId="00E203D7"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ժզ. «Արժեթղթերի շուկայի</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Հայաստանի Հանրապետության օրենքի 25-րդ հոդվածով սահմանված ներդրումային ծառայությունների մատուցումը, բացառությամբ արժեթղթերում և ածանցյալ ֆինանսական գործիքներում ներդրումների հետ կապված՝ հաճախորդներին խորհրդատվության տրամադրման ծառայության,</w:t>
      </w:r>
    </w:p>
    <w:p w14:paraId="79BA092C"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ժէ. «Արժեթղթերի շուկայի</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Հայաստանի Հանրապետության օրենքի 26-րդ հոդվածով սահմանված ոչ հիմնական ծառայությունների մատուցումը, բացառությամբ ընկերությունների վերակազմակերպման հետ կապված խորհրդատվական և այլ ծառայությունների մատուցման, ինչպես նաև կապիտալի կառուցվածքի, կորպորատիվ ռազմավարության հարցերի վերաբերյալ ընկերություններին խորհրդատվության տրամադրման ծառայությունների,</w:t>
      </w:r>
    </w:p>
    <w:p w14:paraId="70FED46B"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ժը. կարգավորվող շուկայի օպերատորի կողմից արժեթղթերով և ածանցյալ ֆինանսական գործիքներով առևտրի կազմակերպման (միայն գործարքների համար գանձվող միջնորդավճարների մասով), ինչպես նաև կնքված գործարքների արդյունքում ծագած փոխադարձ պարտավորությունների (պահանջների) որոշման և հաշվանցման (քլիրինգի) ծառայությունների մատուցումը,</w:t>
      </w:r>
    </w:p>
    <w:p w14:paraId="7B2806C7"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ժթ. կենտրոնական դեպոզիտարիայի կողմից արժեթղթերի պահառության, արժեթղթերի սեփականատերերի (անվանատերերի) ռեեստրի վարման, քլիրինգի և վերջնահաշվարկի հետ կապված ծառայությունների, ինչպես նաև օրենքով կամ Հայաստանի Հանրապետության կենտրոնական բանկի իրավական ակտերով կենտրոնական դեպոզիտարիային թույլատրված այլ ծառայությունների (բացառությամբ խորհրդատվական ծառայությունների) մատուցումը, ներառյալ՝ արժեթղթերի հաշվարկային համակարգի անդամի կողմից այդ ծառայությունների միջնորդավորման ծառայությունների մատուցումը,</w:t>
      </w:r>
    </w:p>
    <w:p w14:paraId="4998EE83"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ի. շուկա ստեղծողի կարգավիճակով արժեթղթերի երկկողմանի գնանշման ապահովման ծառայությունների մատուցումը,</w:t>
      </w:r>
    </w:p>
    <w:p w14:paraId="0B02F8ED"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իա. լիզինգի (տարատեսակների) պայմանագրով բանկերի և վարկային կազմակերպությունների կողմից այն գույքի լիզինգով (տարատեսակներով) տրամադրումը, որի ձեռքբերման ժամանակ գույքի մատակարարման գործարքից ԱԱՀ-ն օրենսդրությամբ սահմանված կարգով չի հաշվարկվել և չի վճարվել:</w:t>
      </w:r>
    </w:p>
    <w:p w14:paraId="0C144DB4"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 xml:space="preserve">ԱԱՀ-ից չեն ազատվում սույն կետով սահմանված ծառայությունների հետ կապված քաղվածքների և այլ տեղեկությունների ձևակերպման և տրամադրման, արժեթղթերի, չեկերի, վճարագրերի, վճարային փաստաթղթերի, քարտերի, </w:t>
      </w:r>
      <w:r w:rsidRPr="00A669CC">
        <w:rPr>
          <w:rFonts w:ascii="GHEA Grapalat" w:eastAsia="Times New Roman" w:hAnsi="GHEA Grapalat" w:cs="Times New Roman"/>
          <w:color w:val="000000"/>
          <w:sz w:val="24"/>
          <w:szCs w:val="24"/>
        </w:rPr>
        <w:lastRenderedPageBreak/>
        <w:t>թղթադրամի, մետաղադրամի, բանկային ոսկու պատրաստման, ֆաքսիմիլային ծառայությունների մատուցումը.</w:t>
      </w:r>
    </w:p>
    <w:p w14:paraId="01F5AF50"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48) օտարերկրյա զբոսաշրջիկին մատուցվող զբոսաշրջության ոլորտի ծառայությունները, ինչպես նաև զբոսաշրջիկային գործակալությունների կողմից մատուցվող գործակալական ծառայությունները, եթե այդ ծառայությունների շրջանակներում ուղևորությունները, ճանապարհորդությունները, էքսկուրսիաներն իրականացվում են Հայաստանի Հանրապետության տարածքում.</w:t>
      </w:r>
    </w:p>
    <w:p w14:paraId="49533706"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49) ներդրումային ֆոնդի կողմից անշարժ գույքի օտարումը տվյալ ներդրումային ֆոնդում մասնակցություն ունեցող անձին, եթե անշարժ գույքը նախկինում ներդրումային ֆոնդի կողմից, որպես ներդրումային ֆոնդում փայի կամ բաժնետոմսի դիմաց ներդրում, ձեռք է բերվել տվյալ անձից.</w:t>
      </w:r>
    </w:p>
    <w:p w14:paraId="1872CC68"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50) «Անմաքս առևտուր» մաքսային ընթացակարգի գործողությունը եզրափակելու նպատակով անմաքս առևտրի խանութի կազմակերպչի կողմից այն օտարերկրյա ապրանքների՝ «Բաց թողնում՝ ներքին սպառման համար» մաքսային ընթացակարգով ներմուծումը, որոնք իրացվել են «Եվրասիական տնտեսական միության մաքսային օրենսգրքի</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2017 թվականի ապրիլի 11-ի պայմանագրի 1-ին հավելվածով հաստատված՝ Եվրասիական տնտեսական միության մաքսային օրենսգրքի 243-րդ հոդվածի 2-րդ կետի 3-րդ ենթակետում նշված անձանց.</w:t>
      </w:r>
    </w:p>
    <w:p w14:paraId="0718797E"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51) ԵՏՄ անդամ պետություններից Հայաստանի Հանրապետությունում գործող անմաքս առևտրի խանութներ ԵՏՄ ապրանքի կարգավիճակ ունեցող ապրանքի ներմուծումը.</w:t>
      </w:r>
    </w:p>
    <w:p w14:paraId="50F983BB"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52)</w:t>
      </w:r>
      <w:r w:rsidRPr="00A669CC">
        <w:rPr>
          <w:rFonts w:ascii="Calibri" w:eastAsia="Times New Roman" w:hAnsi="Calibri" w:cs="Calibri"/>
          <w:color w:val="000000"/>
          <w:sz w:val="24"/>
          <w:szCs w:val="24"/>
        </w:rPr>
        <w:t> </w:t>
      </w:r>
      <w:r w:rsidRPr="00A669CC">
        <w:rPr>
          <w:rFonts w:ascii="GHEA Grapalat" w:eastAsia="Times New Roman" w:hAnsi="GHEA Grapalat" w:cs="Times New Roman"/>
          <w:b/>
          <w:bCs/>
          <w:i/>
          <w:iCs/>
          <w:color w:val="000000"/>
          <w:sz w:val="24"/>
          <w:szCs w:val="24"/>
        </w:rPr>
        <w:t>(կետն ուժը կորցրել է 07.06.19 ՀՕ-63-Ն, գործել է 2019 թվականի հուլիսի 1-ից մինչև 2022 թվականի հունվարի 1-ը 07.06.19</w:t>
      </w:r>
      <w:r w:rsidRPr="00A669CC">
        <w:rPr>
          <w:rFonts w:ascii="Calibri" w:eastAsia="Times New Roman" w:hAnsi="Calibri" w:cs="Calibri"/>
          <w:b/>
          <w:bCs/>
          <w:i/>
          <w:iCs/>
          <w:color w:val="000000"/>
          <w:sz w:val="24"/>
          <w:szCs w:val="24"/>
        </w:rPr>
        <w:t> </w:t>
      </w:r>
      <w:hyperlink r:id="rId13" w:history="1">
        <w:r w:rsidRPr="00A669CC">
          <w:rPr>
            <w:rFonts w:ascii="GHEA Grapalat" w:eastAsia="Times New Roman" w:hAnsi="GHEA Grapalat" w:cs="Times New Roman"/>
            <w:b/>
            <w:bCs/>
            <w:i/>
            <w:iCs/>
            <w:color w:val="0000FF"/>
            <w:sz w:val="24"/>
            <w:szCs w:val="24"/>
            <w:u w:val="single"/>
          </w:rPr>
          <w:t>ՀՕ-63-Ն</w:t>
        </w:r>
      </w:hyperlink>
      <w:r w:rsidRPr="00A669CC">
        <w:rPr>
          <w:rFonts w:ascii="Calibri" w:eastAsia="Times New Roman" w:hAnsi="Calibri" w:cs="Calibri"/>
          <w:b/>
          <w:bCs/>
          <w:i/>
          <w:iCs/>
          <w:color w:val="000000"/>
          <w:sz w:val="24"/>
          <w:szCs w:val="24"/>
        </w:rPr>
        <w:t> </w:t>
      </w:r>
      <w:r w:rsidRPr="00A669CC">
        <w:rPr>
          <w:rFonts w:ascii="GHEA Grapalat" w:eastAsia="Times New Roman" w:hAnsi="GHEA Grapalat" w:cs="GHEA Grapalat"/>
          <w:b/>
          <w:bCs/>
          <w:i/>
          <w:iCs/>
          <w:color w:val="000000"/>
          <w:sz w:val="24"/>
          <w:szCs w:val="24"/>
        </w:rPr>
        <w:t>օրենքի</w:t>
      </w:r>
      <w:r w:rsidRPr="00A669CC">
        <w:rPr>
          <w:rFonts w:ascii="GHEA Grapalat" w:eastAsia="Times New Roman" w:hAnsi="GHEA Grapalat" w:cs="Times New Roman"/>
          <w:b/>
          <w:bCs/>
          <w:i/>
          <w:iCs/>
          <w:color w:val="000000"/>
          <w:sz w:val="24"/>
          <w:szCs w:val="24"/>
        </w:rPr>
        <w:t xml:space="preserve"> 2-</w:t>
      </w:r>
      <w:r w:rsidRPr="00A669CC">
        <w:rPr>
          <w:rFonts w:ascii="GHEA Grapalat" w:eastAsia="Times New Roman" w:hAnsi="GHEA Grapalat" w:cs="GHEA Grapalat"/>
          <w:b/>
          <w:bCs/>
          <w:i/>
          <w:iCs/>
          <w:color w:val="000000"/>
          <w:sz w:val="24"/>
          <w:szCs w:val="24"/>
        </w:rPr>
        <w:t>րդ</w:t>
      </w:r>
      <w:r w:rsidRPr="00A669CC">
        <w:rPr>
          <w:rFonts w:ascii="GHEA Grapalat" w:eastAsia="Times New Roman" w:hAnsi="GHEA Grapalat" w:cs="Times New Roman"/>
          <w:b/>
          <w:bCs/>
          <w:i/>
          <w:iCs/>
          <w:color w:val="000000"/>
          <w:sz w:val="24"/>
          <w:szCs w:val="24"/>
        </w:rPr>
        <w:t xml:space="preserve"> </w:t>
      </w:r>
      <w:r w:rsidRPr="00A669CC">
        <w:rPr>
          <w:rFonts w:ascii="GHEA Grapalat" w:eastAsia="Times New Roman" w:hAnsi="GHEA Grapalat" w:cs="GHEA Grapalat"/>
          <w:b/>
          <w:bCs/>
          <w:i/>
          <w:iCs/>
          <w:color w:val="000000"/>
          <w:sz w:val="24"/>
          <w:szCs w:val="24"/>
        </w:rPr>
        <w:t>հոդվածի</w:t>
      </w:r>
      <w:r w:rsidRPr="00A669CC">
        <w:rPr>
          <w:rFonts w:ascii="GHEA Grapalat" w:eastAsia="Times New Roman" w:hAnsi="GHEA Grapalat" w:cs="Times New Roman"/>
          <w:b/>
          <w:bCs/>
          <w:i/>
          <w:iCs/>
          <w:color w:val="000000"/>
          <w:sz w:val="24"/>
          <w:szCs w:val="24"/>
        </w:rPr>
        <w:t xml:space="preserve"> </w:t>
      </w:r>
      <w:r w:rsidRPr="00A669CC">
        <w:rPr>
          <w:rFonts w:ascii="GHEA Grapalat" w:eastAsia="Times New Roman" w:hAnsi="GHEA Grapalat" w:cs="GHEA Grapalat"/>
          <w:b/>
          <w:bCs/>
          <w:i/>
          <w:iCs/>
          <w:color w:val="000000"/>
          <w:sz w:val="24"/>
          <w:szCs w:val="24"/>
        </w:rPr>
        <w:t>համաձայն</w:t>
      </w:r>
      <w:r w:rsidRPr="00A669CC">
        <w:rPr>
          <w:rFonts w:ascii="GHEA Grapalat" w:eastAsia="Times New Roman" w:hAnsi="GHEA Grapalat" w:cs="Times New Roman"/>
          <w:b/>
          <w:bCs/>
          <w:i/>
          <w:iCs/>
          <w:color w:val="000000"/>
          <w:sz w:val="24"/>
          <w:szCs w:val="24"/>
        </w:rPr>
        <w:t>)</w:t>
      </w:r>
    </w:p>
    <w:p w14:paraId="0F3F762D"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53) Հայաստանի Հանրապետությունում աճեցված տոհմային կենդանի խոշոր եղջերավոր անասունների օտարումը Հայաստանի Հանրապետության տարածքում.</w:t>
      </w:r>
    </w:p>
    <w:p w14:paraId="10A55CA4"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54) «Պետական տուրքի</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Հայաստանի Հանրապետության օրենքի 19.7-րդ և 19.8-րդ հոդվածներով սահմանված գործունեության տեսակների շրջանակներում ապրանքների մատակարարումը, աշխատանքների կատարումը և (կամ) ծառայությունների մատուցումը.</w:t>
      </w:r>
    </w:p>
    <w:p w14:paraId="32DFAD36"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55) տիեզերական օբյեկտների և տեխնիկայի օտարումը, դրանց վերանորոգման կամ արդիականացման, երկրի հեռակա դիտարկման արբանյակային տվյալների հաղորդման, մշակման, տիեզերական օբյեկտների արձակման, վայրէջքի և թռիչքի ընթացքում դրանց կառավարման ծառայությունների մատուցումը և (կամ) աշխատանքների կատարումը` մինչև 2030 թվականի դեկտեմբերի 31-ը.</w:t>
      </w:r>
    </w:p>
    <w:p w14:paraId="4A04BBD8"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56) ֆինանսական համակարգի հաշտարարի գրասենյակի կողմից «Ֆինանսական համակարգի հաշտարարի</w:t>
      </w:r>
      <w:r w:rsidRPr="00A669CC">
        <w:rPr>
          <w:rFonts w:ascii="Calibri" w:eastAsia="Times New Roman" w:hAnsi="Calibri" w:cs="Calibri"/>
          <w:color w:val="000000"/>
          <w:sz w:val="24"/>
          <w:szCs w:val="24"/>
        </w:rPr>
        <w:t> </w:t>
      </w:r>
      <w:r w:rsidRPr="00A669CC">
        <w:rPr>
          <w:rFonts w:ascii="GHEA Grapalat" w:eastAsia="Times New Roman" w:hAnsi="GHEA Grapalat" w:cs="Times New Roman"/>
          <w:color w:val="FFFFFF"/>
          <w:sz w:val="24"/>
          <w:szCs w:val="24"/>
          <w:shd w:val="clear" w:color="auto" w:fill="0A246A"/>
        </w:rPr>
        <w:t>մասին</w:t>
      </w:r>
      <w:r w:rsidRPr="00A669CC">
        <w:rPr>
          <w:rFonts w:ascii="GHEA Grapalat" w:eastAsia="Times New Roman" w:hAnsi="GHEA Grapalat" w:cs="Times New Roman"/>
          <w:color w:val="000000"/>
          <w:sz w:val="24"/>
          <w:szCs w:val="24"/>
        </w:rPr>
        <w:t>» Հայաստանի Հանրապետության օրենքով սահմանված ծառայությունների մատուցումը.</w:t>
      </w:r>
    </w:p>
    <w:p w14:paraId="32A73565" w14:textId="77777777" w:rsidR="00A669CC" w:rsidRPr="00A669CC" w:rsidRDefault="00A669CC" w:rsidP="00A669CC">
      <w:pPr>
        <w:shd w:val="clear" w:color="auto" w:fill="FFFFFF"/>
        <w:spacing w:after="0" w:line="240" w:lineRule="auto"/>
        <w:ind w:firstLine="375"/>
        <w:jc w:val="both"/>
        <w:rPr>
          <w:rFonts w:ascii="GHEA Grapalat" w:eastAsia="Times New Roman" w:hAnsi="GHEA Grapalat" w:cs="Times New Roman"/>
          <w:color w:val="000000"/>
          <w:sz w:val="24"/>
          <w:szCs w:val="24"/>
        </w:rPr>
      </w:pPr>
      <w:r w:rsidRPr="00A669CC">
        <w:rPr>
          <w:rFonts w:ascii="GHEA Grapalat" w:eastAsia="Times New Roman" w:hAnsi="GHEA Grapalat" w:cs="Times New Roman"/>
          <w:color w:val="000000"/>
          <w:sz w:val="24"/>
          <w:szCs w:val="24"/>
        </w:rPr>
        <w:t>57)</w:t>
      </w:r>
      <w:r w:rsidRPr="00A669CC">
        <w:rPr>
          <w:rFonts w:ascii="Calibri" w:eastAsia="Times New Roman" w:hAnsi="Calibri" w:cs="Calibri"/>
          <w:color w:val="000000"/>
          <w:sz w:val="24"/>
          <w:szCs w:val="24"/>
        </w:rPr>
        <w:t> </w:t>
      </w:r>
      <w:r w:rsidRPr="00A669CC">
        <w:rPr>
          <w:rFonts w:ascii="GHEA Grapalat" w:eastAsia="Times New Roman" w:hAnsi="GHEA Grapalat" w:cs="Times New Roman"/>
          <w:b/>
          <w:bCs/>
          <w:i/>
          <w:iCs/>
          <w:color w:val="000000"/>
          <w:sz w:val="24"/>
          <w:szCs w:val="24"/>
        </w:rPr>
        <w:t>(կետը գործել է մինչև 2024 թվականի հունվարի 1-ը` համաձայն</w:t>
      </w:r>
      <w:r w:rsidRPr="00A669CC">
        <w:rPr>
          <w:rFonts w:ascii="Calibri" w:eastAsia="Times New Roman" w:hAnsi="Calibri" w:cs="Calibri"/>
          <w:b/>
          <w:bCs/>
          <w:i/>
          <w:iCs/>
          <w:color w:val="000000"/>
          <w:sz w:val="24"/>
          <w:szCs w:val="24"/>
        </w:rPr>
        <w:t> </w:t>
      </w:r>
      <w:r w:rsidRPr="00A669CC">
        <w:rPr>
          <w:rFonts w:ascii="GHEA Grapalat" w:eastAsia="Times New Roman" w:hAnsi="GHEA Grapalat" w:cs="Times New Roman"/>
          <w:b/>
          <w:bCs/>
          <w:i/>
          <w:iCs/>
          <w:color w:val="000000"/>
          <w:sz w:val="24"/>
          <w:szCs w:val="24"/>
        </w:rPr>
        <w:t>10.12.21</w:t>
      </w:r>
      <w:r w:rsidRPr="00A669CC">
        <w:rPr>
          <w:rFonts w:ascii="Calibri" w:eastAsia="Times New Roman" w:hAnsi="Calibri" w:cs="Calibri"/>
          <w:b/>
          <w:bCs/>
          <w:i/>
          <w:iCs/>
          <w:color w:val="000000"/>
          <w:sz w:val="24"/>
          <w:szCs w:val="24"/>
        </w:rPr>
        <w:t> </w:t>
      </w:r>
      <w:hyperlink r:id="rId14" w:history="1">
        <w:r w:rsidRPr="00A669CC">
          <w:rPr>
            <w:rFonts w:ascii="GHEA Grapalat" w:eastAsia="Times New Roman" w:hAnsi="GHEA Grapalat" w:cs="Times New Roman"/>
            <w:b/>
            <w:bCs/>
            <w:i/>
            <w:iCs/>
            <w:color w:val="0000FF"/>
            <w:sz w:val="24"/>
            <w:szCs w:val="24"/>
            <w:u w:val="single"/>
          </w:rPr>
          <w:t>ՀՕ-370-Ն</w:t>
        </w:r>
      </w:hyperlink>
      <w:r w:rsidRPr="00A669CC">
        <w:rPr>
          <w:rFonts w:ascii="Calibri" w:eastAsia="Times New Roman" w:hAnsi="Calibri" w:cs="Calibri"/>
          <w:b/>
          <w:bCs/>
          <w:i/>
          <w:iCs/>
          <w:color w:val="000000"/>
          <w:sz w:val="24"/>
          <w:szCs w:val="24"/>
        </w:rPr>
        <w:t> </w:t>
      </w:r>
      <w:r w:rsidRPr="00A669CC">
        <w:rPr>
          <w:rFonts w:ascii="GHEA Grapalat" w:eastAsia="Times New Roman" w:hAnsi="GHEA Grapalat" w:cs="GHEA Grapalat"/>
          <w:b/>
          <w:bCs/>
          <w:i/>
          <w:iCs/>
          <w:color w:val="000000"/>
          <w:sz w:val="24"/>
          <w:szCs w:val="24"/>
        </w:rPr>
        <w:t>օրենքի</w:t>
      </w:r>
      <w:r w:rsidRPr="00A669CC">
        <w:rPr>
          <w:rFonts w:ascii="GHEA Grapalat" w:eastAsia="Times New Roman" w:hAnsi="GHEA Grapalat" w:cs="Times New Roman"/>
          <w:b/>
          <w:bCs/>
          <w:i/>
          <w:iCs/>
          <w:color w:val="000000"/>
          <w:sz w:val="24"/>
          <w:szCs w:val="24"/>
        </w:rPr>
        <w:t xml:space="preserve"> 2-</w:t>
      </w:r>
      <w:r w:rsidRPr="00A669CC">
        <w:rPr>
          <w:rFonts w:ascii="GHEA Grapalat" w:eastAsia="Times New Roman" w:hAnsi="GHEA Grapalat" w:cs="GHEA Grapalat"/>
          <w:b/>
          <w:bCs/>
          <w:i/>
          <w:iCs/>
          <w:color w:val="000000"/>
          <w:sz w:val="24"/>
          <w:szCs w:val="24"/>
        </w:rPr>
        <w:t>րդ</w:t>
      </w:r>
      <w:r w:rsidRPr="00A669CC">
        <w:rPr>
          <w:rFonts w:ascii="GHEA Grapalat" w:eastAsia="Times New Roman" w:hAnsi="GHEA Grapalat" w:cs="Times New Roman"/>
          <w:b/>
          <w:bCs/>
          <w:i/>
          <w:iCs/>
          <w:color w:val="000000"/>
          <w:sz w:val="24"/>
          <w:szCs w:val="24"/>
        </w:rPr>
        <w:t xml:space="preserve"> </w:t>
      </w:r>
      <w:r w:rsidRPr="00A669CC">
        <w:rPr>
          <w:rFonts w:ascii="GHEA Grapalat" w:eastAsia="Times New Roman" w:hAnsi="GHEA Grapalat" w:cs="GHEA Grapalat"/>
          <w:b/>
          <w:bCs/>
          <w:i/>
          <w:iCs/>
          <w:color w:val="000000"/>
          <w:sz w:val="24"/>
          <w:szCs w:val="24"/>
        </w:rPr>
        <w:t>հոդվածի</w:t>
      </w:r>
      <w:r w:rsidRPr="00A669CC">
        <w:rPr>
          <w:rFonts w:ascii="GHEA Grapalat" w:eastAsia="Times New Roman" w:hAnsi="GHEA Grapalat" w:cs="Times New Roman"/>
          <w:b/>
          <w:bCs/>
          <w:i/>
          <w:iCs/>
          <w:color w:val="000000"/>
          <w:sz w:val="24"/>
          <w:szCs w:val="24"/>
        </w:rPr>
        <w:t>)</w:t>
      </w:r>
    </w:p>
    <w:p w14:paraId="53B83B0F" w14:textId="53DDB536" w:rsidR="00A669CC" w:rsidRPr="00A658CC" w:rsidRDefault="00A669CC" w:rsidP="00A669CC">
      <w:pPr>
        <w:shd w:val="clear" w:color="auto" w:fill="FFFFFF"/>
        <w:spacing w:after="0" w:line="240" w:lineRule="auto"/>
        <w:ind w:firstLine="375"/>
        <w:jc w:val="both"/>
        <w:rPr>
          <w:rFonts w:ascii="Cambria Math" w:eastAsia="Times New Roman" w:hAnsi="Cambria Math" w:cs="Times New Roman"/>
          <w:color w:val="000000"/>
          <w:sz w:val="24"/>
          <w:szCs w:val="24"/>
          <w:lang w:val="hy-AM"/>
        </w:rPr>
      </w:pPr>
      <w:r w:rsidRPr="004A41FA">
        <w:rPr>
          <w:rFonts w:ascii="GHEA Grapalat" w:eastAsia="Times New Roman" w:hAnsi="GHEA Grapalat" w:cs="Times New Roman"/>
          <w:color w:val="000000"/>
          <w:sz w:val="24"/>
          <w:szCs w:val="24"/>
        </w:rPr>
        <w:lastRenderedPageBreak/>
        <w:t>58) 2024 թվականի հունվարի 1-ից մինչև 2026 թվականի հունվարի 1-ը ԵՏՄ ԱՏԳ ԱԱ 8702 40 000, 8703 80 000 և 8711 60 ծածկագրերին դասվող էլեկտրական շարժիչով տրանսպորտային միջոցների ներմուծումը և (կամ) օտարումը</w:t>
      </w:r>
      <w:r w:rsidR="00A658CC">
        <w:rPr>
          <w:rFonts w:ascii="Cambria Math" w:eastAsia="Times New Roman" w:hAnsi="Cambria Math" w:cs="Times New Roman"/>
          <w:color w:val="000000"/>
          <w:sz w:val="24"/>
          <w:szCs w:val="24"/>
          <w:lang w:val="hy-AM"/>
        </w:rPr>
        <w:t>․</w:t>
      </w:r>
    </w:p>
    <w:p w14:paraId="636C37CF" w14:textId="31B0889D" w:rsidR="00A669CC" w:rsidRDefault="00A669CC" w:rsidP="00A669CC">
      <w:pPr>
        <w:shd w:val="clear" w:color="auto" w:fill="FFFFFF"/>
        <w:spacing w:after="0" w:line="240" w:lineRule="auto"/>
        <w:ind w:firstLine="375"/>
        <w:jc w:val="both"/>
        <w:rPr>
          <w:rFonts w:ascii="GHEA Grapalat" w:eastAsia="Times New Roman" w:hAnsi="GHEA Grapalat" w:cs="Times New Roman"/>
          <w:strike/>
          <w:color w:val="000000"/>
          <w:sz w:val="24"/>
          <w:szCs w:val="24"/>
        </w:rPr>
      </w:pPr>
    </w:p>
    <w:p w14:paraId="1DFB0D1B" w14:textId="74559470" w:rsidR="00685D23" w:rsidRPr="00685D23" w:rsidRDefault="00685D23" w:rsidP="00685D23">
      <w:pPr>
        <w:shd w:val="clear" w:color="auto" w:fill="FFFFFF"/>
        <w:spacing w:after="0" w:line="240" w:lineRule="auto"/>
        <w:ind w:firstLine="375"/>
        <w:jc w:val="both"/>
        <w:rPr>
          <w:rFonts w:ascii="GHEA Grapalat" w:eastAsia="Times New Roman" w:hAnsi="GHEA Grapalat" w:cs="Times New Roman"/>
          <w:color w:val="FF0000"/>
          <w:sz w:val="24"/>
          <w:szCs w:val="24"/>
          <w:lang w:val="hy-AM"/>
        </w:rPr>
      </w:pPr>
      <w:r w:rsidRPr="00685D23">
        <w:rPr>
          <w:rFonts w:ascii="GHEA Grapalat" w:eastAsia="Times New Roman" w:hAnsi="GHEA Grapalat" w:cs="Times New Roman"/>
          <w:color w:val="FF0000"/>
          <w:sz w:val="24"/>
          <w:szCs w:val="24"/>
          <w:lang w:val="hy-AM"/>
        </w:rPr>
        <w:t>5</w:t>
      </w:r>
      <w:r w:rsidR="007C4808" w:rsidRPr="007C4808">
        <w:rPr>
          <w:rFonts w:ascii="GHEA Grapalat" w:eastAsia="Times New Roman" w:hAnsi="GHEA Grapalat" w:cs="Times New Roman"/>
          <w:color w:val="FF0000"/>
          <w:sz w:val="24"/>
          <w:szCs w:val="24"/>
          <w:lang w:val="hy-AM"/>
        </w:rPr>
        <w:t>8.1</w:t>
      </w:r>
      <w:r w:rsidRPr="00685D23">
        <w:rPr>
          <w:rFonts w:ascii="GHEA Grapalat" w:eastAsia="Times New Roman" w:hAnsi="GHEA Grapalat" w:cs="Times New Roman"/>
          <w:color w:val="FF0000"/>
          <w:sz w:val="24"/>
          <w:szCs w:val="24"/>
          <w:lang w:val="hy-AM"/>
        </w:rPr>
        <w:t>) 2026 թվականի հունվարի 1-ից մինչև 2026 թվականի դեկտեմբերի 31-ը ներառյալ՝ ԵԱՏՄ ԱՏԳ ԱԱ 8702 40 000, 8703 80 000 և 8711 60 ծածկագրերին դասվող և 2023 թվականի դեկտեմբերի 31-ից հետո թողարկված՝ էլեկտրական շարժիչով տրանսպորտային միջոցների (այդ թվում՝ ԵԱՏՄ ապրանքի կարգավիճակ ունեցող) «Բացթողում՝ ներքին սպառման համար» մաքսային ընթացակարգով ձևակերպումը կամ ֆիզիկական անձանց կողմից որպես անձնական օգտագործման տրանսպորտային միջոց ներմուծումը և ազատ շրջանառության նպատակով բացթողնումը կամ Ե</w:t>
      </w:r>
      <w:r w:rsidR="004A41FA">
        <w:rPr>
          <w:rFonts w:ascii="GHEA Grapalat" w:eastAsia="Times New Roman" w:hAnsi="GHEA Grapalat" w:cs="Times New Roman"/>
          <w:color w:val="FF0000"/>
          <w:sz w:val="24"/>
          <w:szCs w:val="24"/>
          <w:lang w:val="hy-AM"/>
        </w:rPr>
        <w:t>Ա</w:t>
      </w:r>
      <w:r w:rsidRPr="00685D23">
        <w:rPr>
          <w:rFonts w:ascii="GHEA Grapalat" w:eastAsia="Times New Roman" w:hAnsi="GHEA Grapalat" w:cs="Times New Roman"/>
          <w:color w:val="FF0000"/>
          <w:sz w:val="24"/>
          <w:szCs w:val="24"/>
          <w:lang w:val="hy-AM"/>
        </w:rPr>
        <w:t>ՏՄ անդամ պետություններից ներմուծումը կամ Հայաստանի Հանրապետության տարածքում օտարումը</w:t>
      </w:r>
      <w:r w:rsidRPr="00685D23">
        <w:rPr>
          <w:rFonts w:ascii="Cambria Math" w:eastAsia="Times New Roman" w:hAnsi="Cambria Math" w:cs="Cambria Math"/>
          <w:color w:val="FF0000"/>
          <w:sz w:val="24"/>
          <w:szCs w:val="24"/>
          <w:lang w:val="hy-AM"/>
        </w:rPr>
        <w:t>․</w:t>
      </w:r>
    </w:p>
    <w:p w14:paraId="7502B2FE"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color w:val="333333"/>
          <w:sz w:val="24"/>
          <w:szCs w:val="24"/>
          <w:lang w:val="hy-AM"/>
        </w:rPr>
        <w:t>59) կրիպտոակտիվի օտարումը:</w:t>
      </w:r>
    </w:p>
    <w:p w14:paraId="0399B8AE"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(64-րդ հոդվածը</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խմբ</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փոփ</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լրաց</w:t>
      </w:r>
      <w:r w:rsidRPr="00AE0AB6">
        <w:rPr>
          <w:rFonts w:ascii="GHEA Grapalat" w:eastAsia="Times New Roman" w:hAnsi="GHEA Grapalat" w:cs="Arial"/>
          <w:b/>
          <w:bCs/>
          <w:i/>
          <w:iCs/>
          <w:color w:val="333333"/>
          <w:sz w:val="24"/>
          <w:szCs w:val="24"/>
          <w:lang w:val="hy-AM"/>
        </w:rPr>
        <w:t>.</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Arial"/>
          <w:b/>
          <w:bCs/>
          <w:i/>
          <w:iCs/>
          <w:color w:val="333333"/>
          <w:sz w:val="24"/>
          <w:szCs w:val="24"/>
          <w:lang w:val="hy-AM"/>
        </w:rPr>
        <w:t xml:space="preserve">21.12.17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-266-</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խմբ</w:t>
      </w:r>
      <w:r w:rsidRPr="00AE0AB6">
        <w:rPr>
          <w:rFonts w:ascii="GHEA Grapalat" w:eastAsia="Times New Roman" w:hAnsi="GHEA Grapalat" w:cs="Arial"/>
          <w:b/>
          <w:bCs/>
          <w:i/>
          <w:iCs/>
          <w:color w:val="333333"/>
          <w:sz w:val="24"/>
          <w:szCs w:val="24"/>
          <w:lang w:val="hy-AM"/>
        </w:rPr>
        <w:t xml:space="preserve">. 08.02.18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-124-</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փոփ</w:t>
      </w:r>
      <w:r w:rsidRPr="00AE0AB6">
        <w:rPr>
          <w:rFonts w:ascii="GHEA Grapalat" w:eastAsia="Times New Roman" w:hAnsi="GHEA Grapalat" w:cs="Arial"/>
          <w:b/>
          <w:bCs/>
          <w:i/>
          <w:iCs/>
          <w:color w:val="333333"/>
          <w:sz w:val="24"/>
          <w:szCs w:val="24"/>
          <w:lang w:val="hy-AM"/>
        </w:rPr>
        <w:t xml:space="preserve">. 23.03.18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-261-</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21.06.18 ՀՕ-338-Ն, լրաց.</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Arial"/>
          <w:b/>
          <w:bCs/>
          <w:i/>
          <w:iCs/>
          <w:color w:val="333333"/>
          <w:sz w:val="24"/>
          <w:szCs w:val="24"/>
          <w:lang w:val="hy-AM"/>
        </w:rPr>
        <w:t xml:space="preserve">25.06.19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-68-</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19.06.19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-87-</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փոփ</w:t>
      </w:r>
      <w:r w:rsidRPr="00AE0AB6">
        <w:rPr>
          <w:rFonts w:ascii="GHEA Grapalat" w:eastAsia="Times New Roman" w:hAnsi="GHEA Grapalat" w:cs="Arial"/>
          <w:b/>
          <w:bCs/>
          <w:i/>
          <w:iCs/>
          <w:color w:val="333333"/>
          <w:sz w:val="24"/>
          <w:szCs w:val="24"/>
          <w:lang w:val="hy-AM"/>
        </w:rPr>
        <w:t xml:space="preserve">. 21.01.20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-54-</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լրաց</w:t>
      </w:r>
      <w:r w:rsidRPr="00AE0AB6">
        <w:rPr>
          <w:rFonts w:ascii="GHEA Grapalat" w:eastAsia="Times New Roman" w:hAnsi="GHEA Grapalat" w:cs="Arial"/>
          <w:b/>
          <w:bCs/>
          <w:i/>
          <w:iCs/>
          <w:color w:val="333333"/>
          <w:sz w:val="24"/>
          <w:szCs w:val="24"/>
          <w:lang w:val="hy-AM"/>
        </w:rPr>
        <w:t xml:space="preserve">. 24.01.20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-82-</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06.03.20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-153-</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03.06.20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-293-</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փոփ</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լրաց</w:t>
      </w:r>
      <w:r w:rsidRPr="00AE0AB6">
        <w:rPr>
          <w:rFonts w:ascii="GHEA Grapalat" w:eastAsia="Times New Roman" w:hAnsi="GHEA Grapalat" w:cs="Arial"/>
          <w:b/>
          <w:bCs/>
          <w:i/>
          <w:iCs/>
          <w:color w:val="333333"/>
          <w:sz w:val="24"/>
          <w:szCs w:val="24"/>
          <w:lang w:val="hy-AM"/>
        </w:rPr>
        <w:t>.</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Arial"/>
          <w:b/>
          <w:bCs/>
          <w:i/>
          <w:iCs/>
          <w:color w:val="333333"/>
          <w:sz w:val="24"/>
          <w:szCs w:val="24"/>
          <w:lang w:val="hy-AM"/>
        </w:rPr>
        <w:t xml:space="preserve">18.06.20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-321-</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փոփ</w:t>
      </w:r>
      <w:r w:rsidRPr="00AE0AB6">
        <w:rPr>
          <w:rFonts w:ascii="GHEA Grapalat" w:eastAsia="Times New Roman" w:hAnsi="GHEA Grapalat" w:cs="Arial"/>
          <w:b/>
          <w:bCs/>
          <w:i/>
          <w:iCs/>
          <w:color w:val="333333"/>
          <w:sz w:val="24"/>
          <w:szCs w:val="24"/>
          <w:lang w:val="hy-AM"/>
        </w:rPr>
        <w:t xml:space="preserve">. 26.05.21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-215-</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07.06.19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-63-</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լրաց</w:t>
      </w:r>
      <w:r w:rsidRPr="00AE0AB6">
        <w:rPr>
          <w:rFonts w:ascii="GHEA Grapalat" w:eastAsia="Times New Roman" w:hAnsi="GHEA Grapalat" w:cs="Arial"/>
          <w:b/>
          <w:bCs/>
          <w:i/>
          <w:iCs/>
          <w:color w:val="333333"/>
          <w:sz w:val="24"/>
          <w:szCs w:val="24"/>
          <w:lang w:val="hy-AM"/>
        </w:rPr>
        <w:t xml:space="preserve">. 10.12.21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-370-</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փոփ</w:t>
      </w:r>
      <w:r w:rsidRPr="00AE0AB6">
        <w:rPr>
          <w:rFonts w:ascii="GHEA Grapalat" w:eastAsia="Times New Roman" w:hAnsi="GHEA Grapalat" w:cs="Arial"/>
          <w:b/>
          <w:bCs/>
          <w:i/>
          <w:iCs/>
          <w:color w:val="333333"/>
          <w:sz w:val="24"/>
          <w:szCs w:val="24"/>
          <w:lang w:val="hy-AM"/>
        </w:rPr>
        <w:t xml:space="preserve">. 14.09.22 </w:t>
      </w:r>
      <w:r w:rsidRPr="00AE0AB6">
        <w:rPr>
          <w:rFonts w:ascii="GHEA Grapalat" w:eastAsia="Times New Roman" w:hAnsi="GHEA Grapalat" w:cs="GHEA Grapalat"/>
          <w:b/>
          <w:bCs/>
          <w:i/>
          <w:iCs/>
          <w:color w:val="333333"/>
          <w:sz w:val="24"/>
          <w:szCs w:val="24"/>
          <w:lang w:val="hy-AM"/>
        </w:rPr>
        <w:t>Հ</w:t>
      </w:r>
      <w:r w:rsidRPr="00AE0AB6">
        <w:rPr>
          <w:rFonts w:ascii="GHEA Grapalat" w:eastAsia="Times New Roman" w:hAnsi="GHEA Grapalat" w:cs="Arial"/>
          <w:b/>
          <w:bCs/>
          <w:i/>
          <w:iCs/>
          <w:color w:val="333333"/>
          <w:sz w:val="24"/>
          <w:szCs w:val="24"/>
          <w:lang w:val="hy-AM"/>
        </w:rPr>
        <w:t>Օ-355-Ն, խմբ., փոփ. 07.12.22 ՀՕ-517-Ն, լրաց. 22.03.23 ՀՕ-120-Ն, խմբ. 13.04.23 ՀՕ-131-Ն, լրաց. 22.11.23</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-383-</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փոփ</w:t>
      </w:r>
      <w:r w:rsidRPr="00AE0AB6">
        <w:rPr>
          <w:rFonts w:ascii="GHEA Grapalat" w:eastAsia="Times New Roman" w:hAnsi="GHEA Grapalat" w:cs="Arial"/>
          <w:b/>
          <w:bCs/>
          <w:i/>
          <w:iCs/>
          <w:color w:val="333333"/>
          <w:sz w:val="24"/>
          <w:szCs w:val="24"/>
          <w:lang w:val="hy-AM"/>
        </w:rPr>
        <w:t xml:space="preserve">. 02.10.24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-353-</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Arial"/>
          <w:b/>
          <w:bCs/>
          <w:i/>
          <w:iCs/>
          <w:color w:val="333333"/>
          <w:sz w:val="24"/>
          <w:szCs w:val="24"/>
          <w:lang w:val="hy-AM"/>
        </w:rPr>
        <w:t>04.12.24</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-499-</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լրաց</w:t>
      </w:r>
      <w:r w:rsidRPr="00AE0AB6">
        <w:rPr>
          <w:rFonts w:ascii="GHEA Grapalat" w:eastAsia="Times New Roman" w:hAnsi="GHEA Grapalat" w:cs="Arial"/>
          <w:b/>
          <w:bCs/>
          <w:i/>
          <w:iCs/>
          <w:color w:val="333333"/>
          <w:sz w:val="24"/>
          <w:szCs w:val="24"/>
          <w:lang w:val="hy-AM"/>
        </w:rPr>
        <w:t xml:space="preserve">. 29.05.25 </w:t>
      </w:r>
      <w:r w:rsidRPr="00AE0AB6">
        <w:rPr>
          <w:rFonts w:ascii="GHEA Grapalat" w:eastAsia="Times New Roman" w:hAnsi="GHEA Grapalat" w:cs="GHEA Grapalat"/>
          <w:b/>
          <w:bCs/>
          <w:i/>
          <w:iCs/>
          <w:color w:val="333333"/>
          <w:sz w:val="24"/>
          <w:szCs w:val="24"/>
          <w:lang w:val="hy-AM"/>
        </w:rPr>
        <w:t>ՀՕ</w:t>
      </w:r>
      <w:r w:rsidRPr="00AE0AB6">
        <w:rPr>
          <w:rFonts w:ascii="GHEA Grapalat" w:eastAsia="Times New Roman" w:hAnsi="GHEA Grapalat" w:cs="Arial"/>
          <w:b/>
          <w:bCs/>
          <w:i/>
          <w:iCs/>
          <w:color w:val="333333"/>
          <w:sz w:val="24"/>
          <w:szCs w:val="24"/>
          <w:lang w:val="hy-AM"/>
        </w:rPr>
        <w:t>-175-</w:t>
      </w:r>
      <w:r w:rsidRPr="00AE0AB6">
        <w:rPr>
          <w:rFonts w:ascii="GHEA Grapalat" w:eastAsia="Times New Roman" w:hAnsi="GHEA Grapalat" w:cs="GHEA Grapalat"/>
          <w:b/>
          <w:bCs/>
          <w:i/>
          <w:iCs/>
          <w:color w:val="333333"/>
          <w:sz w:val="24"/>
          <w:szCs w:val="24"/>
          <w:lang w:val="hy-AM"/>
        </w:rPr>
        <w:t>Ն</w:t>
      </w:r>
      <w:r w:rsidRPr="00AE0AB6">
        <w:rPr>
          <w:rFonts w:ascii="GHEA Grapalat" w:eastAsia="Times New Roman" w:hAnsi="GHEA Grapalat" w:cs="Arial"/>
          <w:b/>
          <w:bCs/>
          <w:i/>
          <w:iCs/>
          <w:color w:val="333333"/>
          <w:sz w:val="24"/>
          <w:szCs w:val="24"/>
          <w:lang w:val="hy-AM"/>
        </w:rPr>
        <w:t>)</w:t>
      </w:r>
    </w:p>
    <w:p w14:paraId="3B4EAF2C"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(21.06.18</w:t>
      </w:r>
      <w:r w:rsidRPr="00AE0AB6">
        <w:rPr>
          <w:rFonts w:ascii="Calibri" w:eastAsia="Times New Roman" w:hAnsi="Calibri" w:cs="Calibri"/>
          <w:b/>
          <w:bCs/>
          <w:i/>
          <w:iCs/>
          <w:color w:val="333333"/>
          <w:sz w:val="24"/>
          <w:szCs w:val="24"/>
          <w:lang w:val="hy-AM"/>
        </w:rPr>
        <w:t> </w:t>
      </w:r>
      <w:hyperlink r:id="rId15" w:tgtFrame="_blank" w:history="1">
        <w:r w:rsidRPr="00AE0AB6">
          <w:rPr>
            <w:rFonts w:ascii="GHEA Grapalat" w:eastAsia="Times New Roman" w:hAnsi="GHEA Grapalat" w:cs="Arial"/>
            <w:b/>
            <w:bCs/>
            <w:i/>
            <w:iCs/>
            <w:color w:val="0000FF"/>
            <w:sz w:val="24"/>
            <w:szCs w:val="24"/>
            <w:u w:val="single"/>
            <w:lang w:val="hy-AM"/>
          </w:rPr>
          <w:t>ՀՕ-338-Ն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ունի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անցումային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դրույթ</w:t>
      </w:r>
      <w:r w:rsidRPr="00AE0AB6">
        <w:rPr>
          <w:rFonts w:ascii="GHEA Grapalat" w:eastAsia="Times New Roman" w:hAnsi="GHEA Grapalat" w:cs="Arial"/>
          <w:b/>
          <w:bCs/>
          <w:i/>
          <w:iCs/>
          <w:color w:val="333333"/>
          <w:sz w:val="24"/>
          <w:szCs w:val="24"/>
          <w:lang w:val="hy-AM"/>
        </w:rPr>
        <w:t>)</w:t>
      </w:r>
    </w:p>
    <w:p w14:paraId="54A2FB28"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(25.06.19</w:t>
      </w:r>
      <w:r w:rsidRPr="00AE0AB6">
        <w:rPr>
          <w:rFonts w:ascii="Calibri" w:eastAsia="Times New Roman" w:hAnsi="Calibri" w:cs="Calibri"/>
          <w:b/>
          <w:bCs/>
          <w:i/>
          <w:iCs/>
          <w:color w:val="333333"/>
          <w:sz w:val="24"/>
          <w:szCs w:val="24"/>
          <w:lang w:val="hy-AM"/>
        </w:rPr>
        <w:t> </w:t>
      </w:r>
      <w:hyperlink r:id="rId16" w:tgtFrame="_blank" w:history="1">
        <w:r w:rsidRPr="00AE0AB6">
          <w:rPr>
            <w:rFonts w:ascii="GHEA Grapalat" w:eastAsia="Times New Roman" w:hAnsi="GHEA Grapalat" w:cs="Arial"/>
            <w:b/>
            <w:bCs/>
            <w:i/>
            <w:iCs/>
            <w:sz w:val="24"/>
            <w:szCs w:val="24"/>
            <w:lang w:val="hy-AM"/>
          </w:rPr>
          <w:t>ՀՕ-68-Ն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ունի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անցումային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դրույթ</w:t>
      </w:r>
      <w:r w:rsidRPr="00AE0AB6">
        <w:rPr>
          <w:rFonts w:ascii="GHEA Grapalat" w:eastAsia="Times New Roman" w:hAnsi="GHEA Grapalat" w:cs="Arial"/>
          <w:b/>
          <w:bCs/>
          <w:i/>
          <w:iCs/>
          <w:color w:val="333333"/>
          <w:sz w:val="24"/>
          <w:szCs w:val="24"/>
          <w:lang w:val="hy-AM"/>
        </w:rPr>
        <w:t>)</w:t>
      </w:r>
    </w:p>
    <w:p w14:paraId="0B8A1503"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(18.06.20</w:t>
      </w:r>
      <w:r w:rsidRPr="00AE0AB6">
        <w:rPr>
          <w:rFonts w:ascii="Calibri" w:eastAsia="Times New Roman" w:hAnsi="Calibri" w:cs="Calibri"/>
          <w:b/>
          <w:bCs/>
          <w:i/>
          <w:iCs/>
          <w:color w:val="333333"/>
          <w:sz w:val="24"/>
          <w:szCs w:val="24"/>
          <w:lang w:val="hy-AM"/>
        </w:rPr>
        <w:t> </w:t>
      </w:r>
      <w:hyperlink r:id="rId17" w:tgtFrame="_blank" w:history="1">
        <w:r w:rsidRPr="00AE0AB6">
          <w:rPr>
            <w:rFonts w:ascii="GHEA Grapalat" w:eastAsia="Times New Roman" w:hAnsi="GHEA Grapalat" w:cs="Arial"/>
            <w:b/>
            <w:bCs/>
            <w:i/>
            <w:iCs/>
            <w:sz w:val="24"/>
            <w:szCs w:val="24"/>
            <w:lang w:val="hy-AM"/>
          </w:rPr>
          <w:t>ՀՕ-321-Ն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ունի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անցումայ</w:t>
      </w:r>
      <w:r w:rsidRPr="00AE0AB6">
        <w:rPr>
          <w:rFonts w:ascii="GHEA Grapalat" w:eastAsia="Times New Roman" w:hAnsi="GHEA Grapalat" w:cs="Arial"/>
          <w:b/>
          <w:bCs/>
          <w:i/>
          <w:iCs/>
          <w:color w:val="333333"/>
          <w:sz w:val="24"/>
          <w:szCs w:val="24"/>
          <w:lang w:val="hy-AM"/>
        </w:rPr>
        <w:t>ին դրույթ)</w:t>
      </w:r>
    </w:p>
    <w:p w14:paraId="4B54C1A5"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(03.06.20</w:t>
      </w:r>
      <w:r w:rsidRPr="00AE0AB6">
        <w:rPr>
          <w:rFonts w:ascii="Calibri" w:eastAsia="Times New Roman" w:hAnsi="Calibri" w:cs="Calibri"/>
          <w:b/>
          <w:bCs/>
          <w:i/>
          <w:iCs/>
          <w:color w:val="333333"/>
          <w:sz w:val="24"/>
          <w:szCs w:val="24"/>
          <w:lang w:val="hy-AM"/>
        </w:rPr>
        <w:t> </w:t>
      </w:r>
      <w:hyperlink r:id="rId18" w:tgtFrame="_blank" w:history="1">
        <w:r w:rsidRPr="00AE0AB6">
          <w:rPr>
            <w:rFonts w:ascii="GHEA Grapalat" w:eastAsia="Times New Roman" w:hAnsi="GHEA Grapalat" w:cs="Arial"/>
            <w:b/>
            <w:bCs/>
            <w:i/>
            <w:iCs/>
            <w:color w:val="0000FF"/>
            <w:sz w:val="24"/>
            <w:szCs w:val="24"/>
            <w:u w:val="single"/>
            <w:lang w:val="hy-AM"/>
          </w:rPr>
          <w:t>ՀՕ-293-Ն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ունի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անցումային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դրույթ</w:t>
      </w:r>
      <w:r w:rsidRPr="00AE0AB6">
        <w:rPr>
          <w:rFonts w:ascii="GHEA Grapalat" w:eastAsia="Times New Roman" w:hAnsi="GHEA Grapalat" w:cs="Arial"/>
          <w:b/>
          <w:bCs/>
          <w:i/>
          <w:iCs/>
          <w:color w:val="333333"/>
          <w:sz w:val="24"/>
          <w:szCs w:val="24"/>
          <w:lang w:val="hy-AM"/>
        </w:rPr>
        <w:t>)</w:t>
      </w:r>
    </w:p>
    <w:p w14:paraId="0D95C191"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(26.05.21</w:t>
      </w:r>
      <w:r w:rsidRPr="00AE0AB6">
        <w:rPr>
          <w:rFonts w:ascii="Calibri" w:eastAsia="Times New Roman" w:hAnsi="Calibri" w:cs="Calibri"/>
          <w:b/>
          <w:bCs/>
          <w:i/>
          <w:iCs/>
          <w:color w:val="333333"/>
          <w:sz w:val="24"/>
          <w:szCs w:val="24"/>
          <w:lang w:val="hy-AM"/>
        </w:rPr>
        <w:t> </w:t>
      </w:r>
      <w:hyperlink r:id="rId19" w:tgtFrame="_blank" w:history="1">
        <w:r w:rsidRPr="00AE0AB6">
          <w:rPr>
            <w:rFonts w:ascii="GHEA Grapalat" w:eastAsia="Times New Roman" w:hAnsi="GHEA Grapalat" w:cs="Arial"/>
            <w:b/>
            <w:bCs/>
            <w:i/>
            <w:iCs/>
            <w:color w:val="0000FF"/>
            <w:sz w:val="24"/>
            <w:szCs w:val="24"/>
            <w:u w:val="single"/>
            <w:lang w:val="hy-AM"/>
          </w:rPr>
          <w:t>ՀՕ-215-Ն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ունի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անցումային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դրույթ</w:t>
      </w:r>
      <w:r w:rsidRPr="00AE0AB6">
        <w:rPr>
          <w:rFonts w:ascii="GHEA Grapalat" w:eastAsia="Times New Roman" w:hAnsi="GHEA Grapalat" w:cs="Arial"/>
          <w:b/>
          <w:bCs/>
          <w:i/>
          <w:iCs/>
          <w:color w:val="333333"/>
          <w:sz w:val="24"/>
          <w:szCs w:val="24"/>
          <w:lang w:val="hy-AM"/>
        </w:rPr>
        <w:t>)</w:t>
      </w:r>
    </w:p>
    <w:p w14:paraId="452F9D5C"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(10.12.21</w:t>
      </w:r>
      <w:r w:rsidRPr="00AE0AB6">
        <w:rPr>
          <w:rFonts w:ascii="Calibri" w:eastAsia="Times New Roman" w:hAnsi="Calibri" w:cs="Calibri"/>
          <w:b/>
          <w:bCs/>
          <w:i/>
          <w:iCs/>
          <w:color w:val="333333"/>
          <w:sz w:val="24"/>
          <w:szCs w:val="24"/>
          <w:lang w:val="hy-AM"/>
        </w:rPr>
        <w:t> </w:t>
      </w:r>
      <w:hyperlink r:id="rId20" w:tgtFrame="_blank" w:history="1">
        <w:r w:rsidRPr="00AE0AB6">
          <w:rPr>
            <w:rFonts w:ascii="GHEA Grapalat" w:eastAsia="Times New Roman" w:hAnsi="GHEA Grapalat" w:cs="Arial"/>
            <w:b/>
            <w:bCs/>
            <w:i/>
            <w:iCs/>
            <w:sz w:val="24"/>
            <w:szCs w:val="24"/>
            <w:lang w:val="hy-AM"/>
          </w:rPr>
          <w:t>ՀՕ-370-Ն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ունի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անցումային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դրույթ</w:t>
      </w:r>
      <w:r w:rsidRPr="00AE0AB6">
        <w:rPr>
          <w:rFonts w:ascii="GHEA Grapalat" w:eastAsia="Times New Roman" w:hAnsi="GHEA Grapalat" w:cs="Arial"/>
          <w:b/>
          <w:bCs/>
          <w:i/>
          <w:iCs/>
          <w:color w:val="333333"/>
          <w:sz w:val="24"/>
          <w:szCs w:val="24"/>
          <w:lang w:val="hy-AM"/>
        </w:rPr>
        <w:t>)</w:t>
      </w:r>
    </w:p>
    <w:p w14:paraId="4EB4A96A"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(07.12.22</w:t>
      </w:r>
      <w:r w:rsidRPr="00AE0AB6">
        <w:rPr>
          <w:rFonts w:ascii="Calibri" w:eastAsia="Times New Roman" w:hAnsi="Calibri" w:cs="Calibri"/>
          <w:b/>
          <w:bCs/>
          <w:i/>
          <w:iCs/>
          <w:color w:val="333333"/>
          <w:sz w:val="24"/>
          <w:szCs w:val="24"/>
          <w:lang w:val="hy-AM"/>
        </w:rPr>
        <w:t> </w:t>
      </w:r>
      <w:hyperlink r:id="rId21" w:tgtFrame="_blank" w:history="1">
        <w:r w:rsidRPr="00AE0AB6">
          <w:rPr>
            <w:rFonts w:ascii="GHEA Grapalat" w:eastAsia="Times New Roman" w:hAnsi="GHEA Grapalat" w:cs="Arial"/>
            <w:b/>
            <w:bCs/>
            <w:i/>
            <w:iCs/>
            <w:sz w:val="24"/>
            <w:szCs w:val="24"/>
            <w:lang w:val="hy-AM"/>
          </w:rPr>
          <w:t>ՀՕ-517-Ն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ունի</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եզրափակիչ</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մաս</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և</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անցումային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դրույթներ</w:t>
      </w:r>
      <w:r w:rsidRPr="00AE0AB6">
        <w:rPr>
          <w:rFonts w:ascii="GHEA Grapalat" w:eastAsia="Times New Roman" w:hAnsi="GHEA Grapalat" w:cs="Arial"/>
          <w:b/>
          <w:bCs/>
          <w:i/>
          <w:iCs/>
          <w:color w:val="333333"/>
          <w:sz w:val="24"/>
          <w:szCs w:val="24"/>
          <w:lang w:val="hy-AM"/>
        </w:rPr>
        <w:t>)</w:t>
      </w:r>
    </w:p>
    <w:p w14:paraId="03D41CEE"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(22.03.23</w:t>
      </w:r>
      <w:r w:rsidRPr="00AE0AB6">
        <w:rPr>
          <w:rFonts w:ascii="Calibri" w:eastAsia="Times New Roman" w:hAnsi="Calibri" w:cs="Calibri"/>
          <w:b/>
          <w:bCs/>
          <w:i/>
          <w:iCs/>
          <w:color w:val="333333"/>
          <w:sz w:val="24"/>
          <w:szCs w:val="24"/>
          <w:lang w:val="hy-AM"/>
        </w:rPr>
        <w:t> </w:t>
      </w:r>
      <w:hyperlink r:id="rId22" w:tgtFrame="_blank" w:history="1">
        <w:r w:rsidRPr="00AE0AB6">
          <w:rPr>
            <w:rFonts w:ascii="GHEA Grapalat" w:eastAsia="Times New Roman" w:hAnsi="GHEA Grapalat" w:cs="Arial"/>
            <w:b/>
            <w:bCs/>
            <w:i/>
            <w:iCs/>
            <w:color w:val="0000FF"/>
            <w:sz w:val="24"/>
            <w:szCs w:val="24"/>
            <w:u w:val="single"/>
            <w:lang w:val="hy-AM"/>
          </w:rPr>
          <w:t>ՀՕ-120-Ն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ունի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եզրափակիչ</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մաս</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և</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անցումային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դրույթներ</w:t>
      </w:r>
      <w:r w:rsidRPr="00AE0AB6">
        <w:rPr>
          <w:rFonts w:ascii="GHEA Grapalat" w:eastAsia="Times New Roman" w:hAnsi="GHEA Grapalat" w:cs="Arial"/>
          <w:b/>
          <w:bCs/>
          <w:i/>
          <w:iCs/>
          <w:color w:val="333333"/>
          <w:sz w:val="24"/>
          <w:szCs w:val="24"/>
          <w:lang w:val="hy-AM"/>
        </w:rPr>
        <w:t>)</w:t>
      </w:r>
    </w:p>
    <w:p w14:paraId="7B668CA1"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(13.04.23</w:t>
      </w:r>
      <w:r w:rsidRPr="00AE0AB6">
        <w:rPr>
          <w:rFonts w:ascii="Calibri" w:eastAsia="Times New Roman" w:hAnsi="Calibri" w:cs="Calibri"/>
          <w:b/>
          <w:bCs/>
          <w:i/>
          <w:iCs/>
          <w:color w:val="333333"/>
          <w:sz w:val="24"/>
          <w:szCs w:val="24"/>
          <w:lang w:val="hy-AM"/>
        </w:rPr>
        <w:t> </w:t>
      </w:r>
      <w:hyperlink r:id="rId23" w:tgtFrame="_blank" w:history="1">
        <w:r w:rsidRPr="00AE0AB6">
          <w:rPr>
            <w:rFonts w:ascii="GHEA Grapalat" w:eastAsia="Times New Roman" w:hAnsi="GHEA Grapalat" w:cs="Arial"/>
            <w:b/>
            <w:bCs/>
            <w:i/>
            <w:iCs/>
            <w:color w:val="0000FF"/>
            <w:sz w:val="24"/>
            <w:szCs w:val="24"/>
            <w:u w:val="single"/>
            <w:lang w:val="hy-AM"/>
          </w:rPr>
          <w:t>ՀՕ-131-Ն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ունի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եզրափակիչ</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մաս</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և</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անցումային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դրույթ</w:t>
      </w:r>
      <w:r w:rsidRPr="00AE0AB6">
        <w:rPr>
          <w:rFonts w:ascii="GHEA Grapalat" w:eastAsia="Times New Roman" w:hAnsi="GHEA Grapalat" w:cs="Arial"/>
          <w:b/>
          <w:bCs/>
          <w:i/>
          <w:iCs/>
          <w:color w:val="333333"/>
          <w:sz w:val="24"/>
          <w:szCs w:val="24"/>
          <w:lang w:val="hy-AM"/>
        </w:rPr>
        <w:t>)</w:t>
      </w:r>
    </w:p>
    <w:p w14:paraId="282E0935"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(հոդվածի 2-րդ մասի</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Arial"/>
          <w:b/>
          <w:bCs/>
          <w:i/>
          <w:iCs/>
          <w:color w:val="333333"/>
          <w:sz w:val="24"/>
          <w:szCs w:val="24"/>
          <w:lang w:val="hy-AM"/>
        </w:rPr>
        <w:t>58-</w:t>
      </w:r>
      <w:r w:rsidRPr="00AE0AB6">
        <w:rPr>
          <w:rFonts w:ascii="GHEA Grapalat" w:eastAsia="Times New Roman" w:hAnsi="GHEA Grapalat" w:cs="GHEA Grapalat"/>
          <w:b/>
          <w:bCs/>
          <w:i/>
          <w:iCs/>
          <w:color w:val="333333"/>
          <w:sz w:val="24"/>
          <w:szCs w:val="24"/>
          <w:lang w:val="hy-AM"/>
        </w:rPr>
        <w:t>րդ</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կետը</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Arial"/>
          <w:b/>
          <w:bCs/>
          <w:i/>
          <w:iCs/>
          <w:color w:val="333333"/>
          <w:sz w:val="24"/>
          <w:szCs w:val="24"/>
          <w:lang w:val="hy-AM"/>
        </w:rPr>
        <w:t>22.11.23</w:t>
      </w:r>
      <w:r w:rsidRPr="00AE0AB6">
        <w:rPr>
          <w:rFonts w:ascii="Calibri" w:eastAsia="Times New Roman" w:hAnsi="Calibri" w:cs="Calibri"/>
          <w:b/>
          <w:bCs/>
          <w:i/>
          <w:iCs/>
          <w:color w:val="333333"/>
          <w:sz w:val="24"/>
          <w:szCs w:val="24"/>
          <w:lang w:val="hy-AM"/>
        </w:rPr>
        <w:t> </w:t>
      </w:r>
      <w:hyperlink r:id="rId24" w:tgtFrame="_blank" w:history="1">
        <w:r w:rsidRPr="00AE0AB6">
          <w:rPr>
            <w:rFonts w:ascii="GHEA Grapalat" w:eastAsia="Times New Roman" w:hAnsi="GHEA Grapalat" w:cs="Arial"/>
            <w:b/>
            <w:bCs/>
            <w:i/>
            <w:iCs/>
            <w:color w:val="0000FF"/>
            <w:sz w:val="24"/>
            <w:szCs w:val="24"/>
            <w:u w:val="single"/>
            <w:lang w:val="hy-AM"/>
          </w:rPr>
          <w:t>ՀՕ-383-Ն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օրենքի</w:t>
      </w:r>
      <w:r w:rsidRPr="00AE0AB6">
        <w:rPr>
          <w:rFonts w:ascii="GHEA Grapalat" w:eastAsia="Times New Roman" w:hAnsi="GHEA Grapalat" w:cs="Arial"/>
          <w:b/>
          <w:bCs/>
          <w:i/>
          <w:iCs/>
          <w:color w:val="333333"/>
          <w:sz w:val="24"/>
          <w:szCs w:val="24"/>
          <w:lang w:val="hy-AM"/>
        </w:rPr>
        <w:t xml:space="preserve"> 1-</w:t>
      </w:r>
      <w:r w:rsidRPr="00AE0AB6">
        <w:rPr>
          <w:rFonts w:ascii="GHEA Grapalat" w:eastAsia="Times New Roman" w:hAnsi="GHEA Grapalat" w:cs="GHEA Grapalat"/>
          <w:b/>
          <w:bCs/>
          <w:i/>
          <w:iCs/>
          <w:color w:val="333333"/>
          <w:sz w:val="24"/>
          <w:szCs w:val="24"/>
          <w:lang w:val="hy-AM"/>
        </w:rPr>
        <w:t>ին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հոդվածի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լրացմամբ</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ուժի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մեջ</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է</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մտնում</w:t>
      </w:r>
      <w:r w:rsidRPr="00AE0AB6">
        <w:rPr>
          <w:rFonts w:ascii="GHEA Grapalat" w:eastAsia="Times New Roman" w:hAnsi="GHEA Grapalat" w:cs="Arial"/>
          <w:b/>
          <w:bCs/>
          <w:i/>
          <w:iCs/>
          <w:color w:val="333333"/>
          <w:sz w:val="24"/>
          <w:szCs w:val="24"/>
          <w:lang w:val="hy-AM"/>
        </w:rPr>
        <w:t xml:space="preserve"> 2024 </w:t>
      </w:r>
      <w:r w:rsidRPr="00AE0AB6">
        <w:rPr>
          <w:rFonts w:ascii="GHEA Grapalat" w:eastAsia="Times New Roman" w:hAnsi="GHEA Grapalat" w:cs="GHEA Grapalat"/>
          <w:b/>
          <w:bCs/>
          <w:i/>
          <w:iCs/>
          <w:color w:val="333333"/>
          <w:sz w:val="24"/>
          <w:szCs w:val="24"/>
          <w:lang w:val="hy-AM"/>
        </w:rPr>
        <w:t>թվականի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հունվարի</w:t>
      </w:r>
      <w:r w:rsidRPr="00AE0AB6">
        <w:rPr>
          <w:rFonts w:ascii="GHEA Grapalat" w:eastAsia="Times New Roman" w:hAnsi="GHEA Grapalat" w:cs="Arial"/>
          <w:b/>
          <w:bCs/>
          <w:i/>
          <w:iCs/>
          <w:color w:val="333333"/>
          <w:sz w:val="24"/>
          <w:szCs w:val="24"/>
          <w:lang w:val="hy-AM"/>
        </w:rPr>
        <w:t xml:space="preserve"> 1-</w:t>
      </w:r>
      <w:r w:rsidRPr="00AE0AB6">
        <w:rPr>
          <w:rFonts w:ascii="GHEA Grapalat" w:eastAsia="Times New Roman" w:hAnsi="GHEA Grapalat" w:cs="GHEA Grapalat"/>
          <w:b/>
          <w:bCs/>
          <w:i/>
          <w:iCs/>
          <w:color w:val="333333"/>
          <w:sz w:val="24"/>
          <w:szCs w:val="24"/>
          <w:lang w:val="hy-AM"/>
        </w:rPr>
        <w:t>ից</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և</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գործում</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է</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մինչև</w:t>
      </w:r>
      <w:r w:rsidRPr="00AE0AB6">
        <w:rPr>
          <w:rFonts w:ascii="GHEA Grapalat" w:eastAsia="Times New Roman" w:hAnsi="GHEA Grapalat" w:cs="Arial"/>
          <w:b/>
          <w:bCs/>
          <w:i/>
          <w:iCs/>
          <w:color w:val="333333"/>
          <w:sz w:val="24"/>
          <w:szCs w:val="24"/>
          <w:lang w:val="hy-AM"/>
        </w:rPr>
        <w:t xml:space="preserve"> 2026 </w:t>
      </w:r>
      <w:r w:rsidRPr="00AE0AB6">
        <w:rPr>
          <w:rFonts w:ascii="GHEA Grapalat" w:eastAsia="Times New Roman" w:hAnsi="GHEA Grapalat" w:cs="GHEA Grapalat"/>
          <w:b/>
          <w:bCs/>
          <w:i/>
          <w:iCs/>
          <w:color w:val="333333"/>
          <w:sz w:val="24"/>
          <w:szCs w:val="24"/>
          <w:lang w:val="hy-AM"/>
        </w:rPr>
        <w:t>թվականի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հունվարի</w:t>
      </w:r>
      <w:r w:rsidRPr="00AE0AB6">
        <w:rPr>
          <w:rFonts w:ascii="GHEA Grapalat" w:eastAsia="Times New Roman" w:hAnsi="GHEA Grapalat" w:cs="Arial"/>
          <w:b/>
          <w:bCs/>
          <w:i/>
          <w:iCs/>
          <w:color w:val="333333"/>
          <w:sz w:val="24"/>
          <w:szCs w:val="24"/>
          <w:lang w:val="hy-AM"/>
        </w:rPr>
        <w:t xml:space="preserve"> 1-</w:t>
      </w:r>
      <w:r w:rsidRPr="00AE0AB6">
        <w:rPr>
          <w:rFonts w:ascii="GHEA Grapalat" w:eastAsia="Times New Roman" w:hAnsi="GHEA Grapalat" w:cs="GHEA Grapalat"/>
          <w:b/>
          <w:bCs/>
          <w:i/>
          <w:iCs/>
          <w:color w:val="333333"/>
          <w:sz w:val="24"/>
          <w:szCs w:val="24"/>
          <w:lang w:val="hy-AM"/>
        </w:rPr>
        <w:t>ը</w:t>
      </w:r>
      <w:r w:rsidRPr="00AE0AB6">
        <w:rPr>
          <w:rFonts w:ascii="GHEA Grapalat" w:eastAsia="Times New Roman" w:hAnsi="GHEA Grapalat" w:cs="Arial"/>
          <w:b/>
          <w:bCs/>
          <w:i/>
          <w:iCs/>
          <w:color w:val="333333"/>
          <w:sz w:val="24"/>
          <w:szCs w:val="24"/>
          <w:lang w:val="hy-AM"/>
        </w:rPr>
        <w:t>)</w:t>
      </w:r>
    </w:p>
    <w:p w14:paraId="0923EE87"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(հոդվածը</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Arial"/>
          <w:b/>
          <w:bCs/>
          <w:i/>
          <w:iCs/>
          <w:color w:val="333333"/>
          <w:sz w:val="24"/>
          <w:szCs w:val="24"/>
          <w:lang w:val="hy-AM"/>
        </w:rPr>
        <w:t>12.06.24</w:t>
      </w:r>
      <w:r w:rsidRPr="00AE0AB6">
        <w:rPr>
          <w:rFonts w:ascii="Calibri" w:eastAsia="Times New Roman" w:hAnsi="Calibri" w:cs="Calibri"/>
          <w:b/>
          <w:bCs/>
          <w:i/>
          <w:iCs/>
          <w:color w:val="333333"/>
          <w:sz w:val="24"/>
          <w:szCs w:val="24"/>
          <w:lang w:val="hy-AM"/>
        </w:rPr>
        <w:t> </w:t>
      </w:r>
      <w:hyperlink r:id="rId25" w:tgtFrame="_blank" w:history="1">
        <w:r w:rsidRPr="00AE0AB6">
          <w:rPr>
            <w:rFonts w:ascii="GHEA Grapalat" w:eastAsia="Times New Roman" w:hAnsi="GHEA Grapalat" w:cs="Arial"/>
            <w:b/>
            <w:bCs/>
            <w:i/>
            <w:iCs/>
            <w:color w:val="0000FF"/>
            <w:sz w:val="24"/>
            <w:szCs w:val="24"/>
            <w:u w:val="single"/>
            <w:lang w:val="hy-AM"/>
          </w:rPr>
          <w:t>ՀՕ-269-Ն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փոփոխության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մասով</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ուժի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մեջ</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է</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մտնում</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w:t>
      </w:r>
      <w:hyperlink r:id="rId26" w:tgtFrame="_blank" w:history="1">
        <w:r w:rsidRPr="00AE0AB6">
          <w:rPr>
            <w:rFonts w:ascii="GHEA Grapalat" w:eastAsia="Times New Roman" w:hAnsi="GHEA Grapalat" w:cs="Arial"/>
            <w:b/>
            <w:bCs/>
            <w:i/>
            <w:iCs/>
            <w:color w:val="0000FF"/>
            <w:sz w:val="24"/>
            <w:szCs w:val="24"/>
            <w:u w:val="single"/>
            <w:lang w:val="hy-AM"/>
          </w:rPr>
          <w:t>Խաղային գործունեության կարգավորման մասին</w:t>
        </w:r>
      </w:hyperlink>
      <w:r w:rsidRPr="00AE0AB6">
        <w:rPr>
          <w:rFonts w:ascii="GHEA Grapalat" w:eastAsia="Times New Roman" w:hAnsi="GHEA Grapalat" w:cs="Arial"/>
          <w:b/>
          <w:bCs/>
          <w:i/>
          <w:iCs/>
          <w:color w:val="333333"/>
          <w:sz w:val="24"/>
          <w:szCs w:val="24"/>
          <w:lang w:val="hy-AM"/>
        </w:rPr>
        <w:t>» օրենքն ամբողջությամբ գործողության մեջ դրվելու օրվանից)</w:t>
      </w:r>
    </w:p>
    <w:p w14:paraId="42827454"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t>(հոդվածը 04.12.24</w:t>
      </w:r>
      <w:r w:rsidRPr="00AE0AB6">
        <w:rPr>
          <w:rFonts w:ascii="Calibri" w:eastAsia="Times New Roman" w:hAnsi="Calibri" w:cs="Calibri"/>
          <w:b/>
          <w:bCs/>
          <w:i/>
          <w:iCs/>
          <w:color w:val="333333"/>
          <w:sz w:val="24"/>
          <w:szCs w:val="24"/>
          <w:lang w:val="hy-AM"/>
        </w:rPr>
        <w:t> </w:t>
      </w:r>
      <w:hyperlink r:id="rId27" w:tgtFrame="_blank" w:history="1">
        <w:r w:rsidRPr="00AE0AB6">
          <w:rPr>
            <w:rFonts w:ascii="GHEA Grapalat" w:eastAsia="Times New Roman" w:hAnsi="GHEA Grapalat" w:cs="Arial"/>
            <w:b/>
            <w:bCs/>
            <w:i/>
            <w:iCs/>
            <w:sz w:val="24"/>
            <w:szCs w:val="24"/>
            <w:lang w:val="hy-AM"/>
          </w:rPr>
          <w:t>ՀՕ-499-Ն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փոփոխության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մասով</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ուժի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մեջ</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է</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մտնում</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Arial"/>
          <w:b/>
          <w:bCs/>
          <w:i/>
          <w:iCs/>
          <w:color w:val="333333"/>
          <w:sz w:val="24"/>
          <w:szCs w:val="24"/>
          <w:lang w:val="hy-AM"/>
        </w:rPr>
        <w:t xml:space="preserve">2025 </w:t>
      </w:r>
      <w:r w:rsidRPr="00AE0AB6">
        <w:rPr>
          <w:rFonts w:ascii="GHEA Grapalat" w:eastAsia="Times New Roman" w:hAnsi="GHEA Grapalat" w:cs="GHEA Grapalat"/>
          <w:b/>
          <w:bCs/>
          <w:i/>
          <w:iCs/>
          <w:color w:val="333333"/>
          <w:sz w:val="24"/>
          <w:szCs w:val="24"/>
          <w:lang w:val="hy-AM"/>
        </w:rPr>
        <w:t>թվականի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հունվարի</w:t>
      </w:r>
      <w:r w:rsidRPr="00AE0AB6">
        <w:rPr>
          <w:rFonts w:ascii="GHEA Grapalat" w:eastAsia="Times New Roman" w:hAnsi="GHEA Grapalat" w:cs="Arial"/>
          <w:b/>
          <w:bCs/>
          <w:i/>
          <w:iCs/>
          <w:color w:val="333333"/>
          <w:sz w:val="24"/>
          <w:szCs w:val="24"/>
          <w:lang w:val="hy-AM"/>
        </w:rPr>
        <w:t xml:space="preserve"> 1-</w:t>
      </w:r>
      <w:r w:rsidRPr="00AE0AB6">
        <w:rPr>
          <w:rFonts w:ascii="GHEA Grapalat" w:eastAsia="Times New Roman" w:hAnsi="GHEA Grapalat" w:cs="GHEA Grapalat"/>
          <w:b/>
          <w:bCs/>
          <w:i/>
          <w:iCs/>
          <w:color w:val="333333"/>
          <w:sz w:val="24"/>
          <w:szCs w:val="24"/>
          <w:lang w:val="hy-AM"/>
        </w:rPr>
        <w:t>ից</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և</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գործում</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է</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մինչև</w:t>
      </w:r>
      <w:r w:rsidRPr="00AE0AB6">
        <w:rPr>
          <w:rFonts w:ascii="GHEA Grapalat" w:eastAsia="Times New Roman" w:hAnsi="GHEA Grapalat" w:cs="Arial"/>
          <w:b/>
          <w:bCs/>
          <w:i/>
          <w:iCs/>
          <w:color w:val="333333"/>
          <w:sz w:val="24"/>
          <w:szCs w:val="24"/>
          <w:lang w:val="hy-AM"/>
        </w:rPr>
        <w:t xml:space="preserve"> 2031 </w:t>
      </w:r>
      <w:r w:rsidRPr="00AE0AB6">
        <w:rPr>
          <w:rFonts w:ascii="GHEA Grapalat" w:eastAsia="Times New Roman" w:hAnsi="GHEA Grapalat" w:cs="GHEA Grapalat"/>
          <w:b/>
          <w:bCs/>
          <w:i/>
          <w:iCs/>
          <w:color w:val="333333"/>
          <w:sz w:val="24"/>
          <w:szCs w:val="24"/>
          <w:lang w:val="hy-AM"/>
        </w:rPr>
        <w:t>թվականի</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դեկտեմբերի</w:t>
      </w:r>
      <w:r w:rsidRPr="00AE0AB6">
        <w:rPr>
          <w:rFonts w:ascii="GHEA Grapalat" w:eastAsia="Times New Roman" w:hAnsi="GHEA Grapalat" w:cs="Arial"/>
          <w:b/>
          <w:bCs/>
          <w:i/>
          <w:iCs/>
          <w:color w:val="333333"/>
          <w:sz w:val="24"/>
          <w:szCs w:val="24"/>
          <w:lang w:val="hy-AM"/>
        </w:rPr>
        <w:t xml:space="preserve"> 31-</w:t>
      </w:r>
      <w:r w:rsidRPr="00AE0AB6">
        <w:rPr>
          <w:rFonts w:ascii="GHEA Grapalat" w:eastAsia="Times New Roman" w:hAnsi="GHEA Grapalat" w:cs="GHEA Grapalat"/>
          <w:b/>
          <w:bCs/>
          <w:i/>
          <w:iCs/>
          <w:color w:val="333333"/>
          <w:sz w:val="24"/>
          <w:szCs w:val="24"/>
          <w:lang w:val="hy-AM"/>
        </w:rPr>
        <w:t>ը</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համաձայն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նույն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օրենքի</w:t>
      </w:r>
      <w:r w:rsidRPr="00AE0AB6">
        <w:rPr>
          <w:rFonts w:ascii="GHEA Grapalat" w:eastAsia="Times New Roman" w:hAnsi="GHEA Grapalat" w:cs="Arial"/>
          <w:b/>
          <w:bCs/>
          <w:i/>
          <w:iCs/>
          <w:color w:val="333333"/>
          <w:sz w:val="24"/>
          <w:szCs w:val="24"/>
          <w:lang w:val="hy-AM"/>
        </w:rPr>
        <w:t xml:space="preserve"> 8-</w:t>
      </w:r>
      <w:r w:rsidRPr="00AE0AB6">
        <w:rPr>
          <w:rFonts w:ascii="GHEA Grapalat" w:eastAsia="Times New Roman" w:hAnsi="GHEA Grapalat" w:cs="GHEA Grapalat"/>
          <w:b/>
          <w:bCs/>
          <w:i/>
          <w:iCs/>
          <w:color w:val="333333"/>
          <w:sz w:val="24"/>
          <w:szCs w:val="24"/>
          <w:lang w:val="hy-AM"/>
        </w:rPr>
        <w:t>րդ</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հոդվածի</w:t>
      </w:r>
      <w:r w:rsidRPr="00AE0AB6">
        <w:rPr>
          <w:rFonts w:ascii="GHEA Grapalat" w:eastAsia="Times New Roman" w:hAnsi="GHEA Grapalat" w:cs="Arial"/>
          <w:b/>
          <w:bCs/>
          <w:i/>
          <w:iCs/>
          <w:color w:val="333333"/>
          <w:sz w:val="24"/>
          <w:szCs w:val="24"/>
          <w:lang w:val="hy-AM"/>
        </w:rPr>
        <w:t xml:space="preserve"> 1-ին մասի)</w:t>
      </w:r>
    </w:p>
    <w:p w14:paraId="21B598B4" w14:textId="77777777" w:rsidR="00AE0AB6" w:rsidRPr="00AE0AB6" w:rsidRDefault="00AE0AB6" w:rsidP="00AE0AB6">
      <w:pPr>
        <w:shd w:val="clear" w:color="auto" w:fill="FFFFFF"/>
        <w:spacing w:after="0" w:line="240" w:lineRule="auto"/>
        <w:ind w:firstLine="375"/>
        <w:rPr>
          <w:rFonts w:ascii="GHEA Grapalat" w:eastAsia="Times New Roman" w:hAnsi="GHEA Grapalat" w:cs="Arial"/>
          <w:color w:val="333333"/>
          <w:sz w:val="24"/>
          <w:szCs w:val="24"/>
          <w:lang w:val="hy-AM"/>
        </w:rPr>
      </w:pPr>
      <w:r w:rsidRPr="00AE0AB6">
        <w:rPr>
          <w:rFonts w:ascii="GHEA Grapalat" w:eastAsia="Times New Roman" w:hAnsi="GHEA Grapalat" w:cs="Arial"/>
          <w:b/>
          <w:bCs/>
          <w:i/>
          <w:iCs/>
          <w:color w:val="333333"/>
          <w:sz w:val="24"/>
          <w:szCs w:val="24"/>
          <w:lang w:val="hy-AM"/>
        </w:rPr>
        <w:lastRenderedPageBreak/>
        <w:t>(04.12.24</w:t>
      </w:r>
      <w:r w:rsidRPr="00AE0AB6">
        <w:rPr>
          <w:rFonts w:ascii="Calibri" w:eastAsia="Times New Roman" w:hAnsi="Calibri" w:cs="Calibri"/>
          <w:b/>
          <w:bCs/>
          <w:i/>
          <w:iCs/>
          <w:color w:val="333333"/>
          <w:sz w:val="24"/>
          <w:szCs w:val="24"/>
          <w:lang w:val="hy-AM"/>
        </w:rPr>
        <w:t> </w:t>
      </w:r>
      <w:hyperlink r:id="rId28" w:tgtFrame="_blank" w:history="1">
        <w:r w:rsidRPr="00AE0AB6">
          <w:rPr>
            <w:rFonts w:ascii="GHEA Grapalat" w:eastAsia="Times New Roman" w:hAnsi="GHEA Grapalat" w:cs="Arial"/>
            <w:b/>
            <w:bCs/>
            <w:i/>
            <w:iCs/>
            <w:color w:val="0000FF"/>
            <w:sz w:val="24"/>
            <w:szCs w:val="24"/>
            <w:u w:val="single"/>
            <w:lang w:val="hy-AM"/>
          </w:rPr>
          <w:t>ՀՕ-499-Ն</w:t>
        </w:r>
      </w:hyperlink>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օրենքն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ունի</w:t>
      </w:r>
      <w:r w:rsidRPr="00AE0AB6">
        <w:rPr>
          <w:rFonts w:ascii="Calibri" w:eastAsia="Times New Roman" w:hAnsi="Calibri" w:cs="Calibri"/>
          <w:b/>
          <w:bCs/>
          <w:i/>
          <w:iCs/>
          <w:color w:val="333333"/>
          <w:sz w:val="24"/>
          <w:szCs w:val="24"/>
          <w:lang w:val="hy-AM"/>
        </w:rPr>
        <w:t> </w:t>
      </w:r>
      <w:r w:rsidRPr="00AE0AB6">
        <w:rPr>
          <w:rFonts w:ascii="GHEA Grapalat" w:eastAsia="Times New Roman" w:hAnsi="GHEA Grapalat" w:cs="GHEA Grapalat"/>
          <w:b/>
          <w:bCs/>
          <w:i/>
          <w:iCs/>
          <w:color w:val="333333"/>
          <w:sz w:val="24"/>
          <w:szCs w:val="24"/>
          <w:lang w:val="hy-AM"/>
        </w:rPr>
        <w:t>անցումային</w:t>
      </w:r>
      <w:r w:rsidRPr="00AE0AB6">
        <w:rPr>
          <w:rFonts w:ascii="GHEA Grapalat" w:eastAsia="Times New Roman" w:hAnsi="GHEA Grapalat" w:cs="Arial"/>
          <w:b/>
          <w:bCs/>
          <w:i/>
          <w:iCs/>
          <w:color w:val="333333"/>
          <w:sz w:val="24"/>
          <w:szCs w:val="24"/>
          <w:lang w:val="hy-AM"/>
        </w:rPr>
        <w:t xml:space="preserve"> </w:t>
      </w:r>
      <w:r w:rsidRPr="00AE0AB6">
        <w:rPr>
          <w:rFonts w:ascii="GHEA Grapalat" w:eastAsia="Times New Roman" w:hAnsi="GHEA Grapalat" w:cs="GHEA Grapalat"/>
          <w:b/>
          <w:bCs/>
          <w:i/>
          <w:iCs/>
          <w:color w:val="333333"/>
          <w:sz w:val="24"/>
          <w:szCs w:val="24"/>
          <w:lang w:val="hy-AM"/>
        </w:rPr>
        <w:t>դրույթ</w:t>
      </w:r>
      <w:r w:rsidRPr="00AE0AB6">
        <w:rPr>
          <w:rFonts w:ascii="GHEA Grapalat" w:eastAsia="Times New Roman" w:hAnsi="GHEA Grapalat" w:cs="Arial"/>
          <w:b/>
          <w:bCs/>
          <w:i/>
          <w:iCs/>
          <w:color w:val="333333"/>
          <w:sz w:val="24"/>
          <w:szCs w:val="24"/>
          <w:lang w:val="hy-AM"/>
        </w:rPr>
        <w:t>)</w:t>
      </w:r>
    </w:p>
    <w:p w14:paraId="4847579B" w14:textId="77777777" w:rsidR="000C5CA4" w:rsidRPr="00680AA8" w:rsidRDefault="000C5CA4" w:rsidP="00230322">
      <w:pPr>
        <w:spacing w:line="360" w:lineRule="auto"/>
        <w:jc w:val="center"/>
        <w:rPr>
          <w:rFonts w:ascii="GHEA Grapalat" w:hAnsi="GHEA Grapalat"/>
          <w:b/>
          <w:bCs/>
          <w:sz w:val="24"/>
          <w:szCs w:val="24"/>
          <w:lang w:val="hy-AM"/>
        </w:rPr>
      </w:pPr>
    </w:p>
    <w:sectPr w:rsidR="000C5CA4" w:rsidRPr="00680A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AD1"/>
    <w:rsid w:val="0004558F"/>
    <w:rsid w:val="00070E07"/>
    <w:rsid w:val="000C5CA4"/>
    <w:rsid w:val="000D6873"/>
    <w:rsid w:val="00132497"/>
    <w:rsid w:val="00230322"/>
    <w:rsid w:val="0048403C"/>
    <w:rsid w:val="004A41FA"/>
    <w:rsid w:val="004D7BA2"/>
    <w:rsid w:val="005433ED"/>
    <w:rsid w:val="006576EC"/>
    <w:rsid w:val="00680AA8"/>
    <w:rsid w:val="00685D23"/>
    <w:rsid w:val="0073353F"/>
    <w:rsid w:val="0078598B"/>
    <w:rsid w:val="007C4808"/>
    <w:rsid w:val="008305FF"/>
    <w:rsid w:val="00847A1A"/>
    <w:rsid w:val="00863E6F"/>
    <w:rsid w:val="008850AB"/>
    <w:rsid w:val="008B07DC"/>
    <w:rsid w:val="008D3639"/>
    <w:rsid w:val="009F71C2"/>
    <w:rsid w:val="00A658CC"/>
    <w:rsid w:val="00A669CC"/>
    <w:rsid w:val="00AE0AB6"/>
    <w:rsid w:val="00B82AD1"/>
    <w:rsid w:val="00BA2042"/>
    <w:rsid w:val="00C47DF5"/>
    <w:rsid w:val="00C673A3"/>
    <w:rsid w:val="00CF4683"/>
    <w:rsid w:val="00D066EA"/>
    <w:rsid w:val="00D327E4"/>
    <w:rsid w:val="00DC3D6E"/>
    <w:rsid w:val="00DD6040"/>
    <w:rsid w:val="00DE2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20643"/>
  <w15:chartTrackingRefBased/>
  <w15:docId w15:val="{D1064E42-7833-4BCD-9114-A6A9D1315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3353F"/>
    <w:rPr>
      <w:b/>
      <w:bCs/>
    </w:rPr>
  </w:style>
  <w:style w:type="character" w:styleId="Hyperlink">
    <w:name w:val="Hyperlink"/>
    <w:basedOn w:val="DefaultParagraphFont"/>
    <w:uiPriority w:val="99"/>
    <w:unhideWhenUsed/>
    <w:rsid w:val="006576EC"/>
    <w:rPr>
      <w:color w:val="0000FF" w:themeColor="hyperlink"/>
      <w:u w:val="single"/>
    </w:rPr>
  </w:style>
  <w:style w:type="character" w:styleId="UnresolvedMention">
    <w:name w:val="Unresolved Mention"/>
    <w:basedOn w:val="DefaultParagraphFont"/>
    <w:uiPriority w:val="99"/>
    <w:semiHidden/>
    <w:unhideWhenUsed/>
    <w:rsid w:val="006576EC"/>
    <w:rPr>
      <w:color w:val="605E5C"/>
      <w:shd w:val="clear" w:color="auto" w:fill="E1DFDD"/>
    </w:rPr>
  </w:style>
  <w:style w:type="paragraph" w:styleId="ListParagraph">
    <w:name w:val="List Paragraph"/>
    <w:basedOn w:val="Normal"/>
    <w:uiPriority w:val="34"/>
    <w:qFormat/>
    <w:rsid w:val="002303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050669">
      <w:bodyDiv w:val="1"/>
      <w:marLeft w:val="0"/>
      <w:marRight w:val="0"/>
      <w:marTop w:val="0"/>
      <w:marBottom w:val="0"/>
      <w:divBdr>
        <w:top w:val="none" w:sz="0" w:space="0" w:color="auto"/>
        <w:left w:val="none" w:sz="0" w:space="0" w:color="auto"/>
        <w:bottom w:val="none" w:sz="0" w:space="0" w:color="auto"/>
        <w:right w:val="none" w:sz="0" w:space="0" w:color="auto"/>
      </w:divBdr>
    </w:div>
    <w:div w:id="267857164">
      <w:bodyDiv w:val="1"/>
      <w:marLeft w:val="0"/>
      <w:marRight w:val="0"/>
      <w:marTop w:val="0"/>
      <w:marBottom w:val="0"/>
      <w:divBdr>
        <w:top w:val="none" w:sz="0" w:space="0" w:color="auto"/>
        <w:left w:val="none" w:sz="0" w:space="0" w:color="auto"/>
        <w:bottom w:val="none" w:sz="0" w:space="0" w:color="auto"/>
        <w:right w:val="none" w:sz="0" w:space="0" w:color="auto"/>
      </w:divBdr>
    </w:div>
    <w:div w:id="388458458">
      <w:bodyDiv w:val="1"/>
      <w:marLeft w:val="0"/>
      <w:marRight w:val="0"/>
      <w:marTop w:val="0"/>
      <w:marBottom w:val="0"/>
      <w:divBdr>
        <w:top w:val="none" w:sz="0" w:space="0" w:color="auto"/>
        <w:left w:val="none" w:sz="0" w:space="0" w:color="auto"/>
        <w:bottom w:val="none" w:sz="0" w:space="0" w:color="auto"/>
        <w:right w:val="none" w:sz="0" w:space="0" w:color="auto"/>
      </w:divBdr>
    </w:div>
    <w:div w:id="799766244">
      <w:bodyDiv w:val="1"/>
      <w:marLeft w:val="0"/>
      <w:marRight w:val="0"/>
      <w:marTop w:val="0"/>
      <w:marBottom w:val="0"/>
      <w:divBdr>
        <w:top w:val="none" w:sz="0" w:space="0" w:color="auto"/>
        <w:left w:val="none" w:sz="0" w:space="0" w:color="auto"/>
        <w:bottom w:val="none" w:sz="0" w:space="0" w:color="auto"/>
        <w:right w:val="none" w:sz="0" w:space="0" w:color="auto"/>
      </w:divBdr>
    </w:div>
    <w:div w:id="1174689979">
      <w:bodyDiv w:val="1"/>
      <w:marLeft w:val="0"/>
      <w:marRight w:val="0"/>
      <w:marTop w:val="0"/>
      <w:marBottom w:val="0"/>
      <w:divBdr>
        <w:top w:val="none" w:sz="0" w:space="0" w:color="auto"/>
        <w:left w:val="none" w:sz="0" w:space="0" w:color="auto"/>
        <w:bottom w:val="none" w:sz="0" w:space="0" w:color="auto"/>
        <w:right w:val="none" w:sz="0" w:space="0" w:color="auto"/>
      </w:divBdr>
    </w:div>
    <w:div w:id="1196579149">
      <w:bodyDiv w:val="1"/>
      <w:marLeft w:val="0"/>
      <w:marRight w:val="0"/>
      <w:marTop w:val="0"/>
      <w:marBottom w:val="0"/>
      <w:divBdr>
        <w:top w:val="none" w:sz="0" w:space="0" w:color="auto"/>
        <w:left w:val="none" w:sz="0" w:space="0" w:color="auto"/>
        <w:bottom w:val="none" w:sz="0" w:space="0" w:color="auto"/>
        <w:right w:val="none" w:sz="0" w:space="0" w:color="auto"/>
      </w:divBdr>
    </w:div>
    <w:div w:id="1457143861">
      <w:bodyDiv w:val="1"/>
      <w:marLeft w:val="0"/>
      <w:marRight w:val="0"/>
      <w:marTop w:val="0"/>
      <w:marBottom w:val="0"/>
      <w:divBdr>
        <w:top w:val="none" w:sz="0" w:space="0" w:color="auto"/>
        <w:left w:val="none" w:sz="0" w:space="0" w:color="auto"/>
        <w:bottom w:val="none" w:sz="0" w:space="0" w:color="auto"/>
        <w:right w:val="none" w:sz="0" w:space="0" w:color="auto"/>
      </w:divBdr>
    </w:div>
    <w:div w:id="1457525851">
      <w:bodyDiv w:val="1"/>
      <w:marLeft w:val="0"/>
      <w:marRight w:val="0"/>
      <w:marTop w:val="0"/>
      <w:marBottom w:val="0"/>
      <w:divBdr>
        <w:top w:val="none" w:sz="0" w:space="0" w:color="auto"/>
        <w:left w:val="none" w:sz="0" w:space="0" w:color="auto"/>
        <w:bottom w:val="none" w:sz="0" w:space="0" w:color="auto"/>
        <w:right w:val="none" w:sz="0" w:space="0" w:color="auto"/>
      </w:divBdr>
    </w:div>
    <w:div w:id="1700816413">
      <w:bodyDiv w:val="1"/>
      <w:marLeft w:val="0"/>
      <w:marRight w:val="0"/>
      <w:marTop w:val="0"/>
      <w:marBottom w:val="0"/>
      <w:divBdr>
        <w:top w:val="none" w:sz="0" w:space="0" w:color="auto"/>
        <w:left w:val="none" w:sz="0" w:space="0" w:color="auto"/>
        <w:bottom w:val="none" w:sz="0" w:space="0" w:color="auto"/>
        <w:right w:val="none" w:sz="0" w:space="0" w:color="auto"/>
      </w:divBdr>
    </w:div>
    <w:div w:id="1925063658">
      <w:bodyDiv w:val="1"/>
      <w:marLeft w:val="0"/>
      <w:marRight w:val="0"/>
      <w:marTop w:val="0"/>
      <w:marBottom w:val="0"/>
      <w:divBdr>
        <w:top w:val="none" w:sz="0" w:space="0" w:color="auto"/>
        <w:left w:val="none" w:sz="0" w:space="0" w:color="auto"/>
        <w:bottom w:val="none" w:sz="0" w:space="0" w:color="auto"/>
        <w:right w:val="none" w:sz="0" w:space="0" w:color="auto"/>
      </w:divBdr>
    </w:div>
    <w:div w:id="2029216221">
      <w:bodyDiv w:val="1"/>
      <w:marLeft w:val="0"/>
      <w:marRight w:val="0"/>
      <w:marTop w:val="0"/>
      <w:marBottom w:val="0"/>
      <w:divBdr>
        <w:top w:val="none" w:sz="0" w:space="0" w:color="auto"/>
        <w:left w:val="none" w:sz="0" w:space="0" w:color="auto"/>
        <w:bottom w:val="none" w:sz="0" w:space="0" w:color="auto"/>
        <w:right w:val="none" w:sz="0" w:space="0" w:color="auto"/>
      </w:divBdr>
    </w:div>
    <w:div w:id="207658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81051" TargetMode="External"/><Relationship Id="rId13" Type="http://schemas.openxmlformats.org/officeDocument/2006/relationships/hyperlink" Target="https://www.arlis.am/DocumentView.aspx?docid=131533" TargetMode="External"/><Relationship Id="rId18" Type="http://schemas.openxmlformats.org/officeDocument/2006/relationships/hyperlink" Target="https://www.arlis.am/hy/acts/143290" TargetMode="External"/><Relationship Id="rId26" Type="http://schemas.openxmlformats.org/officeDocument/2006/relationships/hyperlink" Target="https://www.arlis.am/hy/acts/194574" TargetMode="External"/><Relationship Id="rId3" Type="http://schemas.openxmlformats.org/officeDocument/2006/relationships/webSettings" Target="webSettings.xml"/><Relationship Id="rId21" Type="http://schemas.openxmlformats.org/officeDocument/2006/relationships/hyperlink" Target="https://www.arlis.am/hy/acts/172208" TargetMode="External"/><Relationship Id="rId7" Type="http://schemas.openxmlformats.org/officeDocument/2006/relationships/hyperlink" Target="https://www.arlis.am/DocumentView.aspx?docid=181051" TargetMode="External"/><Relationship Id="rId12" Type="http://schemas.openxmlformats.org/officeDocument/2006/relationships/hyperlink" Target="https://www.arlis.am/DocumentView.aspx?docid=123108" TargetMode="External"/><Relationship Id="rId17" Type="http://schemas.openxmlformats.org/officeDocument/2006/relationships/hyperlink" Target="https://www.arlis.am/hy/acts/143843" TargetMode="External"/><Relationship Id="rId25" Type="http://schemas.openxmlformats.org/officeDocument/2006/relationships/hyperlink" Target="https://www.arlis.am/hy/acts/194600" TargetMode="External"/><Relationship Id="rId2" Type="http://schemas.openxmlformats.org/officeDocument/2006/relationships/settings" Target="settings.xml"/><Relationship Id="rId16" Type="http://schemas.openxmlformats.org/officeDocument/2006/relationships/hyperlink" Target="https://www.arlis.am/hy/acts/131962" TargetMode="External"/><Relationship Id="rId20" Type="http://schemas.openxmlformats.org/officeDocument/2006/relationships/hyperlink" Target="https://www.arlis.am/hy/acts/158634"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rlis.am/DocumentView.aspx?docid=116003" TargetMode="External"/><Relationship Id="rId11" Type="http://schemas.openxmlformats.org/officeDocument/2006/relationships/hyperlink" Target="https://www.arlis.am/DocumentView.aspx?docid=118057" TargetMode="External"/><Relationship Id="rId24" Type="http://schemas.openxmlformats.org/officeDocument/2006/relationships/hyperlink" Target="https://www.arlis.am/hy/acts/186699" TargetMode="External"/><Relationship Id="rId5" Type="http://schemas.openxmlformats.org/officeDocument/2006/relationships/hyperlink" Target="https://www.arlis.am/DocumentView.aspx?docid=181051" TargetMode="External"/><Relationship Id="rId15" Type="http://schemas.openxmlformats.org/officeDocument/2006/relationships/hyperlink" Target="https://www.arlis.am/hy/acts/153252" TargetMode="External"/><Relationship Id="rId23" Type="http://schemas.openxmlformats.org/officeDocument/2006/relationships/hyperlink" Target="https://www.arlis.am/hy/acts/177022" TargetMode="External"/><Relationship Id="rId28" Type="http://schemas.openxmlformats.org/officeDocument/2006/relationships/hyperlink" Target="https://www.arlis.am/hy/acts/201054" TargetMode="External"/><Relationship Id="rId10" Type="http://schemas.openxmlformats.org/officeDocument/2006/relationships/hyperlink" Target="https://www.arlis.am/DocumentView.aspx?docid=113231" TargetMode="External"/><Relationship Id="rId19" Type="http://schemas.openxmlformats.org/officeDocument/2006/relationships/hyperlink" Target="https://www.arlis.am/hy/acts/153231" TargetMode="External"/><Relationship Id="rId4" Type="http://schemas.openxmlformats.org/officeDocument/2006/relationships/hyperlink" Target="https://www.arlis.am/DocumentView.aspx?docid=181051" TargetMode="External"/><Relationship Id="rId9" Type="http://schemas.openxmlformats.org/officeDocument/2006/relationships/hyperlink" Target="https://www.arlis.am/DocumentView.aspx?docid=161382" TargetMode="External"/><Relationship Id="rId14" Type="http://schemas.openxmlformats.org/officeDocument/2006/relationships/hyperlink" Target="https://www.arlis.am/DocumentView.aspx?docid=158634" TargetMode="External"/><Relationship Id="rId22" Type="http://schemas.openxmlformats.org/officeDocument/2006/relationships/hyperlink" Target="https://www.arlis.am/hy/acts/176422" TargetMode="External"/><Relationship Id="rId27" Type="http://schemas.openxmlformats.org/officeDocument/2006/relationships/hyperlink" Target="https://www.arlis.am/hy/acts/201054"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12</Pages>
  <Words>4024</Words>
  <Characters>22938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Azgush A. Elazyan</dc:creator>
  <cp:keywords/>
  <dc:description/>
  <cp:lastModifiedBy>Azgush A. Elazyan</cp:lastModifiedBy>
  <cp:revision>11</cp:revision>
  <dcterms:created xsi:type="dcterms:W3CDTF">2025-04-02T06:13:00Z</dcterms:created>
  <dcterms:modified xsi:type="dcterms:W3CDTF">2025-10-13T10:51:00Z</dcterms:modified>
</cp:coreProperties>
</file>